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ind w:left="1080" w:leftChars="257" w:hanging="540"/>
        <w:jc w:val="center"/>
        <w:rPr>
          <w:rFonts w:ascii="仿宋" w:hAnsi="仿宋" w:eastAsia="仿宋" w:cs="仿宋"/>
          <w:color w:val="auto"/>
          <w:sz w:val="24"/>
        </w:rPr>
      </w:pPr>
      <w:r>
        <w:rPr>
          <w:rFonts w:hint="eastAsia" w:ascii="仿宋" w:hAnsi="仿宋" w:eastAsia="仿宋" w:cs="仿宋"/>
          <w:bCs/>
          <w:color w:val="auto"/>
          <w:sz w:val="28"/>
          <w:szCs w:val="28"/>
        </w:rPr>
        <w:t xml:space="preserve">                   </w:t>
      </w:r>
    </w:p>
    <w:p>
      <w:pPr>
        <w:spacing w:line="240" w:lineRule="atLeast"/>
        <w:ind w:left="1080" w:leftChars="257" w:hanging="540"/>
        <w:jc w:val="center"/>
        <w:rPr>
          <w:rFonts w:ascii="仿宋" w:hAnsi="仿宋" w:eastAsia="仿宋" w:cs="仿宋"/>
          <w:color w:val="auto"/>
          <w:sz w:val="24"/>
        </w:rPr>
      </w:pPr>
    </w:p>
    <w:p>
      <w:pPr>
        <w:spacing w:line="240" w:lineRule="atLeast"/>
        <w:ind w:left="1080" w:leftChars="257" w:hanging="540"/>
        <w:jc w:val="center"/>
        <w:rPr>
          <w:rFonts w:ascii="仿宋" w:hAnsi="仿宋" w:eastAsia="仿宋" w:cs="仿宋"/>
          <w:color w:val="auto"/>
          <w:sz w:val="24"/>
        </w:rPr>
      </w:pPr>
    </w:p>
    <w:p>
      <w:pPr>
        <w:spacing w:line="240" w:lineRule="atLeast"/>
        <w:ind w:left="1080" w:leftChars="257" w:hanging="540"/>
        <w:jc w:val="center"/>
        <w:rPr>
          <w:rFonts w:ascii="仿宋" w:hAnsi="仿宋" w:eastAsia="仿宋" w:cs="仿宋"/>
          <w:color w:val="auto"/>
          <w:sz w:val="24"/>
        </w:rPr>
      </w:pPr>
    </w:p>
    <w:p>
      <w:pPr>
        <w:widowControl/>
        <w:jc w:val="center"/>
        <w:outlineLvl w:val="0"/>
        <w:rPr>
          <w:rFonts w:hint="eastAsia" w:ascii="仿宋" w:hAnsi="仿宋" w:eastAsia="仿宋" w:cs="仿宋"/>
          <w:b/>
          <w:color w:val="auto"/>
          <w:sz w:val="44"/>
          <w:szCs w:val="44"/>
        </w:rPr>
      </w:pPr>
      <w:bookmarkStart w:id="0" w:name="_Toc25604"/>
      <w:r>
        <w:rPr>
          <w:rFonts w:hint="eastAsia" w:ascii="仿宋" w:hAnsi="仿宋" w:eastAsia="仿宋" w:cs="仿宋"/>
          <w:b/>
          <w:color w:val="auto"/>
          <w:sz w:val="44"/>
          <w:szCs w:val="44"/>
          <w:lang w:val="en-US" w:eastAsia="zh-CN"/>
        </w:rPr>
        <w:t>克州</w:t>
      </w:r>
      <w:r>
        <w:rPr>
          <w:rFonts w:hint="eastAsia" w:ascii="仿宋" w:hAnsi="仿宋" w:eastAsia="仿宋" w:cs="仿宋"/>
          <w:b/>
          <w:color w:val="auto"/>
          <w:sz w:val="44"/>
          <w:szCs w:val="44"/>
        </w:rPr>
        <w:t>2023年</w:t>
      </w:r>
      <w:r>
        <w:rPr>
          <w:rFonts w:hint="eastAsia" w:ascii="仿宋" w:hAnsi="仿宋" w:eastAsia="仿宋" w:cs="仿宋"/>
          <w:b/>
          <w:color w:val="auto"/>
          <w:sz w:val="44"/>
          <w:szCs w:val="44"/>
          <w:lang w:val="en-US" w:eastAsia="zh-CN"/>
        </w:rPr>
        <w:t>自然</w:t>
      </w:r>
      <w:r>
        <w:rPr>
          <w:rFonts w:hint="eastAsia" w:ascii="仿宋" w:hAnsi="仿宋" w:eastAsia="仿宋" w:cs="仿宋"/>
          <w:b/>
          <w:color w:val="auto"/>
          <w:sz w:val="44"/>
          <w:szCs w:val="44"/>
        </w:rPr>
        <w:t>灾害防治体系建设</w:t>
      </w:r>
      <w:bookmarkEnd w:id="0"/>
    </w:p>
    <w:p>
      <w:pPr>
        <w:widowControl/>
        <w:jc w:val="center"/>
        <w:outlineLvl w:val="0"/>
        <w:rPr>
          <w:rFonts w:hint="eastAsia" w:ascii="仿宋" w:hAnsi="仿宋" w:eastAsia="仿宋" w:cs="仿宋"/>
          <w:b/>
          <w:color w:val="auto"/>
          <w:sz w:val="44"/>
          <w:szCs w:val="44"/>
        </w:rPr>
      </w:pPr>
      <w:bookmarkStart w:id="1" w:name="_Toc5502"/>
      <w:r>
        <w:rPr>
          <w:rFonts w:hint="eastAsia" w:ascii="仿宋" w:hAnsi="仿宋" w:eastAsia="仿宋" w:cs="仿宋"/>
          <w:b/>
          <w:color w:val="auto"/>
          <w:sz w:val="44"/>
          <w:szCs w:val="44"/>
          <w:lang w:val="en-US" w:eastAsia="zh-CN"/>
        </w:rPr>
        <w:t>补助资金</w:t>
      </w:r>
      <w:r>
        <w:rPr>
          <w:rFonts w:hint="eastAsia" w:ascii="仿宋" w:hAnsi="仿宋" w:eastAsia="仿宋" w:cs="仿宋"/>
          <w:b/>
          <w:color w:val="auto"/>
          <w:sz w:val="44"/>
          <w:szCs w:val="44"/>
        </w:rPr>
        <w:t>项目</w:t>
      </w:r>
      <w:bookmarkEnd w:id="1"/>
    </w:p>
    <w:p>
      <w:pPr>
        <w:pStyle w:val="27"/>
        <w:rPr>
          <w:rFonts w:ascii="仿宋" w:hAnsi="仿宋" w:eastAsia="仿宋" w:cs="仿宋"/>
          <w:b/>
          <w:color w:val="auto"/>
          <w:sz w:val="48"/>
          <w:szCs w:val="48"/>
        </w:rPr>
      </w:pPr>
    </w:p>
    <w:p>
      <w:pPr>
        <w:widowControl/>
        <w:jc w:val="left"/>
        <w:rPr>
          <w:rFonts w:ascii="仿宋" w:hAnsi="仿宋" w:eastAsia="仿宋" w:cs="仿宋"/>
          <w:color w:val="auto"/>
        </w:rPr>
      </w:pPr>
    </w:p>
    <w:p>
      <w:pPr>
        <w:pStyle w:val="4"/>
        <w:ind w:firstLine="480"/>
        <w:rPr>
          <w:color w:val="auto"/>
        </w:rPr>
      </w:pPr>
    </w:p>
    <w:p>
      <w:pPr>
        <w:spacing w:line="240" w:lineRule="atLeast"/>
        <w:jc w:val="center"/>
        <w:rPr>
          <w:rFonts w:ascii="仿宋" w:hAnsi="仿宋" w:eastAsia="仿宋" w:cs="仿宋"/>
          <w:bCs/>
          <w:color w:val="auto"/>
          <w:sz w:val="52"/>
          <w:szCs w:val="52"/>
        </w:rPr>
      </w:pPr>
      <w:r>
        <w:rPr>
          <w:rFonts w:hint="eastAsia" w:ascii="仿宋" w:hAnsi="仿宋" w:eastAsia="仿宋" w:cs="仿宋"/>
          <w:bCs/>
          <w:color w:val="auto"/>
          <w:sz w:val="52"/>
          <w:szCs w:val="52"/>
        </w:rPr>
        <w:t xml:space="preserve"> </w:t>
      </w:r>
      <w:r>
        <w:rPr>
          <w:rFonts w:hint="eastAsia" w:ascii="仿宋" w:hAnsi="仿宋" w:eastAsia="仿宋" w:cs="仿宋"/>
          <w:b/>
          <w:color w:val="auto"/>
          <w:sz w:val="52"/>
          <w:szCs w:val="52"/>
        </w:rPr>
        <w:t>采购文件</w:t>
      </w:r>
    </w:p>
    <w:p>
      <w:pPr>
        <w:spacing w:line="240" w:lineRule="atLeast"/>
        <w:ind w:left="1080" w:leftChars="257" w:hanging="540"/>
        <w:jc w:val="center"/>
        <w:rPr>
          <w:rFonts w:ascii="仿宋" w:hAnsi="仿宋" w:eastAsia="仿宋" w:cs="仿宋"/>
          <w:bCs/>
          <w:color w:val="auto"/>
          <w:sz w:val="52"/>
          <w:szCs w:val="52"/>
        </w:rPr>
      </w:pPr>
    </w:p>
    <w:p>
      <w:pPr>
        <w:spacing w:line="240" w:lineRule="atLeast"/>
        <w:ind w:left="1080" w:leftChars="257" w:hanging="540"/>
        <w:jc w:val="center"/>
        <w:rPr>
          <w:rFonts w:ascii="仿宋" w:hAnsi="仿宋" w:eastAsia="仿宋" w:cs="仿宋"/>
          <w:bCs/>
          <w:color w:val="auto"/>
          <w:sz w:val="32"/>
          <w:szCs w:val="32"/>
        </w:rPr>
      </w:pPr>
      <w:r>
        <w:rPr>
          <w:rFonts w:hint="eastAsia" w:ascii="仿宋" w:hAnsi="仿宋" w:eastAsia="仿宋" w:cs="仿宋"/>
          <w:bCs/>
          <w:color w:val="auto"/>
          <w:sz w:val="32"/>
          <w:szCs w:val="32"/>
        </w:rPr>
        <w:t>（项目编号：</w:t>
      </w:r>
      <w:r>
        <w:rPr>
          <w:rFonts w:hint="eastAsia" w:ascii="仿宋" w:hAnsi="仿宋" w:eastAsia="仿宋" w:cs="仿宋"/>
          <w:bCs/>
          <w:color w:val="auto"/>
          <w:sz w:val="32"/>
          <w:szCs w:val="32"/>
          <w:lang w:eastAsia="zh-CN"/>
        </w:rPr>
        <w:t>GYZB-KZDZFZ2023</w:t>
      </w:r>
      <w:r>
        <w:rPr>
          <w:rFonts w:hint="eastAsia" w:ascii="仿宋" w:hAnsi="仿宋" w:eastAsia="仿宋" w:cs="仿宋"/>
          <w:bCs/>
          <w:color w:val="auto"/>
          <w:sz w:val="32"/>
          <w:szCs w:val="32"/>
          <w:lang w:val="en-US" w:eastAsia="zh-CN"/>
        </w:rPr>
        <w:t>-01</w:t>
      </w:r>
      <w:r>
        <w:rPr>
          <w:rFonts w:hint="eastAsia" w:ascii="仿宋" w:hAnsi="仿宋" w:eastAsia="仿宋" w:cs="仿宋"/>
          <w:bCs/>
          <w:color w:val="auto"/>
          <w:sz w:val="32"/>
          <w:szCs w:val="32"/>
        </w:rPr>
        <w:t>）</w:t>
      </w:r>
    </w:p>
    <w:p>
      <w:pPr>
        <w:pStyle w:val="11"/>
        <w:ind w:firstLine="0"/>
        <w:rPr>
          <w:color w:val="auto"/>
        </w:rPr>
      </w:pPr>
    </w:p>
    <w:p>
      <w:pPr>
        <w:spacing w:line="240" w:lineRule="atLeast"/>
        <w:ind w:left="1080" w:leftChars="257" w:hanging="540"/>
        <w:jc w:val="center"/>
        <w:rPr>
          <w:rFonts w:ascii="仿宋" w:hAnsi="仿宋" w:eastAsia="仿宋" w:cs="仿宋"/>
          <w:b/>
          <w:color w:val="auto"/>
          <w:sz w:val="52"/>
        </w:rPr>
      </w:pPr>
    </w:p>
    <w:p>
      <w:pPr>
        <w:spacing w:line="240" w:lineRule="atLeast"/>
        <w:ind w:left="1079" w:leftChars="257" w:hanging="539"/>
        <w:jc w:val="center"/>
        <w:outlineLvl w:val="0"/>
        <w:rPr>
          <w:rFonts w:ascii="仿宋" w:hAnsi="仿宋" w:eastAsia="仿宋" w:cs="仿宋"/>
          <w:b/>
          <w:color w:val="auto"/>
          <w:sz w:val="36"/>
          <w:szCs w:val="36"/>
        </w:rPr>
      </w:pPr>
      <w:bookmarkStart w:id="2" w:name="_Toc20713"/>
      <w:bookmarkStart w:id="3" w:name="_Toc2764"/>
      <w:r>
        <w:rPr>
          <w:rFonts w:hint="eastAsia" w:ascii="仿宋" w:hAnsi="仿宋" w:eastAsia="仿宋" w:cs="仿宋"/>
          <w:b/>
          <w:color w:val="auto"/>
          <w:sz w:val="36"/>
          <w:szCs w:val="36"/>
        </w:rPr>
        <w:t>第</w:t>
      </w:r>
      <w:r>
        <w:rPr>
          <w:rFonts w:hint="eastAsia" w:ascii="仿宋" w:hAnsi="仿宋" w:eastAsia="仿宋" w:cs="仿宋"/>
          <w:b/>
          <w:color w:val="auto"/>
          <w:sz w:val="36"/>
          <w:szCs w:val="36"/>
          <w:lang w:eastAsia="zh-CN"/>
        </w:rPr>
        <w:t>一</w:t>
      </w:r>
      <w:r>
        <w:rPr>
          <w:rFonts w:hint="eastAsia" w:ascii="仿宋" w:hAnsi="仿宋" w:eastAsia="仿宋" w:cs="仿宋"/>
          <w:b/>
          <w:color w:val="auto"/>
          <w:sz w:val="36"/>
          <w:szCs w:val="36"/>
        </w:rPr>
        <w:t>册</w:t>
      </w:r>
      <w:bookmarkEnd w:id="2"/>
      <w:bookmarkEnd w:id="3"/>
    </w:p>
    <w:p>
      <w:pPr>
        <w:pStyle w:val="3"/>
        <w:ind w:firstLine="1044"/>
        <w:rPr>
          <w:rFonts w:ascii="仿宋" w:hAnsi="仿宋" w:eastAsia="仿宋" w:cs="仿宋"/>
          <w:b/>
          <w:color w:val="auto"/>
          <w:sz w:val="52"/>
        </w:rPr>
      </w:pPr>
    </w:p>
    <w:p>
      <w:pPr>
        <w:pStyle w:val="4"/>
        <w:ind w:firstLine="480"/>
        <w:rPr>
          <w:color w:val="auto"/>
        </w:rPr>
      </w:pPr>
    </w:p>
    <w:p>
      <w:pPr>
        <w:spacing w:line="360" w:lineRule="auto"/>
        <w:ind w:firstLine="837" w:firstLineChars="299"/>
        <w:jc w:val="left"/>
        <w:rPr>
          <w:rFonts w:hint="eastAsia" w:ascii="仿宋" w:hAnsi="仿宋" w:eastAsia="仿宋" w:cs="仿宋"/>
          <w:color w:val="auto"/>
          <w:sz w:val="28"/>
          <w:szCs w:val="28"/>
          <w:u w:val="single"/>
          <w:lang w:eastAsia="zh-CN"/>
        </w:rPr>
      </w:pPr>
      <w:r>
        <w:rPr>
          <w:rFonts w:hint="eastAsia" w:ascii="仿宋" w:hAnsi="仿宋" w:eastAsia="仿宋" w:cs="仿宋"/>
          <w:color w:val="auto"/>
          <w:sz w:val="28"/>
          <w:szCs w:val="28"/>
        </w:rPr>
        <w:t>采 购 人：</w:t>
      </w:r>
      <w:r>
        <w:rPr>
          <w:rFonts w:hint="eastAsia" w:ascii="仿宋" w:hAnsi="仿宋" w:eastAsia="仿宋" w:cs="仿宋"/>
          <w:color w:val="auto"/>
          <w:sz w:val="28"/>
          <w:szCs w:val="28"/>
          <w:u w:val="single"/>
          <w:lang w:eastAsia="zh-CN"/>
        </w:rPr>
        <w:t>克孜勒苏柯尔克孜自治州自然资源局</w:t>
      </w:r>
    </w:p>
    <w:p>
      <w:pPr>
        <w:spacing w:line="600" w:lineRule="exact"/>
        <w:ind w:firstLine="837" w:firstLineChars="299"/>
        <w:rPr>
          <w:rFonts w:ascii="仿宋" w:hAnsi="仿宋" w:eastAsia="仿宋" w:cs="仿宋"/>
          <w:color w:val="auto"/>
          <w:sz w:val="28"/>
          <w:szCs w:val="28"/>
        </w:rPr>
      </w:pPr>
      <w:r>
        <w:rPr>
          <w:rFonts w:hint="eastAsia" w:ascii="仿宋" w:hAnsi="仿宋" w:eastAsia="仿宋" w:cs="仿宋"/>
          <w:color w:val="auto"/>
          <w:sz w:val="28"/>
          <w:szCs w:val="28"/>
        </w:rPr>
        <w:t>采购机构：</w:t>
      </w:r>
      <w:r>
        <w:rPr>
          <w:rFonts w:hint="eastAsia" w:ascii="仿宋" w:hAnsi="仿宋" w:eastAsia="仿宋" w:cs="仿宋"/>
          <w:color w:val="auto"/>
          <w:sz w:val="28"/>
          <w:szCs w:val="28"/>
          <w:u w:val="single"/>
        </w:rPr>
        <w:t>新疆国源土地矿产资源交易中心（有限公司）</w:t>
      </w:r>
      <w:r>
        <w:rPr>
          <w:rFonts w:hint="eastAsia" w:ascii="仿宋" w:hAnsi="仿宋" w:eastAsia="仿宋" w:cs="仿宋"/>
          <w:color w:val="auto"/>
          <w:sz w:val="28"/>
          <w:szCs w:val="28"/>
        </w:rPr>
        <w:t xml:space="preserve"> </w:t>
      </w:r>
    </w:p>
    <w:p>
      <w:pPr>
        <w:spacing w:line="600" w:lineRule="exact"/>
        <w:ind w:firstLine="837" w:firstLineChars="299"/>
        <w:rPr>
          <w:rFonts w:ascii="仿宋" w:hAnsi="仿宋" w:eastAsia="仿宋" w:cs="仿宋"/>
          <w:color w:val="auto"/>
          <w:sz w:val="28"/>
          <w:szCs w:val="28"/>
          <w:u w:val="single"/>
        </w:rPr>
      </w:pPr>
      <w:r>
        <w:rPr>
          <w:rFonts w:hint="eastAsia" w:ascii="仿宋" w:hAnsi="仿宋" w:eastAsia="仿宋" w:cs="仿宋"/>
          <w:color w:val="auto"/>
          <w:sz w:val="28"/>
          <w:szCs w:val="28"/>
        </w:rPr>
        <w:t>发出日期：</w:t>
      </w:r>
      <w:r>
        <w:rPr>
          <w:rFonts w:hint="eastAsia" w:ascii="仿宋" w:hAnsi="仿宋" w:eastAsia="仿宋" w:cs="仿宋"/>
          <w:color w:val="auto"/>
          <w:sz w:val="28"/>
          <w:szCs w:val="28"/>
          <w:u w:val="single"/>
        </w:rPr>
        <w:t>2023年2月</w:t>
      </w:r>
    </w:p>
    <w:p>
      <w:pPr>
        <w:spacing w:before="0" w:beforeLines="0" w:after="0" w:afterLines="0" w:line="240" w:lineRule="auto"/>
        <w:ind w:left="0" w:leftChars="0" w:right="0" w:rightChars="0" w:firstLine="0" w:firstLineChars="0"/>
        <w:jc w:val="center"/>
        <w:rPr>
          <w:rFonts w:hint="eastAsia" w:ascii="仿宋" w:hAnsi="仿宋" w:eastAsia="仿宋" w:cs="仿宋"/>
          <w:b/>
          <w:bCs/>
          <w:color w:val="auto"/>
          <w:kern w:val="2"/>
          <w:sz w:val="32"/>
          <w:szCs w:val="32"/>
          <w:lang w:val="en-US" w:eastAsia="zh-CN" w:bidi="ar-SA"/>
        </w:rPr>
        <w:sectPr>
          <w:headerReference r:id="rId3" w:type="default"/>
          <w:headerReference r:id="rId4" w:type="even"/>
          <w:footerReference r:id="rId5" w:type="even"/>
          <w:pgSz w:w="11906" w:h="16838"/>
          <w:pgMar w:top="1440" w:right="1797" w:bottom="1318" w:left="1797" w:header="851" w:footer="992" w:gutter="0"/>
          <w:pgBorders>
            <w:top w:val="none" w:sz="0" w:space="0"/>
            <w:left w:val="none" w:sz="0" w:space="0"/>
            <w:bottom w:val="none" w:sz="0" w:space="0"/>
            <w:right w:val="none" w:sz="0" w:space="0"/>
          </w:pgBorders>
          <w:pgNumType w:start="1"/>
          <w:cols w:space="720" w:num="1"/>
          <w:docGrid w:linePitch="312" w:charSpace="0"/>
        </w:sectPr>
      </w:pPr>
      <w:bookmarkStart w:id="4" w:name="_Toc507399902"/>
      <w:bookmarkStart w:id="5" w:name="_Toc216582822"/>
      <w:bookmarkStart w:id="6" w:name="_Toc218935350"/>
      <w:bookmarkStart w:id="7" w:name="_Toc219175634"/>
      <w:bookmarkStart w:id="8" w:name="_Toc518923124"/>
      <w:bookmarkStart w:id="9" w:name="_Toc8251"/>
    </w:p>
    <w:sdt>
      <w:sdtPr>
        <w:rPr>
          <w:rFonts w:hint="eastAsia" w:ascii="仿宋" w:hAnsi="仿宋" w:eastAsia="仿宋" w:cs="仿宋"/>
          <w:b/>
          <w:bCs/>
          <w:color w:val="auto"/>
          <w:kern w:val="2"/>
          <w:sz w:val="32"/>
          <w:szCs w:val="32"/>
          <w:lang w:val="en-US" w:eastAsia="zh-CN" w:bidi="ar-SA"/>
        </w:rPr>
        <w:id w:val="147461277"/>
        <w15:color w:val="DBDBDB"/>
        <w:docPartObj>
          <w:docPartGallery w:val="Table of Contents"/>
          <w:docPartUnique/>
        </w:docPartObj>
      </w:sdtPr>
      <w:sdtEndPr>
        <w:rPr>
          <w:rFonts w:hint="eastAsia" w:ascii="仿宋" w:hAnsi="仿宋" w:eastAsia="仿宋" w:cs="仿宋"/>
          <w:b/>
          <w:bCs/>
          <w:color w:val="auto"/>
          <w:kern w:val="0"/>
          <w:sz w:val="21"/>
          <w:szCs w:val="21"/>
          <w:lang w:val="en-US" w:eastAsia="zh-CN" w:bidi="ar-SA"/>
        </w:rPr>
      </w:sdtEndPr>
      <w:sdtContent>
        <w:p>
          <w:pPr>
            <w:spacing w:before="0" w:beforeLines="0" w:after="0" w:afterLines="0" w:line="240" w:lineRule="auto"/>
            <w:ind w:left="0" w:leftChars="0" w:right="0" w:rightChars="0" w:firstLine="0" w:firstLineChars="0"/>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目录</w:t>
          </w:r>
        </w:p>
        <w:p>
          <w:pPr>
            <w:pStyle w:val="76"/>
            <w:keepNext w:val="0"/>
            <w:keepLines w:val="0"/>
            <w:pageBreakBefore w:val="0"/>
            <w:tabs>
              <w:tab w:val="right" w:leader="dot" w:pos="8312"/>
            </w:tabs>
            <w:kinsoku/>
            <w:wordWrap/>
            <w:overflowPunct/>
            <w:topLinePunct w:val="0"/>
            <w:autoSpaceDE/>
            <w:autoSpaceDN/>
            <w:bidi w:val="0"/>
            <w:adjustRightInd/>
            <w:snapToGrid/>
            <w:spacing w:line="220" w:lineRule="atLeast"/>
            <w:textAlignment w:val="auto"/>
            <w:rPr>
              <w:rFonts w:hint="eastAsia" w:ascii="仿宋" w:hAnsi="仿宋" w:eastAsia="仿宋" w:cs="仿宋"/>
              <w:b/>
              <w:color w:val="auto"/>
              <w:sz w:val="24"/>
              <w:szCs w:val="24"/>
            </w:rPr>
          </w:pPr>
          <w:r>
            <w:rPr>
              <w:rFonts w:hint="eastAsia" w:ascii="仿宋" w:hAnsi="仿宋" w:eastAsia="仿宋" w:cs="仿宋"/>
              <w:color w:val="auto"/>
              <w:kern w:val="0"/>
              <w:sz w:val="24"/>
              <w:szCs w:val="24"/>
            </w:rPr>
            <w:fldChar w:fldCharType="begin"/>
          </w:r>
          <w:r>
            <w:rPr>
              <w:rFonts w:hint="eastAsia" w:ascii="仿宋" w:hAnsi="仿宋" w:eastAsia="仿宋" w:cs="仿宋"/>
              <w:color w:val="auto"/>
              <w:kern w:val="0"/>
              <w:sz w:val="24"/>
              <w:szCs w:val="24"/>
            </w:rPr>
            <w:instrText xml:space="preserve">TOC \o "1-2" \h \u </w:instrText>
          </w:r>
          <w:r>
            <w:rPr>
              <w:rFonts w:hint="eastAsia" w:ascii="仿宋" w:hAnsi="仿宋" w:eastAsia="仿宋" w:cs="仿宋"/>
              <w:color w:val="auto"/>
              <w:kern w:val="0"/>
              <w:sz w:val="24"/>
              <w:szCs w:val="24"/>
            </w:rPr>
            <w:fldChar w:fldCharType="separate"/>
          </w:r>
        </w:p>
        <w:p>
          <w:pPr>
            <w:pStyle w:val="76"/>
            <w:keepNext w:val="0"/>
            <w:keepLines w:val="0"/>
            <w:pageBreakBefore w:val="0"/>
            <w:tabs>
              <w:tab w:val="right" w:leader="dot" w:pos="8312"/>
            </w:tabs>
            <w:kinsoku/>
            <w:wordWrap/>
            <w:overflowPunct/>
            <w:topLinePunct w:val="0"/>
            <w:autoSpaceDE/>
            <w:autoSpaceDN/>
            <w:bidi w:val="0"/>
            <w:adjustRightInd/>
            <w:snapToGrid/>
            <w:spacing w:line="220" w:lineRule="atLeast"/>
            <w:textAlignment w:val="auto"/>
            <w:rPr>
              <w:rFonts w:hint="eastAsia" w:ascii="仿宋" w:hAnsi="仿宋" w:eastAsia="仿宋" w:cs="仿宋"/>
              <w:b/>
              <w:color w:val="auto"/>
              <w:sz w:val="28"/>
              <w:szCs w:val="28"/>
            </w:rPr>
          </w:pPr>
          <w:r>
            <w:rPr>
              <w:rFonts w:hint="eastAsia" w:ascii="仿宋" w:hAnsi="仿宋" w:eastAsia="仿宋" w:cs="仿宋"/>
              <w:b/>
              <w:color w:val="auto"/>
              <w:kern w:val="0"/>
              <w:sz w:val="28"/>
              <w:szCs w:val="28"/>
            </w:rPr>
            <w:fldChar w:fldCharType="begin"/>
          </w:r>
          <w:r>
            <w:rPr>
              <w:rFonts w:hint="eastAsia" w:ascii="仿宋" w:hAnsi="仿宋" w:eastAsia="仿宋" w:cs="仿宋"/>
              <w:b/>
              <w:color w:val="auto"/>
              <w:kern w:val="0"/>
              <w:sz w:val="28"/>
              <w:szCs w:val="28"/>
            </w:rPr>
            <w:instrText xml:space="preserve"> HYPERLINK \l _Toc13413 </w:instrText>
          </w:r>
          <w:r>
            <w:rPr>
              <w:rFonts w:hint="eastAsia" w:ascii="仿宋" w:hAnsi="仿宋" w:eastAsia="仿宋" w:cs="仿宋"/>
              <w:b/>
              <w:color w:val="auto"/>
              <w:kern w:val="0"/>
              <w:sz w:val="28"/>
              <w:szCs w:val="28"/>
            </w:rPr>
            <w:fldChar w:fldCharType="separate"/>
          </w:r>
          <w:r>
            <w:rPr>
              <w:rFonts w:hint="eastAsia" w:ascii="仿宋" w:hAnsi="仿宋" w:eastAsia="仿宋" w:cs="仿宋"/>
              <w:b/>
              <w:color w:val="auto"/>
              <w:kern w:val="44"/>
              <w:sz w:val="28"/>
              <w:szCs w:val="28"/>
            </w:rPr>
            <w:t>第</w:t>
          </w:r>
          <w:r>
            <w:rPr>
              <w:rFonts w:hint="eastAsia" w:ascii="仿宋" w:hAnsi="仿宋" w:eastAsia="仿宋" w:cs="仿宋"/>
              <w:b/>
              <w:color w:val="auto"/>
              <w:kern w:val="44"/>
              <w:sz w:val="28"/>
              <w:szCs w:val="28"/>
              <w:lang w:val="en-US" w:eastAsia="zh-CN"/>
            </w:rPr>
            <w:t>1</w:t>
          </w:r>
          <w:r>
            <w:rPr>
              <w:rFonts w:hint="eastAsia" w:ascii="仿宋" w:hAnsi="仿宋" w:eastAsia="仿宋" w:cs="仿宋"/>
              <w:b/>
              <w:color w:val="auto"/>
              <w:kern w:val="44"/>
              <w:sz w:val="28"/>
              <w:szCs w:val="28"/>
            </w:rPr>
            <w:t>章  招标公告</w:t>
          </w:r>
          <w:r>
            <w:rPr>
              <w:rFonts w:hint="eastAsia" w:ascii="仿宋" w:hAnsi="仿宋" w:eastAsia="仿宋" w:cs="仿宋"/>
              <w:b/>
              <w:color w:val="auto"/>
              <w:sz w:val="28"/>
              <w:szCs w:val="28"/>
            </w:rPr>
            <w:tab/>
          </w:r>
          <w:r>
            <w:rPr>
              <w:rFonts w:hint="eastAsia" w:ascii="仿宋" w:hAnsi="仿宋" w:eastAsia="仿宋" w:cs="仿宋"/>
              <w:b/>
              <w:color w:val="auto"/>
              <w:sz w:val="28"/>
              <w:szCs w:val="28"/>
            </w:rPr>
            <w:fldChar w:fldCharType="begin"/>
          </w:r>
          <w:r>
            <w:rPr>
              <w:rFonts w:hint="eastAsia" w:ascii="仿宋" w:hAnsi="仿宋" w:eastAsia="仿宋" w:cs="仿宋"/>
              <w:b/>
              <w:color w:val="auto"/>
              <w:sz w:val="28"/>
              <w:szCs w:val="28"/>
            </w:rPr>
            <w:instrText xml:space="preserve"> PAGEREF _Toc13413 \h </w:instrText>
          </w:r>
          <w:r>
            <w:rPr>
              <w:rFonts w:hint="eastAsia" w:ascii="仿宋" w:hAnsi="仿宋" w:eastAsia="仿宋" w:cs="仿宋"/>
              <w:b/>
              <w:color w:val="auto"/>
              <w:sz w:val="28"/>
              <w:szCs w:val="28"/>
            </w:rPr>
            <w:fldChar w:fldCharType="separate"/>
          </w:r>
          <w:r>
            <w:rPr>
              <w:rFonts w:hint="eastAsia" w:ascii="仿宋" w:hAnsi="仿宋" w:eastAsia="仿宋" w:cs="仿宋"/>
              <w:b/>
              <w:color w:val="auto"/>
              <w:sz w:val="28"/>
              <w:szCs w:val="28"/>
            </w:rPr>
            <w:t>1</w:t>
          </w:r>
          <w:r>
            <w:rPr>
              <w:rFonts w:hint="eastAsia" w:ascii="仿宋" w:hAnsi="仿宋" w:eastAsia="仿宋" w:cs="仿宋"/>
              <w:b/>
              <w:color w:val="auto"/>
              <w:sz w:val="28"/>
              <w:szCs w:val="28"/>
            </w:rPr>
            <w:fldChar w:fldCharType="end"/>
          </w:r>
          <w:r>
            <w:rPr>
              <w:rFonts w:hint="eastAsia" w:ascii="仿宋" w:hAnsi="仿宋" w:eastAsia="仿宋" w:cs="仿宋"/>
              <w:b/>
              <w:color w:val="auto"/>
              <w:kern w:val="0"/>
              <w:sz w:val="28"/>
              <w:szCs w:val="28"/>
            </w:rPr>
            <w:fldChar w:fldCharType="end"/>
          </w:r>
        </w:p>
        <w:p>
          <w:pPr>
            <w:pStyle w:val="76"/>
            <w:keepNext w:val="0"/>
            <w:keepLines w:val="0"/>
            <w:pageBreakBefore w:val="0"/>
            <w:tabs>
              <w:tab w:val="right" w:leader="dot" w:pos="8312"/>
            </w:tabs>
            <w:kinsoku/>
            <w:wordWrap/>
            <w:overflowPunct/>
            <w:topLinePunct w:val="0"/>
            <w:autoSpaceDE/>
            <w:autoSpaceDN/>
            <w:bidi w:val="0"/>
            <w:adjustRightInd/>
            <w:snapToGrid/>
            <w:spacing w:line="220" w:lineRule="atLeast"/>
            <w:textAlignment w:val="auto"/>
            <w:rPr>
              <w:rFonts w:hint="eastAsia" w:ascii="仿宋" w:hAnsi="仿宋" w:eastAsia="仿宋" w:cs="仿宋"/>
              <w:b/>
              <w:color w:val="auto"/>
              <w:sz w:val="28"/>
              <w:szCs w:val="28"/>
            </w:rPr>
          </w:pPr>
          <w:r>
            <w:rPr>
              <w:rFonts w:hint="eastAsia" w:ascii="仿宋" w:hAnsi="仿宋" w:eastAsia="仿宋" w:cs="仿宋"/>
              <w:b/>
              <w:color w:val="auto"/>
              <w:kern w:val="0"/>
              <w:sz w:val="28"/>
              <w:szCs w:val="28"/>
            </w:rPr>
            <w:fldChar w:fldCharType="begin"/>
          </w:r>
          <w:r>
            <w:rPr>
              <w:rFonts w:hint="eastAsia" w:ascii="仿宋" w:hAnsi="仿宋" w:eastAsia="仿宋" w:cs="仿宋"/>
              <w:b/>
              <w:color w:val="auto"/>
              <w:kern w:val="0"/>
              <w:sz w:val="28"/>
              <w:szCs w:val="28"/>
            </w:rPr>
            <w:instrText xml:space="preserve"> HYPERLINK \l _Toc19797 </w:instrText>
          </w:r>
          <w:r>
            <w:rPr>
              <w:rFonts w:hint="eastAsia" w:ascii="仿宋" w:hAnsi="仿宋" w:eastAsia="仿宋" w:cs="仿宋"/>
              <w:b/>
              <w:color w:val="auto"/>
              <w:kern w:val="0"/>
              <w:sz w:val="28"/>
              <w:szCs w:val="28"/>
            </w:rPr>
            <w:fldChar w:fldCharType="separate"/>
          </w:r>
          <w:r>
            <w:rPr>
              <w:rFonts w:hint="eastAsia" w:ascii="仿宋" w:hAnsi="仿宋" w:eastAsia="仿宋" w:cs="仿宋"/>
              <w:b/>
              <w:color w:val="auto"/>
              <w:sz w:val="28"/>
              <w:szCs w:val="28"/>
            </w:rPr>
            <w:t>第</w:t>
          </w:r>
          <w:r>
            <w:rPr>
              <w:rFonts w:hint="eastAsia" w:ascii="仿宋" w:hAnsi="仿宋" w:eastAsia="仿宋" w:cs="仿宋"/>
              <w:b/>
              <w:color w:val="auto"/>
              <w:sz w:val="28"/>
              <w:szCs w:val="28"/>
              <w:lang w:val="en-US" w:eastAsia="zh-CN"/>
            </w:rPr>
            <w:t>2</w:t>
          </w:r>
          <w:r>
            <w:rPr>
              <w:rFonts w:hint="eastAsia" w:ascii="仿宋" w:hAnsi="仿宋" w:eastAsia="仿宋" w:cs="仿宋"/>
              <w:b/>
              <w:color w:val="auto"/>
              <w:sz w:val="28"/>
              <w:szCs w:val="28"/>
            </w:rPr>
            <w:t>章  供应商须知资料表</w:t>
          </w:r>
          <w:r>
            <w:rPr>
              <w:rFonts w:hint="eastAsia" w:ascii="仿宋" w:hAnsi="仿宋" w:eastAsia="仿宋" w:cs="仿宋"/>
              <w:b/>
              <w:color w:val="auto"/>
              <w:sz w:val="28"/>
              <w:szCs w:val="28"/>
            </w:rPr>
            <w:tab/>
          </w:r>
          <w:r>
            <w:rPr>
              <w:rFonts w:hint="eastAsia" w:ascii="仿宋" w:hAnsi="仿宋" w:eastAsia="仿宋" w:cs="仿宋"/>
              <w:b/>
              <w:color w:val="auto"/>
              <w:sz w:val="28"/>
              <w:szCs w:val="28"/>
            </w:rPr>
            <w:fldChar w:fldCharType="begin"/>
          </w:r>
          <w:r>
            <w:rPr>
              <w:rFonts w:hint="eastAsia" w:ascii="仿宋" w:hAnsi="仿宋" w:eastAsia="仿宋" w:cs="仿宋"/>
              <w:b/>
              <w:color w:val="auto"/>
              <w:sz w:val="28"/>
              <w:szCs w:val="28"/>
            </w:rPr>
            <w:instrText xml:space="preserve"> PAGEREF _Toc19797 \h </w:instrText>
          </w:r>
          <w:r>
            <w:rPr>
              <w:rFonts w:hint="eastAsia" w:ascii="仿宋" w:hAnsi="仿宋" w:eastAsia="仿宋" w:cs="仿宋"/>
              <w:b/>
              <w:color w:val="auto"/>
              <w:sz w:val="28"/>
              <w:szCs w:val="28"/>
            </w:rPr>
            <w:fldChar w:fldCharType="separate"/>
          </w:r>
          <w:r>
            <w:rPr>
              <w:rFonts w:hint="eastAsia" w:ascii="仿宋" w:hAnsi="仿宋" w:eastAsia="仿宋" w:cs="仿宋"/>
              <w:b/>
              <w:color w:val="auto"/>
              <w:sz w:val="28"/>
              <w:szCs w:val="28"/>
            </w:rPr>
            <w:t>4</w:t>
          </w:r>
          <w:r>
            <w:rPr>
              <w:rFonts w:hint="eastAsia" w:ascii="仿宋" w:hAnsi="仿宋" w:eastAsia="仿宋" w:cs="仿宋"/>
              <w:b/>
              <w:color w:val="auto"/>
              <w:sz w:val="28"/>
              <w:szCs w:val="28"/>
            </w:rPr>
            <w:fldChar w:fldCharType="end"/>
          </w:r>
          <w:r>
            <w:rPr>
              <w:rFonts w:hint="eastAsia" w:ascii="仿宋" w:hAnsi="仿宋" w:eastAsia="仿宋" w:cs="仿宋"/>
              <w:b/>
              <w:color w:val="auto"/>
              <w:kern w:val="0"/>
              <w:sz w:val="28"/>
              <w:szCs w:val="28"/>
            </w:rPr>
            <w:fldChar w:fldCharType="end"/>
          </w:r>
        </w:p>
        <w:p>
          <w:pPr>
            <w:pStyle w:val="76"/>
            <w:keepNext w:val="0"/>
            <w:keepLines w:val="0"/>
            <w:pageBreakBefore w:val="0"/>
            <w:tabs>
              <w:tab w:val="right" w:leader="dot" w:pos="8312"/>
            </w:tabs>
            <w:kinsoku/>
            <w:wordWrap/>
            <w:overflowPunct/>
            <w:topLinePunct w:val="0"/>
            <w:autoSpaceDE/>
            <w:autoSpaceDN/>
            <w:bidi w:val="0"/>
            <w:adjustRightInd/>
            <w:snapToGrid/>
            <w:spacing w:line="220" w:lineRule="atLeast"/>
            <w:textAlignment w:val="auto"/>
            <w:rPr>
              <w:rFonts w:hint="eastAsia" w:ascii="仿宋" w:hAnsi="仿宋" w:eastAsia="仿宋" w:cs="仿宋"/>
              <w:b/>
              <w:color w:val="auto"/>
              <w:sz w:val="28"/>
              <w:szCs w:val="28"/>
            </w:rPr>
          </w:pPr>
          <w:r>
            <w:rPr>
              <w:rFonts w:hint="eastAsia" w:ascii="仿宋" w:hAnsi="仿宋" w:eastAsia="仿宋" w:cs="仿宋"/>
              <w:b/>
              <w:color w:val="auto"/>
              <w:kern w:val="0"/>
              <w:sz w:val="28"/>
              <w:szCs w:val="28"/>
            </w:rPr>
            <w:fldChar w:fldCharType="begin"/>
          </w:r>
          <w:r>
            <w:rPr>
              <w:rFonts w:hint="eastAsia" w:ascii="仿宋" w:hAnsi="仿宋" w:eastAsia="仿宋" w:cs="仿宋"/>
              <w:b/>
              <w:color w:val="auto"/>
              <w:kern w:val="0"/>
              <w:sz w:val="28"/>
              <w:szCs w:val="28"/>
            </w:rPr>
            <w:instrText xml:space="preserve"> HYPERLINK \l _Toc18934 </w:instrText>
          </w:r>
          <w:r>
            <w:rPr>
              <w:rFonts w:hint="eastAsia" w:ascii="仿宋" w:hAnsi="仿宋" w:eastAsia="仿宋" w:cs="仿宋"/>
              <w:b/>
              <w:color w:val="auto"/>
              <w:kern w:val="0"/>
              <w:sz w:val="28"/>
              <w:szCs w:val="28"/>
            </w:rPr>
            <w:fldChar w:fldCharType="separate"/>
          </w:r>
          <w:r>
            <w:rPr>
              <w:rFonts w:hint="eastAsia" w:ascii="仿宋" w:hAnsi="仿宋" w:eastAsia="仿宋" w:cs="仿宋"/>
              <w:b/>
              <w:color w:val="auto"/>
              <w:sz w:val="28"/>
              <w:szCs w:val="28"/>
            </w:rPr>
            <w:t>第</w:t>
          </w:r>
          <w:r>
            <w:rPr>
              <w:rFonts w:hint="eastAsia" w:ascii="仿宋" w:hAnsi="仿宋" w:eastAsia="仿宋" w:cs="仿宋"/>
              <w:b/>
              <w:color w:val="auto"/>
              <w:sz w:val="28"/>
              <w:szCs w:val="28"/>
              <w:lang w:val="en-US" w:eastAsia="zh-CN"/>
            </w:rPr>
            <w:t>3</w:t>
          </w:r>
          <w:r>
            <w:rPr>
              <w:rFonts w:hint="eastAsia" w:ascii="仿宋" w:hAnsi="仿宋" w:eastAsia="仿宋" w:cs="仿宋"/>
              <w:b/>
              <w:color w:val="auto"/>
              <w:sz w:val="28"/>
              <w:szCs w:val="28"/>
            </w:rPr>
            <w:t>章 供应商须知</w:t>
          </w:r>
          <w:r>
            <w:rPr>
              <w:rFonts w:hint="eastAsia" w:ascii="仿宋" w:hAnsi="仿宋" w:eastAsia="仿宋" w:cs="仿宋"/>
              <w:b/>
              <w:color w:val="auto"/>
              <w:sz w:val="28"/>
              <w:szCs w:val="28"/>
            </w:rPr>
            <w:tab/>
          </w:r>
          <w:r>
            <w:rPr>
              <w:rFonts w:hint="eastAsia" w:ascii="仿宋" w:hAnsi="仿宋" w:eastAsia="仿宋" w:cs="仿宋"/>
              <w:b/>
              <w:color w:val="auto"/>
              <w:sz w:val="28"/>
              <w:szCs w:val="28"/>
            </w:rPr>
            <w:fldChar w:fldCharType="begin"/>
          </w:r>
          <w:r>
            <w:rPr>
              <w:rFonts w:hint="eastAsia" w:ascii="仿宋" w:hAnsi="仿宋" w:eastAsia="仿宋" w:cs="仿宋"/>
              <w:b/>
              <w:color w:val="auto"/>
              <w:sz w:val="28"/>
              <w:szCs w:val="28"/>
            </w:rPr>
            <w:instrText xml:space="preserve"> PAGEREF _Toc18934 \h </w:instrText>
          </w:r>
          <w:r>
            <w:rPr>
              <w:rFonts w:hint="eastAsia" w:ascii="仿宋" w:hAnsi="仿宋" w:eastAsia="仿宋" w:cs="仿宋"/>
              <w:b/>
              <w:color w:val="auto"/>
              <w:sz w:val="28"/>
              <w:szCs w:val="28"/>
            </w:rPr>
            <w:fldChar w:fldCharType="separate"/>
          </w:r>
          <w:r>
            <w:rPr>
              <w:rFonts w:hint="eastAsia" w:ascii="仿宋" w:hAnsi="仿宋" w:eastAsia="仿宋" w:cs="仿宋"/>
              <w:b/>
              <w:color w:val="auto"/>
              <w:sz w:val="28"/>
              <w:szCs w:val="28"/>
            </w:rPr>
            <w:t>8</w:t>
          </w:r>
          <w:r>
            <w:rPr>
              <w:rFonts w:hint="eastAsia" w:ascii="仿宋" w:hAnsi="仿宋" w:eastAsia="仿宋" w:cs="仿宋"/>
              <w:b/>
              <w:color w:val="auto"/>
              <w:sz w:val="28"/>
              <w:szCs w:val="28"/>
            </w:rPr>
            <w:fldChar w:fldCharType="end"/>
          </w:r>
          <w:r>
            <w:rPr>
              <w:rFonts w:hint="eastAsia" w:ascii="仿宋" w:hAnsi="仿宋" w:eastAsia="仿宋" w:cs="仿宋"/>
              <w:b/>
              <w:color w:val="auto"/>
              <w:kern w:val="0"/>
              <w:sz w:val="28"/>
              <w:szCs w:val="28"/>
            </w:rPr>
            <w:fldChar w:fldCharType="end"/>
          </w:r>
        </w:p>
        <w:p>
          <w:pPr>
            <w:pStyle w:val="77"/>
            <w:keepNext w:val="0"/>
            <w:keepLines w:val="0"/>
            <w:pageBreakBefore w:val="0"/>
            <w:tabs>
              <w:tab w:val="right" w:leader="dot" w:pos="8312"/>
            </w:tabs>
            <w:kinsoku/>
            <w:wordWrap/>
            <w:overflowPunct/>
            <w:topLinePunct w:val="0"/>
            <w:autoSpaceDE/>
            <w:autoSpaceDN/>
            <w:bidi w:val="0"/>
            <w:adjustRightInd/>
            <w:snapToGrid/>
            <w:spacing w:line="220" w:lineRule="atLeas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rPr>
            <w:fldChar w:fldCharType="begin"/>
          </w:r>
          <w:r>
            <w:rPr>
              <w:rFonts w:hint="eastAsia" w:ascii="仿宋" w:hAnsi="仿宋" w:eastAsia="仿宋" w:cs="仿宋"/>
              <w:color w:val="auto"/>
              <w:kern w:val="0"/>
              <w:sz w:val="28"/>
              <w:szCs w:val="28"/>
            </w:rPr>
            <w:instrText xml:space="preserve"> HYPERLINK \l _Toc7381 </w:instrText>
          </w:r>
          <w:r>
            <w:rPr>
              <w:rFonts w:hint="eastAsia" w:ascii="仿宋" w:hAnsi="仿宋" w:eastAsia="仿宋" w:cs="仿宋"/>
              <w:color w:val="auto"/>
              <w:kern w:val="0"/>
              <w:sz w:val="28"/>
              <w:szCs w:val="28"/>
            </w:rPr>
            <w:fldChar w:fldCharType="separate"/>
          </w:r>
          <w:r>
            <w:rPr>
              <w:rFonts w:hint="eastAsia" w:ascii="仿宋" w:hAnsi="仿宋" w:eastAsia="仿宋" w:cs="仿宋"/>
              <w:color w:val="auto"/>
              <w:sz w:val="28"/>
              <w:szCs w:val="28"/>
            </w:rPr>
            <w:t>一   总  则</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_Toc7381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8</w:t>
          </w:r>
          <w:r>
            <w:rPr>
              <w:rFonts w:hint="eastAsia" w:ascii="仿宋" w:hAnsi="仿宋" w:eastAsia="仿宋" w:cs="仿宋"/>
              <w:color w:val="auto"/>
              <w:sz w:val="28"/>
              <w:szCs w:val="28"/>
            </w:rPr>
            <w:fldChar w:fldCharType="end"/>
          </w:r>
          <w:r>
            <w:rPr>
              <w:rFonts w:hint="eastAsia" w:ascii="仿宋" w:hAnsi="仿宋" w:eastAsia="仿宋" w:cs="仿宋"/>
              <w:color w:val="auto"/>
              <w:kern w:val="0"/>
              <w:sz w:val="28"/>
              <w:szCs w:val="28"/>
            </w:rPr>
            <w:fldChar w:fldCharType="end"/>
          </w:r>
        </w:p>
        <w:p>
          <w:pPr>
            <w:pStyle w:val="77"/>
            <w:keepNext w:val="0"/>
            <w:keepLines w:val="0"/>
            <w:pageBreakBefore w:val="0"/>
            <w:tabs>
              <w:tab w:val="right" w:leader="dot" w:pos="8312"/>
            </w:tabs>
            <w:kinsoku/>
            <w:wordWrap/>
            <w:overflowPunct/>
            <w:topLinePunct w:val="0"/>
            <w:autoSpaceDE/>
            <w:autoSpaceDN/>
            <w:bidi w:val="0"/>
            <w:adjustRightInd/>
            <w:snapToGrid/>
            <w:spacing w:line="220" w:lineRule="atLeas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rPr>
            <w:fldChar w:fldCharType="begin"/>
          </w:r>
          <w:r>
            <w:rPr>
              <w:rFonts w:hint="eastAsia" w:ascii="仿宋" w:hAnsi="仿宋" w:eastAsia="仿宋" w:cs="仿宋"/>
              <w:color w:val="auto"/>
              <w:kern w:val="0"/>
              <w:sz w:val="28"/>
              <w:szCs w:val="28"/>
            </w:rPr>
            <w:instrText xml:space="preserve"> HYPERLINK \l _Toc23252 </w:instrText>
          </w:r>
          <w:r>
            <w:rPr>
              <w:rFonts w:hint="eastAsia" w:ascii="仿宋" w:hAnsi="仿宋" w:eastAsia="仿宋" w:cs="仿宋"/>
              <w:color w:val="auto"/>
              <w:kern w:val="0"/>
              <w:sz w:val="28"/>
              <w:szCs w:val="28"/>
            </w:rPr>
            <w:fldChar w:fldCharType="separate"/>
          </w:r>
          <w:r>
            <w:rPr>
              <w:rFonts w:hint="eastAsia" w:ascii="仿宋" w:hAnsi="仿宋" w:eastAsia="仿宋" w:cs="仿宋"/>
              <w:color w:val="auto"/>
              <w:sz w:val="28"/>
              <w:szCs w:val="28"/>
            </w:rPr>
            <w:t>二   采购文件</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_Toc23252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9</w:t>
          </w:r>
          <w:r>
            <w:rPr>
              <w:rFonts w:hint="eastAsia" w:ascii="仿宋" w:hAnsi="仿宋" w:eastAsia="仿宋" w:cs="仿宋"/>
              <w:color w:val="auto"/>
              <w:sz w:val="28"/>
              <w:szCs w:val="28"/>
            </w:rPr>
            <w:fldChar w:fldCharType="end"/>
          </w:r>
          <w:r>
            <w:rPr>
              <w:rFonts w:hint="eastAsia" w:ascii="仿宋" w:hAnsi="仿宋" w:eastAsia="仿宋" w:cs="仿宋"/>
              <w:color w:val="auto"/>
              <w:kern w:val="0"/>
              <w:sz w:val="28"/>
              <w:szCs w:val="28"/>
            </w:rPr>
            <w:fldChar w:fldCharType="end"/>
          </w:r>
        </w:p>
        <w:p>
          <w:pPr>
            <w:pStyle w:val="77"/>
            <w:keepNext w:val="0"/>
            <w:keepLines w:val="0"/>
            <w:pageBreakBefore w:val="0"/>
            <w:tabs>
              <w:tab w:val="right" w:leader="dot" w:pos="8312"/>
            </w:tabs>
            <w:kinsoku/>
            <w:wordWrap/>
            <w:overflowPunct/>
            <w:topLinePunct w:val="0"/>
            <w:autoSpaceDE/>
            <w:autoSpaceDN/>
            <w:bidi w:val="0"/>
            <w:adjustRightInd/>
            <w:snapToGrid/>
            <w:spacing w:line="220" w:lineRule="atLeas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rPr>
            <w:fldChar w:fldCharType="begin"/>
          </w:r>
          <w:r>
            <w:rPr>
              <w:rFonts w:hint="eastAsia" w:ascii="仿宋" w:hAnsi="仿宋" w:eastAsia="仿宋" w:cs="仿宋"/>
              <w:color w:val="auto"/>
              <w:kern w:val="0"/>
              <w:sz w:val="28"/>
              <w:szCs w:val="28"/>
            </w:rPr>
            <w:instrText xml:space="preserve"> HYPERLINK \l _Toc6762 </w:instrText>
          </w:r>
          <w:r>
            <w:rPr>
              <w:rFonts w:hint="eastAsia" w:ascii="仿宋" w:hAnsi="仿宋" w:eastAsia="仿宋" w:cs="仿宋"/>
              <w:color w:val="auto"/>
              <w:kern w:val="0"/>
              <w:sz w:val="28"/>
              <w:szCs w:val="28"/>
            </w:rPr>
            <w:fldChar w:fldCharType="separate"/>
          </w:r>
          <w:r>
            <w:rPr>
              <w:rFonts w:hint="eastAsia" w:ascii="仿宋" w:hAnsi="仿宋" w:eastAsia="仿宋" w:cs="仿宋"/>
              <w:color w:val="auto"/>
              <w:sz w:val="28"/>
              <w:szCs w:val="28"/>
            </w:rPr>
            <w:t>三   投标文件的编制</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_Toc6762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9</w:t>
          </w:r>
          <w:r>
            <w:rPr>
              <w:rFonts w:hint="eastAsia" w:ascii="仿宋" w:hAnsi="仿宋" w:eastAsia="仿宋" w:cs="仿宋"/>
              <w:color w:val="auto"/>
              <w:sz w:val="28"/>
              <w:szCs w:val="28"/>
            </w:rPr>
            <w:fldChar w:fldCharType="end"/>
          </w:r>
          <w:r>
            <w:rPr>
              <w:rFonts w:hint="eastAsia" w:ascii="仿宋" w:hAnsi="仿宋" w:eastAsia="仿宋" w:cs="仿宋"/>
              <w:color w:val="auto"/>
              <w:kern w:val="0"/>
              <w:sz w:val="28"/>
              <w:szCs w:val="28"/>
            </w:rPr>
            <w:fldChar w:fldCharType="end"/>
          </w:r>
        </w:p>
        <w:p>
          <w:pPr>
            <w:pStyle w:val="77"/>
            <w:keepNext w:val="0"/>
            <w:keepLines w:val="0"/>
            <w:pageBreakBefore w:val="0"/>
            <w:tabs>
              <w:tab w:val="right" w:leader="dot" w:pos="8312"/>
            </w:tabs>
            <w:kinsoku/>
            <w:wordWrap/>
            <w:overflowPunct/>
            <w:topLinePunct w:val="0"/>
            <w:autoSpaceDE/>
            <w:autoSpaceDN/>
            <w:bidi w:val="0"/>
            <w:adjustRightInd/>
            <w:snapToGrid/>
            <w:spacing w:line="220" w:lineRule="atLeas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rPr>
            <w:fldChar w:fldCharType="begin"/>
          </w:r>
          <w:r>
            <w:rPr>
              <w:rFonts w:hint="eastAsia" w:ascii="仿宋" w:hAnsi="仿宋" w:eastAsia="仿宋" w:cs="仿宋"/>
              <w:color w:val="auto"/>
              <w:kern w:val="0"/>
              <w:sz w:val="28"/>
              <w:szCs w:val="28"/>
            </w:rPr>
            <w:instrText xml:space="preserve"> HYPERLINK \l _Toc4706 </w:instrText>
          </w:r>
          <w:r>
            <w:rPr>
              <w:rFonts w:hint="eastAsia" w:ascii="仿宋" w:hAnsi="仿宋" w:eastAsia="仿宋" w:cs="仿宋"/>
              <w:color w:val="auto"/>
              <w:kern w:val="0"/>
              <w:sz w:val="28"/>
              <w:szCs w:val="28"/>
            </w:rPr>
            <w:fldChar w:fldCharType="separate"/>
          </w:r>
          <w:r>
            <w:rPr>
              <w:rFonts w:hint="eastAsia" w:ascii="仿宋" w:hAnsi="仿宋" w:eastAsia="仿宋" w:cs="仿宋"/>
              <w:color w:val="auto"/>
              <w:sz w:val="28"/>
              <w:szCs w:val="28"/>
            </w:rPr>
            <w:t>四   投标文件的递交</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_Toc4706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11</w:t>
          </w:r>
          <w:r>
            <w:rPr>
              <w:rFonts w:hint="eastAsia" w:ascii="仿宋" w:hAnsi="仿宋" w:eastAsia="仿宋" w:cs="仿宋"/>
              <w:color w:val="auto"/>
              <w:sz w:val="28"/>
              <w:szCs w:val="28"/>
            </w:rPr>
            <w:fldChar w:fldCharType="end"/>
          </w:r>
          <w:r>
            <w:rPr>
              <w:rFonts w:hint="eastAsia" w:ascii="仿宋" w:hAnsi="仿宋" w:eastAsia="仿宋" w:cs="仿宋"/>
              <w:color w:val="auto"/>
              <w:kern w:val="0"/>
              <w:sz w:val="28"/>
              <w:szCs w:val="28"/>
            </w:rPr>
            <w:fldChar w:fldCharType="end"/>
          </w:r>
        </w:p>
        <w:p>
          <w:pPr>
            <w:pStyle w:val="77"/>
            <w:keepNext w:val="0"/>
            <w:keepLines w:val="0"/>
            <w:pageBreakBefore w:val="0"/>
            <w:tabs>
              <w:tab w:val="right" w:leader="dot" w:pos="8312"/>
            </w:tabs>
            <w:kinsoku/>
            <w:wordWrap/>
            <w:overflowPunct/>
            <w:topLinePunct w:val="0"/>
            <w:autoSpaceDE/>
            <w:autoSpaceDN/>
            <w:bidi w:val="0"/>
            <w:adjustRightInd/>
            <w:snapToGrid/>
            <w:spacing w:line="220" w:lineRule="atLeas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rPr>
            <w:fldChar w:fldCharType="begin"/>
          </w:r>
          <w:r>
            <w:rPr>
              <w:rFonts w:hint="eastAsia" w:ascii="仿宋" w:hAnsi="仿宋" w:eastAsia="仿宋" w:cs="仿宋"/>
              <w:color w:val="auto"/>
              <w:kern w:val="0"/>
              <w:sz w:val="28"/>
              <w:szCs w:val="28"/>
            </w:rPr>
            <w:instrText xml:space="preserve"> HYPERLINK \l _Toc13158 </w:instrText>
          </w:r>
          <w:r>
            <w:rPr>
              <w:rFonts w:hint="eastAsia" w:ascii="仿宋" w:hAnsi="仿宋" w:eastAsia="仿宋" w:cs="仿宋"/>
              <w:color w:val="auto"/>
              <w:kern w:val="0"/>
              <w:sz w:val="28"/>
              <w:szCs w:val="28"/>
            </w:rPr>
            <w:fldChar w:fldCharType="separate"/>
          </w:r>
          <w:r>
            <w:rPr>
              <w:rFonts w:hint="eastAsia" w:ascii="仿宋" w:hAnsi="仿宋" w:eastAsia="仿宋" w:cs="仿宋"/>
              <w:color w:val="auto"/>
              <w:sz w:val="28"/>
              <w:szCs w:val="28"/>
            </w:rPr>
            <w:t>五   开标及评标</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_Toc13158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12</w:t>
          </w:r>
          <w:r>
            <w:rPr>
              <w:rFonts w:hint="eastAsia" w:ascii="仿宋" w:hAnsi="仿宋" w:eastAsia="仿宋" w:cs="仿宋"/>
              <w:color w:val="auto"/>
              <w:sz w:val="28"/>
              <w:szCs w:val="28"/>
            </w:rPr>
            <w:fldChar w:fldCharType="end"/>
          </w:r>
          <w:r>
            <w:rPr>
              <w:rFonts w:hint="eastAsia" w:ascii="仿宋" w:hAnsi="仿宋" w:eastAsia="仿宋" w:cs="仿宋"/>
              <w:color w:val="auto"/>
              <w:kern w:val="0"/>
              <w:sz w:val="28"/>
              <w:szCs w:val="28"/>
            </w:rPr>
            <w:fldChar w:fldCharType="end"/>
          </w:r>
        </w:p>
        <w:p>
          <w:pPr>
            <w:pStyle w:val="77"/>
            <w:keepNext w:val="0"/>
            <w:keepLines w:val="0"/>
            <w:pageBreakBefore w:val="0"/>
            <w:tabs>
              <w:tab w:val="right" w:leader="dot" w:pos="8312"/>
            </w:tabs>
            <w:kinsoku/>
            <w:wordWrap/>
            <w:overflowPunct/>
            <w:topLinePunct w:val="0"/>
            <w:autoSpaceDE/>
            <w:autoSpaceDN/>
            <w:bidi w:val="0"/>
            <w:adjustRightInd/>
            <w:snapToGrid/>
            <w:spacing w:line="220" w:lineRule="atLeas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rPr>
            <w:fldChar w:fldCharType="begin"/>
          </w:r>
          <w:r>
            <w:rPr>
              <w:rFonts w:hint="eastAsia" w:ascii="仿宋" w:hAnsi="仿宋" w:eastAsia="仿宋" w:cs="仿宋"/>
              <w:color w:val="auto"/>
              <w:kern w:val="0"/>
              <w:sz w:val="28"/>
              <w:szCs w:val="28"/>
            </w:rPr>
            <w:instrText xml:space="preserve"> HYPERLINK \l _Toc8947 </w:instrText>
          </w:r>
          <w:r>
            <w:rPr>
              <w:rFonts w:hint="eastAsia" w:ascii="仿宋" w:hAnsi="仿宋" w:eastAsia="仿宋" w:cs="仿宋"/>
              <w:color w:val="auto"/>
              <w:kern w:val="0"/>
              <w:sz w:val="28"/>
              <w:szCs w:val="28"/>
            </w:rPr>
            <w:fldChar w:fldCharType="separate"/>
          </w:r>
          <w:r>
            <w:rPr>
              <w:rFonts w:hint="eastAsia" w:ascii="仿宋" w:hAnsi="仿宋" w:eastAsia="仿宋" w:cs="仿宋"/>
              <w:color w:val="auto"/>
              <w:sz w:val="28"/>
              <w:szCs w:val="28"/>
            </w:rPr>
            <w:t>六   确定中标</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_Toc8947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14</w:t>
          </w:r>
          <w:r>
            <w:rPr>
              <w:rFonts w:hint="eastAsia" w:ascii="仿宋" w:hAnsi="仿宋" w:eastAsia="仿宋" w:cs="仿宋"/>
              <w:color w:val="auto"/>
              <w:sz w:val="28"/>
              <w:szCs w:val="28"/>
            </w:rPr>
            <w:fldChar w:fldCharType="end"/>
          </w:r>
          <w:r>
            <w:rPr>
              <w:rFonts w:hint="eastAsia" w:ascii="仿宋" w:hAnsi="仿宋" w:eastAsia="仿宋" w:cs="仿宋"/>
              <w:color w:val="auto"/>
              <w:kern w:val="0"/>
              <w:sz w:val="28"/>
              <w:szCs w:val="28"/>
            </w:rPr>
            <w:fldChar w:fldCharType="end"/>
          </w:r>
        </w:p>
        <w:p>
          <w:pPr>
            <w:pStyle w:val="76"/>
            <w:keepNext w:val="0"/>
            <w:keepLines w:val="0"/>
            <w:pageBreakBefore w:val="0"/>
            <w:tabs>
              <w:tab w:val="right" w:leader="dot" w:pos="8312"/>
            </w:tabs>
            <w:kinsoku/>
            <w:wordWrap/>
            <w:overflowPunct/>
            <w:topLinePunct w:val="0"/>
            <w:autoSpaceDE/>
            <w:autoSpaceDN/>
            <w:bidi w:val="0"/>
            <w:adjustRightInd/>
            <w:snapToGrid/>
            <w:spacing w:line="220" w:lineRule="atLeast"/>
            <w:textAlignment w:val="auto"/>
            <w:rPr>
              <w:rFonts w:hint="eastAsia" w:ascii="仿宋" w:hAnsi="仿宋" w:eastAsia="仿宋" w:cs="仿宋"/>
              <w:b/>
              <w:color w:val="auto"/>
              <w:sz w:val="28"/>
              <w:szCs w:val="28"/>
            </w:rPr>
          </w:pPr>
          <w:r>
            <w:rPr>
              <w:rFonts w:hint="eastAsia" w:ascii="仿宋" w:hAnsi="仿宋" w:eastAsia="仿宋" w:cs="仿宋"/>
              <w:b/>
              <w:color w:val="auto"/>
              <w:kern w:val="0"/>
              <w:sz w:val="28"/>
              <w:szCs w:val="28"/>
            </w:rPr>
            <w:fldChar w:fldCharType="begin"/>
          </w:r>
          <w:r>
            <w:rPr>
              <w:rFonts w:hint="eastAsia" w:ascii="仿宋" w:hAnsi="仿宋" w:eastAsia="仿宋" w:cs="仿宋"/>
              <w:b/>
              <w:color w:val="auto"/>
              <w:kern w:val="0"/>
              <w:sz w:val="28"/>
              <w:szCs w:val="28"/>
            </w:rPr>
            <w:instrText xml:space="preserve"> HYPERLINK \l _Toc29148 </w:instrText>
          </w:r>
          <w:r>
            <w:rPr>
              <w:rFonts w:hint="eastAsia" w:ascii="仿宋" w:hAnsi="仿宋" w:eastAsia="仿宋" w:cs="仿宋"/>
              <w:b/>
              <w:color w:val="auto"/>
              <w:kern w:val="0"/>
              <w:sz w:val="28"/>
              <w:szCs w:val="28"/>
            </w:rPr>
            <w:fldChar w:fldCharType="separate"/>
          </w:r>
          <w:r>
            <w:rPr>
              <w:rFonts w:hint="eastAsia" w:ascii="仿宋" w:hAnsi="仿宋" w:eastAsia="仿宋" w:cs="仿宋"/>
              <w:b/>
              <w:color w:val="auto"/>
              <w:kern w:val="44"/>
              <w:sz w:val="28"/>
              <w:szCs w:val="28"/>
              <w:lang w:eastAsia="zh-CN"/>
            </w:rPr>
            <w:t>第</w:t>
          </w:r>
          <w:r>
            <w:rPr>
              <w:rFonts w:hint="eastAsia" w:ascii="仿宋" w:hAnsi="仿宋" w:eastAsia="仿宋" w:cs="仿宋"/>
              <w:b/>
              <w:color w:val="auto"/>
              <w:kern w:val="44"/>
              <w:sz w:val="28"/>
              <w:szCs w:val="28"/>
              <w:lang w:val="en-US" w:eastAsia="zh-CN"/>
            </w:rPr>
            <w:t xml:space="preserve">4章 </w:t>
          </w:r>
          <w:r>
            <w:rPr>
              <w:rFonts w:hint="eastAsia" w:ascii="仿宋" w:hAnsi="仿宋" w:eastAsia="仿宋" w:cs="仿宋"/>
              <w:b/>
              <w:color w:val="auto"/>
              <w:kern w:val="44"/>
              <w:sz w:val="28"/>
              <w:szCs w:val="28"/>
            </w:rPr>
            <w:t xml:space="preserve"> 投标文件格式</w:t>
          </w:r>
          <w:r>
            <w:rPr>
              <w:rFonts w:hint="eastAsia" w:ascii="仿宋" w:hAnsi="仿宋" w:eastAsia="仿宋" w:cs="仿宋"/>
              <w:b/>
              <w:color w:val="auto"/>
              <w:sz w:val="28"/>
              <w:szCs w:val="28"/>
            </w:rPr>
            <w:tab/>
          </w:r>
          <w:r>
            <w:rPr>
              <w:rFonts w:hint="eastAsia" w:ascii="仿宋" w:hAnsi="仿宋" w:eastAsia="仿宋" w:cs="仿宋"/>
              <w:b/>
              <w:color w:val="auto"/>
              <w:sz w:val="28"/>
              <w:szCs w:val="28"/>
            </w:rPr>
            <w:fldChar w:fldCharType="begin"/>
          </w:r>
          <w:r>
            <w:rPr>
              <w:rFonts w:hint="eastAsia" w:ascii="仿宋" w:hAnsi="仿宋" w:eastAsia="仿宋" w:cs="仿宋"/>
              <w:b/>
              <w:color w:val="auto"/>
              <w:sz w:val="28"/>
              <w:szCs w:val="28"/>
            </w:rPr>
            <w:instrText xml:space="preserve"> PAGEREF _Toc29148 \h </w:instrText>
          </w:r>
          <w:r>
            <w:rPr>
              <w:rFonts w:hint="eastAsia" w:ascii="仿宋" w:hAnsi="仿宋" w:eastAsia="仿宋" w:cs="仿宋"/>
              <w:b/>
              <w:color w:val="auto"/>
              <w:sz w:val="28"/>
              <w:szCs w:val="28"/>
            </w:rPr>
            <w:fldChar w:fldCharType="separate"/>
          </w:r>
          <w:r>
            <w:rPr>
              <w:rFonts w:hint="eastAsia" w:ascii="仿宋" w:hAnsi="仿宋" w:eastAsia="仿宋" w:cs="仿宋"/>
              <w:b/>
              <w:color w:val="auto"/>
              <w:sz w:val="28"/>
              <w:szCs w:val="28"/>
            </w:rPr>
            <w:t>21</w:t>
          </w:r>
          <w:r>
            <w:rPr>
              <w:rFonts w:hint="eastAsia" w:ascii="仿宋" w:hAnsi="仿宋" w:eastAsia="仿宋" w:cs="仿宋"/>
              <w:b/>
              <w:color w:val="auto"/>
              <w:sz w:val="28"/>
              <w:szCs w:val="28"/>
            </w:rPr>
            <w:fldChar w:fldCharType="end"/>
          </w:r>
          <w:r>
            <w:rPr>
              <w:rFonts w:hint="eastAsia" w:ascii="仿宋" w:hAnsi="仿宋" w:eastAsia="仿宋" w:cs="仿宋"/>
              <w:b/>
              <w:color w:val="auto"/>
              <w:kern w:val="0"/>
              <w:sz w:val="28"/>
              <w:szCs w:val="28"/>
            </w:rPr>
            <w:fldChar w:fldCharType="end"/>
          </w:r>
        </w:p>
        <w:p>
          <w:pPr>
            <w:pStyle w:val="77"/>
            <w:keepNext w:val="0"/>
            <w:keepLines w:val="0"/>
            <w:pageBreakBefore w:val="0"/>
            <w:tabs>
              <w:tab w:val="right" w:leader="dot" w:pos="8312"/>
            </w:tabs>
            <w:kinsoku/>
            <w:wordWrap/>
            <w:overflowPunct/>
            <w:topLinePunct w:val="0"/>
            <w:autoSpaceDE/>
            <w:autoSpaceDN/>
            <w:bidi w:val="0"/>
            <w:adjustRightInd/>
            <w:snapToGrid/>
            <w:spacing w:line="220" w:lineRule="atLeas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rPr>
            <w:fldChar w:fldCharType="begin"/>
          </w:r>
          <w:r>
            <w:rPr>
              <w:rFonts w:hint="eastAsia" w:ascii="仿宋" w:hAnsi="仿宋" w:eastAsia="仿宋" w:cs="仿宋"/>
              <w:color w:val="auto"/>
              <w:kern w:val="0"/>
              <w:sz w:val="28"/>
              <w:szCs w:val="28"/>
            </w:rPr>
            <w:instrText xml:space="preserve"> HYPERLINK \l _Toc8517 </w:instrText>
          </w:r>
          <w:r>
            <w:rPr>
              <w:rFonts w:hint="eastAsia" w:ascii="仿宋" w:hAnsi="仿宋" w:eastAsia="仿宋" w:cs="仿宋"/>
              <w:color w:val="auto"/>
              <w:kern w:val="0"/>
              <w:sz w:val="28"/>
              <w:szCs w:val="28"/>
            </w:rPr>
            <w:fldChar w:fldCharType="separate"/>
          </w:r>
          <w:r>
            <w:rPr>
              <w:rFonts w:hint="eastAsia" w:ascii="仿宋" w:hAnsi="仿宋" w:eastAsia="仿宋" w:cs="仿宋"/>
              <w:color w:val="auto"/>
              <w:sz w:val="28"/>
              <w:szCs w:val="28"/>
            </w:rPr>
            <w:t>第一部分 各部分封面格式</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_Toc8517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21</w:t>
          </w:r>
          <w:r>
            <w:rPr>
              <w:rFonts w:hint="eastAsia" w:ascii="仿宋" w:hAnsi="仿宋" w:eastAsia="仿宋" w:cs="仿宋"/>
              <w:color w:val="auto"/>
              <w:sz w:val="28"/>
              <w:szCs w:val="28"/>
            </w:rPr>
            <w:fldChar w:fldCharType="end"/>
          </w:r>
          <w:r>
            <w:rPr>
              <w:rFonts w:hint="eastAsia" w:ascii="仿宋" w:hAnsi="仿宋" w:eastAsia="仿宋" w:cs="仿宋"/>
              <w:color w:val="auto"/>
              <w:kern w:val="0"/>
              <w:sz w:val="28"/>
              <w:szCs w:val="28"/>
            </w:rPr>
            <w:fldChar w:fldCharType="end"/>
          </w:r>
        </w:p>
        <w:p>
          <w:pPr>
            <w:pStyle w:val="77"/>
            <w:keepNext w:val="0"/>
            <w:keepLines w:val="0"/>
            <w:pageBreakBefore w:val="0"/>
            <w:tabs>
              <w:tab w:val="right" w:leader="dot" w:pos="8312"/>
            </w:tabs>
            <w:kinsoku/>
            <w:wordWrap/>
            <w:overflowPunct/>
            <w:topLinePunct w:val="0"/>
            <w:autoSpaceDE/>
            <w:autoSpaceDN/>
            <w:bidi w:val="0"/>
            <w:adjustRightInd/>
            <w:snapToGrid/>
            <w:spacing w:line="220" w:lineRule="atLeas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rPr>
            <w:fldChar w:fldCharType="begin"/>
          </w:r>
          <w:r>
            <w:rPr>
              <w:rFonts w:hint="eastAsia" w:ascii="仿宋" w:hAnsi="仿宋" w:eastAsia="仿宋" w:cs="仿宋"/>
              <w:color w:val="auto"/>
              <w:kern w:val="0"/>
              <w:sz w:val="28"/>
              <w:szCs w:val="28"/>
            </w:rPr>
            <w:instrText xml:space="preserve"> HYPERLINK \l _Toc6532 </w:instrText>
          </w:r>
          <w:r>
            <w:rPr>
              <w:rFonts w:hint="eastAsia" w:ascii="仿宋" w:hAnsi="仿宋" w:eastAsia="仿宋" w:cs="仿宋"/>
              <w:color w:val="auto"/>
              <w:kern w:val="0"/>
              <w:sz w:val="28"/>
              <w:szCs w:val="28"/>
            </w:rPr>
            <w:fldChar w:fldCharType="separate"/>
          </w:r>
          <w:r>
            <w:rPr>
              <w:rFonts w:hint="eastAsia" w:ascii="仿宋" w:hAnsi="仿宋" w:eastAsia="仿宋" w:cs="仿宋"/>
              <w:color w:val="auto"/>
              <w:sz w:val="28"/>
              <w:szCs w:val="28"/>
            </w:rPr>
            <w:t>第二部分 报价单</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_Toc6532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22</w:t>
          </w:r>
          <w:r>
            <w:rPr>
              <w:rFonts w:hint="eastAsia" w:ascii="仿宋" w:hAnsi="仿宋" w:eastAsia="仿宋" w:cs="仿宋"/>
              <w:color w:val="auto"/>
              <w:sz w:val="28"/>
              <w:szCs w:val="28"/>
            </w:rPr>
            <w:fldChar w:fldCharType="end"/>
          </w:r>
          <w:r>
            <w:rPr>
              <w:rFonts w:hint="eastAsia" w:ascii="仿宋" w:hAnsi="仿宋" w:eastAsia="仿宋" w:cs="仿宋"/>
              <w:color w:val="auto"/>
              <w:kern w:val="0"/>
              <w:sz w:val="28"/>
              <w:szCs w:val="28"/>
            </w:rPr>
            <w:fldChar w:fldCharType="end"/>
          </w:r>
        </w:p>
        <w:p>
          <w:pPr>
            <w:pStyle w:val="77"/>
            <w:keepNext w:val="0"/>
            <w:keepLines w:val="0"/>
            <w:pageBreakBefore w:val="0"/>
            <w:tabs>
              <w:tab w:val="right" w:leader="dot" w:pos="8312"/>
            </w:tabs>
            <w:kinsoku/>
            <w:wordWrap/>
            <w:overflowPunct/>
            <w:topLinePunct w:val="0"/>
            <w:autoSpaceDE/>
            <w:autoSpaceDN/>
            <w:bidi w:val="0"/>
            <w:adjustRightInd/>
            <w:snapToGrid/>
            <w:spacing w:line="220" w:lineRule="atLeas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rPr>
            <w:fldChar w:fldCharType="begin"/>
          </w:r>
          <w:r>
            <w:rPr>
              <w:rFonts w:hint="eastAsia" w:ascii="仿宋" w:hAnsi="仿宋" w:eastAsia="仿宋" w:cs="仿宋"/>
              <w:color w:val="auto"/>
              <w:kern w:val="0"/>
              <w:sz w:val="28"/>
              <w:szCs w:val="28"/>
            </w:rPr>
            <w:instrText xml:space="preserve"> HYPERLINK \l _Toc15428 </w:instrText>
          </w:r>
          <w:r>
            <w:rPr>
              <w:rFonts w:hint="eastAsia" w:ascii="仿宋" w:hAnsi="仿宋" w:eastAsia="仿宋" w:cs="仿宋"/>
              <w:color w:val="auto"/>
              <w:kern w:val="0"/>
              <w:sz w:val="28"/>
              <w:szCs w:val="28"/>
            </w:rPr>
            <w:fldChar w:fldCharType="separate"/>
          </w:r>
          <w:r>
            <w:rPr>
              <w:rFonts w:hint="eastAsia" w:ascii="仿宋" w:hAnsi="仿宋" w:eastAsia="仿宋" w:cs="仿宋"/>
              <w:color w:val="auto"/>
              <w:sz w:val="28"/>
              <w:szCs w:val="28"/>
            </w:rPr>
            <w:t>第三部分  商务资信投标文件</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_Toc15428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23</w:t>
          </w:r>
          <w:r>
            <w:rPr>
              <w:rFonts w:hint="eastAsia" w:ascii="仿宋" w:hAnsi="仿宋" w:eastAsia="仿宋" w:cs="仿宋"/>
              <w:color w:val="auto"/>
              <w:sz w:val="28"/>
              <w:szCs w:val="28"/>
            </w:rPr>
            <w:fldChar w:fldCharType="end"/>
          </w:r>
          <w:r>
            <w:rPr>
              <w:rFonts w:hint="eastAsia" w:ascii="仿宋" w:hAnsi="仿宋" w:eastAsia="仿宋" w:cs="仿宋"/>
              <w:color w:val="auto"/>
              <w:kern w:val="0"/>
              <w:sz w:val="28"/>
              <w:szCs w:val="28"/>
            </w:rPr>
            <w:fldChar w:fldCharType="end"/>
          </w:r>
        </w:p>
        <w:p>
          <w:pPr>
            <w:pStyle w:val="77"/>
            <w:keepNext w:val="0"/>
            <w:keepLines w:val="0"/>
            <w:pageBreakBefore w:val="0"/>
            <w:tabs>
              <w:tab w:val="right" w:leader="dot" w:pos="8312"/>
            </w:tabs>
            <w:kinsoku/>
            <w:wordWrap/>
            <w:overflowPunct/>
            <w:topLinePunct w:val="0"/>
            <w:autoSpaceDE/>
            <w:autoSpaceDN/>
            <w:bidi w:val="0"/>
            <w:adjustRightInd/>
            <w:snapToGrid/>
            <w:spacing w:line="220" w:lineRule="atLeas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rPr>
            <w:fldChar w:fldCharType="begin"/>
          </w:r>
          <w:r>
            <w:rPr>
              <w:rFonts w:hint="eastAsia" w:ascii="仿宋" w:hAnsi="仿宋" w:eastAsia="仿宋" w:cs="仿宋"/>
              <w:color w:val="auto"/>
              <w:kern w:val="0"/>
              <w:sz w:val="28"/>
              <w:szCs w:val="28"/>
            </w:rPr>
            <w:instrText xml:space="preserve"> HYPERLINK \l _Toc16598 </w:instrText>
          </w:r>
          <w:r>
            <w:rPr>
              <w:rFonts w:hint="eastAsia" w:ascii="仿宋" w:hAnsi="仿宋" w:eastAsia="仿宋" w:cs="仿宋"/>
              <w:color w:val="auto"/>
              <w:kern w:val="0"/>
              <w:sz w:val="28"/>
              <w:szCs w:val="28"/>
            </w:rPr>
            <w:fldChar w:fldCharType="separate"/>
          </w:r>
          <w:r>
            <w:rPr>
              <w:rFonts w:hint="eastAsia" w:ascii="仿宋" w:hAnsi="仿宋" w:eastAsia="仿宋" w:cs="仿宋"/>
              <w:color w:val="auto"/>
              <w:sz w:val="28"/>
              <w:szCs w:val="28"/>
            </w:rPr>
            <w:t>第四部分  技术投标方案</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_Toc16598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33</w:t>
          </w:r>
          <w:r>
            <w:rPr>
              <w:rFonts w:hint="eastAsia" w:ascii="仿宋" w:hAnsi="仿宋" w:eastAsia="仿宋" w:cs="仿宋"/>
              <w:color w:val="auto"/>
              <w:sz w:val="28"/>
              <w:szCs w:val="28"/>
            </w:rPr>
            <w:fldChar w:fldCharType="end"/>
          </w:r>
          <w:r>
            <w:rPr>
              <w:rFonts w:hint="eastAsia" w:ascii="仿宋" w:hAnsi="仿宋" w:eastAsia="仿宋" w:cs="仿宋"/>
              <w:color w:val="auto"/>
              <w:kern w:val="0"/>
              <w:sz w:val="28"/>
              <w:szCs w:val="28"/>
            </w:rPr>
            <w:fldChar w:fldCharType="end"/>
          </w:r>
        </w:p>
        <w:p>
          <w:pPr>
            <w:pStyle w:val="76"/>
            <w:keepNext w:val="0"/>
            <w:keepLines w:val="0"/>
            <w:pageBreakBefore w:val="0"/>
            <w:tabs>
              <w:tab w:val="right" w:leader="dot" w:pos="8312"/>
            </w:tabs>
            <w:kinsoku/>
            <w:wordWrap/>
            <w:overflowPunct/>
            <w:topLinePunct w:val="0"/>
            <w:autoSpaceDE/>
            <w:autoSpaceDN/>
            <w:bidi w:val="0"/>
            <w:adjustRightInd/>
            <w:snapToGrid/>
            <w:spacing w:line="220" w:lineRule="atLeast"/>
            <w:textAlignment w:val="auto"/>
            <w:rPr>
              <w:rFonts w:hint="eastAsia" w:ascii="仿宋" w:hAnsi="仿宋" w:eastAsia="仿宋" w:cs="仿宋"/>
              <w:b/>
              <w:color w:val="auto"/>
              <w:sz w:val="28"/>
              <w:szCs w:val="28"/>
            </w:rPr>
          </w:pPr>
          <w:r>
            <w:rPr>
              <w:rFonts w:hint="eastAsia" w:ascii="仿宋" w:hAnsi="仿宋" w:eastAsia="仿宋" w:cs="仿宋"/>
              <w:b/>
              <w:color w:val="auto"/>
              <w:kern w:val="0"/>
              <w:sz w:val="28"/>
              <w:szCs w:val="28"/>
            </w:rPr>
            <w:fldChar w:fldCharType="begin"/>
          </w:r>
          <w:r>
            <w:rPr>
              <w:rFonts w:hint="eastAsia" w:ascii="仿宋" w:hAnsi="仿宋" w:eastAsia="仿宋" w:cs="仿宋"/>
              <w:b/>
              <w:color w:val="auto"/>
              <w:kern w:val="0"/>
              <w:sz w:val="28"/>
              <w:szCs w:val="28"/>
            </w:rPr>
            <w:instrText xml:space="preserve"> HYPERLINK \l _Toc27701 </w:instrText>
          </w:r>
          <w:r>
            <w:rPr>
              <w:rFonts w:hint="eastAsia" w:ascii="仿宋" w:hAnsi="仿宋" w:eastAsia="仿宋" w:cs="仿宋"/>
              <w:b/>
              <w:color w:val="auto"/>
              <w:kern w:val="0"/>
              <w:sz w:val="28"/>
              <w:szCs w:val="28"/>
            </w:rPr>
            <w:fldChar w:fldCharType="separate"/>
          </w:r>
          <w:r>
            <w:rPr>
              <w:rFonts w:hint="eastAsia" w:ascii="仿宋" w:hAnsi="仿宋" w:eastAsia="仿宋" w:cs="仿宋"/>
              <w:b/>
              <w:color w:val="auto"/>
              <w:sz w:val="28"/>
              <w:szCs w:val="28"/>
            </w:rPr>
            <w:t>第5章   采购需求</w:t>
          </w:r>
          <w:r>
            <w:rPr>
              <w:rFonts w:hint="eastAsia" w:ascii="仿宋" w:hAnsi="仿宋" w:eastAsia="仿宋" w:cs="仿宋"/>
              <w:b/>
              <w:color w:val="auto"/>
              <w:sz w:val="28"/>
              <w:szCs w:val="28"/>
            </w:rPr>
            <w:tab/>
          </w:r>
          <w:r>
            <w:rPr>
              <w:rFonts w:hint="eastAsia" w:ascii="仿宋" w:hAnsi="仿宋" w:eastAsia="仿宋" w:cs="仿宋"/>
              <w:b/>
              <w:color w:val="auto"/>
              <w:sz w:val="28"/>
              <w:szCs w:val="28"/>
            </w:rPr>
            <w:fldChar w:fldCharType="begin"/>
          </w:r>
          <w:r>
            <w:rPr>
              <w:rFonts w:hint="eastAsia" w:ascii="仿宋" w:hAnsi="仿宋" w:eastAsia="仿宋" w:cs="仿宋"/>
              <w:b/>
              <w:color w:val="auto"/>
              <w:sz w:val="28"/>
              <w:szCs w:val="28"/>
            </w:rPr>
            <w:instrText xml:space="preserve"> PAGEREF _Toc27701 \h </w:instrText>
          </w:r>
          <w:r>
            <w:rPr>
              <w:rFonts w:hint="eastAsia" w:ascii="仿宋" w:hAnsi="仿宋" w:eastAsia="仿宋" w:cs="仿宋"/>
              <w:b/>
              <w:color w:val="auto"/>
              <w:sz w:val="28"/>
              <w:szCs w:val="28"/>
            </w:rPr>
            <w:fldChar w:fldCharType="separate"/>
          </w:r>
          <w:r>
            <w:rPr>
              <w:rFonts w:hint="eastAsia" w:ascii="仿宋" w:hAnsi="仿宋" w:eastAsia="仿宋" w:cs="仿宋"/>
              <w:b/>
              <w:color w:val="auto"/>
              <w:sz w:val="28"/>
              <w:szCs w:val="28"/>
            </w:rPr>
            <w:t>34</w:t>
          </w:r>
          <w:r>
            <w:rPr>
              <w:rFonts w:hint="eastAsia" w:ascii="仿宋" w:hAnsi="仿宋" w:eastAsia="仿宋" w:cs="仿宋"/>
              <w:b/>
              <w:color w:val="auto"/>
              <w:sz w:val="28"/>
              <w:szCs w:val="28"/>
            </w:rPr>
            <w:fldChar w:fldCharType="end"/>
          </w:r>
          <w:r>
            <w:rPr>
              <w:rFonts w:hint="eastAsia" w:ascii="仿宋" w:hAnsi="仿宋" w:eastAsia="仿宋" w:cs="仿宋"/>
              <w:b/>
              <w:color w:val="auto"/>
              <w:kern w:val="0"/>
              <w:sz w:val="28"/>
              <w:szCs w:val="28"/>
            </w:rPr>
            <w:fldChar w:fldCharType="end"/>
          </w:r>
        </w:p>
        <w:p>
          <w:pPr>
            <w:pStyle w:val="77"/>
            <w:keepNext w:val="0"/>
            <w:keepLines w:val="0"/>
            <w:pageBreakBefore w:val="0"/>
            <w:tabs>
              <w:tab w:val="right" w:leader="dot" w:pos="8312"/>
            </w:tabs>
            <w:kinsoku/>
            <w:wordWrap/>
            <w:overflowPunct/>
            <w:topLinePunct w:val="0"/>
            <w:autoSpaceDE/>
            <w:autoSpaceDN/>
            <w:bidi w:val="0"/>
            <w:adjustRightInd/>
            <w:snapToGrid/>
            <w:spacing w:line="220" w:lineRule="atLeas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rPr>
            <w:fldChar w:fldCharType="begin"/>
          </w:r>
          <w:r>
            <w:rPr>
              <w:rFonts w:hint="eastAsia" w:ascii="仿宋" w:hAnsi="仿宋" w:eastAsia="仿宋" w:cs="仿宋"/>
              <w:color w:val="auto"/>
              <w:kern w:val="0"/>
              <w:sz w:val="28"/>
              <w:szCs w:val="28"/>
            </w:rPr>
            <w:instrText xml:space="preserve"> HYPERLINK \l _Toc25120 </w:instrText>
          </w:r>
          <w:r>
            <w:rPr>
              <w:rFonts w:hint="eastAsia" w:ascii="仿宋" w:hAnsi="仿宋" w:eastAsia="仿宋" w:cs="仿宋"/>
              <w:color w:val="auto"/>
              <w:kern w:val="0"/>
              <w:sz w:val="28"/>
              <w:szCs w:val="28"/>
            </w:rPr>
            <w:fldChar w:fldCharType="separate"/>
          </w:r>
          <w:r>
            <w:rPr>
              <w:rFonts w:hint="eastAsia" w:ascii="仿宋" w:hAnsi="仿宋" w:eastAsia="仿宋" w:cs="仿宋"/>
              <w:bCs/>
              <w:color w:val="auto"/>
              <w:kern w:val="0"/>
              <w:sz w:val="28"/>
              <w:szCs w:val="28"/>
            </w:rPr>
            <w:t>标项一：新疆</w:t>
          </w:r>
          <w:r>
            <w:rPr>
              <w:rFonts w:hint="eastAsia" w:ascii="仿宋" w:hAnsi="仿宋" w:eastAsia="仿宋" w:cs="仿宋"/>
              <w:bCs/>
              <w:color w:val="auto"/>
              <w:kern w:val="0"/>
              <w:sz w:val="28"/>
              <w:szCs w:val="28"/>
              <w:lang w:eastAsia="zh-CN"/>
            </w:rPr>
            <w:t>阿克陶县</w:t>
          </w:r>
          <w:r>
            <w:rPr>
              <w:rFonts w:hint="eastAsia" w:ascii="仿宋" w:hAnsi="仿宋" w:eastAsia="仿宋" w:cs="仿宋"/>
              <w:bCs/>
              <w:color w:val="auto"/>
              <w:kern w:val="0"/>
              <w:sz w:val="28"/>
              <w:szCs w:val="28"/>
            </w:rPr>
            <w:t>地质灾害风险调查评价</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_Toc25120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34</w:t>
          </w:r>
          <w:r>
            <w:rPr>
              <w:rFonts w:hint="eastAsia" w:ascii="仿宋" w:hAnsi="仿宋" w:eastAsia="仿宋" w:cs="仿宋"/>
              <w:color w:val="auto"/>
              <w:sz w:val="28"/>
              <w:szCs w:val="28"/>
            </w:rPr>
            <w:fldChar w:fldCharType="end"/>
          </w:r>
          <w:r>
            <w:rPr>
              <w:rFonts w:hint="eastAsia" w:ascii="仿宋" w:hAnsi="仿宋" w:eastAsia="仿宋" w:cs="仿宋"/>
              <w:color w:val="auto"/>
              <w:kern w:val="0"/>
              <w:sz w:val="28"/>
              <w:szCs w:val="28"/>
            </w:rPr>
            <w:fldChar w:fldCharType="end"/>
          </w:r>
        </w:p>
        <w:p>
          <w:pPr>
            <w:pStyle w:val="77"/>
            <w:keepNext w:val="0"/>
            <w:keepLines w:val="0"/>
            <w:pageBreakBefore w:val="0"/>
            <w:tabs>
              <w:tab w:val="right" w:leader="dot" w:pos="8312"/>
            </w:tabs>
            <w:kinsoku/>
            <w:wordWrap/>
            <w:overflowPunct/>
            <w:topLinePunct w:val="0"/>
            <w:autoSpaceDE/>
            <w:autoSpaceDN/>
            <w:bidi w:val="0"/>
            <w:adjustRightInd/>
            <w:snapToGrid/>
            <w:spacing w:line="220" w:lineRule="atLeas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rPr>
            <w:fldChar w:fldCharType="begin"/>
          </w:r>
          <w:r>
            <w:rPr>
              <w:rFonts w:hint="eastAsia" w:ascii="仿宋" w:hAnsi="仿宋" w:eastAsia="仿宋" w:cs="仿宋"/>
              <w:color w:val="auto"/>
              <w:kern w:val="0"/>
              <w:sz w:val="28"/>
              <w:szCs w:val="28"/>
            </w:rPr>
            <w:instrText xml:space="preserve"> HYPERLINK \l _Toc28995 </w:instrText>
          </w:r>
          <w:r>
            <w:rPr>
              <w:rFonts w:hint="eastAsia" w:ascii="仿宋" w:hAnsi="仿宋" w:eastAsia="仿宋" w:cs="仿宋"/>
              <w:color w:val="auto"/>
              <w:kern w:val="0"/>
              <w:sz w:val="28"/>
              <w:szCs w:val="28"/>
            </w:rPr>
            <w:fldChar w:fldCharType="separate"/>
          </w:r>
          <w:r>
            <w:rPr>
              <w:rFonts w:hint="eastAsia" w:ascii="仿宋" w:hAnsi="仿宋" w:eastAsia="仿宋" w:cs="仿宋"/>
              <w:bCs/>
              <w:color w:val="auto"/>
              <w:sz w:val="28"/>
              <w:szCs w:val="28"/>
            </w:rPr>
            <w:t>标项二：</w:t>
          </w:r>
          <w:r>
            <w:rPr>
              <w:rFonts w:hint="eastAsia" w:ascii="仿宋" w:hAnsi="仿宋" w:eastAsia="仿宋" w:cs="仿宋"/>
              <w:bCs/>
              <w:color w:val="auto"/>
              <w:sz w:val="28"/>
              <w:szCs w:val="28"/>
              <w:lang w:eastAsia="zh-CN"/>
            </w:rPr>
            <w:t>新疆乌恰县地质灾害风险调查评价</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_Toc28995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40</w:t>
          </w:r>
          <w:r>
            <w:rPr>
              <w:rFonts w:hint="eastAsia" w:ascii="仿宋" w:hAnsi="仿宋" w:eastAsia="仿宋" w:cs="仿宋"/>
              <w:color w:val="auto"/>
              <w:sz w:val="28"/>
              <w:szCs w:val="28"/>
            </w:rPr>
            <w:fldChar w:fldCharType="end"/>
          </w:r>
          <w:r>
            <w:rPr>
              <w:rFonts w:hint="eastAsia" w:ascii="仿宋" w:hAnsi="仿宋" w:eastAsia="仿宋" w:cs="仿宋"/>
              <w:color w:val="auto"/>
              <w:kern w:val="0"/>
              <w:sz w:val="28"/>
              <w:szCs w:val="28"/>
            </w:rPr>
            <w:fldChar w:fldCharType="end"/>
          </w:r>
        </w:p>
        <w:p>
          <w:pPr>
            <w:pStyle w:val="77"/>
            <w:keepNext w:val="0"/>
            <w:keepLines w:val="0"/>
            <w:pageBreakBefore w:val="0"/>
            <w:tabs>
              <w:tab w:val="right" w:leader="dot" w:pos="8312"/>
            </w:tabs>
            <w:kinsoku/>
            <w:wordWrap/>
            <w:overflowPunct/>
            <w:topLinePunct w:val="0"/>
            <w:autoSpaceDE/>
            <w:autoSpaceDN/>
            <w:bidi w:val="0"/>
            <w:adjustRightInd/>
            <w:snapToGrid/>
            <w:spacing w:line="220" w:lineRule="atLeas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rPr>
            <w:fldChar w:fldCharType="begin"/>
          </w:r>
          <w:r>
            <w:rPr>
              <w:rFonts w:hint="eastAsia" w:ascii="仿宋" w:hAnsi="仿宋" w:eastAsia="仿宋" w:cs="仿宋"/>
              <w:color w:val="auto"/>
              <w:kern w:val="0"/>
              <w:sz w:val="28"/>
              <w:szCs w:val="28"/>
            </w:rPr>
            <w:instrText xml:space="preserve"> HYPERLINK \l _Toc5429 </w:instrText>
          </w:r>
          <w:r>
            <w:rPr>
              <w:rFonts w:hint="eastAsia" w:ascii="仿宋" w:hAnsi="仿宋" w:eastAsia="仿宋" w:cs="仿宋"/>
              <w:color w:val="auto"/>
              <w:kern w:val="0"/>
              <w:sz w:val="28"/>
              <w:szCs w:val="28"/>
            </w:rPr>
            <w:fldChar w:fldCharType="separate"/>
          </w:r>
          <w:r>
            <w:rPr>
              <w:rFonts w:hint="eastAsia" w:ascii="仿宋" w:hAnsi="仿宋" w:eastAsia="仿宋" w:cs="仿宋"/>
              <w:bCs/>
              <w:color w:val="auto"/>
              <w:sz w:val="28"/>
              <w:szCs w:val="28"/>
            </w:rPr>
            <w:t>标项三：</w:t>
          </w:r>
          <w:r>
            <w:rPr>
              <w:rFonts w:hint="eastAsia" w:ascii="仿宋" w:hAnsi="仿宋" w:eastAsia="仿宋" w:cs="仿宋"/>
              <w:bCs/>
              <w:color w:val="auto"/>
              <w:sz w:val="28"/>
              <w:szCs w:val="28"/>
              <w:lang w:eastAsia="zh-CN"/>
            </w:rPr>
            <w:t>新疆乌恰县吾合沙鲁乡政府、小学泥石流</w:t>
          </w:r>
          <w:r>
            <w:rPr>
              <w:rFonts w:hint="eastAsia" w:ascii="仿宋" w:hAnsi="仿宋" w:eastAsia="仿宋" w:cs="仿宋"/>
              <w:bCs/>
              <w:color w:val="auto"/>
              <w:sz w:val="28"/>
              <w:szCs w:val="28"/>
              <w:lang w:val="en-US" w:eastAsia="zh-CN"/>
            </w:rPr>
            <w:t>防治工程</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_Toc5429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46</w:t>
          </w:r>
          <w:r>
            <w:rPr>
              <w:rFonts w:hint="eastAsia" w:ascii="仿宋" w:hAnsi="仿宋" w:eastAsia="仿宋" w:cs="仿宋"/>
              <w:color w:val="auto"/>
              <w:sz w:val="28"/>
              <w:szCs w:val="28"/>
            </w:rPr>
            <w:fldChar w:fldCharType="end"/>
          </w:r>
          <w:r>
            <w:rPr>
              <w:rFonts w:hint="eastAsia" w:ascii="仿宋" w:hAnsi="仿宋" w:eastAsia="仿宋" w:cs="仿宋"/>
              <w:color w:val="auto"/>
              <w:kern w:val="0"/>
              <w:sz w:val="28"/>
              <w:szCs w:val="28"/>
            </w:rPr>
            <w:fldChar w:fldCharType="end"/>
          </w:r>
        </w:p>
        <w:p>
          <w:pPr>
            <w:pStyle w:val="77"/>
            <w:keepNext w:val="0"/>
            <w:keepLines w:val="0"/>
            <w:pageBreakBefore w:val="0"/>
            <w:tabs>
              <w:tab w:val="right" w:leader="dot" w:pos="8312"/>
            </w:tabs>
            <w:kinsoku/>
            <w:wordWrap/>
            <w:overflowPunct/>
            <w:topLinePunct w:val="0"/>
            <w:autoSpaceDE/>
            <w:autoSpaceDN/>
            <w:bidi w:val="0"/>
            <w:adjustRightInd/>
            <w:snapToGrid/>
            <w:spacing w:line="220" w:lineRule="atLeas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rPr>
            <w:fldChar w:fldCharType="begin"/>
          </w:r>
          <w:r>
            <w:rPr>
              <w:rFonts w:hint="eastAsia" w:ascii="仿宋" w:hAnsi="仿宋" w:eastAsia="仿宋" w:cs="仿宋"/>
              <w:color w:val="auto"/>
              <w:kern w:val="0"/>
              <w:sz w:val="28"/>
              <w:szCs w:val="28"/>
            </w:rPr>
            <w:instrText xml:space="preserve"> HYPERLINK \l _Toc30161 </w:instrText>
          </w:r>
          <w:r>
            <w:rPr>
              <w:rFonts w:hint="eastAsia" w:ascii="仿宋" w:hAnsi="仿宋" w:eastAsia="仿宋" w:cs="仿宋"/>
              <w:color w:val="auto"/>
              <w:kern w:val="0"/>
              <w:sz w:val="28"/>
              <w:szCs w:val="28"/>
            </w:rPr>
            <w:fldChar w:fldCharType="separate"/>
          </w:r>
          <w:r>
            <w:rPr>
              <w:rFonts w:hint="eastAsia" w:ascii="仿宋" w:hAnsi="仿宋" w:eastAsia="仿宋" w:cs="仿宋"/>
              <w:bCs/>
              <w:color w:val="auto"/>
              <w:sz w:val="28"/>
              <w:szCs w:val="28"/>
            </w:rPr>
            <w:t>标项</w:t>
          </w:r>
          <w:r>
            <w:rPr>
              <w:rFonts w:hint="eastAsia" w:ascii="仿宋" w:hAnsi="仿宋" w:eastAsia="仿宋" w:cs="仿宋"/>
              <w:bCs/>
              <w:color w:val="auto"/>
              <w:sz w:val="28"/>
              <w:szCs w:val="28"/>
              <w:lang w:val="en-US" w:eastAsia="zh-CN"/>
            </w:rPr>
            <w:t>四</w:t>
          </w:r>
          <w:r>
            <w:rPr>
              <w:rFonts w:hint="eastAsia" w:ascii="仿宋" w:hAnsi="仿宋" w:eastAsia="仿宋" w:cs="仿宋"/>
              <w:bCs/>
              <w:color w:val="auto"/>
              <w:sz w:val="28"/>
              <w:szCs w:val="28"/>
            </w:rPr>
            <w:t>：</w:t>
          </w:r>
          <w:r>
            <w:rPr>
              <w:rFonts w:hint="eastAsia" w:ascii="仿宋" w:hAnsi="仿宋" w:eastAsia="仿宋" w:cs="仿宋"/>
              <w:bCs/>
              <w:color w:val="auto"/>
              <w:sz w:val="28"/>
              <w:szCs w:val="28"/>
              <w:lang w:eastAsia="zh-CN"/>
            </w:rPr>
            <w:t>新疆阿克陶县阿克塔拉牧场2村泥石流防治工程</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_Toc30161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52</w:t>
          </w:r>
          <w:r>
            <w:rPr>
              <w:rFonts w:hint="eastAsia" w:ascii="仿宋" w:hAnsi="仿宋" w:eastAsia="仿宋" w:cs="仿宋"/>
              <w:color w:val="auto"/>
              <w:sz w:val="28"/>
              <w:szCs w:val="28"/>
            </w:rPr>
            <w:fldChar w:fldCharType="end"/>
          </w:r>
          <w:r>
            <w:rPr>
              <w:rFonts w:hint="eastAsia" w:ascii="仿宋" w:hAnsi="仿宋" w:eastAsia="仿宋" w:cs="仿宋"/>
              <w:color w:val="auto"/>
              <w:kern w:val="0"/>
              <w:sz w:val="28"/>
              <w:szCs w:val="28"/>
            </w:rPr>
            <w:fldChar w:fldCharType="end"/>
          </w:r>
        </w:p>
        <w:p>
          <w:pPr>
            <w:pStyle w:val="77"/>
            <w:keepNext w:val="0"/>
            <w:keepLines w:val="0"/>
            <w:pageBreakBefore w:val="0"/>
            <w:tabs>
              <w:tab w:val="right" w:leader="dot" w:pos="8312"/>
            </w:tabs>
            <w:kinsoku/>
            <w:wordWrap/>
            <w:overflowPunct/>
            <w:topLinePunct w:val="0"/>
            <w:autoSpaceDE/>
            <w:autoSpaceDN/>
            <w:bidi w:val="0"/>
            <w:adjustRightInd/>
            <w:snapToGrid/>
            <w:spacing w:line="220" w:lineRule="atLeas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rPr>
            <w:fldChar w:fldCharType="begin"/>
          </w:r>
          <w:r>
            <w:rPr>
              <w:rFonts w:hint="eastAsia" w:ascii="仿宋" w:hAnsi="仿宋" w:eastAsia="仿宋" w:cs="仿宋"/>
              <w:color w:val="auto"/>
              <w:kern w:val="0"/>
              <w:sz w:val="28"/>
              <w:szCs w:val="28"/>
            </w:rPr>
            <w:instrText xml:space="preserve"> HYPERLINK \l _Toc1766 </w:instrText>
          </w:r>
          <w:r>
            <w:rPr>
              <w:rFonts w:hint="eastAsia" w:ascii="仿宋" w:hAnsi="仿宋" w:eastAsia="仿宋" w:cs="仿宋"/>
              <w:color w:val="auto"/>
              <w:kern w:val="0"/>
              <w:sz w:val="28"/>
              <w:szCs w:val="28"/>
            </w:rPr>
            <w:fldChar w:fldCharType="separate"/>
          </w:r>
          <w:r>
            <w:rPr>
              <w:rFonts w:hint="eastAsia" w:ascii="仿宋" w:hAnsi="仿宋" w:eastAsia="仿宋" w:cs="仿宋"/>
              <w:bCs/>
              <w:color w:val="auto"/>
              <w:sz w:val="28"/>
              <w:szCs w:val="28"/>
            </w:rPr>
            <w:t>标项</w:t>
          </w:r>
          <w:r>
            <w:rPr>
              <w:rFonts w:hint="eastAsia" w:ascii="仿宋" w:hAnsi="仿宋" w:eastAsia="仿宋" w:cs="仿宋"/>
              <w:bCs/>
              <w:color w:val="auto"/>
              <w:sz w:val="28"/>
              <w:szCs w:val="28"/>
              <w:lang w:val="en-US" w:eastAsia="zh-CN"/>
            </w:rPr>
            <w:t>五</w:t>
          </w:r>
          <w:r>
            <w:rPr>
              <w:rFonts w:hint="eastAsia" w:ascii="仿宋" w:hAnsi="仿宋" w:eastAsia="仿宋" w:cs="仿宋"/>
              <w:bCs/>
              <w:color w:val="auto"/>
              <w:sz w:val="28"/>
              <w:szCs w:val="28"/>
            </w:rPr>
            <w:t>：新疆克州群专结合监测预警点建设（2023年度）</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_Toc1766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58</w:t>
          </w:r>
          <w:r>
            <w:rPr>
              <w:rFonts w:hint="eastAsia" w:ascii="仿宋" w:hAnsi="仿宋" w:eastAsia="仿宋" w:cs="仿宋"/>
              <w:color w:val="auto"/>
              <w:sz w:val="28"/>
              <w:szCs w:val="28"/>
            </w:rPr>
            <w:fldChar w:fldCharType="end"/>
          </w:r>
          <w:r>
            <w:rPr>
              <w:rFonts w:hint="eastAsia" w:ascii="仿宋" w:hAnsi="仿宋" w:eastAsia="仿宋" w:cs="仿宋"/>
              <w:color w:val="auto"/>
              <w:kern w:val="0"/>
              <w:sz w:val="28"/>
              <w:szCs w:val="28"/>
            </w:rPr>
            <w:fldChar w:fldCharType="end"/>
          </w:r>
        </w:p>
        <w:p>
          <w:pPr>
            <w:pStyle w:val="77"/>
            <w:keepNext w:val="0"/>
            <w:keepLines w:val="0"/>
            <w:pageBreakBefore w:val="0"/>
            <w:tabs>
              <w:tab w:val="right" w:leader="dot" w:pos="8312"/>
            </w:tabs>
            <w:kinsoku/>
            <w:wordWrap/>
            <w:overflowPunct/>
            <w:topLinePunct w:val="0"/>
            <w:autoSpaceDE/>
            <w:autoSpaceDN/>
            <w:bidi w:val="0"/>
            <w:adjustRightInd/>
            <w:snapToGrid/>
            <w:spacing w:line="220" w:lineRule="atLeas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rPr>
            <w:fldChar w:fldCharType="begin"/>
          </w:r>
          <w:r>
            <w:rPr>
              <w:rFonts w:hint="eastAsia" w:ascii="仿宋" w:hAnsi="仿宋" w:eastAsia="仿宋" w:cs="仿宋"/>
              <w:color w:val="auto"/>
              <w:kern w:val="0"/>
              <w:sz w:val="28"/>
              <w:szCs w:val="28"/>
            </w:rPr>
            <w:instrText xml:space="preserve"> HYPERLINK \l _Toc10168 </w:instrText>
          </w:r>
          <w:r>
            <w:rPr>
              <w:rFonts w:hint="eastAsia" w:ascii="仿宋" w:hAnsi="仿宋" w:eastAsia="仿宋" w:cs="仿宋"/>
              <w:color w:val="auto"/>
              <w:kern w:val="0"/>
              <w:sz w:val="28"/>
              <w:szCs w:val="28"/>
            </w:rPr>
            <w:fldChar w:fldCharType="separate"/>
          </w:r>
          <w:r>
            <w:rPr>
              <w:rFonts w:hint="eastAsia" w:ascii="仿宋" w:hAnsi="仿宋" w:eastAsia="仿宋" w:cs="仿宋"/>
              <w:bCs/>
              <w:color w:val="auto"/>
              <w:sz w:val="28"/>
              <w:szCs w:val="28"/>
            </w:rPr>
            <w:t>标项</w:t>
          </w:r>
          <w:r>
            <w:rPr>
              <w:rFonts w:hint="eastAsia" w:ascii="仿宋" w:hAnsi="仿宋" w:eastAsia="仿宋" w:cs="仿宋"/>
              <w:bCs/>
              <w:color w:val="auto"/>
              <w:sz w:val="28"/>
              <w:szCs w:val="28"/>
              <w:lang w:val="en-US" w:eastAsia="zh-CN"/>
            </w:rPr>
            <w:t>六</w:t>
          </w:r>
          <w:r>
            <w:rPr>
              <w:rFonts w:hint="eastAsia" w:ascii="仿宋" w:hAnsi="仿宋" w:eastAsia="仿宋" w:cs="仿宋"/>
              <w:bCs/>
              <w:color w:val="auto"/>
              <w:sz w:val="28"/>
              <w:szCs w:val="28"/>
            </w:rPr>
            <w:t>：</w:t>
          </w:r>
          <w:r>
            <w:rPr>
              <w:rFonts w:hint="eastAsia" w:ascii="仿宋" w:hAnsi="仿宋" w:eastAsia="仿宋" w:cs="仿宋"/>
              <w:bCs/>
              <w:color w:val="auto"/>
              <w:sz w:val="28"/>
              <w:szCs w:val="28"/>
              <w:lang w:eastAsia="zh-CN"/>
            </w:rPr>
            <w:t>克州2023年自然灾害防治体系建设补助资金项目</w:t>
          </w:r>
          <w:r>
            <w:rPr>
              <w:rFonts w:hint="eastAsia" w:ascii="仿宋" w:hAnsi="仿宋" w:eastAsia="仿宋" w:cs="仿宋"/>
              <w:bCs/>
              <w:color w:val="auto"/>
              <w:sz w:val="28"/>
              <w:szCs w:val="28"/>
            </w:rPr>
            <w:t>监理</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_Toc10168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66</w:t>
          </w:r>
          <w:r>
            <w:rPr>
              <w:rFonts w:hint="eastAsia" w:ascii="仿宋" w:hAnsi="仿宋" w:eastAsia="仿宋" w:cs="仿宋"/>
              <w:color w:val="auto"/>
              <w:sz w:val="28"/>
              <w:szCs w:val="28"/>
            </w:rPr>
            <w:fldChar w:fldCharType="end"/>
          </w:r>
          <w:r>
            <w:rPr>
              <w:rFonts w:hint="eastAsia" w:ascii="仿宋" w:hAnsi="仿宋" w:eastAsia="仿宋" w:cs="仿宋"/>
              <w:color w:val="auto"/>
              <w:kern w:val="0"/>
              <w:sz w:val="28"/>
              <w:szCs w:val="28"/>
            </w:rPr>
            <w:fldChar w:fldCharType="end"/>
          </w:r>
        </w:p>
        <w:p>
          <w:pPr>
            <w:pStyle w:val="76"/>
            <w:keepNext w:val="0"/>
            <w:keepLines w:val="0"/>
            <w:pageBreakBefore w:val="0"/>
            <w:tabs>
              <w:tab w:val="right" w:leader="dot" w:pos="8312"/>
            </w:tabs>
            <w:kinsoku/>
            <w:wordWrap/>
            <w:overflowPunct/>
            <w:topLinePunct w:val="0"/>
            <w:autoSpaceDE/>
            <w:autoSpaceDN/>
            <w:bidi w:val="0"/>
            <w:adjustRightInd/>
            <w:snapToGrid/>
            <w:spacing w:line="220" w:lineRule="atLeast"/>
            <w:textAlignment w:val="auto"/>
            <w:rPr>
              <w:rFonts w:hint="eastAsia" w:ascii="仿宋" w:hAnsi="仿宋" w:eastAsia="仿宋" w:cs="仿宋"/>
              <w:b/>
              <w:color w:val="auto"/>
              <w:sz w:val="28"/>
              <w:szCs w:val="28"/>
            </w:rPr>
          </w:pPr>
          <w:r>
            <w:rPr>
              <w:rFonts w:hint="eastAsia" w:ascii="仿宋" w:hAnsi="仿宋" w:eastAsia="仿宋" w:cs="仿宋"/>
              <w:b/>
              <w:color w:val="auto"/>
              <w:kern w:val="0"/>
              <w:sz w:val="28"/>
              <w:szCs w:val="28"/>
            </w:rPr>
            <w:fldChar w:fldCharType="begin"/>
          </w:r>
          <w:r>
            <w:rPr>
              <w:rFonts w:hint="eastAsia" w:ascii="仿宋" w:hAnsi="仿宋" w:eastAsia="仿宋" w:cs="仿宋"/>
              <w:b/>
              <w:color w:val="auto"/>
              <w:kern w:val="0"/>
              <w:sz w:val="28"/>
              <w:szCs w:val="28"/>
            </w:rPr>
            <w:instrText xml:space="preserve"> HYPERLINK \l _Toc16210 </w:instrText>
          </w:r>
          <w:r>
            <w:rPr>
              <w:rFonts w:hint="eastAsia" w:ascii="仿宋" w:hAnsi="仿宋" w:eastAsia="仿宋" w:cs="仿宋"/>
              <w:b/>
              <w:color w:val="auto"/>
              <w:kern w:val="0"/>
              <w:sz w:val="28"/>
              <w:szCs w:val="28"/>
            </w:rPr>
            <w:fldChar w:fldCharType="separate"/>
          </w:r>
          <w:r>
            <w:rPr>
              <w:rFonts w:hint="eastAsia" w:ascii="仿宋" w:hAnsi="仿宋" w:eastAsia="仿宋" w:cs="仿宋"/>
              <w:b/>
              <w:bCs/>
              <w:color w:val="auto"/>
              <w:sz w:val="28"/>
              <w:szCs w:val="28"/>
            </w:rPr>
            <w:t>第6章</w:t>
          </w:r>
          <w:r>
            <w:rPr>
              <w:rFonts w:hint="eastAsia" w:ascii="仿宋" w:hAnsi="仿宋" w:eastAsia="仿宋" w:cs="仿宋"/>
              <w:b/>
              <w:color w:val="auto"/>
              <w:sz w:val="28"/>
              <w:szCs w:val="28"/>
            </w:rPr>
            <w:t xml:space="preserve"> </w:t>
          </w:r>
          <w:r>
            <w:rPr>
              <w:rFonts w:hint="eastAsia" w:ascii="仿宋" w:hAnsi="仿宋" w:eastAsia="仿宋" w:cs="仿宋"/>
              <w:b/>
              <w:bCs/>
              <w:color w:val="auto"/>
              <w:sz w:val="28"/>
              <w:szCs w:val="28"/>
            </w:rPr>
            <w:t xml:space="preserve"> 评标方法和标准</w:t>
          </w:r>
          <w:r>
            <w:rPr>
              <w:rFonts w:hint="eastAsia" w:ascii="仿宋" w:hAnsi="仿宋" w:eastAsia="仿宋" w:cs="仿宋"/>
              <w:b/>
              <w:color w:val="auto"/>
              <w:sz w:val="28"/>
              <w:szCs w:val="28"/>
            </w:rPr>
            <w:tab/>
          </w:r>
          <w:r>
            <w:rPr>
              <w:rFonts w:hint="eastAsia" w:ascii="仿宋" w:hAnsi="仿宋" w:eastAsia="仿宋" w:cs="仿宋"/>
              <w:b/>
              <w:color w:val="auto"/>
              <w:sz w:val="28"/>
              <w:szCs w:val="28"/>
            </w:rPr>
            <w:fldChar w:fldCharType="begin"/>
          </w:r>
          <w:r>
            <w:rPr>
              <w:rFonts w:hint="eastAsia" w:ascii="仿宋" w:hAnsi="仿宋" w:eastAsia="仿宋" w:cs="仿宋"/>
              <w:b/>
              <w:color w:val="auto"/>
              <w:sz w:val="28"/>
              <w:szCs w:val="28"/>
            </w:rPr>
            <w:instrText xml:space="preserve"> PAGEREF _Toc16210 \h </w:instrText>
          </w:r>
          <w:r>
            <w:rPr>
              <w:rFonts w:hint="eastAsia" w:ascii="仿宋" w:hAnsi="仿宋" w:eastAsia="仿宋" w:cs="仿宋"/>
              <w:b/>
              <w:color w:val="auto"/>
              <w:sz w:val="28"/>
              <w:szCs w:val="28"/>
            </w:rPr>
            <w:fldChar w:fldCharType="separate"/>
          </w:r>
          <w:r>
            <w:rPr>
              <w:rFonts w:hint="eastAsia" w:ascii="仿宋" w:hAnsi="仿宋" w:eastAsia="仿宋" w:cs="仿宋"/>
              <w:b/>
              <w:color w:val="auto"/>
              <w:sz w:val="28"/>
              <w:szCs w:val="28"/>
            </w:rPr>
            <w:t>69</w:t>
          </w:r>
          <w:r>
            <w:rPr>
              <w:rFonts w:hint="eastAsia" w:ascii="仿宋" w:hAnsi="仿宋" w:eastAsia="仿宋" w:cs="仿宋"/>
              <w:b/>
              <w:color w:val="auto"/>
              <w:sz w:val="28"/>
              <w:szCs w:val="28"/>
            </w:rPr>
            <w:fldChar w:fldCharType="end"/>
          </w:r>
          <w:r>
            <w:rPr>
              <w:rFonts w:hint="eastAsia" w:ascii="仿宋" w:hAnsi="仿宋" w:eastAsia="仿宋" w:cs="仿宋"/>
              <w:b/>
              <w:color w:val="auto"/>
              <w:kern w:val="0"/>
              <w:sz w:val="28"/>
              <w:szCs w:val="28"/>
            </w:rPr>
            <w:fldChar w:fldCharType="end"/>
          </w:r>
        </w:p>
        <w:p>
          <w:pPr>
            <w:pStyle w:val="77"/>
            <w:keepNext w:val="0"/>
            <w:keepLines w:val="0"/>
            <w:pageBreakBefore w:val="0"/>
            <w:tabs>
              <w:tab w:val="right" w:leader="dot" w:pos="8312"/>
            </w:tabs>
            <w:kinsoku/>
            <w:wordWrap/>
            <w:overflowPunct/>
            <w:topLinePunct w:val="0"/>
            <w:autoSpaceDE/>
            <w:autoSpaceDN/>
            <w:bidi w:val="0"/>
            <w:adjustRightInd/>
            <w:snapToGrid/>
            <w:spacing w:line="220" w:lineRule="atLeas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rPr>
            <w:fldChar w:fldCharType="begin"/>
          </w:r>
          <w:r>
            <w:rPr>
              <w:rFonts w:hint="eastAsia" w:ascii="仿宋" w:hAnsi="仿宋" w:eastAsia="仿宋" w:cs="仿宋"/>
              <w:color w:val="auto"/>
              <w:kern w:val="0"/>
              <w:sz w:val="28"/>
              <w:szCs w:val="28"/>
            </w:rPr>
            <w:instrText xml:space="preserve"> HYPERLINK \l _Toc11554 </w:instrText>
          </w:r>
          <w:r>
            <w:rPr>
              <w:rFonts w:hint="eastAsia" w:ascii="仿宋" w:hAnsi="仿宋" w:eastAsia="仿宋" w:cs="仿宋"/>
              <w:color w:val="auto"/>
              <w:kern w:val="0"/>
              <w:sz w:val="28"/>
              <w:szCs w:val="28"/>
            </w:rPr>
            <w:fldChar w:fldCharType="separate"/>
          </w:r>
          <w:r>
            <w:rPr>
              <w:rFonts w:hint="eastAsia" w:ascii="仿宋" w:hAnsi="仿宋" w:eastAsia="仿宋" w:cs="仿宋"/>
              <w:color w:val="auto"/>
              <w:kern w:val="0"/>
              <w:sz w:val="28"/>
              <w:szCs w:val="28"/>
            </w:rPr>
            <w:t>1. 总则</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_Toc11554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69</w:t>
          </w:r>
          <w:r>
            <w:rPr>
              <w:rFonts w:hint="eastAsia" w:ascii="仿宋" w:hAnsi="仿宋" w:eastAsia="仿宋" w:cs="仿宋"/>
              <w:color w:val="auto"/>
              <w:sz w:val="28"/>
              <w:szCs w:val="28"/>
            </w:rPr>
            <w:fldChar w:fldCharType="end"/>
          </w:r>
          <w:r>
            <w:rPr>
              <w:rFonts w:hint="eastAsia" w:ascii="仿宋" w:hAnsi="仿宋" w:eastAsia="仿宋" w:cs="仿宋"/>
              <w:color w:val="auto"/>
              <w:kern w:val="0"/>
              <w:sz w:val="28"/>
              <w:szCs w:val="28"/>
            </w:rPr>
            <w:fldChar w:fldCharType="end"/>
          </w:r>
        </w:p>
        <w:p>
          <w:pPr>
            <w:pStyle w:val="77"/>
            <w:keepNext w:val="0"/>
            <w:keepLines w:val="0"/>
            <w:pageBreakBefore w:val="0"/>
            <w:tabs>
              <w:tab w:val="right" w:leader="dot" w:pos="8312"/>
            </w:tabs>
            <w:kinsoku/>
            <w:wordWrap/>
            <w:overflowPunct/>
            <w:topLinePunct w:val="0"/>
            <w:autoSpaceDE/>
            <w:autoSpaceDN/>
            <w:bidi w:val="0"/>
            <w:adjustRightInd/>
            <w:snapToGrid/>
            <w:spacing w:line="220" w:lineRule="atLeas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rPr>
            <w:fldChar w:fldCharType="begin"/>
          </w:r>
          <w:r>
            <w:rPr>
              <w:rFonts w:hint="eastAsia" w:ascii="仿宋" w:hAnsi="仿宋" w:eastAsia="仿宋" w:cs="仿宋"/>
              <w:color w:val="auto"/>
              <w:kern w:val="0"/>
              <w:sz w:val="28"/>
              <w:szCs w:val="28"/>
            </w:rPr>
            <w:instrText xml:space="preserve"> HYPERLINK \l _Toc20547 </w:instrText>
          </w:r>
          <w:r>
            <w:rPr>
              <w:rFonts w:hint="eastAsia" w:ascii="仿宋" w:hAnsi="仿宋" w:eastAsia="仿宋" w:cs="仿宋"/>
              <w:color w:val="auto"/>
              <w:kern w:val="0"/>
              <w:sz w:val="28"/>
              <w:szCs w:val="28"/>
            </w:rPr>
            <w:fldChar w:fldCharType="separate"/>
          </w:r>
          <w:r>
            <w:rPr>
              <w:rFonts w:hint="eastAsia" w:ascii="仿宋" w:hAnsi="仿宋" w:eastAsia="仿宋" w:cs="仿宋"/>
              <w:bCs/>
              <w:color w:val="auto"/>
              <w:kern w:val="0"/>
              <w:sz w:val="28"/>
              <w:szCs w:val="28"/>
            </w:rPr>
            <w:t>2.评标方法</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_Toc20547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70</w:t>
          </w:r>
          <w:r>
            <w:rPr>
              <w:rFonts w:hint="eastAsia" w:ascii="仿宋" w:hAnsi="仿宋" w:eastAsia="仿宋" w:cs="仿宋"/>
              <w:color w:val="auto"/>
              <w:sz w:val="28"/>
              <w:szCs w:val="28"/>
            </w:rPr>
            <w:fldChar w:fldCharType="end"/>
          </w:r>
          <w:r>
            <w:rPr>
              <w:rFonts w:hint="eastAsia" w:ascii="仿宋" w:hAnsi="仿宋" w:eastAsia="仿宋" w:cs="仿宋"/>
              <w:color w:val="auto"/>
              <w:kern w:val="0"/>
              <w:sz w:val="28"/>
              <w:szCs w:val="28"/>
            </w:rPr>
            <w:fldChar w:fldCharType="end"/>
          </w:r>
        </w:p>
        <w:p>
          <w:pPr>
            <w:pStyle w:val="77"/>
            <w:keepNext w:val="0"/>
            <w:keepLines w:val="0"/>
            <w:pageBreakBefore w:val="0"/>
            <w:tabs>
              <w:tab w:val="right" w:leader="dot" w:pos="8312"/>
            </w:tabs>
            <w:kinsoku/>
            <w:wordWrap/>
            <w:overflowPunct/>
            <w:topLinePunct w:val="0"/>
            <w:autoSpaceDE/>
            <w:autoSpaceDN/>
            <w:bidi w:val="0"/>
            <w:adjustRightInd/>
            <w:snapToGrid/>
            <w:spacing w:line="220" w:lineRule="atLeas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rPr>
            <w:fldChar w:fldCharType="begin"/>
          </w:r>
          <w:r>
            <w:rPr>
              <w:rFonts w:hint="eastAsia" w:ascii="仿宋" w:hAnsi="仿宋" w:eastAsia="仿宋" w:cs="仿宋"/>
              <w:color w:val="auto"/>
              <w:kern w:val="0"/>
              <w:sz w:val="28"/>
              <w:szCs w:val="28"/>
            </w:rPr>
            <w:instrText xml:space="preserve"> HYPERLINK \l _Toc16162 </w:instrText>
          </w:r>
          <w:r>
            <w:rPr>
              <w:rFonts w:hint="eastAsia" w:ascii="仿宋" w:hAnsi="仿宋" w:eastAsia="仿宋" w:cs="仿宋"/>
              <w:color w:val="auto"/>
              <w:kern w:val="0"/>
              <w:sz w:val="28"/>
              <w:szCs w:val="28"/>
            </w:rPr>
            <w:fldChar w:fldCharType="separate"/>
          </w:r>
          <w:r>
            <w:rPr>
              <w:rFonts w:hint="eastAsia" w:ascii="仿宋" w:hAnsi="仿宋" w:eastAsia="仿宋" w:cs="仿宋"/>
              <w:bCs/>
              <w:color w:val="auto"/>
              <w:kern w:val="0"/>
              <w:sz w:val="28"/>
              <w:szCs w:val="28"/>
            </w:rPr>
            <w:t>3.评标程序</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_Toc16162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70</w:t>
          </w:r>
          <w:r>
            <w:rPr>
              <w:rFonts w:hint="eastAsia" w:ascii="仿宋" w:hAnsi="仿宋" w:eastAsia="仿宋" w:cs="仿宋"/>
              <w:color w:val="auto"/>
              <w:sz w:val="28"/>
              <w:szCs w:val="28"/>
            </w:rPr>
            <w:fldChar w:fldCharType="end"/>
          </w:r>
          <w:r>
            <w:rPr>
              <w:rFonts w:hint="eastAsia" w:ascii="仿宋" w:hAnsi="仿宋" w:eastAsia="仿宋" w:cs="仿宋"/>
              <w:color w:val="auto"/>
              <w:kern w:val="0"/>
              <w:sz w:val="28"/>
              <w:szCs w:val="28"/>
            </w:rPr>
            <w:fldChar w:fldCharType="end"/>
          </w:r>
        </w:p>
        <w:p>
          <w:pPr>
            <w:pStyle w:val="77"/>
            <w:keepNext w:val="0"/>
            <w:keepLines w:val="0"/>
            <w:pageBreakBefore w:val="0"/>
            <w:tabs>
              <w:tab w:val="right" w:leader="dot" w:pos="8312"/>
            </w:tabs>
            <w:kinsoku/>
            <w:wordWrap/>
            <w:overflowPunct/>
            <w:topLinePunct w:val="0"/>
            <w:autoSpaceDE/>
            <w:autoSpaceDN/>
            <w:bidi w:val="0"/>
            <w:adjustRightInd/>
            <w:snapToGrid/>
            <w:spacing w:line="220" w:lineRule="atLeas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rPr>
            <w:fldChar w:fldCharType="begin"/>
          </w:r>
          <w:r>
            <w:rPr>
              <w:rFonts w:hint="eastAsia" w:ascii="仿宋" w:hAnsi="仿宋" w:eastAsia="仿宋" w:cs="仿宋"/>
              <w:color w:val="auto"/>
              <w:kern w:val="0"/>
              <w:sz w:val="28"/>
              <w:szCs w:val="28"/>
            </w:rPr>
            <w:instrText xml:space="preserve"> HYPERLINK \l _Toc29806 </w:instrText>
          </w:r>
          <w:r>
            <w:rPr>
              <w:rFonts w:hint="eastAsia" w:ascii="仿宋" w:hAnsi="仿宋" w:eastAsia="仿宋" w:cs="仿宋"/>
              <w:color w:val="auto"/>
              <w:kern w:val="0"/>
              <w:sz w:val="28"/>
              <w:szCs w:val="28"/>
            </w:rPr>
            <w:fldChar w:fldCharType="separate"/>
          </w:r>
          <w:r>
            <w:rPr>
              <w:rFonts w:hint="eastAsia" w:ascii="仿宋" w:hAnsi="仿宋" w:eastAsia="仿宋" w:cs="仿宋"/>
              <w:bCs/>
              <w:color w:val="auto"/>
              <w:kern w:val="0"/>
              <w:sz w:val="28"/>
              <w:szCs w:val="28"/>
            </w:rPr>
            <w:t>4.废标</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_Toc29806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73</w:t>
          </w:r>
          <w:r>
            <w:rPr>
              <w:rFonts w:hint="eastAsia" w:ascii="仿宋" w:hAnsi="仿宋" w:eastAsia="仿宋" w:cs="仿宋"/>
              <w:color w:val="auto"/>
              <w:sz w:val="28"/>
              <w:szCs w:val="28"/>
            </w:rPr>
            <w:fldChar w:fldCharType="end"/>
          </w:r>
          <w:r>
            <w:rPr>
              <w:rFonts w:hint="eastAsia" w:ascii="仿宋" w:hAnsi="仿宋" w:eastAsia="仿宋" w:cs="仿宋"/>
              <w:color w:val="auto"/>
              <w:kern w:val="0"/>
              <w:sz w:val="28"/>
              <w:szCs w:val="28"/>
            </w:rPr>
            <w:fldChar w:fldCharType="end"/>
          </w:r>
        </w:p>
        <w:p>
          <w:pPr>
            <w:pStyle w:val="77"/>
            <w:keepNext w:val="0"/>
            <w:keepLines w:val="0"/>
            <w:pageBreakBefore w:val="0"/>
            <w:tabs>
              <w:tab w:val="right" w:leader="dot" w:pos="8312"/>
            </w:tabs>
            <w:kinsoku/>
            <w:wordWrap/>
            <w:overflowPunct/>
            <w:topLinePunct w:val="0"/>
            <w:autoSpaceDE/>
            <w:autoSpaceDN/>
            <w:bidi w:val="0"/>
            <w:adjustRightInd/>
            <w:snapToGrid/>
            <w:spacing w:line="220" w:lineRule="atLeas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rPr>
            <w:fldChar w:fldCharType="begin"/>
          </w:r>
          <w:r>
            <w:rPr>
              <w:rFonts w:hint="eastAsia" w:ascii="仿宋" w:hAnsi="仿宋" w:eastAsia="仿宋" w:cs="仿宋"/>
              <w:color w:val="auto"/>
              <w:kern w:val="0"/>
              <w:sz w:val="28"/>
              <w:szCs w:val="28"/>
            </w:rPr>
            <w:instrText xml:space="preserve"> HYPERLINK \l _Toc28357 </w:instrText>
          </w:r>
          <w:r>
            <w:rPr>
              <w:rFonts w:hint="eastAsia" w:ascii="仿宋" w:hAnsi="仿宋" w:eastAsia="仿宋" w:cs="仿宋"/>
              <w:color w:val="auto"/>
              <w:kern w:val="0"/>
              <w:sz w:val="28"/>
              <w:szCs w:val="28"/>
            </w:rPr>
            <w:fldChar w:fldCharType="separate"/>
          </w:r>
          <w:r>
            <w:rPr>
              <w:rFonts w:hint="eastAsia" w:ascii="仿宋" w:hAnsi="仿宋" w:eastAsia="仿宋" w:cs="仿宋"/>
              <w:bCs/>
              <w:color w:val="auto"/>
              <w:kern w:val="0"/>
              <w:sz w:val="28"/>
              <w:szCs w:val="28"/>
            </w:rPr>
            <w:t>5.定标</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_Toc28357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74</w:t>
          </w:r>
          <w:r>
            <w:rPr>
              <w:rFonts w:hint="eastAsia" w:ascii="仿宋" w:hAnsi="仿宋" w:eastAsia="仿宋" w:cs="仿宋"/>
              <w:color w:val="auto"/>
              <w:sz w:val="28"/>
              <w:szCs w:val="28"/>
            </w:rPr>
            <w:fldChar w:fldCharType="end"/>
          </w:r>
          <w:r>
            <w:rPr>
              <w:rFonts w:hint="eastAsia" w:ascii="仿宋" w:hAnsi="仿宋" w:eastAsia="仿宋" w:cs="仿宋"/>
              <w:color w:val="auto"/>
              <w:kern w:val="0"/>
              <w:sz w:val="28"/>
              <w:szCs w:val="28"/>
            </w:rPr>
            <w:fldChar w:fldCharType="end"/>
          </w:r>
        </w:p>
        <w:p>
          <w:pPr>
            <w:pStyle w:val="77"/>
            <w:keepNext w:val="0"/>
            <w:keepLines w:val="0"/>
            <w:pageBreakBefore w:val="0"/>
            <w:tabs>
              <w:tab w:val="right" w:leader="dot" w:pos="8312"/>
            </w:tabs>
            <w:kinsoku/>
            <w:wordWrap/>
            <w:overflowPunct/>
            <w:topLinePunct w:val="0"/>
            <w:autoSpaceDE/>
            <w:autoSpaceDN/>
            <w:bidi w:val="0"/>
            <w:adjustRightInd/>
            <w:snapToGrid/>
            <w:spacing w:line="220" w:lineRule="atLeas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rPr>
            <w:fldChar w:fldCharType="begin"/>
          </w:r>
          <w:r>
            <w:rPr>
              <w:rFonts w:hint="eastAsia" w:ascii="仿宋" w:hAnsi="仿宋" w:eastAsia="仿宋" w:cs="仿宋"/>
              <w:color w:val="auto"/>
              <w:kern w:val="0"/>
              <w:sz w:val="28"/>
              <w:szCs w:val="28"/>
            </w:rPr>
            <w:instrText xml:space="preserve"> HYPERLINK \l _Toc4417 </w:instrText>
          </w:r>
          <w:r>
            <w:rPr>
              <w:rFonts w:hint="eastAsia" w:ascii="仿宋" w:hAnsi="仿宋" w:eastAsia="仿宋" w:cs="仿宋"/>
              <w:color w:val="auto"/>
              <w:kern w:val="0"/>
              <w:sz w:val="28"/>
              <w:szCs w:val="28"/>
            </w:rPr>
            <w:fldChar w:fldCharType="separate"/>
          </w:r>
          <w:r>
            <w:rPr>
              <w:rFonts w:hint="eastAsia" w:ascii="仿宋" w:hAnsi="仿宋" w:eastAsia="仿宋" w:cs="仿宋"/>
              <w:bCs/>
              <w:color w:val="auto"/>
              <w:kern w:val="0"/>
              <w:sz w:val="28"/>
              <w:szCs w:val="28"/>
            </w:rPr>
            <w:t>6.详细的评标标准：（具体内容详见综合评分表）</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_Toc4417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74</w:t>
          </w:r>
          <w:r>
            <w:rPr>
              <w:rFonts w:hint="eastAsia" w:ascii="仿宋" w:hAnsi="仿宋" w:eastAsia="仿宋" w:cs="仿宋"/>
              <w:color w:val="auto"/>
              <w:sz w:val="28"/>
              <w:szCs w:val="28"/>
            </w:rPr>
            <w:fldChar w:fldCharType="end"/>
          </w:r>
          <w:r>
            <w:rPr>
              <w:rFonts w:hint="eastAsia" w:ascii="仿宋" w:hAnsi="仿宋" w:eastAsia="仿宋" w:cs="仿宋"/>
              <w:color w:val="auto"/>
              <w:kern w:val="0"/>
              <w:sz w:val="28"/>
              <w:szCs w:val="28"/>
            </w:rPr>
            <w:fldChar w:fldCharType="end"/>
          </w:r>
        </w:p>
        <w:p>
          <w:pPr>
            <w:pStyle w:val="77"/>
            <w:keepNext w:val="0"/>
            <w:keepLines w:val="0"/>
            <w:pageBreakBefore w:val="0"/>
            <w:tabs>
              <w:tab w:val="right" w:leader="dot" w:pos="8312"/>
            </w:tabs>
            <w:kinsoku/>
            <w:wordWrap/>
            <w:overflowPunct/>
            <w:topLinePunct w:val="0"/>
            <w:autoSpaceDE/>
            <w:autoSpaceDN/>
            <w:bidi w:val="0"/>
            <w:adjustRightInd/>
            <w:snapToGrid/>
            <w:spacing w:line="220" w:lineRule="atLeas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rPr>
            <w:fldChar w:fldCharType="begin"/>
          </w:r>
          <w:r>
            <w:rPr>
              <w:rFonts w:hint="eastAsia" w:ascii="仿宋" w:hAnsi="仿宋" w:eastAsia="仿宋" w:cs="仿宋"/>
              <w:color w:val="auto"/>
              <w:kern w:val="0"/>
              <w:sz w:val="28"/>
              <w:szCs w:val="28"/>
            </w:rPr>
            <w:instrText xml:space="preserve"> HYPERLINK \l _Toc8159 </w:instrText>
          </w:r>
          <w:r>
            <w:rPr>
              <w:rFonts w:hint="eastAsia" w:ascii="仿宋" w:hAnsi="仿宋" w:eastAsia="仿宋" w:cs="仿宋"/>
              <w:color w:val="auto"/>
              <w:kern w:val="0"/>
              <w:sz w:val="28"/>
              <w:szCs w:val="28"/>
            </w:rPr>
            <w:fldChar w:fldCharType="separate"/>
          </w:r>
          <w:r>
            <w:rPr>
              <w:rFonts w:hint="eastAsia" w:ascii="仿宋" w:hAnsi="仿宋" w:eastAsia="仿宋" w:cs="仿宋"/>
              <w:color w:val="auto"/>
              <w:sz w:val="28"/>
              <w:szCs w:val="28"/>
            </w:rPr>
            <w:t>详细评审表：</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_Toc8159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77</w:t>
          </w:r>
          <w:r>
            <w:rPr>
              <w:rFonts w:hint="eastAsia" w:ascii="仿宋" w:hAnsi="仿宋" w:eastAsia="仿宋" w:cs="仿宋"/>
              <w:color w:val="auto"/>
              <w:sz w:val="28"/>
              <w:szCs w:val="28"/>
            </w:rPr>
            <w:fldChar w:fldCharType="end"/>
          </w:r>
          <w:r>
            <w:rPr>
              <w:rFonts w:hint="eastAsia" w:ascii="仿宋" w:hAnsi="仿宋" w:eastAsia="仿宋" w:cs="仿宋"/>
              <w:color w:val="auto"/>
              <w:kern w:val="0"/>
              <w:sz w:val="28"/>
              <w:szCs w:val="28"/>
            </w:rPr>
            <w:fldChar w:fldCharType="end"/>
          </w:r>
        </w:p>
        <w:p>
          <w:pPr>
            <w:pStyle w:val="77"/>
            <w:keepNext w:val="0"/>
            <w:keepLines w:val="0"/>
            <w:pageBreakBefore w:val="0"/>
            <w:tabs>
              <w:tab w:val="right" w:leader="dot" w:pos="8312"/>
            </w:tabs>
            <w:kinsoku/>
            <w:wordWrap/>
            <w:overflowPunct/>
            <w:topLinePunct w:val="0"/>
            <w:autoSpaceDE/>
            <w:autoSpaceDN/>
            <w:bidi w:val="0"/>
            <w:adjustRightInd/>
            <w:snapToGrid/>
            <w:spacing w:line="220" w:lineRule="atLeas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rPr>
            <w:fldChar w:fldCharType="begin"/>
          </w:r>
          <w:r>
            <w:rPr>
              <w:rFonts w:hint="eastAsia" w:ascii="仿宋" w:hAnsi="仿宋" w:eastAsia="仿宋" w:cs="仿宋"/>
              <w:color w:val="auto"/>
              <w:kern w:val="0"/>
              <w:sz w:val="28"/>
              <w:szCs w:val="28"/>
            </w:rPr>
            <w:instrText xml:space="preserve"> HYPERLINK \l _Toc2196 </w:instrText>
          </w:r>
          <w:r>
            <w:rPr>
              <w:rFonts w:hint="eastAsia" w:ascii="仿宋" w:hAnsi="仿宋" w:eastAsia="仿宋" w:cs="仿宋"/>
              <w:color w:val="auto"/>
              <w:kern w:val="0"/>
              <w:sz w:val="28"/>
              <w:szCs w:val="28"/>
            </w:rPr>
            <w:fldChar w:fldCharType="separate"/>
          </w:r>
          <w:r>
            <w:rPr>
              <w:rFonts w:hint="eastAsia" w:ascii="仿宋" w:hAnsi="仿宋" w:eastAsia="仿宋" w:cs="仿宋"/>
              <w:color w:val="auto"/>
              <w:sz w:val="28"/>
              <w:szCs w:val="28"/>
            </w:rPr>
            <w:t>标项一、二评分标准</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_Toc2196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77</w:t>
          </w:r>
          <w:r>
            <w:rPr>
              <w:rFonts w:hint="eastAsia" w:ascii="仿宋" w:hAnsi="仿宋" w:eastAsia="仿宋" w:cs="仿宋"/>
              <w:color w:val="auto"/>
              <w:sz w:val="28"/>
              <w:szCs w:val="28"/>
            </w:rPr>
            <w:fldChar w:fldCharType="end"/>
          </w:r>
          <w:r>
            <w:rPr>
              <w:rFonts w:hint="eastAsia" w:ascii="仿宋" w:hAnsi="仿宋" w:eastAsia="仿宋" w:cs="仿宋"/>
              <w:color w:val="auto"/>
              <w:kern w:val="0"/>
              <w:sz w:val="28"/>
              <w:szCs w:val="28"/>
            </w:rPr>
            <w:fldChar w:fldCharType="end"/>
          </w:r>
        </w:p>
        <w:p>
          <w:pPr>
            <w:pStyle w:val="77"/>
            <w:keepNext w:val="0"/>
            <w:keepLines w:val="0"/>
            <w:pageBreakBefore w:val="0"/>
            <w:tabs>
              <w:tab w:val="right" w:leader="dot" w:pos="8312"/>
            </w:tabs>
            <w:kinsoku/>
            <w:wordWrap/>
            <w:overflowPunct/>
            <w:topLinePunct w:val="0"/>
            <w:autoSpaceDE/>
            <w:autoSpaceDN/>
            <w:bidi w:val="0"/>
            <w:adjustRightInd/>
            <w:snapToGrid/>
            <w:spacing w:line="220" w:lineRule="atLeas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rPr>
            <w:fldChar w:fldCharType="begin"/>
          </w:r>
          <w:r>
            <w:rPr>
              <w:rFonts w:hint="eastAsia" w:ascii="仿宋" w:hAnsi="仿宋" w:eastAsia="仿宋" w:cs="仿宋"/>
              <w:color w:val="auto"/>
              <w:kern w:val="0"/>
              <w:sz w:val="28"/>
              <w:szCs w:val="28"/>
            </w:rPr>
            <w:instrText xml:space="preserve"> HYPERLINK \l _Toc27928 </w:instrText>
          </w:r>
          <w:r>
            <w:rPr>
              <w:rFonts w:hint="eastAsia" w:ascii="仿宋" w:hAnsi="仿宋" w:eastAsia="仿宋" w:cs="仿宋"/>
              <w:color w:val="auto"/>
              <w:kern w:val="0"/>
              <w:sz w:val="28"/>
              <w:szCs w:val="28"/>
            </w:rPr>
            <w:fldChar w:fldCharType="separate"/>
          </w:r>
          <w:r>
            <w:rPr>
              <w:rFonts w:hint="eastAsia" w:ascii="仿宋" w:hAnsi="仿宋" w:eastAsia="仿宋" w:cs="仿宋"/>
              <w:color w:val="auto"/>
              <w:sz w:val="28"/>
              <w:szCs w:val="28"/>
            </w:rPr>
            <w:t>标项三、四评分标准</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_Toc27928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80</w:t>
          </w:r>
          <w:r>
            <w:rPr>
              <w:rFonts w:hint="eastAsia" w:ascii="仿宋" w:hAnsi="仿宋" w:eastAsia="仿宋" w:cs="仿宋"/>
              <w:color w:val="auto"/>
              <w:sz w:val="28"/>
              <w:szCs w:val="28"/>
            </w:rPr>
            <w:fldChar w:fldCharType="end"/>
          </w:r>
          <w:r>
            <w:rPr>
              <w:rFonts w:hint="eastAsia" w:ascii="仿宋" w:hAnsi="仿宋" w:eastAsia="仿宋" w:cs="仿宋"/>
              <w:color w:val="auto"/>
              <w:kern w:val="0"/>
              <w:sz w:val="28"/>
              <w:szCs w:val="28"/>
            </w:rPr>
            <w:fldChar w:fldCharType="end"/>
          </w:r>
        </w:p>
        <w:p>
          <w:pPr>
            <w:pStyle w:val="77"/>
            <w:keepNext w:val="0"/>
            <w:keepLines w:val="0"/>
            <w:pageBreakBefore w:val="0"/>
            <w:tabs>
              <w:tab w:val="right" w:leader="dot" w:pos="8312"/>
            </w:tabs>
            <w:kinsoku/>
            <w:wordWrap/>
            <w:overflowPunct/>
            <w:topLinePunct w:val="0"/>
            <w:autoSpaceDE/>
            <w:autoSpaceDN/>
            <w:bidi w:val="0"/>
            <w:adjustRightInd/>
            <w:snapToGrid/>
            <w:spacing w:line="220" w:lineRule="atLeas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rPr>
            <w:fldChar w:fldCharType="begin"/>
          </w:r>
          <w:r>
            <w:rPr>
              <w:rFonts w:hint="eastAsia" w:ascii="仿宋" w:hAnsi="仿宋" w:eastAsia="仿宋" w:cs="仿宋"/>
              <w:color w:val="auto"/>
              <w:kern w:val="0"/>
              <w:sz w:val="28"/>
              <w:szCs w:val="28"/>
            </w:rPr>
            <w:instrText xml:space="preserve"> HYPERLINK \l _Toc3641 </w:instrText>
          </w:r>
          <w:r>
            <w:rPr>
              <w:rFonts w:hint="eastAsia" w:ascii="仿宋" w:hAnsi="仿宋" w:eastAsia="仿宋" w:cs="仿宋"/>
              <w:color w:val="auto"/>
              <w:kern w:val="0"/>
              <w:sz w:val="28"/>
              <w:szCs w:val="28"/>
            </w:rPr>
            <w:fldChar w:fldCharType="separate"/>
          </w:r>
          <w:r>
            <w:rPr>
              <w:rFonts w:hint="eastAsia" w:ascii="仿宋" w:hAnsi="仿宋" w:eastAsia="仿宋" w:cs="仿宋"/>
              <w:color w:val="auto"/>
              <w:sz w:val="28"/>
              <w:szCs w:val="28"/>
            </w:rPr>
            <w:t>标项</w:t>
          </w:r>
          <w:r>
            <w:rPr>
              <w:rFonts w:hint="eastAsia" w:ascii="仿宋" w:hAnsi="仿宋" w:eastAsia="仿宋" w:cs="仿宋"/>
              <w:color w:val="auto"/>
              <w:sz w:val="28"/>
              <w:szCs w:val="28"/>
              <w:lang w:val="en-US" w:eastAsia="zh-CN"/>
            </w:rPr>
            <w:t>五</w:t>
          </w:r>
          <w:r>
            <w:rPr>
              <w:rFonts w:hint="eastAsia" w:ascii="仿宋" w:hAnsi="仿宋" w:eastAsia="仿宋" w:cs="仿宋"/>
              <w:color w:val="auto"/>
              <w:sz w:val="28"/>
              <w:szCs w:val="28"/>
            </w:rPr>
            <w:t>评分标准</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_Toc3641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83</w:t>
          </w:r>
          <w:r>
            <w:rPr>
              <w:rFonts w:hint="eastAsia" w:ascii="仿宋" w:hAnsi="仿宋" w:eastAsia="仿宋" w:cs="仿宋"/>
              <w:color w:val="auto"/>
              <w:sz w:val="28"/>
              <w:szCs w:val="28"/>
            </w:rPr>
            <w:fldChar w:fldCharType="end"/>
          </w:r>
          <w:r>
            <w:rPr>
              <w:rFonts w:hint="eastAsia" w:ascii="仿宋" w:hAnsi="仿宋" w:eastAsia="仿宋" w:cs="仿宋"/>
              <w:color w:val="auto"/>
              <w:kern w:val="0"/>
              <w:sz w:val="28"/>
              <w:szCs w:val="28"/>
            </w:rPr>
            <w:fldChar w:fldCharType="end"/>
          </w:r>
        </w:p>
        <w:p>
          <w:pPr>
            <w:pStyle w:val="77"/>
            <w:keepNext w:val="0"/>
            <w:keepLines w:val="0"/>
            <w:pageBreakBefore w:val="0"/>
            <w:tabs>
              <w:tab w:val="right" w:leader="dot" w:pos="8312"/>
            </w:tabs>
            <w:kinsoku/>
            <w:wordWrap/>
            <w:overflowPunct/>
            <w:topLinePunct w:val="0"/>
            <w:autoSpaceDE/>
            <w:autoSpaceDN/>
            <w:bidi w:val="0"/>
            <w:adjustRightInd/>
            <w:snapToGrid/>
            <w:spacing w:line="220" w:lineRule="atLeas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rPr>
            <w:fldChar w:fldCharType="begin"/>
          </w:r>
          <w:r>
            <w:rPr>
              <w:rFonts w:hint="eastAsia" w:ascii="仿宋" w:hAnsi="仿宋" w:eastAsia="仿宋" w:cs="仿宋"/>
              <w:color w:val="auto"/>
              <w:kern w:val="0"/>
              <w:sz w:val="28"/>
              <w:szCs w:val="28"/>
            </w:rPr>
            <w:instrText xml:space="preserve"> HYPERLINK \l _Toc22517 </w:instrText>
          </w:r>
          <w:r>
            <w:rPr>
              <w:rFonts w:hint="eastAsia" w:ascii="仿宋" w:hAnsi="仿宋" w:eastAsia="仿宋" w:cs="仿宋"/>
              <w:color w:val="auto"/>
              <w:kern w:val="0"/>
              <w:sz w:val="28"/>
              <w:szCs w:val="28"/>
            </w:rPr>
            <w:fldChar w:fldCharType="separate"/>
          </w:r>
          <w:r>
            <w:rPr>
              <w:rFonts w:hint="eastAsia" w:ascii="仿宋" w:hAnsi="仿宋" w:eastAsia="仿宋" w:cs="仿宋"/>
              <w:color w:val="auto"/>
              <w:sz w:val="28"/>
              <w:szCs w:val="28"/>
            </w:rPr>
            <w:t>标项</w:t>
          </w:r>
          <w:r>
            <w:rPr>
              <w:rFonts w:hint="eastAsia" w:ascii="仿宋" w:hAnsi="仿宋" w:eastAsia="仿宋" w:cs="仿宋"/>
              <w:color w:val="auto"/>
              <w:sz w:val="28"/>
              <w:szCs w:val="28"/>
              <w:lang w:val="en-US" w:eastAsia="zh-CN"/>
            </w:rPr>
            <w:t>六</w:t>
          </w:r>
          <w:r>
            <w:rPr>
              <w:rFonts w:hint="eastAsia" w:ascii="仿宋" w:hAnsi="仿宋" w:eastAsia="仿宋" w:cs="仿宋"/>
              <w:color w:val="auto"/>
              <w:sz w:val="28"/>
              <w:szCs w:val="28"/>
            </w:rPr>
            <w:t>评分标准</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_Toc22517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86</w:t>
          </w:r>
          <w:r>
            <w:rPr>
              <w:rFonts w:hint="eastAsia" w:ascii="仿宋" w:hAnsi="仿宋" w:eastAsia="仿宋" w:cs="仿宋"/>
              <w:color w:val="auto"/>
              <w:sz w:val="28"/>
              <w:szCs w:val="28"/>
            </w:rPr>
            <w:fldChar w:fldCharType="end"/>
          </w:r>
          <w:r>
            <w:rPr>
              <w:rFonts w:hint="eastAsia" w:ascii="仿宋" w:hAnsi="仿宋" w:eastAsia="仿宋" w:cs="仿宋"/>
              <w:color w:val="auto"/>
              <w:kern w:val="0"/>
              <w:sz w:val="28"/>
              <w:szCs w:val="28"/>
            </w:rPr>
            <w:fldChar w:fldCharType="end"/>
          </w:r>
        </w:p>
        <w:p>
          <w:pPr>
            <w:pStyle w:val="76"/>
            <w:keepNext w:val="0"/>
            <w:keepLines w:val="0"/>
            <w:pageBreakBefore w:val="0"/>
            <w:tabs>
              <w:tab w:val="right" w:leader="dot" w:pos="8312"/>
            </w:tabs>
            <w:kinsoku/>
            <w:wordWrap/>
            <w:overflowPunct/>
            <w:topLinePunct w:val="0"/>
            <w:autoSpaceDE/>
            <w:autoSpaceDN/>
            <w:bidi w:val="0"/>
            <w:adjustRightInd/>
            <w:snapToGrid/>
            <w:spacing w:line="220" w:lineRule="atLeast"/>
            <w:textAlignment w:val="auto"/>
            <w:rPr>
              <w:rFonts w:hint="eastAsia" w:ascii="仿宋" w:hAnsi="仿宋" w:eastAsia="仿宋" w:cs="仿宋"/>
              <w:b/>
              <w:color w:val="auto"/>
              <w:sz w:val="28"/>
              <w:szCs w:val="28"/>
            </w:rPr>
          </w:pPr>
          <w:r>
            <w:rPr>
              <w:rFonts w:hint="eastAsia" w:ascii="仿宋" w:hAnsi="仿宋" w:eastAsia="仿宋" w:cs="仿宋"/>
              <w:b/>
              <w:color w:val="auto"/>
              <w:kern w:val="0"/>
              <w:sz w:val="28"/>
              <w:szCs w:val="28"/>
            </w:rPr>
            <w:fldChar w:fldCharType="begin"/>
          </w:r>
          <w:r>
            <w:rPr>
              <w:rFonts w:hint="eastAsia" w:ascii="仿宋" w:hAnsi="仿宋" w:eastAsia="仿宋" w:cs="仿宋"/>
              <w:b/>
              <w:color w:val="auto"/>
              <w:kern w:val="0"/>
              <w:sz w:val="28"/>
              <w:szCs w:val="28"/>
            </w:rPr>
            <w:instrText xml:space="preserve"> HYPERLINK \l _Toc3667 </w:instrText>
          </w:r>
          <w:r>
            <w:rPr>
              <w:rFonts w:hint="eastAsia" w:ascii="仿宋" w:hAnsi="仿宋" w:eastAsia="仿宋" w:cs="仿宋"/>
              <w:b/>
              <w:color w:val="auto"/>
              <w:kern w:val="0"/>
              <w:sz w:val="28"/>
              <w:szCs w:val="28"/>
            </w:rPr>
            <w:fldChar w:fldCharType="separate"/>
          </w:r>
          <w:r>
            <w:rPr>
              <w:rFonts w:hint="eastAsia" w:ascii="仿宋" w:hAnsi="仿宋" w:eastAsia="仿宋" w:cs="仿宋"/>
              <w:b/>
              <w:color w:val="auto"/>
              <w:sz w:val="28"/>
              <w:szCs w:val="28"/>
            </w:rPr>
            <w:t>第7章  政府采购合同</w:t>
          </w:r>
          <w:r>
            <w:rPr>
              <w:rFonts w:hint="eastAsia" w:ascii="仿宋" w:hAnsi="仿宋" w:eastAsia="仿宋" w:cs="仿宋"/>
              <w:b/>
              <w:color w:val="auto"/>
              <w:sz w:val="28"/>
              <w:szCs w:val="28"/>
            </w:rPr>
            <w:tab/>
          </w:r>
          <w:r>
            <w:rPr>
              <w:rFonts w:hint="eastAsia" w:ascii="仿宋" w:hAnsi="仿宋" w:eastAsia="仿宋" w:cs="仿宋"/>
              <w:b/>
              <w:color w:val="auto"/>
              <w:sz w:val="28"/>
              <w:szCs w:val="28"/>
            </w:rPr>
            <w:fldChar w:fldCharType="begin"/>
          </w:r>
          <w:r>
            <w:rPr>
              <w:rFonts w:hint="eastAsia" w:ascii="仿宋" w:hAnsi="仿宋" w:eastAsia="仿宋" w:cs="仿宋"/>
              <w:b/>
              <w:color w:val="auto"/>
              <w:sz w:val="28"/>
              <w:szCs w:val="28"/>
            </w:rPr>
            <w:instrText xml:space="preserve"> PAGEREF _Toc3667 \h </w:instrText>
          </w:r>
          <w:r>
            <w:rPr>
              <w:rFonts w:hint="eastAsia" w:ascii="仿宋" w:hAnsi="仿宋" w:eastAsia="仿宋" w:cs="仿宋"/>
              <w:b/>
              <w:color w:val="auto"/>
              <w:sz w:val="28"/>
              <w:szCs w:val="28"/>
            </w:rPr>
            <w:fldChar w:fldCharType="separate"/>
          </w:r>
          <w:r>
            <w:rPr>
              <w:rFonts w:hint="eastAsia" w:ascii="仿宋" w:hAnsi="仿宋" w:eastAsia="仿宋" w:cs="仿宋"/>
              <w:b/>
              <w:color w:val="auto"/>
              <w:sz w:val="28"/>
              <w:szCs w:val="28"/>
            </w:rPr>
            <w:t>90</w:t>
          </w:r>
          <w:r>
            <w:rPr>
              <w:rFonts w:hint="eastAsia" w:ascii="仿宋" w:hAnsi="仿宋" w:eastAsia="仿宋" w:cs="仿宋"/>
              <w:b/>
              <w:color w:val="auto"/>
              <w:sz w:val="28"/>
              <w:szCs w:val="28"/>
            </w:rPr>
            <w:fldChar w:fldCharType="end"/>
          </w:r>
          <w:r>
            <w:rPr>
              <w:rFonts w:hint="eastAsia" w:ascii="仿宋" w:hAnsi="仿宋" w:eastAsia="仿宋" w:cs="仿宋"/>
              <w:b/>
              <w:color w:val="auto"/>
              <w:kern w:val="0"/>
              <w:sz w:val="28"/>
              <w:szCs w:val="28"/>
            </w:rPr>
            <w:fldChar w:fldCharType="end"/>
          </w:r>
        </w:p>
        <w:p>
          <w:pPr>
            <w:pStyle w:val="77"/>
            <w:keepNext w:val="0"/>
            <w:keepLines w:val="0"/>
            <w:pageBreakBefore w:val="0"/>
            <w:tabs>
              <w:tab w:val="right" w:leader="dot" w:pos="8312"/>
            </w:tabs>
            <w:kinsoku/>
            <w:wordWrap/>
            <w:overflowPunct/>
            <w:topLinePunct w:val="0"/>
            <w:autoSpaceDE/>
            <w:autoSpaceDN/>
            <w:bidi w:val="0"/>
            <w:adjustRightInd/>
            <w:snapToGrid/>
            <w:spacing w:line="220" w:lineRule="atLeas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rPr>
            <w:fldChar w:fldCharType="begin"/>
          </w:r>
          <w:r>
            <w:rPr>
              <w:rFonts w:hint="eastAsia" w:ascii="仿宋" w:hAnsi="仿宋" w:eastAsia="仿宋" w:cs="仿宋"/>
              <w:color w:val="auto"/>
              <w:kern w:val="0"/>
              <w:sz w:val="28"/>
              <w:szCs w:val="28"/>
            </w:rPr>
            <w:instrText xml:space="preserve"> HYPERLINK \l _Toc11090 </w:instrText>
          </w:r>
          <w:r>
            <w:rPr>
              <w:rFonts w:hint="eastAsia" w:ascii="仿宋" w:hAnsi="仿宋" w:eastAsia="仿宋" w:cs="仿宋"/>
              <w:color w:val="auto"/>
              <w:kern w:val="0"/>
              <w:sz w:val="28"/>
              <w:szCs w:val="28"/>
            </w:rPr>
            <w:fldChar w:fldCharType="separate"/>
          </w:r>
          <w:r>
            <w:rPr>
              <w:rFonts w:hint="eastAsia" w:ascii="仿宋" w:hAnsi="仿宋" w:eastAsia="仿宋" w:cs="仿宋"/>
              <w:bCs/>
              <w:color w:val="auto"/>
              <w:sz w:val="28"/>
              <w:szCs w:val="28"/>
            </w:rPr>
            <w:t>第一部分 合同书</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_Toc11090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90</w:t>
          </w:r>
          <w:r>
            <w:rPr>
              <w:rFonts w:hint="eastAsia" w:ascii="仿宋" w:hAnsi="仿宋" w:eastAsia="仿宋" w:cs="仿宋"/>
              <w:color w:val="auto"/>
              <w:sz w:val="28"/>
              <w:szCs w:val="28"/>
            </w:rPr>
            <w:fldChar w:fldCharType="end"/>
          </w:r>
          <w:r>
            <w:rPr>
              <w:rFonts w:hint="eastAsia" w:ascii="仿宋" w:hAnsi="仿宋" w:eastAsia="仿宋" w:cs="仿宋"/>
              <w:color w:val="auto"/>
              <w:kern w:val="0"/>
              <w:sz w:val="28"/>
              <w:szCs w:val="28"/>
            </w:rPr>
            <w:fldChar w:fldCharType="end"/>
          </w:r>
        </w:p>
        <w:p>
          <w:pPr>
            <w:pStyle w:val="77"/>
            <w:keepNext w:val="0"/>
            <w:keepLines w:val="0"/>
            <w:pageBreakBefore w:val="0"/>
            <w:tabs>
              <w:tab w:val="right" w:leader="dot" w:pos="8312"/>
            </w:tabs>
            <w:kinsoku/>
            <w:wordWrap/>
            <w:overflowPunct/>
            <w:topLinePunct w:val="0"/>
            <w:autoSpaceDE/>
            <w:autoSpaceDN/>
            <w:bidi w:val="0"/>
            <w:adjustRightInd/>
            <w:snapToGrid/>
            <w:spacing w:line="220" w:lineRule="atLeas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rPr>
            <w:fldChar w:fldCharType="begin"/>
          </w:r>
          <w:r>
            <w:rPr>
              <w:rFonts w:hint="eastAsia" w:ascii="仿宋" w:hAnsi="仿宋" w:eastAsia="仿宋" w:cs="仿宋"/>
              <w:color w:val="auto"/>
              <w:kern w:val="0"/>
              <w:sz w:val="28"/>
              <w:szCs w:val="28"/>
            </w:rPr>
            <w:instrText xml:space="preserve"> HYPERLINK \l _Toc21108 </w:instrText>
          </w:r>
          <w:r>
            <w:rPr>
              <w:rFonts w:hint="eastAsia" w:ascii="仿宋" w:hAnsi="仿宋" w:eastAsia="仿宋" w:cs="仿宋"/>
              <w:color w:val="auto"/>
              <w:kern w:val="0"/>
              <w:sz w:val="28"/>
              <w:szCs w:val="28"/>
            </w:rPr>
            <w:fldChar w:fldCharType="separate"/>
          </w:r>
          <w:r>
            <w:rPr>
              <w:rFonts w:hint="eastAsia" w:ascii="仿宋" w:hAnsi="仿宋" w:eastAsia="仿宋" w:cs="仿宋"/>
              <w:bCs/>
              <w:color w:val="auto"/>
              <w:sz w:val="28"/>
              <w:szCs w:val="28"/>
            </w:rPr>
            <w:t>第二部分 合同一般条款</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_Toc21108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94</w:t>
          </w:r>
          <w:r>
            <w:rPr>
              <w:rFonts w:hint="eastAsia" w:ascii="仿宋" w:hAnsi="仿宋" w:eastAsia="仿宋" w:cs="仿宋"/>
              <w:color w:val="auto"/>
              <w:sz w:val="28"/>
              <w:szCs w:val="28"/>
            </w:rPr>
            <w:fldChar w:fldCharType="end"/>
          </w:r>
          <w:r>
            <w:rPr>
              <w:rFonts w:hint="eastAsia" w:ascii="仿宋" w:hAnsi="仿宋" w:eastAsia="仿宋" w:cs="仿宋"/>
              <w:color w:val="auto"/>
              <w:kern w:val="0"/>
              <w:sz w:val="28"/>
              <w:szCs w:val="28"/>
            </w:rPr>
            <w:fldChar w:fldCharType="end"/>
          </w:r>
        </w:p>
        <w:p>
          <w:pPr>
            <w:keepNext w:val="0"/>
            <w:keepLines w:val="0"/>
            <w:pageBreakBefore w:val="0"/>
            <w:kinsoku/>
            <w:wordWrap/>
            <w:overflowPunct/>
            <w:topLinePunct w:val="0"/>
            <w:autoSpaceDE/>
            <w:autoSpaceDN/>
            <w:bidi w:val="0"/>
            <w:adjustRightInd/>
            <w:snapToGrid/>
            <w:spacing w:line="220" w:lineRule="atLeast"/>
            <w:jc w:val="both"/>
            <w:textAlignment w:val="auto"/>
            <w:outlineLvl w:val="9"/>
            <w:rPr>
              <w:rFonts w:hint="eastAsia" w:ascii="仿宋" w:hAnsi="仿宋" w:eastAsia="仿宋" w:cs="仿宋"/>
              <w:b/>
              <w:color w:val="auto"/>
              <w:kern w:val="0"/>
              <w:sz w:val="21"/>
              <w:szCs w:val="21"/>
              <w:lang w:val="en-US" w:eastAsia="zh-CN" w:bidi="ar-SA"/>
            </w:rPr>
            <w:sectPr>
              <w:footerReference r:id="rId6" w:type="default"/>
              <w:pgSz w:w="11906" w:h="16838"/>
              <w:pgMar w:top="1440" w:right="1797" w:bottom="1318" w:left="1797" w:header="851" w:footer="992" w:gutter="0"/>
              <w:pgBorders>
                <w:top w:val="none" w:sz="0" w:space="0"/>
                <w:left w:val="none" w:sz="0" w:space="0"/>
                <w:bottom w:val="none" w:sz="0" w:space="0"/>
                <w:right w:val="none" w:sz="0" w:space="0"/>
              </w:pgBorders>
              <w:pgNumType w:start="1"/>
              <w:cols w:space="720" w:num="1"/>
              <w:docGrid w:linePitch="312" w:charSpace="0"/>
            </w:sectPr>
          </w:pPr>
          <w:r>
            <w:rPr>
              <w:rFonts w:hint="eastAsia" w:ascii="仿宋" w:hAnsi="仿宋" w:eastAsia="仿宋" w:cs="仿宋"/>
              <w:b/>
              <w:color w:val="auto"/>
              <w:kern w:val="0"/>
              <w:sz w:val="24"/>
              <w:szCs w:val="24"/>
            </w:rPr>
            <w:fldChar w:fldCharType="end"/>
          </w:r>
        </w:p>
      </w:sdtContent>
    </w:sdt>
    <w:p>
      <w:pPr>
        <w:rPr>
          <w:rFonts w:hint="eastAsia" w:ascii="仿宋" w:hAnsi="仿宋" w:eastAsia="仿宋" w:cs="仿宋"/>
          <w:color w:val="auto"/>
          <w:kern w:val="0"/>
          <w:szCs w:val="21"/>
        </w:rPr>
      </w:pPr>
    </w:p>
    <w:p>
      <w:pPr>
        <w:spacing w:line="600" w:lineRule="exact"/>
        <w:jc w:val="center"/>
        <w:outlineLvl w:val="0"/>
        <w:rPr>
          <w:rFonts w:ascii="仿宋" w:hAnsi="仿宋" w:eastAsia="仿宋" w:cs="仿宋"/>
          <w:color w:val="auto"/>
        </w:rPr>
      </w:pPr>
      <w:bookmarkStart w:id="10" w:name="_Toc13413"/>
      <w:r>
        <w:rPr>
          <w:rFonts w:hint="eastAsia" w:ascii="仿宋" w:hAnsi="仿宋" w:eastAsia="仿宋" w:cs="仿宋"/>
          <w:b/>
          <w:color w:val="auto"/>
          <w:kern w:val="44"/>
          <w:sz w:val="32"/>
          <w:szCs w:val="20"/>
        </w:rPr>
        <w:t>第</w:t>
      </w:r>
      <w:r>
        <w:rPr>
          <w:rFonts w:hint="eastAsia" w:ascii="仿宋" w:hAnsi="仿宋" w:eastAsia="仿宋" w:cs="仿宋"/>
          <w:b/>
          <w:color w:val="auto"/>
          <w:kern w:val="44"/>
          <w:sz w:val="32"/>
          <w:szCs w:val="20"/>
          <w:lang w:val="en-US" w:eastAsia="zh-CN"/>
        </w:rPr>
        <w:t>1</w:t>
      </w:r>
      <w:r>
        <w:rPr>
          <w:rFonts w:hint="eastAsia" w:ascii="仿宋" w:hAnsi="仿宋" w:eastAsia="仿宋" w:cs="仿宋"/>
          <w:b/>
          <w:color w:val="auto"/>
          <w:kern w:val="44"/>
          <w:sz w:val="32"/>
          <w:szCs w:val="20"/>
        </w:rPr>
        <w:t xml:space="preserve">章  </w:t>
      </w:r>
      <w:bookmarkEnd w:id="4"/>
      <w:bookmarkEnd w:id="5"/>
      <w:bookmarkEnd w:id="6"/>
      <w:bookmarkEnd w:id="7"/>
      <w:bookmarkEnd w:id="8"/>
      <w:r>
        <w:rPr>
          <w:rFonts w:hint="eastAsia" w:ascii="仿宋" w:hAnsi="仿宋" w:eastAsia="仿宋" w:cs="仿宋"/>
          <w:b/>
          <w:color w:val="auto"/>
          <w:kern w:val="44"/>
          <w:sz w:val="32"/>
          <w:szCs w:val="20"/>
        </w:rPr>
        <w:t>招标公告</w:t>
      </w:r>
      <w:bookmarkEnd w:id="9"/>
      <w:bookmarkEnd w:id="10"/>
    </w:p>
    <w:p>
      <w:pPr>
        <w:rPr>
          <w:rFonts w:ascii="仿宋" w:hAnsi="仿宋" w:eastAsia="仿宋" w:cs="仿宋"/>
          <w:color w:val="auto"/>
        </w:rPr>
      </w:pPr>
    </w:p>
    <w:p>
      <w:pPr>
        <w:pStyle w:val="11"/>
        <w:ind w:firstLine="480" w:firstLineChars="200"/>
        <w:rPr>
          <w:rFonts w:ascii="仿宋" w:hAnsi="仿宋" w:eastAsia="仿宋" w:cs="仿宋"/>
          <w:color w:val="auto"/>
        </w:rPr>
      </w:pPr>
      <w:bookmarkStart w:id="11" w:name="_Toc512937850"/>
      <w:r>
        <w:rPr>
          <w:rFonts w:hint="eastAsia" w:ascii="仿宋" w:hAnsi="仿宋" w:eastAsia="仿宋" w:cs="仿宋"/>
          <w:color w:val="auto"/>
        </w:rPr>
        <w:t>项目概况</w:t>
      </w:r>
    </w:p>
    <w:tbl>
      <w:tblPr>
        <w:tblStyle w:val="38"/>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8" w:type="dxa"/>
          </w:tcPr>
          <w:p>
            <w:pPr>
              <w:pStyle w:val="11"/>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仿宋" w:hAnsi="仿宋" w:eastAsia="仿宋" w:cs="仿宋"/>
                <w:color w:val="auto"/>
              </w:rPr>
            </w:pPr>
            <w:r>
              <w:rPr>
                <w:rFonts w:hint="eastAsia" w:ascii="仿宋" w:hAnsi="仿宋" w:eastAsia="仿宋"/>
                <w:color w:val="auto"/>
                <w:kern w:val="2"/>
                <w:szCs w:val="24"/>
                <w:lang w:eastAsia="zh-CN"/>
              </w:rPr>
              <w:t>克州2023年自然灾害防治体系建设补助资金项目</w:t>
            </w:r>
            <w:r>
              <w:rPr>
                <w:rFonts w:hint="eastAsia" w:ascii="仿宋" w:hAnsi="仿宋" w:eastAsia="仿宋"/>
                <w:color w:val="auto"/>
                <w:kern w:val="2"/>
                <w:szCs w:val="24"/>
              </w:rPr>
              <w:t>的潜在供应商应在新疆政府采购网自行下载获取采购文件，并于2023年</w:t>
            </w:r>
            <w:r>
              <w:rPr>
                <w:rFonts w:hint="eastAsia" w:ascii="仿宋" w:hAnsi="仿宋" w:eastAsia="仿宋"/>
                <w:color w:val="auto"/>
                <w:kern w:val="2"/>
                <w:szCs w:val="24"/>
                <w:lang w:val="en-US" w:eastAsia="zh-CN"/>
              </w:rPr>
              <w:t>3月7日</w:t>
            </w:r>
            <w:r>
              <w:rPr>
                <w:rFonts w:hint="eastAsia" w:ascii="仿宋" w:hAnsi="仿宋" w:eastAsia="仿宋"/>
                <w:color w:val="auto"/>
                <w:kern w:val="2"/>
                <w:szCs w:val="24"/>
              </w:rPr>
              <w:t>11:00（北京时间）前递交投标文件。</w:t>
            </w:r>
          </w:p>
        </w:tc>
      </w:tr>
    </w:tbl>
    <w:p>
      <w:pPr>
        <w:spacing w:line="360" w:lineRule="auto"/>
        <w:ind w:firstLine="480" w:firstLineChars="200"/>
        <w:outlineLvl w:val="1"/>
        <w:rPr>
          <w:rFonts w:ascii="仿宋" w:hAnsi="仿宋" w:eastAsia="仿宋"/>
          <w:color w:val="auto"/>
          <w:sz w:val="24"/>
        </w:rPr>
      </w:pPr>
      <w:bookmarkStart w:id="12" w:name="_Toc26370"/>
      <w:r>
        <w:rPr>
          <w:rFonts w:hint="eastAsia" w:ascii="仿宋" w:hAnsi="仿宋" w:eastAsia="仿宋"/>
          <w:color w:val="auto"/>
          <w:sz w:val="24"/>
        </w:rPr>
        <w:t>一、项目基本情况</w:t>
      </w:r>
      <w:bookmarkEnd w:id="12"/>
    </w:p>
    <w:p>
      <w:pPr>
        <w:spacing w:line="360" w:lineRule="auto"/>
        <w:ind w:firstLine="480" w:firstLineChars="200"/>
        <w:rPr>
          <w:rFonts w:hint="default" w:ascii="仿宋" w:hAnsi="仿宋" w:eastAsia="仿宋"/>
          <w:color w:val="auto"/>
          <w:sz w:val="24"/>
          <w:lang w:val="en-US" w:eastAsia="zh-CN"/>
        </w:rPr>
      </w:pPr>
      <w:r>
        <w:rPr>
          <w:rFonts w:hint="eastAsia" w:ascii="仿宋" w:hAnsi="仿宋" w:eastAsia="仿宋"/>
          <w:color w:val="auto"/>
          <w:sz w:val="24"/>
        </w:rPr>
        <w:t>项目编号：</w:t>
      </w:r>
      <w:r>
        <w:rPr>
          <w:rFonts w:hint="eastAsia" w:ascii="仿宋" w:hAnsi="仿宋" w:eastAsia="仿宋"/>
          <w:color w:val="auto"/>
          <w:sz w:val="24"/>
          <w:lang w:eastAsia="zh-CN"/>
        </w:rPr>
        <w:t>GYZB-KZDZFZ2023</w:t>
      </w:r>
      <w:r>
        <w:rPr>
          <w:rFonts w:hint="eastAsia" w:ascii="仿宋" w:hAnsi="仿宋" w:eastAsia="仿宋"/>
          <w:color w:val="auto"/>
          <w:sz w:val="24"/>
          <w:lang w:val="en-US" w:eastAsia="zh-CN"/>
        </w:rPr>
        <w:t>-01</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项目名称：</w:t>
      </w:r>
      <w:r>
        <w:rPr>
          <w:rFonts w:hint="eastAsia" w:ascii="仿宋" w:hAnsi="仿宋" w:eastAsia="仿宋"/>
          <w:color w:val="auto"/>
          <w:sz w:val="24"/>
          <w:lang w:eastAsia="zh-CN"/>
        </w:rPr>
        <w:t>克州2023年自然灾害防治体系建设补助资金项目</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采购方式：公开招标</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预算金额（元）：</w:t>
      </w:r>
      <w:r>
        <w:rPr>
          <w:rFonts w:hint="eastAsia" w:ascii="仿宋" w:hAnsi="仿宋" w:eastAsia="仿宋"/>
          <w:color w:val="auto"/>
          <w:sz w:val="24"/>
          <w:lang w:val="en-US" w:eastAsia="zh-CN"/>
        </w:rPr>
        <w:t>123</w:t>
      </w:r>
      <w:r>
        <w:rPr>
          <w:rFonts w:hint="eastAsia" w:ascii="仿宋" w:hAnsi="仿宋" w:eastAsia="仿宋"/>
          <w:color w:val="auto"/>
          <w:sz w:val="24"/>
        </w:rPr>
        <w:t>00000.00</w:t>
      </w:r>
    </w:p>
    <w:p>
      <w:pPr>
        <w:spacing w:line="360" w:lineRule="auto"/>
        <w:ind w:firstLine="480" w:firstLineChars="200"/>
        <w:rPr>
          <w:rFonts w:hint="default" w:ascii="仿宋" w:hAnsi="仿宋" w:eastAsia="仿宋"/>
          <w:color w:val="auto"/>
          <w:sz w:val="24"/>
          <w:lang w:val="en-US" w:eastAsia="zh-CN"/>
        </w:rPr>
      </w:pPr>
      <w:r>
        <w:rPr>
          <w:rFonts w:hint="eastAsia" w:ascii="仿宋" w:hAnsi="仿宋" w:eastAsia="仿宋"/>
          <w:color w:val="auto"/>
          <w:sz w:val="24"/>
        </w:rPr>
        <w:t>最高限价（元）：</w:t>
      </w:r>
      <w:r>
        <w:rPr>
          <w:rFonts w:hint="eastAsia" w:ascii="仿宋" w:hAnsi="仿宋" w:eastAsia="仿宋"/>
          <w:color w:val="auto"/>
          <w:sz w:val="24"/>
          <w:lang w:val="en-US" w:eastAsia="zh-CN"/>
        </w:rPr>
        <w:t>1300000.00，1300000.00，4447000.00，3962000.00，950000.00，341000.00</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xml:space="preserve">采购需求：    </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标项一：</w:t>
      </w:r>
      <w:r>
        <w:rPr>
          <w:rFonts w:hint="eastAsia" w:ascii="仿宋" w:hAnsi="仿宋" w:eastAsia="仿宋"/>
          <w:color w:val="auto"/>
          <w:sz w:val="24"/>
          <w:lang w:eastAsia="zh-CN"/>
        </w:rPr>
        <w:t>GYZB-KZDZFZ2023</w:t>
      </w:r>
      <w:r>
        <w:rPr>
          <w:rFonts w:hint="eastAsia" w:ascii="仿宋" w:hAnsi="仿宋" w:eastAsia="仿宋"/>
          <w:color w:val="auto"/>
          <w:sz w:val="24"/>
        </w:rPr>
        <w:t>-01</w:t>
      </w:r>
      <w:r>
        <w:rPr>
          <w:rFonts w:hint="eastAsia" w:ascii="仿宋" w:hAnsi="仿宋" w:eastAsia="仿宋"/>
          <w:color w:val="auto"/>
          <w:sz w:val="24"/>
          <w:lang w:val="en-US" w:eastAsia="zh-CN"/>
        </w:rPr>
        <w:t>-01</w:t>
      </w:r>
      <w:r>
        <w:rPr>
          <w:rFonts w:hint="eastAsia" w:ascii="仿宋" w:hAnsi="仿宋" w:eastAsia="仿宋"/>
          <w:color w:val="auto"/>
          <w:sz w:val="24"/>
        </w:rPr>
        <w:t>；新疆</w:t>
      </w:r>
      <w:r>
        <w:rPr>
          <w:rFonts w:hint="eastAsia" w:ascii="仿宋" w:hAnsi="仿宋" w:eastAsia="仿宋"/>
          <w:color w:val="auto"/>
          <w:sz w:val="24"/>
          <w:lang w:val="en-US" w:eastAsia="zh-CN"/>
        </w:rPr>
        <w:t>阿克陶县</w:t>
      </w:r>
      <w:r>
        <w:rPr>
          <w:rFonts w:hint="eastAsia" w:ascii="仿宋" w:hAnsi="仿宋" w:eastAsia="仿宋"/>
          <w:color w:val="auto"/>
          <w:sz w:val="24"/>
        </w:rPr>
        <w:t>地质灾害风险调查评价项目；预算金额：130万元；</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本项目（否）接受联合体投标。</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标项二：</w:t>
      </w:r>
      <w:r>
        <w:rPr>
          <w:rFonts w:hint="eastAsia" w:ascii="仿宋" w:hAnsi="仿宋" w:eastAsia="仿宋"/>
          <w:color w:val="auto"/>
          <w:sz w:val="24"/>
          <w:lang w:eastAsia="zh-CN"/>
        </w:rPr>
        <w:t>GYZB-KZDZFZ2023</w:t>
      </w:r>
      <w:r>
        <w:rPr>
          <w:rFonts w:hint="eastAsia" w:ascii="仿宋" w:hAnsi="仿宋" w:eastAsia="仿宋"/>
          <w:color w:val="auto"/>
          <w:sz w:val="24"/>
        </w:rPr>
        <w:t>-0</w:t>
      </w:r>
      <w:r>
        <w:rPr>
          <w:rFonts w:hint="eastAsia" w:ascii="仿宋" w:hAnsi="仿宋" w:eastAsia="仿宋"/>
          <w:color w:val="auto"/>
          <w:sz w:val="24"/>
          <w:lang w:val="en-US" w:eastAsia="zh-CN"/>
        </w:rPr>
        <w:t>1-02</w:t>
      </w:r>
      <w:r>
        <w:rPr>
          <w:rFonts w:hint="eastAsia" w:ascii="仿宋" w:hAnsi="仿宋" w:eastAsia="仿宋"/>
          <w:color w:val="auto"/>
          <w:sz w:val="24"/>
        </w:rPr>
        <w:t>；新疆</w:t>
      </w:r>
      <w:r>
        <w:rPr>
          <w:rFonts w:hint="eastAsia" w:ascii="仿宋" w:hAnsi="仿宋" w:eastAsia="仿宋"/>
          <w:color w:val="auto"/>
          <w:sz w:val="24"/>
          <w:lang w:val="en-US" w:eastAsia="zh-CN"/>
        </w:rPr>
        <w:t>乌恰</w:t>
      </w:r>
      <w:r>
        <w:rPr>
          <w:rFonts w:hint="eastAsia" w:ascii="仿宋" w:hAnsi="仿宋" w:eastAsia="仿宋"/>
          <w:color w:val="auto"/>
          <w:sz w:val="24"/>
        </w:rPr>
        <w:t>县地质灾害风险调查评价项目；预算金额：1</w:t>
      </w:r>
      <w:r>
        <w:rPr>
          <w:rFonts w:hint="eastAsia" w:ascii="仿宋" w:hAnsi="仿宋" w:eastAsia="仿宋"/>
          <w:color w:val="auto"/>
          <w:sz w:val="24"/>
          <w:lang w:val="en-US" w:eastAsia="zh-CN"/>
        </w:rPr>
        <w:t>30</w:t>
      </w:r>
      <w:r>
        <w:rPr>
          <w:rFonts w:hint="eastAsia" w:ascii="仿宋" w:hAnsi="仿宋" w:eastAsia="仿宋"/>
          <w:color w:val="auto"/>
          <w:sz w:val="24"/>
        </w:rPr>
        <w:t>万元；</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本项目（否）接受联合体投标。</w:t>
      </w:r>
    </w:p>
    <w:p>
      <w:pPr>
        <w:spacing w:line="360" w:lineRule="auto"/>
        <w:ind w:firstLine="480" w:firstLineChars="200"/>
        <w:rPr>
          <w:rFonts w:hint="default" w:ascii="仿宋" w:hAnsi="仿宋" w:eastAsia="仿宋"/>
          <w:color w:val="auto"/>
          <w:sz w:val="24"/>
          <w:lang w:val="en-US" w:eastAsia="zh-CN"/>
        </w:rPr>
      </w:pPr>
      <w:r>
        <w:rPr>
          <w:rFonts w:hint="eastAsia" w:ascii="仿宋" w:hAnsi="仿宋" w:eastAsia="仿宋"/>
          <w:color w:val="auto"/>
          <w:sz w:val="24"/>
        </w:rPr>
        <w:t>标项三：</w:t>
      </w:r>
      <w:r>
        <w:rPr>
          <w:rFonts w:hint="eastAsia" w:ascii="仿宋" w:hAnsi="仿宋" w:eastAsia="仿宋"/>
          <w:color w:val="auto"/>
          <w:sz w:val="24"/>
          <w:lang w:eastAsia="zh-CN"/>
        </w:rPr>
        <w:t>GYZB-KZDZFZ2023</w:t>
      </w:r>
      <w:r>
        <w:rPr>
          <w:rFonts w:hint="eastAsia" w:ascii="仿宋" w:hAnsi="仿宋" w:eastAsia="仿宋"/>
          <w:color w:val="auto"/>
          <w:sz w:val="24"/>
        </w:rPr>
        <w:t>-0</w:t>
      </w:r>
      <w:r>
        <w:rPr>
          <w:rFonts w:hint="eastAsia" w:ascii="仿宋" w:hAnsi="仿宋" w:eastAsia="仿宋"/>
          <w:color w:val="auto"/>
          <w:sz w:val="24"/>
          <w:lang w:val="en-US" w:eastAsia="zh-CN"/>
        </w:rPr>
        <w:t>1</w:t>
      </w:r>
      <w:r>
        <w:rPr>
          <w:rFonts w:hint="eastAsia" w:ascii="仿宋" w:hAnsi="仿宋" w:eastAsia="仿宋" w:cs="Times New Roman"/>
          <w:color w:val="auto"/>
          <w:sz w:val="24"/>
        </w:rPr>
        <w:t>-03；</w:t>
      </w:r>
      <w:r>
        <w:rPr>
          <w:rFonts w:hint="eastAsia" w:ascii="仿宋" w:hAnsi="仿宋" w:eastAsia="仿宋" w:cs="Times New Roman"/>
          <w:color w:val="auto"/>
          <w:sz w:val="24"/>
          <w:lang w:eastAsia="zh-CN"/>
        </w:rPr>
        <w:t>新疆乌恰县吾合沙鲁乡政府、小学泥石流</w:t>
      </w:r>
      <w:r>
        <w:rPr>
          <w:rFonts w:hint="eastAsia" w:ascii="仿宋" w:hAnsi="仿宋" w:eastAsia="仿宋" w:cs="Times New Roman"/>
          <w:color w:val="auto"/>
          <w:sz w:val="24"/>
          <w:lang w:val="en-US" w:eastAsia="zh-CN"/>
        </w:rPr>
        <w:t>防治工程</w:t>
      </w:r>
      <w:r>
        <w:rPr>
          <w:rFonts w:hint="eastAsia" w:ascii="仿宋" w:hAnsi="仿宋" w:eastAsia="仿宋" w:cs="Times New Roman"/>
          <w:color w:val="auto"/>
          <w:sz w:val="24"/>
        </w:rPr>
        <w:t>；预算金额：</w:t>
      </w:r>
      <w:r>
        <w:rPr>
          <w:rFonts w:hint="eastAsia" w:ascii="仿宋" w:hAnsi="仿宋" w:eastAsia="仿宋" w:cs="Times New Roman"/>
          <w:color w:val="auto"/>
          <w:sz w:val="24"/>
          <w:lang w:val="en-US" w:eastAsia="zh-CN"/>
        </w:rPr>
        <w:t>444.7</w:t>
      </w:r>
      <w:r>
        <w:rPr>
          <w:rFonts w:hint="eastAsia" w:ascii="仿宋" w:hAnsi="仿宋" w:eastAsia="仿宋" w:cs="Times New Roman"/>
          <w:color w:val="auto"/>
          <w:sz w:val="24"/>
        </w:rPr>
        <w:t>万元；</w:t>
      </w:r>
    </w:p>
    <w:p>
      <w:pPr>
        <w:spacing w:line="360" w:lineRule="auto"/>
        <w:ind w:firstLine="480" w:firstLineChars="200"/>
        <w:rPr>
          <w:rFonts w:hint="eastAsia" w:ascii="仿宋" w:hAnsi="仿宋" w:eastAsia="仿宋"/>
          <w:color w:val="auto"/>
          <w:sz w:val="24"/>
        </w:rPr>
      </w:pPr>
      <w:r>
        <w:rPr>
          <w:rFonts w:hint="eastAsia" w:ascii="仿宋" w:hAnsi="仿宋" w:eastAsia="仿宋"/>
          <w:color w:val="auto"/>
          <w:sz w:val="24"/>
        </w:rPr>
        <w:t>本项目（是）接受联合体投标。</w:t>
      </w:r>
    </w:p>
    <w:p>
      <w:pPr>
        <w:spacing w:line="360" w:lineRule="auto"/>
        <w:ind w:firstLine="480" w:firstLineChars="200"/>
        <w:rPr>
          <w:rFonts w:hint="default" w:ascii="仿宋" w:hAnsi="仿宋" w:eastAsia="仿宋" w:cs="Times New Roman"/>
          <w:color w:val="auto"/>
          <w:sz w:val="24"/>
          <w:lang w:val="en-US" w:eastAsia="zh-CN"/>
        </w:rPr>
      </w:pPr>
      <w:r>
        <w:rPr>
          <w:rFonts w:hint="eastAsia" w:ascii="仿宋" w:hAnsi="仿宋" w:eastAsia="仿宋" w:cs="Times New Roman"/>
          <w:color w:val="auto"/>
          <w:sz w:val="24"/>
          <w:lang w:eastAsia="zh-CN"/>
        </w:rPr>
        <w:t>标项</w:t>
      </w:r>
      <w:r>
        <w:rPr>
          <w:rFonts w:hint="eastAsia" w:ascii="仿宋" w:hAnsi="仿宋" w:eastAsia="仿宋" w:cs="Times New Roman"/>
          <w:color w:val="auto"/>
          <w:sz w:val="24"/>
          <w:lang w:val="en-US" w:eastAsia="zh-CN"/>
        </w:rPr>
        <w:t>四</w:t>
      </w:r>
      <w:r>
        <w:rPr>
          <w:rFonts w:hint="eastAsia" w:ascii="仿宋" w:hAnsi="仿宋" w:eastAsia="仿宋" w:cs="Times New Roman"/>
          <w:color w:val="auto"/>
          <w:sz w:val="24"/>
          <w:lang w:eastAsia="zh-CN"/>
        </w:rPr>
        <w:t>：GYZB-KZDZFZ2023</w:t>
      </w:r>
      <w:r>
        <w:rPr>
          <w:rFonts w:hint="eastAsia" w:ascii="仿宋" w:hAnsi="仿宋" w:eastAsia="仿宋"/>
          <w:color w:val="auto"/>
          <w:sz w:val="24"/>
        </w:rPr>
        <w:t>-0</w:t>
      </w:r>
      <w:r>
        <w:rPr>
          <w:rFonts w:hint="eastAsia" w:ascii="仿宋" w:hAnsi="仿宋" w:eastAsia="仿宋"/>
          <w:color w:val="auto"/>
          <w:sz w:val="24"/>
          <w:lang w:val="en-US" w:eastAsia="zh-CN"/>
        </w:rPr>
        <w:t>1</w:t>
      </w:r>
      <w:r>
        <w:rPr>
          <w:rFonts w:hint="eastAsia" w:ascii="仿宋" w:hAnsi="仿宋" w:eastAsia="仿宋" w:cs="Times New Roman"/>
          <w:color w:val="auto"/>
          <w:sz w:val="24"/>
          <w:lang w:eastAsia="zh-CN"/>
        </w:rPr>
        <w:t>-0</w:t>
      </w:r>
      <w:r>
        <w:rPr>
          <w:rFonts w:hint="eastAsia" w:ascii="仿宋" w:hAnsi="仿宋" w:eastAsia="仿宋" w:cs="Times New Roman"/>
          <w:color w:val="auto"/>
          <w:sz w:val="24"/>
          <w:lang w:val="en-US" w:eastAsia="zh-CN"/>
        </w:rPr>
        <w:t>4</w:t>
      </w:r>
      <w:r>
        <w:rPr>
          <w:rFonts w:hint="eastAsia" w:ascii="仿宋" w:hAnsi="仿宋" w:eastAsia="仿宋" w:cs="Times New Roman"/>
          <w:color w:val="auto"/>
          <w:sz w:val="24"/>
          <w:lang w:eastAsia="zh-CN"/>
        </w:rPr>
        <w:t>；新疆阿克陶县阿克塔拉牧场2村泥石流防治工程；预算金额：</w:t>
      </w:r>
      <w:r>
        <w:rPr>
          <w:rFonts w:hint="eastAsia" w:ascii="仿宋" w:hAnsi="仿宋" w:eastAsia="仿宋" w:cs="Times New Roman"/>
          <w:color w:val="auto"/>
          <w:sz w:val="24"/>
          <w:lang w:val="en-US" w:eastAsia="zh-CN"/>
        </w:rPr>
        <w:t>396.2</w:t>
      </w:r>
      <w:r>
        <w:rPr>
          <w:rFonts w:hint="eastAsia" w:ascii="仿宋" w:hAnsi="仿宋" w:eastAsia="仿宋" w:cs="Times New Roman"/>
          <w:color w:val="auto"/>
          <w:sz w:val="24"/>
          <w:lang w:eastAsia="zh-CN"/>
        </w:rPr>
        <w:t>万元；</w:t>
      </w:r>
    </w:p>
    <w:p>
      <w:pPr>
        <w:spacing w:line="360" w:lineRule="auto"/>
        <w:ind w:firstLine="480" w:firstLineChars="200"/>
        <w:rPr>
          <w:rFonts w:hint="eastAsia" w:ascii="仿宋" w:hAnsi="仿宋" w:eastAsia="仿宋" w:cs="Times New Roman"/>
          <w:color w:val="auto"/>
          <w:sz w:val="24"/>
          <w:lang w:eastAsia="zh-CN"/>
        </w:rPr>
      </w:pPr>
      <w:r>
        <w:rPr>
          <w:rFonts w:hint="eastAsia" w:ascii="仿宋" w:hAnsi="仿宋" w:eastAsia="仿宋" w:cs="Times New Roman"/>
          <w:color w:val="auto"/>
          <w:sz w:val="24"/>
          <w:lang w:eastAsia="zh-CN"/>
        </w:rPr>
        <w:t>本项目（是）接受联合体投标。</w:t>
      </w:r>
    </w:p>
    <w:p>
      <w:pPr>
        <w:spacing w:line="360" w:lineRule="auto"/>
        <w:ind w:firstLine="480" w:firstLineChars="200"/>
        <w:rPr>
          <w:rFonts w:hint="default" w:ascii="仿宋" w:hAnsi="仿宋" w:eastAsia="仿宋" w:cs="Times New Roman"/>
          <w:color w:val="auto"/>
          <w:sz w:val="24"/>
          <w:lang w:val="en-US" w:eastAsia="zh-CN"/>
        </w:rPr>
      </w:pPr>
      <w:r>
        <w:rPr>
          <w:rFonts w:hint="eastAsia" w:ascii="仿宋" w:hAnsi="仿宋" w:eastAsia="仿宋" w:cs="Times New Roman"/>
          <w:color w:val="auto"/>
          <w:sz w:val="24"/>
          <w:lang w:eastAsia="zh-CN"/>
        </w:rPr>
        <w:t>标项</w:t>
      </w:r>
      <w:r>
        <w:rPr>
          <w:rFonts w:hint="eastAsia" w:ascii="仿宋" w:hAnsi="仿宋" w:eastAsia="仿宋" w:cs="Times New Roman"/>
          <w:color w:val="auto"/>
          <w:sz w:val="24"/>
          <w:lang w:val="en-US" w:eastAsia="zh-CN"/>
        </w:rPr>
        <w:t>五</w:t>
      </w:r>
      <w:r>
        <w:rPr>
          <w:rFonts w:hint="eastAsia" w:ascii="仿宋" w:hAnsi="仿宋" w:eastAsia="仿宋" w:cs="Times New Roman"/>
          <w:color w:val="auto"/>
          <w:sz w:val="24"/>
          <w:lang w:eastAsia="zh-CN"/>
        </w:rPr>
        <w:t>：GYZB-KZDZFZ2023</w:t>
      </w:r>
      <w:r>
        <w:rPr>
          <w:rFonts w:hint="eastAsia" w:ascii="仿宋" w:hAnsi="仿宋" w:eastAsia="仿宋"/>
          <w:color w:val="auto"/>
          <w:sz w:val="24"/>
        </w:rPr>
        <w:t>-0</w:t>
      </w:r>
      <w:r>
        <w:rPr>
          <w:rFonts w:hint="eastAsia" w:ascii="仿宋" w:hAnsi="仿宋" w:eastAsia="仿宋"/>
          <w:color w:val="auto"/>
          <w:sz w:val="24"/>
          <w:lang w:val="en-US" w:eastAsia="zh-CN"/>
        </w:rPr>
        <w:t>1</w:t>
      </w:r>
      <w:r>
        <w:rPr>
          <w:rFonts w:hint="eastAsia" w:ascii="仿宋" w:hAnsi="仿宋" w:eastAsia="仿宋" w:cs="Times New Roman"/>
          <w:color w:val="auto"/>
          <w:sz w:val="24"/>
          <w:lang w:eastAsia="zh-CN"/>
        </w:rPr>
        <w:t>-0</w:t>
      </w:r>
      <w:r>
        <w:rPr>
          <w:rFonts w:hint="eastAsia" w:ascii="仿宋" w:hAnsi="仿宋" w:eastAsia="仿宋" w:cs="Times New Roman"/>
          <w:color w:val="auto"/>
          <w:sz w:val="24"/>
          <w:lang w:val="en-US" w:eastAsia="zh-CN"/>
        </w:rPr>
        <w:t>5</w:t>
      </w:r>
      <w:r>
        <w:rPr>
          <w:rFonts w:hint="eastAsia" w:ascii="仿宋" w:hAnsi="仿宋" w:eastAsia="仿宋" w:cs="Times New Roman"/>
          <w:color w:val="auto"/>
          <w:sz w:val="24"/>
          <w:lang w:eastAsia="zh-CN"/>
        </w:rPr>
        <w:t>；新疆克州群专结合监测预警点建设（2023年度）；预算金额：</w:t>
      </w:r>
      <w:r>
        <w:rPr>
          <w:rFonts w:hint="eastAsia" w:ascii="仿宋" w:hAnsi="仿宋" w:eastAsia="仿宋" w:cs="Times New Roman"/>
          <w:color w:val="auto"/>
          <w:sz w:val="24"/>
          <w:lang w:val="en-US" w:eastAsia="zh-CN"/>
        </w:rPr>
        <w:t>95.0</w:t>
      </w:r>
      <w:r>
        <w:rPr>
          <w:rFonts w:hint="eastAsia" w:ascii="仿宋" w:hAnsi="仿宋" w:eastAsia="仿宋" w:cs="Times New Roman"/>
          <w:color w:val="auto"/>
          <w:sz w:val="24"/>
          <w:lang w:eastAsia="zh-CN"/>
        </w:rPr>
        <w:t>万元；</w:t>
      </w:r>
    </w:p>
    <w:p>
      <w:pPr>
        <w:spacing w:line="360" w:lineRule="auto"/>
        <w:ind w:firstLine="480" w:firstLineChars="200"/>
        <w:rPr>
          <w:rFonts w:hint="eastAsia" w:ascii="仿宋" w:hAnsi="仿宋" w:eastAsia="仿宋" w:cs="Times New Roman"/>
          <w:color w:val="auto"/>
          <w:sz w:val="24"/>
          <w:lang w:eastAsia="zh-CN"/>
        </w:rPr>
      </w:pPr>
      <w:r>
        <w:rPr>
          <w:rFonts w:hint="eastAsia" w:ascii="仿宋" w:hAnsi="仿宋" w:eastAsia="仿宋" w:cs="Times New Roman"/>
          <w:color w:val="auto"/>
          <w:sz w:val="24"/>
          <w:lang w:eastAsia="zh-CN"/>
        </w:rPr>
        <w:t>本项目（是）接受联合体投标。</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标项</w:t>
      </w:r>
      <w:r>
        <w:rPr>
          <w:rFonts w:hint="eastAsia" w:ascii="仿宋" w:hAnsi="仿宋" w:eastAsia="仿宋"/>
          <w:color w:val="auto"/>
          <w:sz w:val="24"/>
          <w:lang w:val="en-US" w:eastAsia="zh-CN"/>
        </w:rPr>
        <w:t>六</w:t>
      </w:r>
      <w:r>
        <w:rPr>
          <w:rFonts w:hint="eastAsia" w:ascii="仿宋" w:hAnsi="仿宋" w:eastAsia="仿宋"/>
          <w:color w:val="auto"/>
          <w:sz w:val="24"/>
        </w:rPr>
        <w:t>：</w:t>
      </w:r>
      <w:r>
        <w:rPr>
          <w:rFonts w:hint="eastAsia" w:ascii="仿宋" w:hAnsi="仿宋" w:eastAsia="仿宋"/>
          <w:color w:val="auto"/>
          <w:sz w:val="24"/>
          <w:lang w:eastAsia="zh-CN"/>
        </w:rPr>
        <w:t>GYZB-KZDZFZ2023</w:t>
      </w:r>
      <w:r>
        <w:rPr>
          <w:rFonts w:hint="eastAsia" w:ascii="仿宋" w:hAnsi="仿宋" w:eastAsia="仿宋"/>
          <w:color w:val="auto"/>
          <w:sz w:val="24"/>
        </w:rPr>
        <w:t>-0</w:t>
      </w:r>
      <w:r>
        <w:rPr>
          <w:rFonts w:hint="eastAsia" w:ascii="仿宋" w:hAnsi="仿宋" w:eastAsia="仿宋"/>
          <w:color w:val="auto"/>
          <w:sz w:val="24"/>
          <w:lang w:val="en-US" w:eastAsia="zh-CN"/>
        </w:rPr>
        <w:t>1</w:t>
      </w:r>
      <w:r>
        <w:rPr>
          <w:rFonts w:hint="eastAsia" w:ascii="仿宋" w:hAnsi="仿宋" w:eastAsia="仿宋"/>
          <w:color w:val="auto"/>
          <w:sz w:val="24"/>
        </w:rPr>
        <w:t>-0</w:t>
      </w:r>
      <w:r>
        <w:rPr>
          <w:rFonts w:hint="eastAsia" w:ascii="仿宋" w:hAnsi="仿宋" w:eastAsia="仿宋"/>
          <w:color w:val="auto"/>
          <w:sz w:val="24"/>
          <w:lang w:val="en-US" w:eastAsia="zh-CN"/>
        </w:rPr>
        <w:t>6</w:t>
      </w:r>
      <w:r>
        <w:rPr>
          <w:rFonts w:hint="eastAsia" w:ascii="仿宋" w:hAnsi="仿宋" w:eastAsia="仿宋"/>
          <w:color w:val="auto"/>
          <w:sz w:val="24"/>
        </w:rPr>
        <w:t>；</w:t>
      </w:r>
      <w:r>
        <w:rPr>
          <w:rFonts w:hint="eastAsia" w:ascii="仿宋" w:hAnsi="仿宋" w:eastAsia="仿宋"/>
          <w:color w:val="auto"/>
          <w:sz w:val="24"/>
          <w:lang w:eastAsia="zh-CN"/>
        </w:rPr>
        <w:t>克州2023年自然灾害防治体系建设补助资金项目</w:t>
      </w:r>
      <w:r>
        <w:rPr>
          <w:rFonts w:hint="eastAsia" w:ascii="仿宋" w:hAnsi="仿宋" w:eastAsia="仿宋"/>
          <w:color w:val="auto"/>
          <w:sz w:val="24"/>
        </w:rPr>
        <w:t>监理；预算金额：</w:t>
      </w:r>
      <w:r>
        <w:rPr>
          <w:rFonts w:hint="eastAsia" w:ascii="仿宋" w:hAnsi="仿宋" w:eastAsia="仿宋"/>
          <w:color w:val="auto"/>
          <w:sz w:val="24"/>
          <w:lang w:val="en-US" w:eastAsia="zh-CN"/>
        </w:rPr>
        <w:t>34.10</w:t>
      </w:r>
      <w:r>
        <w:rPr>
          <w:rFonts w:hint="eastAsia" w:ascii="仿宋" w:hAnsi="仿宋" w:eastAsia="仿宋"/>
          <w:color w:val="auto"/>
          <w:sz w:val="24"/>
        </w:rPr>
        <w:t>万元；</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本项目（否）接受联合体投标。</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合同履行期限：详见采购文件。</w:t>
      </w:r>
    </w:p>
    <w:p>
      <w:pPr>
        <w:numPr>
          <w:ilvl w:val="0"/>
          <w:numId w:val="2"/>
        </w:numPr>
        <w:spacing w:line="360" w:lineRule="auto"/>
        <w:ind w:firstLine="480" w:firstLineChars="200"/>
        <w:outlineLvl w:val="1"/>
        <w:rPr>
          <w:rFonts w:hint="eastAsia" w:ascii="仿宋" w:hAnsi="仿宋" w:eastAsia="仿宋"/>
          <w:color w:val="auto"/>
          <w:sz w:val="24"/>
        </w:rPr>
      </w:pPr>
      <w:bookmarkStart w:id="13" w:name="_Toc7454"/>
      <w:r>
        <w:rPr>
          <w:rFonts w:hint="eastAsia" w:ascii="仿宋" w:hAnsi="仿宋" w:eastAsia="仿宋"/>
          <w:color w:val="auto"/>
          <w:sz w:val="24"/>
        </w:rPr>
        <w:t>申请人的资格要求：</w:t>
      </w:r>
      <w:bookmarkEnd w:id="13"/>
    </w:p>
    <w:p>
      <w:pPr>
        <w:spacing w:line="360" w:lineRule="auto"/>
        <w:ind w:firstLine="482" w:firstLineChars="200"/>
        <w:rPr>
          <w:rFonts w:hint="eastAsia" w:ascii="仿宋" w:hAnsi="仿宋" w:eastAsia="仿宋" w:cs="Times New Roman"/>
          <w:b/>
          <w:bCs/>
          <w:color w:val="auto"/>
          <w:sz w:val="24"/>
          <w:lang w:val="en-US" w:eastAsia="zh-CN"/>
        </w:rPr>
      </w:pPr>
      <w:r>
        <w:rPr>
          <w:rFonts w:hint="eastAsia" w:ascii="仿宋" w:hAnsi="仿宋" w:eastAsia="仿宋" w:cs="Times New Roman"/>
          <w:b/>
          <w:bCs/>
          <w:color w:val="auto"/>
          <w:sz w:val="24"/>
          <w:lang w:val="en-US" w:eastAsia="zh-CN"/>
        </w:rPr>
        <w:t>1.满足《中华人民共和国政府采购法》第二十二条规定：</w:t>
      </w:r>
    </w:p>
    <w:p>
      <w:pPr>
        <w:tabs>
          <w:tab w:val="left" w:pos="5670"/>
        </w:tabs>
        <w:spacing w:line="360" w:lineRule="auto"/>
        <w:ind w:firstLine="480" w:firstLineChars="200"/>
        <w:rPr>
          <w:rFonts w:hint="eastAsia" w:ascii="仿宋" w:hAnsi="仿宋" w:eastAsia="仿宋" w:cs="Times New Roman"/>
          <w:color w:val="auto"/>
          <w:sz w:val="24"/>
          <w:lang w:eastAsia="zh-CN"/>
        </w:rPr>
      </w:pPr>
      <w:r>
        <w:rPr>
          <w:rFonts w:hint="eastAsia" w:ascii="仿宋" w:hAnsi="仿宋" w:eastAsia="仿宋" w:cs="Times New Roman"/>
          <w:color w:val="auto"/>
          <w:sz w:val="24"/>
          <w:lang w:val="en-US" w:eastAsia="zh-CN"/>
        </w:rPr>
        <w:t>(1)</w:t>
      </w:r>
      <w:r>
        <w:rPr>
          <w:rFonts w:hint="eastAsia" w:ascii="仿宋" w:hAnsi="仿宋" w:eastAsia="仿宋" w:cs="Times New Roman"/>
          <w:color w:val="auto"/>
          <w:sz w:val="24"/>
        </w:rPr>
        <w:t>有效的营业执照正本或副本</w:t>
      </w:r>
      <w:r>
        <w:rPr>
          <w:rFonts w:hint="eastAsia" w:ascii="仿宋" w:hAnsi="仿宋" w:eastAsia="仿宋" w:cs="Times New Roman"/>
          <w:color w:val="auto"/>
          <w:sz w:val="24"/>
          <w:lang w:eastAsia="zh-CN"/>
        </w:rPr>
        <w:t>；</w:t>
      </w:r>
    </w:p>
    <w:p>
      <w:pPr>
        <w:spacing w:line="360" w:lineRule="auto"/>
        <w:ind w:firstLine="480" w:firstLineChars="200"/>
        <w:rPr>
          <w:rFonts w:hint="eastAsia" w:ascii="仿宋" w:hAnsi="仿宋" w:eastAsia="仿宋" w:cs="Times New Roman"/>
          <w:color w:val="auto"/>
          <w:sz w:val="24"/>
          <w:lang w:val="en-US" w:eastAsia="zh-CN"/>
        </w:rPr>
      </w:pPr>
      <w:r>
        <w:rPr>
          <w:rFonts w:hint="eastAsia" w:ascii="仿宋" w:hAnsi="仿宋" w:eastAsia="仿宋" w:cs="Times New Roman"/>
          <w:color w:val="auto"/>
          <w:sz w:val="24"/>
          <w:lang w:val="en-US" w:eastAsia="zh-CN"/>
        </w:rPr>
        <w:t>(2)具有良好的商业信誉和健全的财务会计制度；</w:t>
      </w:r>
    </w:p>
    <w:p>
      <w:pPr>
        <w:spacing w:line="360" w:lineRule="auto"/>
        <w:ind w:firstLine="480" w:firstLineChars="200"/>
        <w:rPr>
          <w:rFonts w:hint="eastAsia" w:ascii="仿宋" w:hAnsi="仿宋" w:eastAsia="仿宋" w:cs="Times New Roman"/>
          <w:color w:val="auto"/>
          <w:sz w:val="24"/>
          <w:lang w:val="en-US" w:eastAsia="zh-CN"/>
        </w:rPr>
      </w:pPr>
      <w:r>
        <w:rPr>
          <w:rFonts w:hint="eastAsia" w:ascii="仿宋" w:hAnsi="仿宋" w:eastAsia="仿宋" w:cs="Times New Roman"/>
          <w:color w:val="auto"/>
          <w:sz w:val="24"/>
          <w:lang w:val="en-US" w:eastAsia="zh-CN"/>
        </w:rPr>
        <w:t>(3)具有履行合同所必需的设备和专业技术能力；</w:t>
      </w:r>
    </w:p>
    <w:p>
      <w:pPr>
        <w:spacing w:line="360" w:lineRule="auto"/>
        <w:ind w:firstLine="480" w:firstLineChars="200"/>
        <w:rPr>
          <w:rFonts w:hint="eastAsia" w:ascii="仿宋" w:hAnsi="仿宋" w:eastAsia="仿宋" w:cs="Times New Roman"/>
          <w:color w:val="auto"/>
          <w:sz w:val="24"/>
          <w:lang w:val="en-US" w:eastAsia="zh-CN"/>
        </w:rPr>
      </w:pPr>
      <w:r>
        <w:rPr>
          <w:rFonts w:hint="eastAsia" w:ascii="仿宋" w:hAnsi="仿宋" w:eastAsia="仿宋" w:cs="Times New Roman"/>
          <w:color w:val="auto"/>
          <w:sz w:val="24"/>
          <w:lang w:val="en-US" w:eastAsia="zh-CN"/>
        </w:rPr>
        <w:t>(4)</w:t>
      </w:r>
      <w:r>
        <w:rPr>
          <w:rFonts w:hint="eastAsia" w:ascii="仿宋" w:hAnsi="仿宋" w:eastAsia="仿宋" w:cs="仿宋"/>
          <w:color w:val="auto"/>
          <w:kern w:val="0"/>
          <w:sz w:val="22"/>
          <w:szCs w:val="22"/>
          <w:lang w:val="en-US" w:eastAsia="zh-CN"/>
        </w:rPr>
        <w:t>有依法缴纳税收和社会保障资金的良好记录；(需提供近期3个月社保部门出具的投标单位的缴纳社保证明和依法纳税的相关证明文件)</w:t>
      </w:r>
    </w:p>
    <w:p>
      <w:pPr>
        <w:spacing w:line="360" w:lineRule="auto"/>
        <w:ind w:firstLine="480" w:firstLineChars="200"/>
        <w:rPr>
          <w:rFonts w:hint="default" w:ascii="仿宋" w:hAnsi="仿宋" w:eastAsia="仿宋" w:cs="Times New Roman"/>
          <w:color w:val="auto"/>
          <w:sz w:val="24"/>
          <w:lang w:val="en-US" w:eastAsia="zh-CN"/>
        </w:rPr>
      </w:pPr>
      <w:r>
        <w:rPr>
          <w:rFonts w:hint="eastAsia" w:ascii="仿宋" w:hAnsi="仿宋" w:eastAsia="仿宋" w:cs="Times New Roman"/>
          <w:color w:val="auto"/>
          <w:sz w:val="24"/>
          <w:lang w:val="en-US" w:eastAsia="zh-CN"/>
        </w:rPr>
        <w:t>(5)参加政府采购活动前三年内，在经营活动中没有重大违法记录承诺书；</w:t>
      </w:r>
    </w:p>
    <w:p>
      <w:pPr>
        <w:spacing w:line="360" w:lineRule="auto"/>
        <w:ind w:firstLine="482" w:firstLineChars="200"/>
        <w:rPr>
          <w:rFonts w:hint="eastAsia" w:ascii="仿宋" w:hAnsi="仿宋" w:eastAsia="仿宋" w:cs="Times New Roman"/>
          <w:b/>
          <w:bCs/>
          <w:color w:val="auto"/>
          <w:sz w:val="24"/>
          <w:lang w:val="en-US" w:eastAsia="zh-CN"/>
        </w:rPr>
      </w:pPr>
      <w:r>
        <w:rPr>
          <w:rFonts w:hint="eastAsia" w:ascii="仿宋" w:hAnsi="仿宋" w:eastAsia="仿宋" w:cs="Times New Roman"/>
          <w:b/>
          <w:bCs/>
          <w:color w:val="auto"/>
          <w:sz w:val="24"/>
          <w:lang w:val="en-US" w:eastAsia="zh-CN"/>
        </w:rPr>
        <w:t>2.落实政府采购政策需满足的资格要求：</w:t>
      </w:r>
    </w:p>
    <w:p>
      <w:pPr>
        <w:spacing w:line="360" w:lineRule="auto"/>
        <w:ind w:firstLine="480" w:firstLineChars="200"/>
        <w:rPr>
          <w:rFonts w:hint="eastAsia" w:ascii="仿宋" w:hAnsi="仿宋" w:eastAsia="仿宋" w:cs="Times New Roman"/>
          <w:color w:val="auto"/>
          <w:sz w:val="24"/>
          <w:lang w:val="en-US" w:eastAsia="zh-CN"/>
        </w:rPr>
      </w:pPr>
      <w:r>
        <w:rPr>
          <w:rFonts w:hint="eastAsia" w:ascii="仿宋" w:hAnsi="仿宋" w:eastAsia="仿宋" w:cs="Times New Roman"/>
          <w:color w:val="auto"/>
          <w:sz w:val="24"/>
          <w:lang w:val="en-US" w:eastAsia="zh-CN"/>
        </w:rPr>
        <w:t>(1)《政府采购促进中小企业发展管理办法》（财库﹝2020﹞46号）及《关于进一步加大政府采购支持中小企业力度的通知》（财库〔2022〕19号）；</w:t>
      </w:r>
    </w:p>
    <w:p>
      <w:pPr>
        <w:spacing w:line="360" w:lineRule="auto"/>
        <w:ind w:firstLine="480" w:firstLineChars="200"/>
        <w:rPr>
          <w:rFonts w:hint="eastAsia" w:ascii="仿宋" w:hAnsi="仿宋" w:eastAsia="仿宋" w:cs="Times New Roman"/>
          <w:color w:val="auto"/>
          <w:sz w:val="24"/>
          <w:lang w:val="en-US" w:eastAsia="zh-CN"/>
        </w:rPr>
      </w:pPr>
      <w:r>
        <w:rPr>
          <w:rFonts w:hint="eastAsia" w:ascii="仿宋" w:hAnsi="仿宋" w:eastAsia="仿宋" w:cs="Times New Roman"/>
          <w:color w:val="auto"/>
          <w:sz w:val="24"/>
          <w:lang w:val="en-US" w:eastAsia="zh-CN"/>
        </w:rPr>
        <w:t>(2)财政部、民政部、中国残疾人联合会《关于促进残疾人就业政府采购政策的通知》（财库[2017]141号）；</w:t>
      </w:r>
    </w:p>
    <w:p>
      <w:pPr>
        <w:spacing w:line="360" w:lineRule="auto"/>
        <w:ind w:firstLine="480" w:firstLineChars="200"/>
        <w:rPr>
          <w:rFonts w:hint="eastAsia" w:ascii="仿宋" w:hAnsi="仿宋" w:eastAsia="仿宋" w:cs="Times New Roman"/>
          <w:color w:val="auto"/>
          <w:sz w:val="24"/>
          <w:lang w:val="en-US" w:eastAsia="zh-CN"/>
        </w:rPr>
      </w:pPr>
      <w:r>
        <w:rPr>
          <w:rFonts w:hint="eastAsia" w:ascii="仿宋" w:hAnsi="仿宋" w:eastAsia="仿宋" w:cs="Times New Roman"/>
          <w:color w:val="auto"/>
          <w:sz w:val="24"/>
          <w:lang w:val="en-US" w:eastAsia="zh-CN"/>
        </w:rPr>
        <w:t>(3)财政部、司法部《关于政府采购支持监狱企业发展有关问题的通知》（财库[2014]68号）；</w:t>
      </w:r>
    </w:p>
    <w:p>
      <w:pPr>
        <w:spacing w:line="360" w:lineRule="auto"/>
        <w:ind w:firstLine="482" w:firstLineChars="200"/>
        <w:rPr>
          <w:rFonts w:hint="eastAsia" w:ascii="仿宋" w:hAnsi="仿宋" w:eastAsia="仿宋" w:cs="Times New Roman"/>
          <w:b/>
          <w:bCs/>
          <w:color w:val="auto"/>
          <w:sz w:val="24"/>
          <w:lang w:val="en-US" w:eastAsia="zh-CN"/>
        </w:rPr>
      </w:pPr>
      <w:r>
        <w:rPr>
          <w:rFonts w:hint="eastAsia" w:ascii="仿宋" w:hAnsi="仿宋" w:eastAsia="仿宋" w:cs="Times New Roman"/>
          <w:b/>
          <w:bCs/>
          <w:color w:val="auto"/>
          <w:sz w:val="24"/>
          <w:lang w:val="en-US" w:eastAsia="zh-CN"/>
        </w:rPr>
        <w:t>3.合格投标人的其他资格要求：</w:t>
      </w:r>
    </w:p>
    <w:p>
      <w:pPr>
        <w:spacing w:line="360" w:lineRule="auto"/>
        <w:ind w:firstLine="480" w:firstLineChars="200"/>
        <w:rPr>
          <w:rFonts w:hint="eastAsia" w:ascii="仿宋" w:hAnsi="仿宋" w:eastAsia="仿宋" w:cs="Times New Roman"/>
          <w:color w:val="auto"/>
          <w:sz w:val="24"/>
          <w:lang w:val="en-US" w:eastAsia="zh-CN"/>
        </w:rPr>
      </w:pPr>
      <w:r>
        <w:rPr>
          <w:rFonts w:hint="eastAsia" w:ascii="仿宋" w:hAnsi="仿宋" w:eastAsia="仿宋" w:cs="Times New Roman"/>
          <w:color w:val="auto"/>
          <w:sz w:val="24"/>
          <w:lang w:val="en-US" w:eastAsia="zh-CN"/>
        </w:rPr>
        <w:t>(1)未被列入“信用中国”网站(www.creditchina.gov.cn)、中国政府采购网(www.ccgp.gov.cn)渠道信用记录失信被执行人、重大税收违法案件当事人名单、政府采购严重违法失信行为记录名单的投标人，国家企业公示信息系统（www.gsxt.gov.cn）查询诚信记录如有严重行政处罚信息、重大严重失信记录不得参加本项目（查询结果以代理公司开标现场核查为准）；</w:t>
      </w:r>
    </w:p>
    <w:p>
      <w:pPr>
        <w:spacing w:line="360" w:lineRule="auto"/>
        <w:ind w:firstLine="480" w:firstLineChars="200"/>
        <w:rPr>
          <w:rFonts w:hint="eastAsia" w:ascii="仿宋" w:hAnsi="仿宋" w:eastAsia="仿宋" w:cs="Times New Roman"/>
          <w:color w:val="auto"/>
          <w:sz w:val="24"/>
          <w:lang w:val="en-US" w:eastAsia="zh-CN"/>
        </w:rPr>
      </w:pPr>
      <w:r>
        <w:rPr>
          <w:rFonts w:hint="eastAsia" w:ascii="仿宋" w:hAnsi="仿宋" w:eastAsia="仿宋" w:cs="Times New Roman"/>
          <w:color w:val="auto"/>
          <w:sz w:val="24"/>
          <w:lang w:val="en-US" w:eastAsia="zh-CN"/>
        </w:rPr>
        <w:t xml:space="preserve"> (2)提供针对本次项目的反商业贿赂承诺书；</w:t>
      </w:r>
    </w:p>
    <w:p>
      <w:pPr>
        <w:spacing w:line="360" w:lineRule="auto"/>
        <w:ind w:left="0" w:leftChars="0" w:firstLine="638" w:firstLineChars="266"/>
        <w:rPr>
          <w:rFonts w:hint="eastAsia" w:ascii="仿宋" w:hAnsi="仿宋" w:eastAsia="仿宋" w:cs="Times New Roman"/>
          <w:color w:val="auto"/>
          <w:sz w:val="24"/>
          <w:lang w:val="en-US" w:eastAsia="zh-CN"/>
        </w:rPr>
      </w:pPr>
      <w:r>
        <w:rPr>
          <w:rFonts w:hint="eastAsia" w:ascii="仿宋" w:hAnsi="仿宋" w:eastAsia="仿宋" w:cs="Times New Roman"/>
          <w:color w:val="auto"/>
          <w:sz w:val="24"/>
          <w:lang w:val="en-US" w:eastAsia="zh-CN"/>
        </w:rPr>
        <w:t>(3)联合体协议书（如有）；</w:t>
      </w:r>
    </w:p>
    <w:p>
      <w:pPr>
        <w:spacing w:line="360" w:lineRule="auto"/>
        <w:ind w:firstLine="482" w:firstLineChars="200"/>
        <w:rPr>
          <w:rFonts w:hint="eastAsia"/>
          <w:color w:val="auto"/>
          <w:lang w:val="en-US" w:eastAsia="zh-CN"/>
        </w:rPr>
      </w:pPr>
      <w:r>
        <w:rPr>
          <w:rFonts w:hint="eastAsia" w:ascii="仿宋" w:hAnsi="仿宋" w:eastAsia="仿宋" w:cs="Times New Roman"/>
          <w:b/>
          <w:bCs/>
          <w:color w:val="auto"/>
          <w:sz w:val="24"/>
          <w:lang w:val="en-US" w:eastAsia="zh-CN"/>
        </w:rPr>
        <w:t>4.本项目的特定资格要求：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eastAsia="仿宋"/>
          <w:color w:val="auto"/>
          <w:lang w:val="en-US" w:eastAsia="zh-CN"/>
        </w:rPr>
      </w:pPr>
      <w:r>
        <w:rPr>
          <w:rFonts w:hint="eastAsia" w:ascii="仿宋" w:hAnsi="仿宋" w:eastAsia="仿宋" w:cs="Times New Roman"/>
          <w:color w:val="auto"/>
          <w:sz w:val="24"/>
          <w:lang w:val="en-US" w:eastAsia="zh-CN"/>
        </w:rPr>
        <w:t>供应商投标标项一、二提供地质灾害治理工程勘查乙级（含乙级）以上资质；标项三、四提供地质灾害治理工程设计和施工乙级（含乙级）以上资质；标项五提供地质灾害治理工程勘查乙级（含乙级）以上资质并与设备供应商（一家或多家）组成联合体投标,所采购设备技术参数应符合《地质灾害监测预警通讯技术要求》和《地质灾害群专结合监测预警技术指南（试行）》；标项六提供地质灾害防治工程监理乙级（含乙级）以上资质。</w:t>
      </w:r>
    </w:p>
    <w:p>
      <w:pPr>
        <w:spacing w:line="360" w:lineRule="auto"/>
        <w:ind w:firstLine="480" w:firstLineChars="200"/>
        <w:outlineLvl w:val="1"/>
        <w:rPr>
          <w:rFonts w:ascii="仿宋" w:hAnsi="仿宋" w:eastAsia="仿宋"/>
          <w:color w:val="auto"/>
          <w:sz w:val="24"/>
        </w:rPr>
      </w:pPr>
      <w:bookmarkStart w:id="14" w:name="_Toc15454"/>
      <w:r>
        <w:rPr>
          <w:rFonts w:hint="eastAsia" w:ascii="仿宋" w:hAnsi="仿宋" w:eastAsia="仿宋"/>
          <w:color w:val="auto"/>
          <w:sz w:val="24"/>
        </w:rPr>
        <w:t>三、获取采购文件</w:t>
      </w:r>
      <w:bookmarkEnd w:id="14"/>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时间：2023年2月</w:t>
      </w:r>
      <w:r>
        <w:rPr>
          <w:rFonts w:hint="eastAsia" w:ascii="仿宋" w:hAnsi="仿宋" w:eastAsia="仿宋"/>
          <w:color w:val="auto"/>
          <w:sz w:val="24"/>
          <w:lang w:val="en-US" w:eastAsia="zh-CN"/>
        </w:rPr>
        <w:t>15</w:t>
      </w:r>
      <w:r>
        <w:rPr>
          <w:rFonts w:hint="eastAsia" w:ascii="仿宋" w:hAnsi="仿宋" w:eastAsia="仿宋"/>
          <w:color w:val="auto"/>
          <w:sz w:val="24"/>
        </w:rPr>
        <w:t>日至2023年2月</w:t>
      </w:r>
      <w:r>
        <w:rPr>
          <w:rFonts w:hint="eastAsia" w:ascii="仿宋" w:hAnsi="仿宋" w:eastAsia="仿宋"/>
          <w:color w:val="auto"/>
          <w:sz w:val="24"/>
          <w:lang w:val="en-US" w:eastAsia="zh-CN"/>
        </w:rPr>
        <w:t>22</w:t>
      </w:r>
      <w:r>
        <w:rPr>
          <w:rFonts w:hint="eastAsia" w:ascii="仿宋" w:hAnsi="仿宋" w:eastAsia="仿宋"/>
          <w:color w:val="auto"/>
          <w:sz w:val="24"/>
        </w:rPr>
        <w:t>日</w:t>
      </w:r>
      <w:bookmarkStart w:id="590" w:name="_GoBack"/>
      <w:bookmarkEnd w:id="590"/>
      <w:r>
        <w:rPr>
          <w:rFonts w:hint="eastAsia" w:ascii="仿宋" w:hAnsi="仿宋" w:eastAsia="仿宋"/>
          <w:color w:val="auto"/>
          <w:sz w:val="24"/>
        </w:rPr>
        <w:t>，每天上午10:30至13:30，下午15:30至19:00（北京时间，法定节假日除外）.</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地点：新疆政府采购网自行下载</w:t>
      </w:r>
    </w:p>
    <w:p>
      <w:pPr>
        <w:spacing w:line="360" w:lineRule="auto"/>
        <w:ind w:firstLine="480" w:firstLineChars="200"/>
        <w:outlineLvl w:val="1"/>
        <w:rPr>
          <w:rFonts w:ascii="仿宋" w:hAnsi="仿宋" w:eastAsia="仿宋"/>
          <w:color w:val="auto"/>
          <w:sz w:val="24"/>
        </w:rPr>
      </w:pPr>
      <w:bookmarkStart w:id="15" w:name="_Toc22421"/>
      <w:r>
        <w:rPr>
          <w:rFonts w:hint="eastAsia" w:ascii="仿宋" w:hAnsi="仿宋" w:eastAsia="仿宋"/>
          <w:color w:val="auto"/>
          <w:sz w:val="24"/>
        </w:rPr>
        <w:t>四、提交投标文件截止时间、开标时间和地点</w:t>
      </w:r>
      <w:bookmarkEnd w:id="15"/>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提交投标文件截止时间：2023年</w:t>
      </w:r>
      <w:r>
        <w:rPr>
          <w:rFonts w:hint="eastAsia" w:ascii="仿宋" w:hAnsi="仿宋" w:eastAsia="仿宋"/>
          <w:color w:val="auto"/>
          <w:sz w:val="24"/>
          <w:lang w:val="en-US" w:eastAsia="zh-CN"/>
        </w:rPr>
        <w:t>3月7日</w:t>
      </w:r>
      <w:r>
        <w:rPr>
          <w:rFonts w:hint="eastAsia" w:ascii="仿宋" w:hAnsi="仿宋" w:eastAsia="仿宋"/>
          <w:color w:val="auto"/>
          <w:sz w:val="24"/>
        </w:rPr>
        <w:t xml:space="preserve"> 11:00（北京时间）</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投标地点：</w:t>
      </w:r>
      <w:r>
        <w:rPr>
          <w:rFonts w:hint="eastAsia" w:ascii="仿宋" w:hAnsi="仿宋" w:eastAsia="仿宋" w:cs="仿宋"/>
          <w:color w:val="auto"/>
          <w:kern w:val="0"/>
          <w:sz w:val="24"/>
        </w:rPr>
        <w:t>政采云投标客户端投标</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开标时间：2023年</w:t>
      </w:r>
      <w:r>
        <w:rPr>
          <w:rFonts w:hint="eastAsia" w:ascii="仿宋" w:hAnsi="仿宋" w:eastAsia="仿宋"/>
          <w:color w:val="auto"/>
          <w:sz w:val="24"/>
          <w:lang w:val="en-US" w:eastAsia="zh-CN"/>
        </w:rPr>
        <w:t>3月7日</w:t>
      </w:r>
      <w:r>
        <w:rPr>
          <w:rFonts w:hint="eastAsia" w:ascii="仿宋" w:hAnsi="仿宋" w:eastAsia="仿宋"/>
          <w:color w:val="auto"/>
          <w:sz w:val="24"/>
        </w:rPr>
        <w:t xml:space="preserve"> 11:00（北京时间）</w:t>
      </w:r>
    </w:p>
    <w:p>
      <w:pPr>
        <w:spacing w:line="360" w:lineRule="auto"/>
        <w:ind w:firstLine="480" w:firstLineChars="200"/>
        <w:rPr>
          <w:rFonts w:hint="eastAsia" w:ascii="仿宋" w:hAnsi="仿宋" w:eastAsia="仿宋"/>
          <w:color w:val="auto"/>
          <w:sz w:val="24"/>
          <w:lang w:eastAsia="zh-CN"/>
        </w:rPr>
      </w:pPr>
      <w:r>
        <w:rPr>
          <w:rFonts w:hint="eastAsia" w:ascii="仿宋" w:hAnsi="仿宋" w:eastAsia="仿宋"/>
          <w:color w:val="auto"/>
          <w:sz w:val="24"/>
        </w:rPr>
        <w:t>开标地点：</w:t>
      </w:r>
      <w:r>
        <w:rPr>
          <w:rFonts w:hint="eastAsia" w:ascii="仿宋" w:hAnsi="仿宋" w:eastAsia="仿宋"/>
          <w:color w:val="auto"/>
          <w:sz w:val="24"/>
          <w:lang w:eastAsia="zh-CN"/>
        </w:rPr>
        <w:t>乌鲁木齐市新市区阜新街1号2号</w:t>
      </w:r>
      <w:r>
        <w:rPr>
          <w:rFonts w:hint="eastAsia" w:ascii="仿宋" w:hAnsi="仿宋" w:eastAsia="仿宋"/>
          <w:color w:val="auto"/>
          <w:sz w:val="24"/>
          <w:highlight w:val="none"/>
          <w:lang w:eastAsia="zh-CN"/>
        </w:rPr>
        <w:t>楼3楼开标厅</w:t>
      </w:r>
    </w:p>
    <w:p>
      <w:pPr>
        <w:spacing w:line="360" w:lineRule="auto"/>
        <w:ind w:firstLine="480" w:firstLineChars="200"/>
        <w:outlineLvl w:val="1"/>
        <w:rPr>
          <w:rFonts w:ascii="仿宋" w:hAnsi="仿宋" w:eastAsia="仿宋"/>
          <w:color w:val="auto"/>
          <w:sz w:val="24"/>
        </w:rPr>
      </w:pPr>
      <w:bookmarkStart w:id="16" w:name="_Toc8705"/>
      <w:r>
        <w:rPr>
          <w:rFonts w:hint="eastAsia" w:ascii="仿宋" w:hAnsi="仿宋" w:eastAsia="仿宋"/>
          <w:color w:val="auto"/>
          <w:sz w:val="24"/>
        </w:rPr>
        <w:t>五、公告期限</w:t>
      </w:r>
      <w:bookmarkEnd w:id="16"/>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自本公告发布之日起5个工作日。</w:t>
      </w:r>
    </w:p>
    <w:p>
      <w:pPr>
        <w:spacing w:line="360" w:lineRule="auto"/>
        <w:ind w:firstLine="480" w:firstLineChars="200"/>
        <w:outlineLvl w:val="1"/>
        <w:rPr>
          <w:rFonts w:hint="eastAsia" w:ascii="仿宋" w:hAnsi="仿宋" w:eastAsia="仿宋"/>
          <w:color w:val="auto"/>
          <w:sz w:val="24"/>
          <w:lang w:eastAsia="zh-CN"/>
        </w:rPr>
      </w:pPr>
      <w:bookmarkStart w:id="17" w:name="_Toc6584"/>
      <w:r>
        <w:rPr>
          <w:rFonts w:hint="eastAsia" w:ascii="仿宋" w:hAnsi="仿宋" w:eastAsia="仿宋"/>
          <w:color w:val="auto"/>
          <w:sz w:val="24"/>
          <w:lang w:val="en-US" w:eastAsia="zh-CN"/>
        </w:rPr>
        <w:t>六、</w:t>
      </w:r>
      <w:r>
        <w:rPr>
          <w:rFonts w:hint="eastAsia" w:ascii="仿宋" w:hAnsi="仿宋" w:eastAsia="仿宋"/>
          <w:color w:val="auto"/>
          <w:sz w:val="24"/>
          <w:lang w:eastAsia="zh-CN"/>
        </w:rPr>
        <w:t>其他补充事宜</w:t>
      </w:r>
      <w:bookmarkEnd w:id="17"/>
    </w:p>
    <w:p>
      <w:pPr>
        <w:spacing w:line="360" w:lineRule="auto"/>
        <w:ind w:firstLine="480" w:firstLineChars="200"/>
        <w:rPr>
          <w:rFonts w:hint="default" w:ascii="仿宋" w:hAnsi="仿宋" w:eastAsia="仿宋"/>
          <w:color w:val="auto"/>
          <w:sz w:val="24"/>
          <w:lang w:val="en-US" w:eastAsia="zh-CN"/>
        </w:rPr>
      </w:pPr>
      <w:r>
        <w:rPr>
          <w:rFonts w:hint="eastAsia" w:ascii="仿宋" w:hAnsi="仿宋" w:eastAsia="仿宋"/>
          <w:color w:val="auto"/>
          <w:sz w:val="24"/>
          <w:lang w:val="en-US" w:eastAsia="zh-CN"/>
        </w:rPr>
        <w:t>无</w:t>
      </w:r>
    </w:p>
    <w:p>
      <w:pPr>
        <w:spacing w:line="360" w:lineRule="auto"/>
        <w:ind w:firstLine="480" w:firstLineChars="200"/>
        <w:outlineLvl w:val="1"/>
        <w:rPr>
          <w:rFonts w:ascii="仿宋" w:hAnsi="仿宋" w:eastAsia="仿宋"/>
          <w:color w:val="auto"/>
          <w:sz w:val="24"/>
        </w:rPr>
      </w:pPr>
      <w:bookmarkStart w:id="18" w:name="_Toc27660"/>
      <w:r>
        <w:rPr>
          <w:rFonts w:hint="eastAsia" w:ascii="仿宋" w:hAnsi="仿宋" w:eastAsia="仿宋"/>
          <w:color w:val="auto"/>
          <w:sz w:val="24"/>
        </w:rPr>
        <w:t>七、对本次采购提出询问，请按以下方式联系</w:t>
      </w:r>
      <w:bookmarkEnd w:id="18"/>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1.采购人信息</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名称：</w:t>
      </w:r>
      <w:r>
        <w:rPr>
          <w:rFonts w:hint="eastAsia" w:ascii="仿宋" w:hAnsi="仿宋" w:eastAsia="仿宋"/>
          <w:color w:val="auto"/>
          <w:sz w:val="24"/>
          <w:lang w:eastAsia="zh-CN"/>
        </w:rPr>
        <w:t>克孜勒苏柯尔克孜自治州自然资源局</w:t>
      </w:r>
      <w:r>
        <w:rPr>
          <w:rFonts w:hint="eastAsia" w:ascii="仿宋" w:hAnsi="仿宋" w:eastAsia="仿宋"/>
          <w:color w:val="auto"/>
          <w:sz w:val="24"/>
        </w:rPr>
        <w:t>　</w:t>
      </w:r>
    </w:p>
    <w:p>
      <w:pPr>
        <w:spacing w:line="360" w:lineRule="auto"/>
        <w:ind w:firstLine="480" w:firstLineChars="200"/>
        <w:rPr>
          <w:rFonts w:hint="eastAsia" w:ascii="仿宋" w:hAnsi="仿宋" w:eastAsia="仿宋"/>
          <w:color w:val="auto"/>
          <w:sz w:val="24"/>
        </w:rPr>
      </w:pPr>
      <w:r>
        <w:rPr>
          <w:rFonts w:hint="eastAsia" w:ascii="仿宋" w:hAnsi="仿宋" w:eastAsia="仿宋"/>
          <w:color w:val="auto"/>
          <w:sz w:val="24"/>
        </w:rPr>
        <w:t>地址：</w:t>
      </w:r>
      <w:r>
        <w:rPr>
          <w:rFonts w:hint="eastAsia" w:ascii="仿宋" w:hAnsi="仿宋" w:eastAsia="仿宋" w:cs="宋体"/>
          <w:color w:val="auto"/>
          <w:sz w:val="24"/>
          <w:szCs w:val="24"/>
        </w:rPr>
        <w:t>新疆阿图什市天山路东38号</w:t>
      </w:r>
    </w:p>
    <w:p>
      <w:pPr>
        <w:spacing w:line="360" w:lineRule="auto"/>
        <w:ind w:firstLine="480" w:firstLineChars="200"/>
        <w:rPr>
          <w:rFonts w:hint="eastAsia" w:ascii="仿宋" w:hAnsi="仿宋" w:eastAsia="仿宋"/>
          <w:color w:val="auto"/>
          <w:sz w:val="24"/>
        </w:rPr>
      </w:pPr>
      <w:r>
        <w:rPr>
          <w:rFonts w:hint="eastAsia" w:ascii="仿宋" w:hAnsi="仿宋" w:eastAsia="仿宋"/>
          <w:color w:val="auto"/>
          <w:sz w:val="24"/>
        </w:rPr>
        <w:t>联系人</w:t>
      </w:r>
      <w:bookmarkStart w:id="19" w:name="_Toc28359009"/>
      <w:bookmarkStart w:id="20" w:name="_Toc28359086"/>
      <w:r>
        <w:rPr>
          <w:rFonts w:hint="eastAsia" w:ascii="仿宋" w:hAnsi="仿宋" w:eastAsia="仿宋"/>
          <w:color w:val="auto"/>
          <w:sz w:val="24"/>
        </w:rPr>
        <w:t>：</w:t>
      </w:r>
      <w:r>
        <w:rPr>
          <w:rFonts w:hint="eastAsia" w:ascii="仿宋" w:hAnsi="仿宋" w:eastAsia="仿宋" w:cs="Times New Roman"/>
          <w:color w:val="auto"/>
          <w:kern w:val="2"/>
          <w:sz w:val="24"/>
          <w:szCs w:val="24"/>
          <w:highlight w:val="none"/>
          <w:lang w:val="en-US" w:eastAsia="zh-CN" w:bidi="ar-SA"/>
        </w:rPr>
        <w:t>樊有军</w:t>
      </w:r>
      <w:r>
        <w:rPr>
          <w:rFonts w:hint="eastAsia" w:ascii="仿宋" w:hAnsi="仿宋" w:eastAsia="仿宋"/>
          <w:color w:val="auto"/>
          <w:sz w:val="24"/>
          <w:lang w:val="en-US" w:eastAsia="zh-CN"/>
        </w:rPr>
        <w:t xml:space="preserve">      </w:t>
      </w:r>
      <w:r>
        <w:rPr>
          <w:rFonts w:hint="eastAsia" w:ascii="仿宋" w:hAnsi="仿宋" w:eastAsia="仿宋"/>
          <w:color w:val="auto"/>
          <w:sz w:val="24"/>
        </w:rPr>
        <w:t xml:space="preserve"> </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联系电话：</w:t>
      </w:r>
      <w:r>
        <w:rPr>
          <w:rFonts w:hint="eastAsia" w:ascii="仿宋" w:hAnsi="仿宋" w:eastAsia="仿宋" w:cs="Times New Roman"/>
          <w:color w:val="auto"/>
          <w:kern w:val="2"/>
          <w:sz w:val="24"/>
          <w:szCs w:val="24"/>
          <w:highlight w:val="none"/>
          <w:lang w:val="en-US" w:eastAsia="zh-CN" w:bidi="ar-SA"/>
        </w:rPr>
        <w:t xml:space="preserve">0908-4225759 </w:t>
      </w:r>
    </w:p>
    <w:p>
      <w:pPr>
        <w:spacing w:line="360" w:lineRule="auto"/>
        <w:ind w:firstLine="480" w:firstLineChars="200"/>
        <w:rPr>
          <w:rFonts w:ascii="仿宋" w:hAnsi="仿宋" w:eastAsia="仿宋"/>
          <w:color w:val="auto"/>
          <w:sz w:val="24"/>
        </w:rPr>
      </w:pPr>
      <w:bookmarkStart w:id="21" w:name="_Toc472"/>
      <w:r>
        <w:rPr>
          <w:rFonts w:hint="eastAsia" w:ascii="仿宋" w:hAnsi="仿宋" w:eastAsia="仿宋"/>
          <w:color w:val="auto"/>
          <w:sz w:val="24"/>
        </w:rPr>
        <w:t>2.采购代理机构信息</w:t>
      </w:r>
      <w:bookmarkEnd w:id="19"/>
      <w:bookmarkEnd w:id="20"/>
      <w:bookmarkEnd w:id="21"/>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rPr>
        <w:t>名称：新疆国源土地矿产资源交易中心</w:t>
      </w:r>
      <w:r>
        <w:rPr>
          <w:rFonts w:hint="eastAsia" w:ascii="仿宋" w:hAnsi="仿宋" w:eastAsia="仿宋"/>
          <w:color w:val="auto"/>
          <w:sz w:val="24"/>
          <w:highlight w:val="none"/>
        </w:rPr>
        <w:t>　</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地址：</w:t>
      </w:r>
      <w:r>
        <w:rPr>
          <w:rFonts w:hint="eastAsia" w:ascii="仿宋" w:hAnsi="仿宋" w:eastAsia="仿宋"/>
          <w:color w:val="auto"/>
          <w:sz w:val="24"/>
          <w:highlight w:val="none"/>
          <w:lang w:eastAsia="zh-CN"/>
        </w:rPr>
        <w:t>乌鲁木齐市新市区阜新街1号2号楼3楼</w:t>
      </w:r>
      <w:r>
        <w:rPr>
          <w:rFonts w:hint="eastAsia" w:ascii="仿宋" w:hAnsi="仿宋" w:eastAsia="仿宋"/>
          <w:color w:val="auto"/>
          <w:sz w:val="24"/>
          <w:highlight w:val="none"/>
        </w:rPr>
        <w:t>　</w:t>
      </w:r>
    </w:p>
    <w:p>
      <w:pPr>
        <w:spacing w:line="360" w:lineRule="auto"/>
        <w:ind w:firstLine="480" w:firstLineChars="200"/>
        <w:rPr>
          <w:rFonts w:hint="default" w:ascii="仿宋" w:hAnsi="仿宋" w:eastAsia="仿宋"/>
          <w:color w:val="auto"/>
          <w:sz w:val="24"/>
          <w:lang w:val="en-US"/>
        </w:rPr>
      </w:pPr>
      <w:r>
        <w:rPr>
          <w:rFonts w:hint="eastAsia" w:ascii="仿宋" w:hAnsi="仿宋" w:eastAsia="仿宋"/>
          <w:color w:val="auto"/>
          <w:sz w:val="24"/>
        </w:rPr>
        <w:t>联系方式：</w:t>
      </w:r>
      <w:bookmarkStart w:id="22" w:name="_Toc28359010"/>
      <w:bookmarkStart w:id="23" w:name="_Toc28359087"/>
      <w:r>
        <w:rPr>
          <w:rFonts w:hint="eastAsia" w:ascii="仿宋" w:hAnsi="仿宋" w:eastAsia="仿宋"/>
          <w:color w:val="auto"/>
          <w:sz w:val="24"/>
          <w:lang w:eastAsia="zh-CN"/>
        </w:rPr>
        <w:t>孙</w:t>
      </w:r>
      <w:r>
        <w:rPr>
          <w:rFonts w:hint="eastAsia" w:ascii="仿宋" w:hAnsi="仿宋" w:eastAsia="仿宋"/>
          <w:color w:val="auto"/>
          <w:sz w:val="24"/>
          <w:lang w:val="en-US" w:eastAsia="zh-CN"/>
        </w:rPr>
        <w:t xml:space="preserve">  </w:t>
      </w:r>
      <w:r>
        <w:rPr>
          <w:rFonts w:hint="eastAsia" w:ascii="仿宋" w:hAnsi="仿宋" w:eastAsia="仿宋"/>
          <w:color w:val="auto"/>
          <w:sz w:val="24"/>
          <w:lang w:eastAsia="zh-CN"/>
        </w:rPr>
        <w:t>丽</w:t>
      </w:r>
      <w:r>
        <w:rPr>
          <w:rFonts w:hint="eastAsia" w:ascii="仿宋" w:hAnsi="仿宋" w:eastAsia="仿宋"/>
          <w:color w:val="auto"/>
          <w:sz w:val="24"/>
          <w:lang w:val="en-US" w:eastAsia="zh-CN"/>
        </w:rPr>
        <w:t>15160883519  王选问13579890451</w:t>
      </w:r>
    </w:p>
    <w:p>
      <w:pPr>
        <w:spacing w:line="360" w:lineRule="auto"/>
        <w:ind w:firstLine="480" w:firstLineChars="200"/>
        <w:rPr>
          <w:rFonts w:hint="eastAsia" w:ascii="仿宋" w:hAnsi="仿宋" w:eastAsia="仿宋"/>
          <w:color w:val="auto"/>
          <w:sz w:val="24"/>
        </w:rPr>
      </w:pPr>
      <w:bookmarkStart w:id="24" w:name="_Toc15500"/>
      <w:r>
        <w:rPr>
          <w:rFonts w:hint="eastAsia" w:ascii="仿宋" w:hAnsi="仿宋" w:eastAsia="仿宋"/>
          <w:color w:val="auto"/>
          <w:sz w:val="24"/>
        </w:rPr>
        <w:t>3.</w:t>
      </w:r>
      <w:bookmarkEnd w:id="22"/>
      <w:bookmarkEnd w:id="23"/>
      <w:bookmarkEnd w:id="24"/>
      <w:r>
        <w:rPr>
          <w:rFonts w:hint="eastAsia" w:ascii="仿宋" w:hAnsi="仿宋" w:eastAsia="仿宋"/>
          <w:color w:val="auto"/>
          <w:sz w:val="24"/>
        </w:rPr>
        <w:t>监管单位信息</w:t>
      </w:r>
    </w:p>
    <w:p>
      <w:pPr>
        <w:spacing w:line="360" w:lineRule="auto"/>
        <w:ind w:firstLine="480" w:firstLineChars="200"/>
        <w:rPr>
          <w:rFonts w:hint="eastAsia" w:ascii="仿宋" w:hAnsi="仿宋" w:eastAsia="仿宋"/>
          <w:color w:val="auto"/>
          <w:sz w:val="24"/>
          <w:lang w:val="en-US" w:eastAsia="zh-CN"/>
        </w:rPr>
      </w:pPr>
      <w:r>
        <w:rPr>
          <w:rFonts w:hint="eastAsia" w:ascii="仿宋" w:hAnsi="仿宋" w:eastAsia="仿宋"/>
          <w:color w:val="auto"/>
          <w:sz w:val="24"/>
          <w:lang w:val="en-US" w:eastAsia="zh-CN"/>
        </w:rPr>
        <w:t>名称：克孜勒苏柯尔克孜自治州财政局</w:t>
      </w:r>
    </w:p>
    <w:p>
      <w:pPr>
        <w:spacing w:line="360" w:lineRule="auto"/>
        <w:ind w:firstLine="480" w:firstLineChars="200"/>
        <w:rPr>
          <w:rFonts w:hint="default" w:ascii="仿宋" w:hAnsi="仿宋" w:eastAsia="仿宋"/>
          <w:color w:val="auto"/>
          <w:sz w:val="24"/>
          <w:lang w:val="en-US" w:eastAsia="zh-CN"/>
        </w:rPr>
      </w:pPr>
      <w:r>
        <w:rPr>
          <w:rFonts w:hint="eastAsia" w:ascii="仿宋" w:hAnsi="仿宋" w:eastAsia="仿宋"/>
          <w:color w:val="auto"/>
          <w:sz w:val="24"/>
          <w:lang w:val="en-US" w:eastAsia="zh-CN"/>
        </w:rPr>
        <w:t>监督电话：0908-4230287</w:t>
      </w:r>
    </w:p>
    <w:p>
      <w:pPr>
        <w:rPr>
          <w:rFonts w:hint="eastAsia" w:ascii="仿宋" w:hAnsi="仿宋" w:eastAsia="仿宋" w:cs="仿宋"/>
          <w:color w:val="auto"/>
          <w:sz w:val="24"/>
        </w:rPr>
      </w:pPr>
      <w:r>
        <w:rPr>
          <w:rFonts w:hint="eastAsia" w:ascii="仿宋" w:hAnsi="仿宋" w:eastAsia="仿宋" w:cs="仿宋"/>
          <w:color w:val="auto"/>
          <w:sz w:val="24"/>
        </w:rPr>
        <w:br w:type="page"/>
      </w:r>
      <w:bookmarkStart w:id="25" w:name="_Toc518923125"/>
      <w:bookmarkStart w:id="26" w:name="_Toc507399903"/>
      <w:bookmarkStart w:id="27" w:name="_Toc17838"/>
      <w:bookmarkStart w:id="28" w:name="_Toc216582823"/>
    </w:p>
    <w:p>
      <w:pPr>
        <w:pStyle w:val="7"/>
        <w:bidi w:val="0"/>
        <w:rPr>
          <w:rFonts w:ascii="仿宋" w:hAnsi="仿宋" w:eastAsia="仿宋" w:cs="仿宋"/>
          <w:b w:val="0"/>
          <w:color w:val="auto"/>
          <w:szCs w:val="32"/>
        </w:rPr>
      </w:pPr>
      <w:bookmarkStart w:id="29" w:name="_Toc19797"/>
      <w:r>
        <w:rPr>
          <w:rStyle w:val="70"/>
          <w:rFonts w:hint="eastAsia"/>
          <w:b/>
          <w:color w:val="auto"/>
          <w:sz w:val="32"/>
          <w:szCs w:val="24"/>
        </w:rPr>
        <w:t>第</w:t>
      </w:r>
      <w:r>
        <w:rPr>
          <w:rStyle w:val="70"/>
          <w:rFonts w:hint="eastAsia"/>
          <w:b/>
          <w:color w:val="auto"/>
          <w:sz w:val="32"/>
          <w:szCs w:val="24"/>
          <w:lang w:val="en-US" w:eastAsia="zh-CN"/>
        </w:rPr>
        <w:t>2</w:t>
      </w:r>
      <w:r>
        <w:rPr>
          <w:rStyle w:val="70"/>
          <w:rFonts w:hint="eastAsia"/>
          <w:b/>
          <w:color w:val="auto"/>
          <w:sz w:val="32"/>
          <w:szCs w:val="24"/>
        </w:rPr>
        <w:t>章  供应商须知资料表</w:t>
      </w:r>
      <w:bookmarkEnd w:id="25"/>
      <w:bookmarkEnd w:id="26"/>
      <w:bookmarkEnd w:id="27"/>
      <w:bookmarkEnd w:id="28"/>
      <w:bookmarkEnd w:id="29"/>
    </w:p>
    <w:bookmarkEnd w:id="11"/>
    <w:p>
      <w:pPr>
        <w:spacing w:line="240" w:lineRule="atLeast"/>
        <w:ind w:left="1080" w:leftChars="257" w:hanging="540"/>
        <w:rPr>
          <w:rFonts w:ascii="仿宋" w:hAnsi="仿宋" w:eastAsia="仿宋" w:cs="仿宋"/>
          <w:color w:val="auto"/>
          <w:sz w:val="24"/>
        </w:rPr>
      </w:pPr>
    </w:p>
    <w:p>
      <w:pPr>
        <w:spacing w:line="240" w:lineRule="atLeast"/>
        <w:ind w:firstLine="360" w:firstLineChars="150"/>
        <w:rPr>
          <w:rFonts w:ascii="仿宋" w:hAnsi="仿宋" w:eastAsia="仿宋" w:cs="仿宋"/>
          <w:color w:val="auto"/>
          <w:sz w:val="24"/>
        </w:rPr>
      </w:pPr>
      <w:r>
        <w:rPr>
          <w:rFonts w:hint="eastAsia" w:ascii="仿宋" w:hAnsi="仿宋" w:eastAsia="仿宋" w:cs="仿宋"/>
          <w:color w:val="auto"/>
          <w:sz w:val="24"/>
        </w:rPr>
        <w:t xml:space="preserve"> 本表是本招标项目的具体资料，是对供应商须知的具体补充和修改，如有矛盾，应</w:t>
      </w:r>
      <w:r>
        <w:rPr>
          <w:rFonts w:hint="eastAsia" w:ascii="仿宋" w:hAnsi="仿宋" w:eastAsia="仿宋" w:cs="仿宋"/>
          <w:b/>
          <w:color w:val="auto"/>
          <w:sz w:val="24"/>
        </w:rPr>
        <w:t>以本资料表为准</w:t>
      </w:r>
      <w:r>
        <w:rPr>
          <w:rFonts w:hint="eastAsia" w:ascii="仿宋" w:hAnsi="仿宋" w:eastAsia="仿宋" w:cs="仿宋"/>
          <w:color w:val="auto"/>
          <w:sz w:val="24"/>
        </w:rPr>
        <w:t>。</w:t>
      </w:r>
    </w:p>
    <w:tbl>
      <w:tblPr>
        <w:tblStyle w:val="37"/>
        <w:tblW w:w="830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68"/>
        <w:gridCol w:w="68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vAlign w:val="center"/>
          </w:tcPr>
          <w:p>
            <w:pPr>
              <w:spacing w:line="240" w:lineRule="atLeast"/>
              <w:ind w:left="1080" w:leftChars="257" w:hanging="540"/>
              <w:rPr>
                <w:rFonts w:ascii="仿宋" w:hAnsi="仿宋" w:eastAsia="仿宋" w:cs="仿宋"/>
                <w:color w:val="auto"/>
                <w:sz w:val="24"/>
              </w:rPr>
            </w:pPr>
            <w:r>
              <w:rPr>
                <w:rFonts w:hint="eastAsia" w:ascii="仿宋" w:hAnsi="仿宋" w:eastAsia="仿宋" w:cs="仿宋"/>
                <w:color w:val="auto"/>
                <w:sz w:val="24"/>
              </w:rPr>
              <w:t>条款号</w:t>
            </w:r>
          </w:p>
        </w:tc>
        <w:tc>
          <w:tcPr>
            <w:tcW w:w="6840" w:type="dxa"/>
            <w:vAlign w:val="center"/>
          </w:tcPr>
          <w:p>
            <w:pPr>
              <w:spacing w:line="240" w:lineRule="atLeast"/>
              <w:ind w:left="1080" w:leftChars="257" w:hanging="540"/>
              <w:rPr>
                <w:rFonts w:ascii="仿宋" w:hAnsi="仿宋" w:eastAsia="仿宋" w:cs="仿宋"/>
                <w:b/>
                <w:color w:val="auto"/>
                <w:sz w:val="24"/>
              </w:rPr>
            </w:pPr>
            <w:r>
              <w:rPr>
                <w:rFonts w:hint="eastAsia" w:ascii="仿宋" w:hAnsi="仿宋" w:eastAsia="仿宋" w:cs="仿宋"/>
                <w:b/>
                <w:color w:val="auto"/>
                <w:sz w:val="24"/>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05" w:hRule="atLeast"/>
        </w:trPr>
        <w:tc>
          <w:tcPr>
            <w:tcW w:w="1468" w:type="dxa"/>
            <w:vAlign w:val="center"/>
          </w:tcPr>
          <w:p>
            <w:pPr>
              <w:spacing w:line="240" w:lineRule="atLeast"/>
              <w:ind w:left="1080" w:leftChars="257" w:hanging="540"/>
              <w:rPr>
                <w:rFonts w:ascii="仿宋" w:hAnsi="仿宋" w:eastAsia="仿宋" w:cs="仿宋"/>
                <w:color w:val="auto"/>
                <w:sz w:val="24"/>
              </w:rPr>
            </w:pPr>
            <w:r>
              <w:rPr>
                <w:rFonts w:hint="eastAsia" w:ascii="仿宋" w:hAnsi="仿宋" w:eastAsia="仿宋" w:cs="仿宋"/>
                <w:color w:val="auto"/>
                <w:sz w:val="24"/>
              </w:rPr>
              <w:t>1.1</w:t>
            </w:r>
          </w:p>
        </w:tc>
        <w:tc>
          <w:tcPr>
            <w:tcW w:w="6840" w:type="dxa"/>
            <w:vAlign w:val="center"/>
          </w:tcPr>
          <w:p>
            <w:pPr>
              <w:spacing w:line="240" w:lineRule="atLeast"/>
              <w:rPr>
                <w:rFonts w:hint="eastAsia" w:ascii="仿宋" w:hAnsi="仿宋" w:eastAsia="仿宋" w:cs="仿宋"/>
                <w:color w:val="auto"/>
                <w:lang w:eastAsia="zh-CN"/>
              </w:rPr>
            </w:pPr>
            <w:r>
              <w:rPr>
                <w:rFonts w:hint="eastAsia" w:ascii="仿宋" w:hAnsi="仿宋" w:eastAsia="仿宋" w:cs="仿宋"/>
                <w:color w:val="auto"/>
              </w:rPr>
              <w:t>采购人：</w:t>
            </w:r>
            <w:r>
              <w:rPr>
                <w:rFonts w:hint="eastAsia" w:ascii="仿宋" w:hAnsi="仿宋" w:eastAsia="仿宋" w:cs="仿宋"/>
                <w:color w:val="auto"/>
                <w:lang w:eastAsia="zh-CN"/>
              </w:rPr>
              <w:t>克孜勒苏柯尔克孜自治州自然资源局</w:t>
            </w:r>
          </w:p>
          <w:p>
            <w:pPr>
              <w:spacing w:line="240" w:lineRule="atLeast"/>
              <w:rPr>
                <w:rFonts w:hint="eastAsia" w:ascii="仿宋" w:hAnsi="仿宋" w:eastAsia="仿宋" w:cs="仿宋"/>
                <w:color w:val="auto"/>
              </w:rPr>
            </w:pPr>
            <w:r>
              <w:rPr>
                <w:rFonts w:hint="eastAsia" w:ascii="仿宋" w:hAnsi="仿宋" w:eastAsia="仿宋" w:cs="仿宋"/>
                <w:color w:val="auto"/>
              </w:rPr>
              <w:t>联系人：</w:t>
            </w:r>
            <w:r>
              <w:rPr>
                <w:rFonts w:hint="eastAsia" w:ascii="仿宋" w:hAnsi="仿宋" w:eastAsia="仿宋" w:cs="仿宋"/>
                <w:color w:val="auto"/>
                <w:lang w:val="en-US" w:eastAsia="zh-CN"/>
              </w:rPr>
              <w:t>樊有军</w:t>
            </w:r>
            <w:r>
              <w:rPr>
                <w:rFonts w:hint="eastAsia" w:ascii="仿宋" w:hAnsi="仿宋" w:eastAsia="仿宋" w:cs="仿宋"/>
                <w:color w:val="auto"/>
              </w:rPr>
              <w:t xml:space="preserve">     </w:t>
            </w:r>
          </w:p>
          <w:p>
            <w:pPr>
              <w:spacing w:line="240" w:lineRule="atLeast"/>
              <w:rPr>
                <w:rFonts w:hint="eastAsia" w:ascii="仿宋" w:hAnsi="仿宋" w:eastAsia="仿宋" w:cs="仿宋"/>
                <w:color w:val="auto"/>
              </w:rPr>
            </w:pPr>
            <w:r>
              <w:rPr>
                <w:rFonts w:hint="eastAsia" w:ascii="仿宋" w:hAnsi="仿宋" w:eastAsia="仿宋" w:cs="仿宋"/>
                <w:color w:val="auto"/>
              </w:rPr>
              <w:t>联系电话：0908-4225759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1468" w:type="dxa"/>
            <w:vAlign w:val="center"/>
          </w:tcPr>
          <w:p>
            <w:pPr>
              <w:spacing w:line="240" w:lineRule="atLeast"/>
              <w:ind w:left="1080" w:leftChars="257" w:hanging="540"/>
              <w:rPr>
                <w:rFonts w:ascii="仿宋" w:hAnsi="仿宋" w:eastAsia="仿宋" w:cs="仿宋"/>
                <w:color w:val="auto"/>
                <w:sz w:val="24"/>
              </w:rPr>
            </w:pPr>
            <w:r>
              <w:rPr>
                <w:rFonts w:hint="eastAsia" w:ascii="仿宋" w:hAnsi="仿宋" w:eastAsia="仿宋" w:cs="仿宋"/>
                <w:color w:val="auto"/>
                <w:sz w:val="24"/>
              </w:rPr>
              <w:t>1.2</w:t>
            </w:r>
          </w:p>
        </w:tc>
        <w:tc>
          <w:tcPr>
            <w:tcW w:w="6840" w:type="dxa"/>
            <w:vAlign w:val="center"/>
          </w:tcPr>
          <w:p>
            <w:pPr>
              <w:spacing w:line="240" w:lineRule="atLeast"/>
              <w:rPr>
                <w:rFonts w:hint="eastAsia" w:ascii="仿宋" w:hAnsi="仿宋" w:eastAsia="仿宋" w:cs="仿宋"/>
                <w:color w:val="auto"/>
              </w:rPr>
            </w:pPr>
            <w:r>
              <w:rPr>
                <w:rFonts w:hint="eastAsia" w:ascii="仿宋" w:hAnsi="仿宋" w:eastAsia="仿宋" w:cs="仿宋"/>
                <w:color w:val="auto"/>
              </w:rPr>
              <w:t>采购代理机构： 新疆国源土地矿产资源交易中心（有限公司）</w:t>
            </w:r>
          </w:p>
          <w:p>
            <w:pPr>
              <w:spacing w:line="240" w:lineRule="atLeast"/>
              <w:rPr>
                <w:rFonts w:hint="eastAsia" w:ascii="仿宋" w:hAnsi="仿宋" w:eastAsia="仿宋" w:cs="仿宋"/>
                <w:color w:val="auto"/>
                <w:lang w:eastAsia="zh-CN"/>
              </w:rPr>
            </w:pPr>
            <w:r>
              <w:rPr>
                <w:rFonts w:hint="eastAsia" w:ascii="仿宋" w:hAnsi="仿宋" w:eastAsia="仿宋" w:cs="仿宋"/>
                <w:color w:val="auto"/>
              </w:rPr>
              <w:t>地址：</w:t>
            </w:r>
            <w:r>
              <w:rPr>
                <w:rFonts w:hint="eastAsia" w:ascii="仿宋" w:hAnsi="仿宋" w:eastAsia="仿宋" w:cs="仿宋"/>
                <w:color w:val="auto"/>
                <w:lang w:eastAsia="zh-CN"/>
              </w:rPr>
              <w:t>乌鲁木齐市新市区阜新街1号2号楼3楼</w:t>
            </w:r>
          </w:p>
          <w:p>
            <w:pPr>
              <w:spacing w:line="240" w:lineRule="atLeast"/>
              <w:rPr>
                <w:rFonts w:hint="eastAsia" w:ascii="仿宋" w:hAnsi="仿宋" w:eastAsia="仿宋" w:cs="仿宋"/>
                <w:color w:val="auto"/>
              </w:rPr>
            </w:pPr>
            <w:r>
              <w:rPr>
                <w:rFonts w:hint="eastAsia" w:ascii="仿宋" w:hAnsi="仿宋" w:eastAsia="仿宋" w:cs="仿宋"/>
                <w:color w:val="auto"/>
              </w:rPr>
              <w:t>业务联系人：</w:t>
            </w:r>
            <w:r>
              <w:rPr>
                <w:rFonts w:hint="eastAsia" w:ascii="仿宋" w:hAnsi="仿宋" w:eastAsia="仿宋" w:cs="仿宋"/>
                <w:color w:val="auto"/>
                <w:lang w:val="en-US" w:eastAsia="zh-CN"/>
              </w:rPr>
              <w:t xml:space="preserve">孙  丽     </w:t>
            </w:r>
            <w:r>
              <w:rPr>
                <w:rFonts w:hint="eastAsia" w:ascii="仿宋" w:hAnsi="仿宋" w:eastAsia="仿宋" w:cs="仿宋"/>
                <w:color w:val="auto"/>
              </w:rPr>
              <w:t xml:space="preserve">  电话：</w:t>
            </w:r>
            <w:r>
              <w:rPr>
                <w:rFonts w:hint="eastAsia" w:ascii="仿宋" w:hAnsi="仿宋" w:eastAsia="仿宋" w:cs="仿宋"/>
                <w:color w:val="auto"/>
                <w:lang w:val="en-US" w:eastAsia="zh-CN"/>
              </w:rPr>
              <w:t>0991-4846078 13579890451</w:t>
            </w:r>
            <w:r>
              <w:rPr>
                <w:rFonts w:hint="eastAsia" w:ascii="仿宋" w:hAnsi="仿宋" w:eastAsia="仿宋" w:cs="仿宋"/>
                <w:color w:val="auto"/>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vAlign w:val="center"/>
          </w:tcPr>
          <w:p>
            <w:pPr>
              <w:spacing w:line="240" w:lineRule="atLeast"/>
              <w:ind w:left="1080" w:leftChars="257" w:hanging="540"/>
              <w:rPr>
                <w:rFonts w:ascii="仿宋" w:hAnsi="仿宋" w:eastAsia="仿宋" w:cs="仿宋"/>
                <w:color w:val="auto"/>
                <w:sz w:val="24"/>
              </w:rPr>
            </w:pPr>
            <w:r>
              <w:rPr>
                <w:rFonts w:hint="eastAsia" w:ascii="仿宋" w:hAnsi="仿宋" w:eastAsia="仿宋" w:cs="仿宋"/>
                <w:color w:val="auto"/>
                <w:sz w:val="24"/>
              </w:rPr>
              <w:t>1.3.4</w:t>
            </w:r>
          </w:p>
        </w:tc>
        <w:tc>
          <w:tcPr>
            <w:tcW w:w="6840" w:type="dxa"/>
            <w:vAlign w:val="center"/>
          </w:tcPr>
          <w:p>
            <w:pPr>
              <w:numPr>
                <w:ilvl w:val="0"/>
                <w:numId w:val="0"/>
              </w:numPr>
              <w:spacing w:line="240" w:lineRule="atLeast"/>
              <w:rPr>
                <w:rFonts w:hint="eastAsia" w:ascii="仿宋" w:hAnsi="仿宋" w:eastAsia="仿宋" w:cs="仿宋"/>
                <w:color w:val="auto"/>
                <w:lang w:val="en-US" w:eastAsia="zh-CN"/>
              </w:rPr>
            </w:pPr>
            <w:r>
              <w:rPr>
                <w:rFonts w:hint="eastAsia" w:ascii="仿宋" w:hAnsi="仿宋" w:eastAsia="仿宋" w:cs="仿宋"/>
                <w:color w:val="auto"/>
                <w:lang w:val="en-US" w:eastAsia="zh-CN"/>
              </w:rPr>
              <w:t>1.满足《中华人民共和国政府采购法》第二十二条规定：</w:t>
            </w:r>
          </w:p>
          <w:p>
            <w:pPr>
              <w:numPr>
                <w:ilvl w:val="0"/>
                <w:numId w:val="0"/>
              </w:numPr>
              <w:spacing w:line="240" w:lineRule="atLeast"/>
              <w:rPr>
                <w:rFonts w:hint="eastAsia" w:ascii="仿宋" w:hAnsi="仿宋" w:eastAsia="仿宋" w:cs="仿宋"/>
                <w:color w:val="auto"/>
                <w:lang w:eastAsia="zh-CN"/>
              </w:rPr>
            </w:pPr>
            <w:r>
              <w:rPr>
                <w:rFonts w:hint="eastAsia" w:ascii="仿宋" w:hAnsi="仿宋" w:eastAsia="仿宋" w:cs="仿宋"/>
                <w:color w:val="auto"/>
                <w:lang w:val="en-US" w:eastAsia="zh-CN"/>
              </w:rPr>
              <w:t>(1)</w:t>
            </w:r>
            <w:r>
              <w:rPr>
                <w:rFonts w:hint="eastAsia" w:ascii="仿宋" w:hAnsi="仿宋" w:eastAsia="仿宋" w:cs="仿宋"/>
                <w:color w:val="auto"/>
              </w:rPr>
              <w:t>有效的营业执照正本或副本</w:t>
            </w:r>
            <w:r>
              <w:rPr>
                <w:rFonts w:hint="eastAsia" w:ascii="仿宋" w:hAnsi="仿宋" w:eastAsia="仿宋" w:cs="仿宋"/>
                <w:color w:val="auto"/>
                <w:lang w:eastAsia="zh-CN"/>
              </w:rPr>
              <w:t>；</w:t>
            </w:r>
          </w:p>
          <w:p>
            <w:pPr>
              <w:numPr>
                <w:ilvl w:val="0"/>
                <w:numId w:val="0"/>
              </w:numPr>
              <w:spacing w:line="240" w:lineRule="atLeast"/>
              <w:rPr>
                <w:rFonts w:hint="eastAsia" w:ascii="仿宋" w:hAnsi="仿宋" w:eastAsia="仿宋" w:cs="仿宋"/>
                <w:color w:val="auto"/>
                <w:lang w:val="en-US" w:eastAsia="zh-CN"/>
              </w:rPr>
            </w:pPr>
            <w:r>
              <w:rPr>
                <w:rFonts w:hint="eastAsia" w:ascii="仿宋" w:hAnsi="仿宋" w:eastAsia="仿宋" w:cs="仿宋"/>
                <w:color w:val="auto"/>
                <w:lang w:val="en-US" w:eastAsia="zh-CN"/>
              </w:rPr>
              <w:t>(2)具有良好的商业信誉和健全的财务会计制度；</w:t>
            </w:r>
          </w:p>
          <w:p>
            <w:pPr>
              <w:numPr>
                <w:ilvl w:val="0"/>
                <w:numId w:val="0"/>
              </w:numPr>
              <w:spacing w:line="240" w:lineRule="atLeast"/>
              <w:rPr>
                <w:rFonts w:hint="eastAsia" w:ascii="仿宋" w:hAnsi="仿宋" w:eastAsia="仿宋" w:cs="仿宋"/>
                <w:color w:val="auto"/>
                <w:lang w:val="en-US" w:eastAsia="zh-CN"/>
              </w:rPr>
            </w:pPr>
            <w:r>
              <w:rPr>
                <w:rFonts w:hint="eastAsia" w:ascii="仿宋" w:hAnsi="仿宋" w:eastAsia="仿宋" w:cs="仿宋"/>
                <w:color w:val="auto"/>
                <w:lang w:val="en-US" w:eastAsia="zh-CN"/>
              </w:rPr>
              <w:t>(3)具有履行合同所必需的设备和专业技术能力；</w:t>
            </w:r>
          </w:p>
          <w:p>
            <w:pPr>
              <w:numPr>
                <w:ilvl w:val="0"/>
                <w:numId w:val="0"/>
              </w:numPr>
              <w:spacing w:line="240" w:lineRule="atLeast"/>
              <w:rPr>
                <w:rFonts w:hint="eastAsia" w:ascii="仿宋" w:hAnsi="仿宋" w:eastAsia="仿宋" w:cs="仿宋"/>
                <w:color w:val="auto"/>
                <w:lang w:val="en-US" w:eastAsia="zh-CN"/>
              </w:rPr>
            </w:pPr>
            <w:r>
              <w:rPr>
                <w:rFonts w:hint="eastAsia" w:ascii="仿宋" w:hAnsi="仿宋" w:eastAsia="仿宋" w:cs="仿宋"/>
                <w:color w:val="auto"/>
                <w:lang w:val="en-US" w:eastAsia="zh-CN"/>
              </w:rPr>
              <w:t>(4)</w:t>
            </w:r>
            <w:r>
              <w:rPr>
                <w:rFonts w:hint="eastAsia" w:ascii="仿宋" w:hAnsi="仿宋" w:eastAsia="仿宋" w:cs="仿宋"/>
                <w:color w:val="auto"/>
                <w:kern w:val="0"/>
                <w:sz w:val="22"/>
                <w:szCs w:val="22"/>
                <w:lang w:val="en-US" w:eastAsia="zh-CN"/>
              </w:rPr>
              <w:t>有依法缴纳税收和社会保障资金的良好记录；(需提供近期3个月社保部门出具的投标单位的缴纳社保证明和依法纳税的相关证明文件)</w:t>
            </w:r>
          </w:p>
          <w:p>
            <w:pPr>
              <w:numPr>
                <w:ilvl w:val="0"/>
                <w:numId w:val="0"/>
              </w:numPr>
              <w:spacing w:line="240" w:lineRule="atLeast"/>
              <w:rPr>
                <w:rFonts w:hint="default" w:ascii="仿宋" w:hAnsi="仿宋" w:eastAsia="仿宋" w:cs="仿宋"/>
                <w:color w:val="auto"/>
                <w:lang w:val="en-US" w:eastAsia="zh-CN"/>
              </w:rPr>
            </w:pPr>
            <w:r>
              <w:rPr>
                <w:rFonts w:hint="eastAsia" w:ascii="仿宋" w:hAnsi="仿宋" w:eastAsia="仿宋" w:cs="仿宋"/>
                <w:color w:val="auto"/>
                <w:lang w:val="en-US" w:eastAsia="zh-CN"/>
              </w:rPr>
              <w:t>(5)参加政府采购活动前三年内，在经营活动中没有重大违法记录承诺书</w:t>
            </w:r>
          </w:p>
          <w:p>
            <w:pPr>
              <w:numPr>
                <w:ilvl w:val="0"/>
                <w:numId w:val="0"/>
              </w:numPr>
              <w:spacing w:line="240" w:lineRule="atLeast"/>
              <w:rPr>
                <w:rFonts w:hint="eastAsia" w:ascii="仿宋" w:hAnsi="仿宋" w:eastAsia="仿宋" w:cs="仿宋"/>
                <w:color w:val="auto"/>
                <w:lang w:val="en-US" w:eastAsia="zh-CN"/>
              </w:rPr>
            </w:pPr>
            <w:r>
              <w:rPr>
                <w:rFonts w:hint="eastAsia" w:ascii="仿宋" w:hAnsi="仿宋" w:eastAsia="仿宋" w:cs="仿宋"/>
                <w:color w:val="auto"/>
                <w:lang w:val="en-US" w:eastAsia="zh-CN"/>
              </w:rPr>
              <w:t>2.落实政府采购政策需满足的资格要求：</w:t>
            </w:r>
          </w:p>
          <w:p>
            <w:pPr>
              <w:numPr>
                <w:ilvl w:val="0"/>
                <w:numId w:val="0"/>
              </w:numPr>
              <w:spacing w:line="240" w:lineRule="atLeast"/>
              <w:rPr>
                <w:rFonts w:hint="eastAsia" w:ascii="仿宋" w:hAnsi="仿宋" w:eastAsia="仿宋" w:cs="仿宋"/>
                <w:color w:val="auto"/>
                <w:lang w:val="en-US" w:eastAsia="zh-CN"/>
              </w:rPr>
            </w:pPr>
            <w:r>
              <w:rPr>
                <w:rFonts w:hint="eastAsia" w:ascii="仿宋" w:hAnsi="仿宋" w:eastAsia="仿宋" w:cs="仿宋"/>
                <w:color w:val="auto"/>
                <w:lang w:val="en-US" w:eastAsia="zh-CN"/>
              </w:rPr>
              <w:t>(1)《政府采购促进中小企业发展管理办法》（财库﹝2020﹞46号）及《关于进一步加大政府采购支持中小企业力度的通知》（财库〔2022〕19号）；</w:t>
            </w:r>
          </w:p>
          <w:p>
            <w:pPr>
              <w:numPr>
                <w:ilvl w:val="0"/>
                <w:numId w:val="0"/>
              </w:numPr>
              <w:spacing w:line="240" w:lineRule="atLeast"/>
              <w:rPr>
                <w:rFonts w:hint="eastAsia" w:ascii="仿宋" w:hAnsi="仿宋" w:eastAsia="仿宋" w:cs="仿宋"/>
                <w:color w:val="auto"/>
                <w:lang w:val="en-US" w:eastAsia="zh-CN"/>
              </w:rPr>
            </w:pPr>
            <w:r>
              <w:rPr>
                <w:rFonts w:hint="eastAsia" w:ascii="仿宋" w:hAnsi="仿宋" w:eastAsia="仿宋" w:cs="仿宋"/>
                <w:color w:val="auto"/>
                <w:lang w:val="en-US" w:eastAsia="zh-CN"/>
              </w:rPr>
              <w:t>(2)财政部、民政部、中国残疾人联合会《关于促进残疾人就业政府采购政策的通知》（财库[2017]141号）；</w:t>
            </w:r>
          </w:p>
          <w:p>
            <w:pPr>
              <w:numPr>
                <w:ilvl w:val="0"/>
                <w:numId w:val="0"/>
              </w:numPr>
              <w:spacing w:line="240" w:lineRule="atLeast"/>
              <w:rPr>
                <w:rFonts w:hint="eastAsia" w:ascii="仿宋" w:hAnsi="仿宋" w:eastAsia="仿宋" w:cs="仿宋"/>
                <w:color w:val="auto"/>
                <w:lang w:val="en-US" w:eastAsia="zh-CN"/>
              </w:rPr>
            </w:pPr>
            <w:r>
              <w:rPr>
                <w:rFonts w:hint="eastAsia" w:ascii="仿宋" w:hAnsi="仿宋" w:eastAsia="仿宋" w:cs="仿宋"/>
                <w:color w:val="auto"/>
                <w:lang w:val="en-US" w:eastAsia="zh-CN"/>
              </w:rPr>
              <w:t>(3)财政部、司法部《关于政府采购支持监狱企业发展有关问题的通知》（财库[2014]68号）；</w:t>
            </w:r>
          </w:p>
          <w:p>
            <w:pPr>
              <w:numPr>
                <w:ilvl w:val="0"/>
                <w:numId w:val="0"/>
              </w:numPr>
              <w:spacing w:line="240" w:lineRule="atLeast"/>
              <w:rPr>
                <w:rFonts w:hint="eastAsia" w:ascii="仿宋" w:hAnsi="仿宋" w:eastAsia="仿宋" w:cs="仿宋"/>
                <w:color w:val="auto"/>
                <w:lang w:val="en-US" w:eastAsia="zh-CN"/>
              </w:rPr>
            </w:pPr>
            <w:r>
              <w:rPr>
                <w:rFonts w:hint="eastAsia" w:ascii="仿宋" w:hAnsi="仿宋" w:eastAsia="仿宋" w:cs="仿宋"/>
                <w:color w:val="auto"/>
                <w:lang w:val="en-US" w:eastAsia="zh-CN"/>
              </w:rPr>
              <w:t>3.合格投标人的其他资格要求：</w:t>
            </w:r>
          </w:p>
          <w:p>
            <w:pPr>
              <w:numPr>
                <w:ilvl w:val="0"/>
                <w:numId w:val="0"/>
              </w:numPr>
              <w:spacing w:line="240" w:lineRule="atLeast"/>
              <w:rPr>
                <w:rFonts w:hint="eastAsia" w:ascii="仿宋" w:hAnsi="仿宋" w:eastAsia="仿宋" w:cs="仿宋"/>
                <w:color w:val="auto"/>
                <w:lang w:val="en-US" w:eastAsia="zh-CN"/>
              </w:rPr>
            </w:pPr>
            <w:r>
              <w:rPr>
                <w:rFonts w:hint="eastAsia" w:ascii="仿宋" w:hAnsi="仿宋" w:eastAsia="仿宋" w:cs="仿宋"/>
                <w:color w:val="auto"/>
                <w:lang w:val="en-US" w:eastAsia="zh-CN"/>
              </w:rPr>
              <w:t>(1)供应商未被列入“信用中国”网站(www.creditchina.gov.cn)、中国政府采购网(www.ccgp.gov.cn)渠道信用记录失信被执行人、重大税收违法案件当事人名单、政府采购严重违法失信行为记录名单的投标人，国家企业公示信息系统（www.gsxt.gov.cn）查询诚信记录如有严重行政处罚信息、重大严重失信记录不得参加本项目（查询结果以代理公司开标现场核查为准）；</w:t>
            </w:r>
          </w:p>
          <w:p>
            <w:pPr>
              <w:numPr>
                <w:ilvl w:val="0"/>
                <w:numId w:val="0"/>
              </w:numPr>
              <w:spacing w:line="240" w:lineRule="atLeast"/>
              <w:rPr>
                <w:rFonts w:hint="eastAsia" w:ascii="仿宋" w:hAnsi="仿宋" w:eastAsia="仿宋" w:cs="仿宋"/>
                <w:color w:val="auto"/>
                <w:lang w:val="en-US" w:eastAsia="zh-CN"/>
              </w:rPr>
            </w:pPr>
            <w:r>
              <w:rPr>
                <w:rFonts w:hint="eastAsia" w:ascii="仿宋" w:hAnsi="仿宋" w:eastAsia="仿宋" w:cs="仿宋"/>
                <w:color w:val="auto"/>
                <w:lang w:val="en-US" w:eastAsia="zh-CN"/>
              </w:rPr>
              <w:t>(2)提供针对本次项目的反商业贿赂承诺书；</w:t>
            </w:r>
          </w:p>
          <w:p>
            <w:pPr>
              <w:numPr>
                <w:ilvl w:val="0"/>
                <w:numId w:val="0"/>
              </w:numPr>
              <w:spacing w:line="240" w:lineRule="atLeast"/>
              <w:rPr>
                <w:rFonts w:hint="default" w:ascii="仿宋" w:hAnsi="仿宋" w:eastAsia="仿宋" w:cs="仿宋"/>
                <w:color w:val="auto"/>
                <w:lang w:val="en-US" w:eastAsia="zh-CN"/>
              </w:rPr>
            </w:pPr>
            <w:r>
              <w:rPr>
                <w:rFonts w:hint="eastAsia" w:ascii="仿宋" w:hAnsi="仿宋" w:eastAsia="仿宋" w:cs="仿宋"/>
                <w:color w:val="auto"/>
                <w:lang w:val="en-US" w:eastAsia="zh-CN"/>
              </w:rPr>
              <w:t>(3)联合体协议书（如有）。</w:t>
            </w:r>
          </w:p>
          <w:p>
            <w:pPr>
              <w:numPr>
                <w:ilvl w:val="0"/>
                <w:numId w:val="0"/>
              </w:numPr>
              <w:spacing w:line="240" w:lineRule="atLeast"/>
              <w:rPr>
                <w:rFonts w:hint="eastAsia" w:ascii="仿宋" w:hAnsi="仿宋" w:eastAsia="仿宋" w:cs="仿宋"/>
                <w:color w:val="auto"/>
                <w:lang w:val="en-US" w:eastAsia="zh-CN"/>
              </w:rPr>
            </w:pPr>
            <w:r>
              <w:rPr>
                <w:rFonts w:hint="eastAsia" w:ascii="仿宋" w:hAnsi="仿宋" w:eastAsia="仿宋" w:cs="仿宋"/>
                <w:color w:val="auto"/>
                <w:lang w:val="en-US" w:eastAsia="zh-CN"/>
              </w:rPr>
              <w:t>4.本项目的特定资格要求：</w:t>
            </w:r>
          </w:p>
          <w:p>
            <w:pPr>
              <w:numPr>
                <w:ilvl w:val="0"/>
                <w:numId w:val="0"/>
              </w:numPr>
              <w:spacing w:line="240" w:lineRule="atLeast"/>
              <w:rPr>
                <w:rFonts w:hint="eastAsia" w:ascii="仿宋" w:hAnsi="仿宋" w:eastAsia="仿宋" w:cs="仿宋"/>
                <w:color w:val="auto"/>
                <w:lang w:val="en-US" w:eastAsia="zh-CN"/>
              </w:rPr>
            </w:pPr>
            <w:r>
              <w:rPr>
                <w:rFonts w:hint="eastAsia" w:ascii="仿宋" w:hAnsi="仿宋" w:eastAsia="仿宋" w:cs="仿宋"/>
                <w:color w:val="auto"/>
                <w:lang w:val="en-US" w:eastAsia="zh-CN"/>
              </w:rPr>
              <w:t>供应商投标标项一、二提供地质灾害治理工程勘查乙级（含乙级）以上资质；标项三、四提供地质灾害治理工程设计和施工乙级（含乙级）以上资质；标项五提供地质灾害治理工程勘查乙级（含乙级）以上资质并与设备供应商（一家或多家）组成联合体投标,所采购设备技术参数应符合《地质灾害监测预警通讯技术要求》和《地质灾害群专结合监测预警技术指南（试行）》；标项六提供地质灾害防治工程监理乙级（含乙级）以上资质。</w:t>
            </w:r>
          </w:p>
          <w:p>
            <w:pPr>
              <w:numPr>
                <w:ilvl w:val="0"/>
                <w:numId w:val="0"/>
              </w:numPr>
              <w:spacing w:line="240" w:lineRule="atLeast"/>
              <w:rPr>
                <w:color w:val="auto"/>
              </w:rPr>
            </w:pPr>
            <w:r>
              <w:rPr>
                <w:rFonts w:hint="eastAsia" w:ascii="仿宋" w:hAnsi="仿宋" w:eastAsia="仿宋" w:cs="仿宋"/>
                <w:color w:val="auto"/>
                <w:lang w:val="en-US" w:eastAsia="zh-CN"/>
              </w:rPr>
              <w:t>5.投标保证金缴纳凭证。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8" w:hRule="atLeast"/>
        </w:trPr>
        <w:tc>
          <w:tcPr>
            <w:tcW w:w="1468" w:type="dxa"/>
            <w:vAlign w:val="center"/>
          </w:tcPr>
          <w:p>
            <w:pPr>
              <w:spacing w:line="240" w:lineRule="atLeast"/>
              <w:ind w:left="1080" w:leftChars="257" w:hanging="540"/>
              <w:rPr>
                <w:rFonts w:ascii="仿宋" w:hAnsi="仿宋" w:eastAsia="仿宋" w:cs="仿宋"/>
                <w:color w:val="auto"/>
                <w:sz w:val="24"/>
              </w:rPr>
            </w:pPr>
            <w:r>
              <w:rPr>
                <w:rFonts w:hint="eastAsia" w:ascii="仿宋" w:hAnsi="仿宋" w:eastAsia="仿宋" w:cs="仿宋"/>
                <w:color w:val="auto"/>
                <w:sz w:val="24"/>
              </w:rPr>
              <w:t>1.3.5</w:t>
            </w:r>
          </w:p>
        </w:tc>
        <w:tc>
          <w:tcPr>
            <w:tcW w:w="6840" w:type="dxa"/>
            <w:vAlign w:val="center"/>
          </w:tcPr>
          <w:p>
            <w:pPr>
              <w:spacing w:line="240" w:lineRule="atLeast"/>
              <w:rPr>
                <w:rFonts w:hint="default" w:ascii="仿宋" w:hAnsi="仿宋" w:eastAsia="仿宋" w:cs="仿宋"/>
                <w:color w:val="auto"/>
                <w:sz w:val="24"/>
                <w:lang w:val="en-US" w:eastAsia="zh-CN"/>
              </w:rPr>
            </w:pPr>
            <w:r>
              <w:rPr>
                <w:rFonts w:hint="eastAsia" w:ascii="仿宋" w:hAnsi="仿宋" w:eastAsia="仿宋" w:cs="仿宋"/>
                <w:color w:val="auto"/>
                <w:lang w:val="en-US" w:eastAsia="zh-CN"/>
              </w:rPr>
              <w:t xml:space="preserve">是否为专门面向中小企业采购： </w:t>
            </w:r>
            <w:r>
              <w:rPr>
                <w:rFonts w:hint="eastAsia" w:ascii="仿宋" w:hAnsi="仿宋" w:eastAsia="仿宋" w:cs="仿宋"/>
                <w:color w:val="auto"/>
                <w:u w:val="single"/>
              </w:rPr>
              <w:t>标项一</w:t>
            </w:r>
            <w:r>
              <w:rPr>
                <w:rFonts w:hint="eastAsia" w:ascii="仿宋" w:hAnsi="仿宋" w:eastAsia="仿宋" w:cs="仿宋"/>
                <w:color w:val="auto"/>
                <w:u w:val="single"/>
                <w:lang w:val="en-US" w:eastAsia="zh-CN"/>
              </w:rPr>
              <w:t>至标项五专门面向中小企业采购，标项六不专门面向中小企业采购。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8" w:hRule="atLeast"/>
        </w:trPr>
        <w:tc>
          <w:tcPr>
            <w:tcW w:w="1468" w:type="dxa"/>
            <w:vAlign w:val="center"/>
          </w:tcPr>
          <w:p>
            <w:pPr>
              <w:spacing w:line="240" w:lineRule="atLeast"/>
              <w:ind w:left="1080" w:leftChars="257" w:hanging="540"/>
              <w:rPr>
                <w:rFonts w:ascii="仿宋" w:hAnsi="仿宋" w:eastAsia="仿宋" w:cs="仿宋"/>
                <w:color w:val="auto"/>
                <w:sz w:val="24"/>
              </w:rPr>
            </w:pPr>
            <w:r>
              <w:rPr>
                <w:rFonts w:hint="eastAsia" w:ascii="仿宋" w:hAnsi="仿宋" w:eastAsia="仿宋" w:cs="仿宋"/>
                <w:color w:val="auto"/>
                <w:sz w:val="24"/>
              </w:rPr>
              <w:t>1.4</w:t>
            </w:r>
          </w:p>
        </w:tc>
        <w:tc>
          <w:tcPr>
            <w:tcW w:w="6840" w:type="dxa"/>
            <w:vAlign w:val="center"/>
          </w:tcPr>
          <w:p>
            <w:pPr>
              <w:numPr>
                <w:ilvl w:val="0"/>
                <w:numId w:val="0"/>
              </w:numPr>
              <w:spacing w:line="240" w:lineRule="atLeast"/>
              <w:rPr>
                <w:rFonts w:hint="eastAsia" w:ascii="仿宋" w:hAnsi="仿宋" w:eastAsia="仿宋" w:cs="仿宋"/>
                <w:color w:val="auto"/>
                <w:lang w:val="en-US" w:eastAsia="zh-CN"/>
              </w:rPr>
            </w:pPr>
            <w:r>
              <w:rPr>
                <w:rFonts w:hint="eastAsia" w:ascii="仿宋" w:hAnsi="仿宋" w:eastAsia="仿宋" w:cs="仿宋"/>
                <w:color w:val="auto"/>
                <w:lang w:val="en-US" w:eastAsia="zh-CN"/>
              </w:rPr>
              <w:t>是否允许联合体投标：</w:t>
            </w:r>
          </w:p>
          <w:p>
            <w:pPr>
              <w:numPr>
                <w:ilvl w:val="0"/>
                <w:numId w:val="0"/>
              </w:numPr>
              <w:spacing w:line="240" w:lineRule="atLeast"/>
              <w:rPr>
                <w:rFonts w:hint="eastAsia" w:ascii="仿宋" w:hAnsi="仿宋" w:eastAsia="仿宋" w:cs="仿宋"/>
                <w:color w:val="auto"/>
                <w:lang w:val="en-US" w:eastAsia="zh-CN"/>
              </w:rPr>
            </w:pPr>
            <w:r>
              <w:rPr>
                <w:rFonts w:hint="eastAsia" w:ascii="仿宋" w:hAnsi="仿宋" w:eastAsia="仿宋" w:cs="仿宋"/>
                <w:color w:val="auto"/>
                <w:lang w:val="en-US" w:eastAsia="zh-CN"/>
              </w:rPr>
              <w:t>标项一、二、六</w:t>
            </w:r>
            <w:r>
              <w:rPr>
                <w:rFonts w:hint="eastAsia" w:ascii="仿宋" w:hAnsi="仿宋" w:eastAsia="仿宋" w:cs="仿宋"/>
                <w:color w:val="auto"/>
                <w:u w:val="single"/>
                <w:lang w:val="en-US" w:eastAsia="zh-CN"/>
              </w:rPr>
              <w:t>否</w:t>
            </w:r>
            <w:r>
              <w:rPr>
                <w:rFonts w:hint="eastAsia" w:ascii="仿宋" w:hAnsi="仿宋" w:eastAsia="仿宋" w:cs="仿宋"/>
                <w:color w:val="auto"/>
                <w:lang w:val="en-US" w:eastAsia="zh-CN"/>
              </w:rPr>
              <w:t>联合体投标，标项三、四、五</w:t>
            </w:r>
            <w:r>
              <w:rPr>
                <w:rFonts w:hint="eastAsia" w:ascii="仿宋" w:hAnsi="仿宋" w:eastAsia="仿宋" w:cs="仿宋"/>
                <w:color w:val="auto"/>
                <w:u w:val="single"/>
                <w:lang w:val="en-US" w:eastAsia="zh-CN"/>
              </w:rPr>
              <w:t>允许</w:t>
            </w:r>
            <w:r>
              <w:rPr>
                <w:rFonts w:hint="eastAsia" w:ascii="仿宋" w:hAnsi="仿宋" w:eastAsia="仿宋" w:cs="仿宋"/>
                <w:color w:val="auto"/>
                <w:lang w:val="en-US" w:eastAsia="zh-CN"/>
              </w:rPr>
              <w:t>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1468" w:type="dxa"/>
            <w:vAlign w:val="center"/>
          </w:tcPr>
          <w:p>
            <w:pPr>
              <w:spacing w:line="240" w:lineRule="atLeast"/>
              <w:ind w:left="1080" w:leftChars="257" w:hanging="540"/>
              <w:rPr>
                <w:rFonts w:ascii="仿宋" w:hAnsi="仿宋" w:eastAsia="仿宋" w:cs="仿宋"/>
                <w:color w:val="auto"/>
                <w:sz w:val="24"/>
              </w:rPr>
            </w:pPr>
            <w:r>
              <w:rPr>
                <w:rFonts w:hint="eastAsia" w:ascii="仿宋" w:hAnsi="仿宋" w:eastAsia="仿宋" w:cs="仿宋"/>
                <w:color w:val="auto"/>
                <w:sz w:val="24"/>
              </w:rPr>
              <w:t>1.4.8</w:t>
            </w:r>
          </w:p>
        </w:tc>
        <w:tc>
          <w:tcPr>
            <w:tcW w:w="6840" w:type="dxa"/>
            <w:vAlign w:val="center"/>
          </w:tcPr>
          <w:p>
            <w:pPr>
              <w:numPr>
                <w:ilvl w:val="0"/>
                <w:numId w:val="0"/>
              </w:numPr>
              <w:spacing w:line="240" w:lineRule="atLeast"/>
              <w:rPr>
                <w:rFonts w:hint="eastAsia" w:ascii="仿宋" w:hAnsi="仿宋" w:eastAsia="仿宋" w:cs="仿宋"/>
                <w:color w:val="auto"/>
                <w:lang w:val="en-US" w:eastAsia="zh-CN"/>
              </w:rPr>
            </w:pPr>
            <w:r>
              <w:rPr>
                <w:rFonts w:hint="eastAsia" w:ascii="仿宋" w:hAnsi="仿宋" w:eastAsia="仿宋" w:cs="仿宋"/>
                <w:color w:val="auto"/>
                <w:lang w:val="en-US" w:eastAsia="zh-CN"/>
              </w:rPr>
              <w:t>联合体的其他资格要求：</w:t>
            </w:r>
          </w:p>
          <w:p>
            <w:pPr>
              <w:numPr>
                <w:ilvl w:val="0"/>
                <w:numId w:val="0"/>
              </w:numPr>
              <w:spacing w:line="240" w:lineRule="atLeast"/>
              <w:rPr>
                <w:rFonts w:hint="eastAsia" w:ascii="仿宋" w:hAnsi="仿宋" w:eastAsia="仿宋" w:cs="仿宋"/>
                <w:color w:val="auto"/>
                <w:lang w:val="en-US" w:eastAsia="zh-CN"/>
              </w:rPr>
            </w:pPr>
            <w:r>
              <w:rPr>
                <w:rFonts w:hint="eastAsia" w:ascii="仿宋" w:hAnsi="仿宋" w:eastAsia="仿宋" w:cs="仿宋"/>
                <w:color w:val="auto"/>
                <w:lang w:val="en-US" w:eastAsia="zh-CN"/>
              </w:rPr>
              <w:t>1.联合体投标的，应签订联合体投标协议书，确定联合牵头人并确定各方的权利和义务；项目牵头供应商为专业地质类单位；</w:t>
            </w:r>
          </w:p>
          <w:p>
            <w:pPr>
              <w:numPr>
                <w:ilvl w:val="0"/>
                <w:numId w:val="0"/>
              </w:numPr>
              <w:spacing w:line="240" w:lineRule="atLeast"/>
              <w:rPr>
                <w:rFonts w:hint="eastAsia" w:ascii="仿宋" w:hAnsi="仿宋" w:eastAsia="仿宋" w:cs="仿宋"/>
                <w:color w:val="auto"/>
                <w:lang w:val="en-US" w:eastAsia="zh-CN"/>
              </w:rPr>
            </w:pPr>
            <w:r>
              <w:rPr>
                <w:rFonts w:hint="eastAsia" w:ascii="仿宋" w:hAnsi="仿宋" w:eastAsia="仿宋" w:cs="仿宋"/>
                <w:color w:val="auto"/>
                <w:lang w:val="en-US" w:eastAsia="zh-CN"/>
              </w:rPr>
              <w:t>2.联合体需提供联合投标协议，明确各方分工。联合体各方均应当具备承担招标项目的相应能力，均应当具备规定的相应资格条件。联合体中标的，联合体各方应当共同与招标人签订合同，就中标项目向招标人承担连带责任。</w:t>
            </w:r>
          </w:p>
          <w:p>
            <w:pPr>
              <w:numPr>
                <w:ilvl w:val="0"/>
                <w:numId w:val="0"/>
              </w:numPr>
              <w:spacing w:line="240" w:lineRule="atLeast"/>
              <w:rPr>
                <w:rFonts w:hint="eastAsia" w:ascii="仿宋" w:hAnsi="仿宋" w:eastAsia="仿宋" w:cs="仿宋"/>
                <w:color w:val="auto"/>
                <w:lang w:val="en-US" w:eastAsia="zh-CN"/>
              </w:rPr>
            </w:pPr>
            <w:r>
              <w:rPr>
                <w:rFonts w:hint="eastAsia" w:ascii="仿宋" w:hAnsi="仿宋" w:eastAsia="仿宋" w:cs="仿宋"/>
                <w:color w:val="auto"/>
                <w:lang w:val="en-US" w:eastAsia="zh-CN"/>
              </w:rPr>
              <w:t>3.联合体成员签订联合体协议书后，不得再以自己的名义单独投标，也不得组成新的联合体或参加其他联合体在本项目中投标。</w:t>
            </w:r>
          </w:p>
          <w:p>
            <w:pPr>
              <w:numPr>
                <w:ilvl w:val="0"/>
                <w:numId w:val="0"/>
              </w:numPr>
              <w:spacing w:line="240" w:lineRule="atLeast"/>
              <w:rPr>
                <w:rFonts w:hint="eastAsia" w:ascii="仿宋" w:hAnsi="仿宋" w:eastAsia="仿宋" w:cs="仿宋"/>
                <w:color w:val="auto"/>
                <w:lang w:val="en-US" w:eastAsia="zh-CN"/>
              </w:rPr>
            </w:pPr>
            <w:r>
              <w:rPr>
                <w:rFonts w:hint="eastAsia" w:ascii="仿宋" w:hAnsi="仿宋" w:eastAsia="仿宋" w:cs="仿宋"/>
                <w:color w:val="auto"/>
                <w:lang w:val="en-US" w:eastAsia="zh-CN"/>
              </w:rPr>
              <w:t>4.组成联合体或者接受分包合同的中小企业与联合体内其他企业、分包企业之间不得存在直接控股、管理关系。</w:t>
            </w:r>
          </w:p>
          <w:p>
            <w:pPr>
              <w:numPr>
                <w:ilvl w:val="0"/>
                <w:numId w:val="0"/>
              </w:numPr>
              <w:spacing w:line="240" w:lineRule="atLeast"/>
              <w:rPr>
                <w:rFonts w:hint="eastAsia" w:ascii="仿宋" w:hAnsi="仿宋" w:eastAsia="仿宋" w:cs="仿宋"/>
                <w:color w:val="auto"/>
                <w:lang w:val="en-US" w:eastAsia="zh-CN"/>
              </w:rPr>
            </w:pPr>
            <w:r>
              <w:rPr>
                <w:rFonts w:hint="eastAsia" w:ascii="仿宋" w:hAnsi="仿宋" w:eastAsia="仿宋" w:cs="仿宋"/>
                <w:color w:val="auto"/>
                <w:lang w:val="en-US" w:eastAsia="zh-CN"/>
              </w:rPr>
              <w:t>5.以联合体形式参加政府采购活动，联合体各方均为中小企业的，联合体视同中小企业。其中联合体各方均为小微企业的，联合体视同小微企业。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1468" w:type="dxa"/>
            <w:vAlign w:val="center"/>
          </w:tcPr>
          <w:p>
            <w:pPr>
              <w:spacing w:line="240" w:lineRule="atLeast"/>
              <w:ind w:left="1080" w:leftChars="257" w:hanging="540"/>
              <w:rPr>
                <w:rFonts w:ascii="仿宋" w:hAnsi="仿宋" w:eastAsia="仿宋" w:cs="仿宋"/>
                <w:color w:val="auto"/>
                <w:sz w:val="24"/>
              </w:rPr>
            </w:pPr>
            <w:r>
              <w:rPr>
                <w:rFonts w:hint="eastAsia" w:ascii="仿宋" w:hAnsi="仿宋" w:eastAsia="仿宋" w:cs="仿宋"/>
                <w:color w:val="auto"/>
                <w:sz w:val="24"/>
              </w:rPr>
              <w:t>2.2</w:t>
            </w:r>
          </w:p>
        </w:tc>
        <w:tc>
          <w:tcPr>
            <w:tcW w:w="6840" w:type="dxa"/>
            <w:vAlign w:val="center"/>
          </w:tcPr>
          <w:p>
            <w:pPr>
              <w:spacing w:line="240" w:lineRule="atLeast"/>
              <w:rPr>
                <w:rFonts w:hint="eastAsia" w:ascii="仿宋" w:hAnsi="仿宋" w:eastAsia="仿宋" w:cs="仿宋"/>
                <w:color w:val="auto"/>
              </w:rPr>
            </w:pPr>
            <w:r>
              <w:rPr>
                <w:rFonts w:hint="eastAsia" w:ascii="仿宋" w:hAnsi="仿宋" w:eastAsia="仿宋" w:cs="仿宋"/>
                <w:color w:val="auto"/>
              </w:rPr>
              <w:t>项目总预算金额</w:t>
            </w:r>
            <w:r>
              <w:rPr>
                <w:rFonts w:hint="eastAsia" w:ascii="仿宋" w:hAnsi="仿宋" w:eastAsia="仿宋" w:cs="仿宋"/>
                <w:color w:val="auto"/>
                <w:lang w:val="en-US" w:eastAsia="zh-CN"/>
              </w:rPr>
              <w:t>人民币</w:t>
            </w:r>
            <w:r>
              <w:rPr>
                <w:rFonts w:hint="eastAsia" w:ascii="仿宋" w:hAnsi="仿宋" w:eastAsia="仿宋" w:cs="仿宋"/>
                <w:color w:val="auto"/>
              </w:rPr>
              <w:t>：12300000万元；</w:t>
            </w:r>
          </w:p>
          <w:p>
            <w:pPr>
              <w:spacing w:line="240" w:lineRule="atLeast"/>
              <w:rPr>
                <w:rFonts w:hint="eastAsia" w:ascii="仿宋" w:hAnsi="仿宋" w:eastAsia="仿宋" w:cs="仿宋"/>
                <w:color w:val="auto"/>
              </w:rPr>
            </w:pPr>
            <w:r>
              <w:rPr>
                <w:rFonts w:hint="eastAsia" w:ascii="仿宋" w:hAnsi="仿宋" w:eastAsia="仿宋" w:cs="仿宋"/>
                <w:color w:val="auto"/>
              </w:rPr>
              <w:t>标项一：预算金额</w:t>
            </w:r>
            <w:r>
              <w:rPr>
                <w:rFonts w:hint="eastAsia" w:ascii="仿宋" w:hAnsi="仿宋" w:eastAsia="仿宋" w:cs="仿宋"/>
                <w:color w:val="auto"/>
                <w:lang w:val="en-US" w:eastAsia="zh-CN"/>
              </w:rPr>
              <w:t>人民币</w:t>
            </w:r>
            <w:r>
              <w:rPr>
                <w:rFonts w:hint="eastAsia" w:ascii="仿宋" w:hAnsi="仿宋" w:eastAsia="仿宋" w:cs="仿宋"/>
                <w:color w:val="auto"/>
              </w:rPr>
              <w:t>：130万元；最高限价</w:t>
            </w:r>
            <w:r>
              <w:rPr>
                <w:rFonts w:hint="eastAsia" w:ascii="仿宋" w:hAnsi="仿宋" w:eastAsia="仿宋" w:cs="仿宋"/>
                <w:color w:val="auto"/>
                <w:lang w:val="en-US" w:eastAsia="zh-CN"/>
              </w:rPr>
              <w:t>人民币</w:t>
            </w:r>
            <w:r>
              <w:rPr>
                <w:rFonts w:hint="eastAsia" w:ascii="仿宋" w:hAnsi="仿宋" w:eastAsia="仿宋" w:cs="仿宋"/>
                <w:color w:val="auto"/>
              </w:rPr>
              <w:t>：130万元</w:t>
            </w:r>
          </w:p>
          <w:p>
            <w:pPr>
              <w:spacing w:line="240" w:lineRule="atLeast"/>
              <w:rPr>
                <w:rFonts w:hint="eastAsia" w:ascii="仿宋" w:hAnsi="仿宋" w:eastAsia="仿宋" w:cs="仿宋"/>
                <w:color w:val="auto"/>
              </w:rPr>
            </w:pPr>
            <w:r>
              <w:rPr>
                <w:rFonts w:hint="eastAsia" w:ascii="仿宋" w:hAnsi="仿宋" w:eastAsia="仿宋" w:cs="仿宋"/>
                <w:color w:val="auto"/>
              </w:rPr>
              <w:t>标项二：预算金额</w:t>
            </w:r>
            <w:r>
              <w:rPr>
                <w:rFonts w:hint="eastAsia" w:ascii="仿宋" w:hAnsi="仿宋" w:eastAsia="仿宋" w:cs="仿宋"/>
                <w:color w:val="auto"/>
                <w:lang w:val="en-US" w:eastAsia="zh-CN"/>
              </w:rPr>
              <w:t>人民币</w:t>
            </w:r>
            <w:r>
              <w:rPr>
                <w:rFonts w:hint="eastAsia" w:ascii="仿宋" w:hAnsi="仿宋" w:eastAsia="仿宋" w:cs="仿宋"/>
                <w:color w:val="auto"/>
              </w:rPr>
              <w:t>：1</w:t>
            </w:r>
            <w:r>
              <w:rPr>
                <w:rFonts w:hint="eastAsia" w:ascii="仿宋" w:hAnsi="仿宋" w:eastAsia="仿宋" w:cs="仿宋"/>
                <w:color w:val="auto"/>
                <w:lang w:val="en-US" w:eastAsia="zh-CN"/>
              </w:rPr>
              <w:t>3</w:t>
            </w:r>
            <w:r>
              <w:rPr>
                <w:rFonts w:hint="eastAsia" w:ascii="仿宋" w:hAnsi="仿宋" w:eastAsia="仿宋" w:cs="仿宋"/>
                <w:color w:val="auto"/>
              </w:rPr>
              <w:t>0万元；最高限价</w:t>
            </w:r>
            <w:r>
              <w:rPr>
                <w:rFonts w:hint="eastAsia" w:ascii="仿宋" w:hAnsi="仿宋" w:eastAsia="仿宋" w:cs="仿宋"/>
                <w:color w:val="auto"/>
                <w:lang w:val="en-US" w:eastAsia="zh-CN"/>
              </w:rPr>
              <w:t>人民币</w:t>
            </w:r>
            <w:r>
              <w:rPr>
                <w:rFonts w:hint="eastAsia" w:ascii="仿宋" w:hAnsi="仿宋" w:eastAsia="仿宋" w:cs="仿宋"/>
                <w:color w:val="auto"/>
              </w:rPr>
              <w:t>：1</w:t>
            </w:r>
            <w:r>
              <w:rPr>
                <w:rFonts w:hint="eastAsia" w:ascii="仿宋" w:hAnsi="仿宋" w:eastAsia="仿宋" w:cs="仿宋"/>
                <w:color w:val="auto"/>
                <w:lang w:val="en-US" w:eastAsia="zh-CN"/>
              </w:rPr>
              <w:t>3</w:t>
            </w:r>
            <w:r>
              <w:rPr>
                <w:rFonts w:hint="eastAsia" w:ascii="仿宋" w:hAnsi="仿宋" w:eastAsia="仿宋" w:cs="仿宋"/>
                <w:color w:val="auto"/>
              </w:rPr>
              <w:t>0万元</w:t>
            </w:r>
          </w:p>
          <w:p>
            <w:pPr>
              <w:spacing w:line="240" w:lineRule="atLeast"/>
              <w:rPr>
                <w:rFonts w:hint="eastAsia" w:ascii="仿宋" w:hAnsi="仿宋" w:eastAsia="仿宋" w:cs="仿宋"/>
                <w:color w:val="auto"/>
              </w:rPr>
            </w:pPr>
            <w:r>
              <w:rPr>
                <w:rFonts w:hint="eastAsia" w:ascii="仿宋" w:hAnsi="仿宋" w:eastAsia="仿宋" w:cs="仿宋"/>
                <w:color w:val="auto"/>
              </w:rPr>
              <w:t>标项三：预算金额</w:t>
            </w:r>
            <w:r>
              <w:rPr>
                <w:rFonts w:hint="eastAsia" w:ascii="仿宋" w:hAnsi="仿宋" w:eastAsia="仿宋" w:cs="仿宋"/>
                <w:color w:val="auto"/>
                <w:lang w:val="en-US" w:eastAsia="zh-CN"/>
              </w:rPr>
              <w:t>人民币</w:t>
            </w:r>
            <w:r>
              <w:rPr>
                <w:rFonts w:hint="eastAsia" w:ascii="仿宋" w:hAnsi="仿宋" w:eastAsia="仿宋" w:cs="仿宋"/>
                <w:color w:val="auto"/>
              </w:rPr>
              <w:t>：</w:t>
            </w:r>
            <w:r>
              <w:rPr>
                <w:rFonts w:hint="eastAsia" w:ascii="仿宋" w:hAnsi="仿宋" w:eastAsia="仿宋" w:cs="仿宋"/>
                <w:color w:val="auto"/>
                <w:lang w:val="en-US" w:eastAsia="zh-CN"/>
              </w:rPr>
              <w:t>444.7</w:t>
            </w:r>
            <w:r>
              <w:rPr>
                <w:rFonts w:hint="eastAsia" w:ascii="仿宋" w:hAnsi="仿宋" w:eastAsia="仿宋" w:cs="仿宋"/>
                <w:color w:val="auto"/>
              </w:rPr>
              <w:t>万元；最高限价</w:t>
            </w:r>
            <w:r>
              <w:rPr>
                <w:rFonts w:hint="eastAsia" w:ascii="仿宋" w:hAnsi="仿宋" w:eastAsia="仿宋" w:cs="仿宋"/>
                <w:color w:val="auto"/>
                <w:lang w:val="en-US" w:eastAsia="zh-CN"/>
              </w:rPr>
              <w:t>人民币</w:t>
            </w:r>
            <w:r>
              <w:rPr>
                <w:rFonts w:hint="eastAsia" w:ascii="仿宋" w:hAnsi="仿宋" w:eastAsia="仿宋" w:cs="仿宋"/>
                <w:color w:val="auto"/>
              </w:rPr>
              <w:t>：</w:t>
            </w:r>
            <w:r>
              <w:rPr>
                <w:rFonts w:hint="eastAsia" w:ascii="仿宋" w:hAnsi="仿宋" w:eastAsia="仿宋" w:cs="仿宋"/>
                <w:color w:val="auto"/>
                <w:lang w:val="en-US" w:eastAsia="zh-CN"/>
              </w:rPr>
              <w:t>444.7</w:t>
            </w:r>
            <w:r>
              <w:rPr>
                <w:rFonts w:hint="eastAsia" w:ascii="仿宋" w:hAnsi="仿宋" w:eastAsia="仿宋" w:cs="仿宋"/>
                <w:color w:val="auto"/>
              </w:rPr>
              <w:t>万元</w:t>
            </w:r>
          </w:p>
          <w:p>
            <w:pPr>
              <w:spacing w:line="240" w:lineRule="atLeast"/>
              <w:rPr>
                <w:rFonts w:hint="eastAsia" w:ascii="仿宋" w:hAnsi="仿宋" w:eastAsia="仿宋" w:cs="仿宋"/>
                <w:color w:val="auto"/>
              </w:rPr>
            </w:pPr>
            <w:r>
              <w:rPr>
                <w:rFonts w:hint="eastAsia" w:ascii="仿宋" w:hAnsi="仿宋" w:eastAsia="仿宋" w:cs="仿宋"/>
                <w:color w:val="auto"/>
              </w:rPr>
              <w:t>标项四：预算金额</w:t>
            </w:r>
            <w:r>
              <w:rPr>
                <w:rFonts w:hint="eastAsia" w:ascii="仿宋" w:hAnsi="仿宋" w:eastAsia="仿宋" w:cs="仿宋"/>
                <w:color w:val="auto"/>
                <w:lang w:val="en-US" w:eastAsia="zh-CN"/>
              </w:rPr>
              <w:t>人民币</w:t>
            </w:r>
            <w:r>
              <w:rPr>
                <w:rFonts w:hint="eastAsia" w:ascii="仿宋" w:hAnsi="仿宋" w:eastAsia="仿宋" w:cs="仿宋"/>
                <w:color w:val="auto"/>
              </w:rPr>
              <w:t>：</w:t>
            </w:r>
            <w:r>
              <w:rPr>
                <w:rFonts w:hint="eastAsia" w:ascii="仿宋" w:hAnsi="仿宋" w:eastAsia="仿宋" w:cs="仿宋"/>
                <w:color w:val="auto"/>
                <w:lang w:val="en-US" w:eastAsia="zh-CN"/>
              </w:rPr>
              <w:t>396.2</w:t>
            </w:r>
            <w:r>
              <w:rPr>
                <w:rFonts w:hint="eastAsia" w:ascii="仿宋" w:hAnsi="仿宋" w:eastAsia="仿宋" w:cs="仿宋"/>
                <w:color w:val="auto"/>
              </w:rPr>
              <w:t>万元；最高限价</w:t>
            </w:r>
            <w:r>
              <w:rPr>
                <w:rFonts w:hint="eastAsia" w:ascii="仿宋" w:hAnsi="仿宋" w:eastAsia="仿宋" w:cs="仿宋"/>
                <w:color w:val="auto"/>
                <w:lang w:val="en-US" w:eastAsia="zh-CN"/>
              </w:rPr>
              <w:t>人民币</w:t>
            </w:r>
            <w:r>
              <w:rPr>
                <w:rFonts w:hint="eastAsia" w:ascii="仿宋" w:hAnsi="仿宋" w:eastAsia="仿宋" w:cs="仿宋"/>
                <w:color w:val="auto"/>
              </w:rPr>
              <w:t>：</w:t>
            </w:r>
            <w:r>
              <w:rPr>
                <w:rFonts w:hint="eastAsia" w:ascii="仿宋" w:hAnsi="仿宋" w:eastAsia="仿宋" w:cs="仿宋"/>
                <w:color w:val="auto"/>
                <w:lang w:val="en-US" w:eastAsia="zh-CN"/>
              </w:rPr>
              <w:t>396.2</w:t>
            </w:r>
            <w:r>
              <w:rPr>
                <w:rFonts w:hint="eastAsia" w:ascii="仿宋" w:hAnsi="仿宋" w:eastAsia="仿宋" w:cs="仿宋"/>
                <w:color w:val="auto"/>
              </w:rPr>
              <w:t>万元</w:t>
            </w:r>
          </w:p>
          <w:p>
            <w:pPr>
              <w:spacing w:line="240" w:lineRule="atLeast"/>
              <w:rPr>
                <w:rFonts w:hint="eastAsia" w:ascii="仿宋" w:hAnsi="仿宋" w:eastAsia="仿宋" w:cs="仿宋"/>
                <w:color w:val="auto"/>
              </w:rPr>
            </w:pPr>
            <w:r>
              <w:rPr>
                <w:rFonts w:hint="eastAsia" w:ascii="仿宋" w:hAnsi="仿宋" w:eastAsia="仿宋" w:cs="仿宋"/>
                <w:color w:val="auto"/>
              </w:rPr>
              <w:t>标项</w:t>
            </w:r>
            <w:r>
              <w:rPr>
                <w:rFonts w:hint="eastAsia" w:ascii="仿宋" w:hAnsi="仿宋" w:eastAsia="仿宋" w:cs="仿宋"/>
                <w:color w:val="auto"/>
                <w:lang w:val="en-US" w:eastAsia="zh-CN"/>
              </w:rPr>
              <w:t>五</w:t>
            </w:r>
            <w:r>
              <w:rPr>
                <w:rFonts w:hint="eastAsia" w:ascii="仿宋" w:hAnsi="仿宋" w:eastAsia="仿宋" w:cs="仿宋"/>
                <w:color w:val="auto"/>
              </w:rPr>
              <w:t>：预算金额</w:t>
            </w:r>
            <w:r>
              <w:rPr>
                <w:rFonts w:hint="eastAsia" w:ascii="仿宋" w:hAnsi="仿宋" w:eastAsia="仿宋" w:cs="仿宋"/>
                <w:color w:val="auto"/>
                <w:lang w:val="en-US" w:eastAsia="zh-CN"/>
              </w:rPr>
              <w:t>人民币</w:t>
            </w:r>
            <w:r>
              <w:rPr>
                <w:rFonts w:hint="eastAsia" w:ascii="仿宋" w:hAnsi="仿宋" w:eastAsia="仿宋" w:cs="仿宋"/>
                <w:color w:val="auto"/>
              </w:rPr>
              <w:t>：</w:t>
            </w:r>
            <w:r>
              <w:rPr>
                <w:rFonts w:hint="eastAsia" w:ascii="仿宋" w:hAnsi="仿宋" w:eastAsia="仿宋" w:cs="仿宋"/>
                <w:color w:val="auto"/>
                <w:lang w:val="en-US" w:eastAsia="zh-CN"/>
              </w:rPr>
              <w:t>95.0</w:t>
            </w:r>
            <w:r>
              <w:rPr>
                <w:rFonts w:hint="eastAsia" w:ascii="仿宋" w:hAnsi="仿宋" w:eastAsia="仿宋" w:cs="仿宋"/>
                <w:color w:val="auto"/>
              </w:rPr>
              <w:t>万元；最高限价</w:t>
            </w:r>
            <w:r>
              <w:rPr>
                <w:rFonts w:hint="eastAsia" w:ascii="仿宋" w:hAnsi="仿宋" w:eastAsia="仿宋" w:cs="仿宋"/>
                <w:color w:val="auto"/>
                <w:lang w:val="en-US" w:eastAsia="zh-CN"/>
              </w:rPr>
              <w:t>人民币</w:t>
            </w:r>
            <w:r>
              <w:rPr>
                <w:rFonts w:hint="eastAsia" w:ascii="仿宋" w:hAnsi="仿宋" w:eastAsia="仿宋" w:cs="仿宋"/>
                <w:color w:val="auto"/>
              </w:rPr>
              <w:t>：</w:t>
            </w:r>
            <w:r>
              <w:rPr>
                <w:rFonts w:hint="eastAsia" w:ascii="仿宋" w:hAnsi="仿宋" w:eastAsia="仿宋" w:cs="仿宋"/>
                <w:color w:val="auto"/>
                <w:lang w:val="en-US" w:eastAsia="zh-CN"/>
              </w:rPr>
              <w:t>95.0</w:t>
            </w:r>
            <w:r>
              <w:rPr>
                <w:rFonts w:hint="eastAsia" w:ascii="仿宋" w:hAnsi="仿宋" w:eastAsia="仿宋" w:cs="仿宋"/>
                <w:color w:val="auto"/>
              </w:rPr>
              <w:t>万元</w:t>
            </w:r>
          </w:p>
          <w:p>
            <w:pPr>
              <w:spacing w:line="240" w:lineRule="atLeast"/>
              <w:rPr>
                <w:rFonts w:hint="eastAsia" w:ascii="仿宋" w:hAnsi="仿宋" w:eastAsia="仿宋" w:cs="仿宋"/>
                <w:color w:val="auto"/>
              </w:rPr>
            </w:pPr>
            <w:r>
              <w:rPr>
                <w:rFonts w:hint="eastAsia" w:ascii="仿宋" w:hAnsi="仿宋" w:eastAsia="仿宋" w:cs="仿宋"/>
                <w:color w:val="auto"/>
              </w:rPr>
              <w:t>标项</w:t>
            </w:r>
            <w:r>
              <w:rPr>
                <w:rFonts w:hint="eastAsia" w:ascii="仿宋" w:hAnsi="仿宋" w:eastAsia="仿宋" w:cs="仿宋"/>
                <w:color w:val="auto"/>
                <w:lang w:val="en-US" w:eastAsia="zh-CN"/>
              </w:rPr>
              <w:t>六</w:t>
            </w:r>
            <w:r>
              <w:rPr>
                <w:rFonts w:hint="eastAsia" w:ascii="仿宋" w:hAnsi="仿宋" w:eastAsia="仿宋" w:cs="仿宋"/>
                <w:color w:val="auto"/>
              </w:rPr>
              <w:t>：预算金额</w:t>
            </w:r>
            <w:r>
              <w:rPr>
                <w:rFonts w:hint="eastAsia" w:ascii="仿宋" w:hAnsi="仿宋" w:eastAsia="仿宋" w:cs="仿宋"/>
                <w:color w:val="auto"/>
                <w:lang w:val="en-US" w:eastAsia="zh-CN"/>
              </w:rPr>
              <w:t>人民币</w:t>
            </w:r>
            <w:r>
              <w:rPr>
                <w:rFonts w:hint="eastAsia" w:ascii="仿宋" w:hAnsi="仿宋" w:eastAsia="仿宋" w:cs="仿宋"/>
                <w:color w:val="auto"/>
              </w:rPr>
              <w:t>：</w:t>
            </w:r>
            <w:r>
              <w:rPr>
                <w:rFonts w:hint="eastAsia" w:ascii="仿宋" w:hAnsi="仿宋" w:eastAsia="仿宋" w:cs="仿宋"/>
                <w:color w:val="auto"/>
                <w:lang w:val="en-US" w:eastAsia="zh-CN"/>
              </w:rPr>
              <w:t>34.10</w:t>
            </w:r>
            <w:r>
              <w:rPr>
                <w:rFonts w:hint="eastAsia" w:ascii="仿宋" w:hAnsi="仿宋" w:eastAsia="仿宋" w:cs="仿宋"/>
                <w:color w:val="auto"/>
              </w:rPr>
              <w:t>万元；最高限价</w:t>
            </w:r>
            <w:r>
              <w:rPr>
                <w:rFonts w:hint="eastAsia" w:ascii="仿宋" w:hAnsi="仿宋" w:eastAsia="仿宋" w:cs="仿宋"/>
                <w:color w:val="auto"/>
                <w:lang w:val="en-US" w:eastAsia="zh-CN"/>
              </w:rPr>
              <w:t>人民币</w:t>
            </w:r>
            <w:r>
              <w:rPr>
                <w:rFonts w:hint="eastAsia" w:ascii="仿宋" w:hAnsi="仿宋" w:eastAsia="仿宋" w:cs="仿宋"/>
                <w:color w:val="auto"/>
              </w:rPr>
              <w:t>：</w:t>
            </w:r>
            <w:r>
              <w:rPr>
                <w:rFonts w:hint="eastAsia" w:ascii="仿宋" w:hAnsi="仿宋" w:eastAsia="仿宋" w:cs="仿宋"/>
                <w:color w:val="auto"/>
                <w:lang w:val="en-US" w:eastAsia="zh-CN"/>
              </w:rPr>
              <w:t>34.10</w:t>
            </w:r>
            <w:r>
              <w:rPr>
                <w:rFonts w:hint="eastAsia" w:ascii="仿宋" w:hAnsi="仿宋" w:eastAsia="仿宋" w:cs="仿宋"/>
                <w:color w:val="auto"/>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vAlign w:val="center"/>
          </w:tcPr>
          <w:p>
            <w:pPr>
              <w:spacing w:line="240" w:lineRule="atLeast"/>
              <w:ind w:left="1080" w:leftChars="257" w:hanging="540"/>
              <w:rPr>
                <w:rFonts w:ascii="仿宋" w:hAnsi="仿宋" w:eastAsia="仿宋" w:cs="仿宋"/>
                <w:color w:val="auto"/>
                <w:sz w:val="24"/>
              </w:rPr>
            </w:pPr>
            <w:r>
              <w:rPr>
                <w:rFonts w:hint="eastAsia" w:ascii="仿宋" w:hAnsi="仿宋" w:eastAsia="仿宋" w:cs="仿宋"/>
                <w:color w:val="auto"/>
                <w:sz w:val="24"/>
              </w:rPr>
              <w:t>12</w:t>
            </w:r>
          </w:p>
        </w:tc>
        <w:tc>
          <w:tcPr>
            <w:tcW w:w="6840" w:type="dxa"/>
            <w:vAlign w:val="center"/>
          </w:tcPr>
          <w:p>
            <w:pPr>
              <w:pStyle w:val="11"/>
              <w:ind w:firstLine="0"/>
              <w:rPr>
                <w:rFonts w:ascii="仿宋" w:hAnsi="仿宋" w:eastAsia="仿宋" w:cs="仿宋"/>
                <w:color w:val="auto"/>
                <w:kern w:val="2"/>
                <w:szCs w:val="24"/>
              </w:rPr>
            </w:pPr>
            <w:r>
              <w:rPr>
                <w:rFonts w:hint="eastAsia" w:ascii="仿宋" w:hAnsi="仿宋" w:eastAsia="仿宋" w:cs="仿宋"/>
                <w:color w:val="auto"/>
                <w:kern w:val="2"/>
                <w:szCs w:val="24"/>
              </w:rPr>
              <w:t>投标保证金形式：</w:t>
            </w:r>
            <w:r>
              <w:rPr>
                <w:rFonts w:hint="eastAsia" w:ascii="仿宋" w:hAnsi="仿宋" w:eastAsia="仿宋" w:cs="仿宋"/>
                <w:color w:val="auto"/>
              </w:rPr>
              <w:t>☑对公转账☑保函  ☑保单☑电汇</w:t>
            </w:r>
          </w:p>
          <w:p>
            <w:pPr>
              <w:rPr>
                <w:rFonts w:hint="eastAsia" w:ascii="仿宋" w:hAnsi="仿宋" w:eastAsia="仿宋" w:cs="仿宋"/>
                <w:color w:val="auto"/>
                <w:sz w:val="24"/>
              </w:rPr>
            </w:pPr>
            <w:r>
              <w:rPr>
                <w:rFonts w:hint="eastAsia" w:ascii="仿宋" w:hAnsi="仿宋" w:eastAsia="仿宋" w:cs="仿宋"/>
                <w:color w:val="auto"/>
                <w:sz w:val="24"/>
              </w:rPr>
              <w:t>保证金数额：标项一：</w:t>
            </w:r>
            <w:r>
              <w:rPr>
                <w:rFonts w:hint="eastAsia" w:ascii="仿宋" w:hAnsi="仿宋" w:eastAsia="仿宋" w:cs="仿宋"/>
                <w:color w:val="auto"/>
                <w:sz w:val="24"/>
                <w:lang w:val="en-US" w:eastAsia="zh-CN"/>
              </w:rPr>
              <w:t>人民币</w:t>
            </w:r>
            <w:r>
              <w:rPr>
                <w:rFonts w:hint="eastAsia" w:ascii="仿宋" w:hAnsi="仿宋" w:eastAsia="仿宋" w:cs="仿宋"/>
                <w:color w:val="auto"/>
                <w:sz w:val="24"/>
              </w:rPr>
              <w:t>2.</w:t>
            </w:r>
            <w:r>
              <w:rPr>
                <w:rFonts w:hint="eastAsia" w:ascii="仿宋" w:hAnsi="仿宋" w:eastAsia="仿宋" w:cs="仿宋"/>
                <w:color w:val="auto"/>
                <w:sz w:val="24"/>
                <w:lang w:val="en-US" w:eastAsia="zh-CN"/>
              </w:rPr>
              <w:t>5</w:t>
            </w:r>
            <w:r>
              <w:rPr>
                <w:rFonts w:hint="eastAsia" w:ascii="仿宋" w:hAnsi="仿宋" w:eastAsia="仿宋" w:cs="仿宋"/>
                <w:color w:val="auto"/>
                <w:sz w:val="24"/>
              </w:rPr>
              <w:t>万元；标项二：</w:t>
            </w:r>
            <w:r>
              <w:rPr>
                <w:rFonts w:hint="eastAsia" w:ascii="仿宋" w:hAnsi="仿宋" w:eastAsia="仿宋" w:cs="仿宋"/>
                <w:color w:val="auto"/>
                <w:sz w:val="24"/>
                <w:lang w:val="en-US" w:eastAsia="zh-CN"/>
              </w:rPr>
              <w:t>人民币</w:t>
            </w:r>
            <w:r>
              <w:rPr>
                <w:rFonts w:hint="eastAsia" w:ascii="仿宋" w:hAnsi="仿宋" w:eastAsia="仿宋" w:cs="仿宋"/>
                <w:color w:val="auto"/>
                <w:sz w:val="24"/>
              </w:rPr>
              <w:t>2.</w:t>
            </w:r>
            <w:r>
              <w:rPr>
                <w:rFonts w:hint="eastAsia" w:ascii="仿宋" w:hAnsi="仿宋" w:eastAsia="仿宋" w:cs="仿宋"/>
                <w:color w:val="auto"/>
                <w:sz w:val="24"/>
                <w:lang w:val="en-US" w:eastAsia="zh-CN"/>
              </w:rPr>
              <w:t>5</w:t>
            </w:r>
            <w:r>
              <w:rPr>
                <w:rFonts w:hint="eastAsia" w:ascii="仿宋" w:hAnsi="仿宋" w:eastAsia="仿宋" w:cs="仿宋"/>
                <w:color w:val="auto"/>
                <w:sz w:val="24"/>
              </w:rPr>
              <w:t>万元；标项三：</w:t>
            </w:r>
            <w:r>
              <w:rPr>
                <w:rFonts w:hint="eastAsia" w:ascii="仿宋" w:hAnsi="仿宋" w:eastAsia="仿宋" w:cs="仿宋"/>
                <w:color w:val="auto"/>
                <w:sz w:val="24"/>
                <w:lang w:val="en-US" w:eastAsia="zh-CN"/>
              </w:rPr>
              <w:t>人民币8.5</w:t>
            </w:r>
            <w:r>
              <w:rPr>
                <w:rFonts w:hint="eastAsia" w:ascii="仿宋" w:hAnsi="仿宋" w:eastAsia="仿宋" w:cs="仿宋"/>
                <w:color w:val="auto"/>
                <w:sz w:val="24"/>
              </w:rPr>
              <w:t>万元；标项四：</w:t>
            </w:r>
            <w:r>
              <w:rPr>
                <w:rFonts w:hint="eastAsia" w:ascii="仿宋" w:hAnsi="仿宋" w:eastAsia="仿宋" w:cs="仿宋"/>
                <w:color w:val="auto"/>
                <w:sz w:val="24"/>
                <w:lang w:val="en-US" w:eastAsia="zh-CN"/>
              </w:rPr>
              <w:t>人民币7.5</w:t>
            </w:r>
            <w:r>
              <w:rPr>
                <w:rFonts w:hint="eastAsia" w:ascii="仿宋" w:hAnsi="仿宋" w:eastAsia="仿宋" w:cs="仿宋"/>
                <w:color w:val="auto"/>
                <w:sz w:val="24"/>
              </w:rPr>
              <w:t>万元</w:t>
            </w:r>
            <w:r>
              <w:rPr>
                <w:rFonts w:hint="eastAsia" w:ascii="仿宋" w:hAnsi="仿宋" w:eastAsia="仿宋" w:cs="仿宋"/>
                <w:color w:val="auto"/>
                <w:sz w:val="24"/>
                <w:lang w:eastAsia="zh-CN"/>
              </w:rPr>
              <w:t>；</w:t>
            </w:r>
            <w:r>
              <w:rPr>
                <w:rFonts w:hint="eastAsia" w:ascii="仿宋" w:hAnsi="仿宋" w:eastAsia="仿宋" w:cs="仿宋"/>
                <w:color w:val="auto"/>
                <w:sz w:val="24"/>
              </w:rPr>
              <w:t>标项</w:t>
            </w:r>
            <w:r>
              <w:rPr>
                <w:rFonts w:hint="eastAsia" w:ascii="仿宋" w:hAnsi="仿宋" w:eastAsia="仿宋" w:cs="仿宋"/>
                <w:color w:val="auto"/>
                <w:sz w:val="24"/>
                <w:lang w:val="en-US" w:eastAsia="zh-CN"/>
              </w:rPr>
              <w:t>五</w:t>
            </w:r>
            <w:r>
              <w:rPr>
                <w:rFonts w:hint="eastAsia" w:ascii="仿宋" w:hAnsi="仿宋" w:eastAsia="仿宋" w:cs="仿宋"/>
                <w:color w:val="auto"/>
                <w:sz w:val="24"/>
              </w:rPr>
              <w:t>：</w:t>
            </w:r>
            <w:r>
              <w:rPr>
                <w:rFonts w:hint="eastAsia" w:ascii="仿宋" w:hAnsi="仿宋" w:eastAsia="仿宋" w:cs="仿宋"/>
                <w:color w:val="auto"/>
                <w:sz w:val="24"/>
                <w:lang w:val="en-US" w:eastAsia="zh-CN"/>
              </w:rPr>
              <w:t>人民币1.5</w:t>
            </w:r>
            <w:r>
              <w:rPr>
                <w:rFonts w:hint="eastAsia" w:ascii="仿宋" w:hAnsi="仿宋" w:eastAsia="仿宋" w:cs="仿宋"/>
                <w:color w:val="auto"/>
                <w:sz w:val="24"/>
              </w:rPr>
              <w:t>万元</w:t>
            </w:r>
            <w:r>
              <w:rPr>
                <w:rFonts w:hint="eastAsia" w:ascii="仿宋" w:hAnsi="仿宋" w:eastAsia="仿宋" w:cs="仿宋"/>
                <w:color w:val="auto"/>
                <w:sz w:val="24"/>
                <w:lang w:eastAsia="zh-CN"/>
              </w:rPr>
              <w:t>；</w:t>
            </w:r>
            <w:r>
              <w:rPr>
                <w:rFonts w:hint="eastAsia" w:ascii="仿宋" w:hAnsi="仿宋" w:eastAsia="仿宋" w:cs="仿宋"/>
                <w:color w:val="auto"/>
                <w:sz w:val="24"/>
              </w:rPr>
              <w:t>标项</w:t>
            </w:r>
            <w:r>
              <w:rPr>
                <w:rFonts w:hint="eastAsia" w:ascii="仿宋" w:hAnsi="仿宋" w:eastAsia="仿宋" w:cs="仿宋"/>
                <w:color w:val="auto"/>
                <w:sz w:val="24"/>
                <w:lang w:val="en-US" w:eastAsia="zh-CN"/>
              </w:rPr>
              <w:t>六</w:t>
            </w:r>
            <w:r>
              <w:rPr>
                <w:rFonts w:hint="eastAsia" w:ascii="仿宋" w:hAnsi="仿宋" w:eastAsia="仿宋" w:cs="仿宋"/>
                <w:color w:val="auto"/>
                <w:sz w:val="24"/>
              </w:rPr>
              <w:t>：</w:t>
            </w:r>
            <w:r>
              <w:rPr>
                <w:rFonts w:hint="eastAsia" w:ascii="仿宋" w:hAnsi="仿宋" w:eastAsia="仿宋" w:cs="仿宋"/>
                <w:color w:val="auto"/>
                <w:sz w:val="24"/>
                <w:lang w:val="en-US" w:eastAsia="zh-CN"/>
              </w:rPr>
              <w:t>人民币0.6</w:t>
            </w:r>
            <w:r>
              <w:rPr>
                <w:rFonts w:hint="eastAsia" w:ascii="仿宋" w:hAnsi="仿宋" w:eastAsia="仿宋" w:cs="仿宋"/>
                <w:color w:val="auto"/>
                <w:sz w:val="24"/>
              </w:rPr>
              <w:t>万元。</w:t>
            </w:r>
          </w:p>
          <w:p>
            <w:pPr>
              <w:rPr>
                <w:rFonts w:ascii="仿宋" w:hAnsi="仿宋" w:eastAsia="仿宋" w:cs="仿宋"/>
                <w:color w:val="auto"/>
                <w:sz w:val="24"/>
              </w:rPr>
            </w:pPr>
            <w:r>
              <w:rPr>
                <w:rFonts w:hint="eastAsia" w:ascii="仿宋" w:hAnsi="仿宋" w:eastAsia="仿宋" w:cs="仿宋"/>
                <w:color w:val="auto"/>
                <w:sz w:val="24"/>
              </w:rPr>
              <w:t xml:space="preserve">投标保证金收款人：新疆国源土地矿产资源交易中心（有限公司）            </w:t>
            </w:r>
          </w:p>
          <w:p>
            <w:pPr>
              <w:spacing w:line="240" w:lineRule="atLeast"/>
              <w:rPr>
                <w:rFonts w:ascii="仿宋" w:hAnsi="仿宋" w:eastAsia="仿宋" w:cs="仿宋"/>
                <w:color w:val="auto"/>
                <w:sz w:val="24"/>
                <w:u w:val="single"/>
              </w:rPr>
            </w:pPr>
            <w:r>
              <w:rPr>
                <w:rFonts w:hint="eastAsia" w:ascii="仿宋" w:hAnsi="仿宋" w:eastAsia="仿宋" w:cs="仿宋"/>
                <w:color w:val="auto"/>
                <w:sz w:val="24"/>
              </w:rPr>
              <w:t>开 户 行：兴业银行股份有限公司乌鲁木齐友好路支行</w:t>
            </w:r>
          </w:p>
          <w:p>
            <w:pPr>
              <w:spacing w:line="240" w:lineRule="atLeast"/>
              <w:rPr>
                <w:rFonts w:ascii="仿宋" w:hAnsi="仿宋" w:eastAsia="仿宋" w:cs="仿宋"/>
                <w:color w:val="auto"/>
                <w:sz w:val="24"/>
              </w:rPr>
            </w:pPr>
            <w:r>
              <w:rPr>
                <w:rFonts w:hint="eastAsia" w:ascii="仿宋" w:hAnsi="仿宋" w:eastAsia="仿宋" w:cs="仿宋"/>
                <w:color w:val="auto"/>
                <w:sz w:val="24"/>
              </w:rPr>
              <w:t xml:space="preserve">账    号：512050100100003684 </w:t>
            </w:r>
          </w:p>
          <w:p>
            <w:pPr>
              <w:spacing w:line="240" w:lineRule="atLeast"/>
              <w:rPr>
                <w:rFonts w:ascii="仿宋_GB2312" w:eastAsia="仿宋_GB2312"/>
                <w:color w:val="auto"/>
                <w:sz w:val="24"/>
                <w:u w:val="single"/>
              </w:rPr>
            </w:pPr>
            <w:r>
              <w:rPr>
                <w:rFonts w:hint="eastAsia" w:ascii="仿宋" w:hAnsi="仿宋" w:eastAsia="仿宋" w:cs="仿宋"/>
                <w:b/>
                <w:bCs/>
                <w:color w:val="auto"/>
                <w:sz w:val="24"/>
              </w:rPr>
              <w:t>★保证金缴纳要求：保证金须在开标前从投标供应商的基本账户一次性汇入指定账户，不接受现金、支票及任何个人、分公司汇款。若没有在规定时间内汇入指定账户，视为自动放弃本项目投标。</w:t>
            </w:r>
            <w:r>
              <w:rPr>
                <w:rFonts w:hint="eastAsia" w:ascii="仿宋" w:hAnsi="仿宋" w:eastAsia="仿宋" w:cs="仿宋"/>
                <w:color w:val="auto"/>
                <w:sz w:val="24"/>
                <w:u w:val="single"/>
              </w:rPr>
              <w:t>打款时注明投标保证金项目名称、包号。</w:t>
            </w:r>
          </w:p>
          <w:p>
            <w:pPr>
              <w:rPr>
                <w:rFonts w:ascii="仿宋" w:hAnsi="仿宋" w:eastAsia="仿宋" w:cs="仿宋"/>
                <w:color w:val="auto"/>
                <w:sz w:val="24"/>
              </w:rPr>
            </w:pPr>
            <w:r>
              <w:rPr>
                <w:rFonts w:hint="eastAsia" w:ascii="仿宋" w:hAnsi="仿宋" w:eastAsia="仿宋" w:cs="仿宋"/>
                <w:color w:val="auto"/>
                <w:sz w:val="24"/>
              </w:rPr>
              <w:t>投标保证金的退还：</w:t>
            </w:r>
          </w:p>
          <w:p>
            <w:pPr>
              <w:rPr>
                <w:rFonts w:ascii="仿宋" w:hAnsi="仿宋" w:eastAsia="仿宋" w:cs="仿宋"/>
                <w:color w:val="auto"/>
                <w:sz w:val="24"/>
              </w:rPr>
            </w:pPr>
            <w:r>
              <w:rPr>
                <w:rFonts w:hint="eastAsia" w:ascii="仿宋" w:hAnsi="仿宋" w:eastAsia="仿宋" w:cs="仿宋"/>
                <w:color w:val="auto"/>
                <w:sz w:val="24"/>
              </w:rPr>
              <w:t>中标通知书发出之日起5个工作日内退还未中标人的投标保证金，中标单位投标保证金在与采购单位签订合同后，5个工作日内，无息退还保证金。中标人退还保证金需提交保证金收据（请注明：今收到新疆国源土地矿产资源交易中心（有限公司）退还</w:t>
            </w:r>
            <w:r>
              <w:rPr>
                <w:rFonts w:hint="eastAsia" w:ascii="仿宋" w:hAnsi="仿宋" w:eastAsia="仿宋" w:cs="仿宋"/>
                <w:color w:val="auto"/>
                <w:sz w:val="24"/>
                <w:u w:val="single"/>
              </w:rPr>
              <w:t xml:space="preserve">  ×××项目  </w:t>
            </w:r>
            <w:r>
              <w:rPr>
                <w:rFonts w:hint="eastAsia" w:ascii="仿宋" w:hAnsi="仿宋" w:eastAsia="仿宋" w:cs="仿宋"/>
                <w:color w:val="auto"/>
                <w:sz w:val="24"/>
              </w:rPr>
              <w:t>投标保证金</w:t>
            </w:r>
            <w:r>
              <w:rPr>
                <w:rFonts w:hint="eastAsia" w:ascii="仿宋" w:hAnsi="仿宋" w:eastAsia="仿宋" w:cs="仿宋"/>
                <w:color w:val="auto"/>
                <w:sz w:val="24"/>
                <w:u w:val="single"/>
              </w:rPr>
              <w:t xml:space="preserve">       </w:t>
            </w:r>
            <w:r>
              <w:rPr>
                <w:rFonts w:hint="eastAsia" w:ascii="仿宋" w:hAnsi="仿宋" w:eastAsia="仿宋" w:cs="仿宋"/>
                <w:color w:val="auto"/>
                <w:sz w:val="24"/>
              </w:rPr>
              <w:t>元），收据需加盖财务专用章。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4" w:hRule="atLeast"/>
        </w:trPr>
        <w:tc>
          <w:tcPr>
            <w:tcW w:w="1468" w:type="dxa"/>
            <w:vAlign w:val="center"/>
          </w:tcPr>
          <w:p>
            <w:pPr>
              <w:spacing w:line="240" w:lineRule="atLeast"/>
              <w:ind w:left="1080" w:leftChars="257" w:hanging="540"/>
              <w:rPr>
                <w:rFonts w:ascii="仿宋" w:hAnsi="仿宋" w:eastAsia="仿宋" w:cs="仿宋"/>
                <w:color w:val="auto"/>
                <w:sz w:val="24"/>
              </w:rPr>
            </w:pPr>
            <w:r>
              <w:rPr>
                <w:rFonts w:hint="eastAsia" w:ascii="仿宋" w:hAnsi="仿宋" w:eastAsia="仿宋" w:cs="仿宋"/>
                <w:color w:val="auto"/>
                <w:sz w:val="24"/>
              </w:rPr>
              <w:t>13.1</w:t>
            </w:r>
          </w:p>
        </w:tc>
        <w:tc>
          <w:tcPr>
            <w:tcW w:w="6840" w:type="dxa"/>
            <w:vAlign w:val="center"/>
          </w:tcPr>
          <w:p>
            <w:pPr>
              <w:spacing w:line="240" w:lineRule="atLeast"/>
              <w:rPr>
                <w:rFonts w:ascii="仿宋" w:hAnsi="仿宋" w:eastAsia="仿宋" w:cs="仿宋"/>
                <w:color w:val="auto"/>
                <w:sz w:val="24"/>
                <w:u w:val="single"/>
              </w:rPr>
            </w:pPr>
            <w:r>
              <w:rPr>
                <w:rFonts w:hint="eastAsia" w:ascii="仿宋" w:hAnsi="仿宋" w:eastAsia="仿宋" w:cs="仿宋"/>
                <w:color w:val="auto"/>
                <w:sz w:val="24"/>
              </w:rPr>
              <w:t>投标有效期：</w:t>
            </w:r>
            <w:r>
              <w:rPr>
                <w:rFonts w:hint="eastAsia" w:ascii="仿宋" w:hAnsi="仿宋" w:eastAsia="仿宋" w:cs="仿宋"/>
                <w:color w:val="auto"/>
                <w:sz w:val="24"/>
                <w:u w:val="single"/>
              </w:rPr>
              <w:t>　90</w:t>
            </w:r>
            <w:r>
              <w:rPr>
                <w:rFonts w:hint="eastAsia" w:ascii="仿宋" w:hAnsi="仿宋" w:eastAsia="仿宋" w:cs="仿宋"/>
                <w:color w:val="auto"/>
                <w:sz w:val="24"/>
              </w:rPr>
              <w:t>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0" w:hRule="atLeast"/>
        </w:trPr>
        <w:tc>
          <w:tcPr>
            <w:tcW w:w="1468" w:type="dxa"/>
            <w:vAlign w:val="center"/>
          </w:tcPr>
          <w:p>
            <w:pPr>
              <w:spacing w:line="240" w:lineRule="atLeast"/>
              <w:ind w:left="1080" w:leftChars="257" w:hanging="540"/>
              <w:rPr>
                <w:rFonts w:ascii="仿宋" w:hAnsi="仿宋" w:eastAsia="仿宋" w:cs="仿宋"/>
                <w:color w:val="auto"/>
                <w:sz w:val="24"/>
              </w:rPr>
            </w:pPr>
            <w:r>
              <w:rPr>
                <w:rFonts w:hint="eastAsia" w:ascii="仿宋" w:hAnsi="仿宋" w:eastAsia="仿宋" w:cs="仿宋"/>
                <w:color w:val="auto"/>
                <w:sz w:val="24"/>
              </w:rPr>
              <w:t>14.1</w:t>
            </w:r>
          </w:p>
        </w:tc>
        <w:tc>
          <w:tcPr>
            <w:tcW w:w="6840" w:type="dxa"/>
            <w:vAlign w:val="center"/>
          </w:tcPr>
          <w:p>
            <w:pPr>
              <w:rPr>
                <w:rFonts w:hint="eastAsia" w:ascii="仿宋" w:hAnsi="仿宋" w:eastAsia="仿宋" w:cs="仿宋"/>
                <w:color w:val="auto"/>
                <w:sz w:val="24"/>
              </w:rPr>
            </w:pPr>
            <w:r>
              <w:rPr>
                <w:rFonts w:hint="eastAsia" w:ascii="仿宋" w:hAnsi="仿宋" w:eastAsia="仿宋" w:cs="仿宋"/>
                <w:color w:val="auto"/>
                <w:sz w:val="24"/>
              </w:rPr>
              <w:t>投标文件包括“报价单”“商务资信投标文件”和“技术投标方案”三部分。</w:t>
            </w:r>
          </w:p>
          <w:p>
            <w:pPr>
              <w:rPr>
                <w:rFonts w:hint="eastAsia" w:ascii="仿宋" w:hAnsi="仿宋" w:eastAsia="仿宋" w:cs="仿宋"/>
                <w:color w:val="auto"/>
                <w:sz w:val="24"/>
              </w:rPr>
            </w:pPr>
            <w:r>
              <w:rPr>
                <w:rFonts w:hint="eastAsia" w:ascii="仿宋" w:hAnsi="仿宋" w:eastAsia="仿宋" w:cs="仿宋"/>
                <w:color w:val="auto"/>
                <w:sz w:val="24"/>
              </w:rPr>
              <w:t>投标文件的签署及规定：供应商应按供应商须知资料表中的规定，准备和上传投标文件。</w:t>
            </w:r>
          </w:p>
          <w:p>
            <w:pPr>
              <w:rPr>
                <w:rFonts w:hint="eastAsia" w:ascii="仿宋" w:hAnsi="仿宋" w:eastAsia="仿宋" w:cs="仿宋"/>
                <w:color w:val="auto"/>
                <w:sz w:val="24"/>
              </w:rPr>
            </w:pPr>
            <w:r>
              <w:rPr>
                <w:rFonts w:hint="eastAsia" w:ascii="仿宋" w:hAnsi="仿宋" w:eastAsia="仿宋" w:cs="仿宋"/>
                <w:color w:val="auto"/>
                <w:sz w:val="24"/>
              </w:rPr>
              <w:t>投标文件由供应商的法定代表人或委托代理人按采购文件规定在投标文件上签字并加盖单位印章。</w:t>
            </w:r>
          </w:p>
          <w:p>
            <w:r>
              <w:rPr>
                <w:rFonts w:hint="eastAsia" w:ascii="仿宋" w:hAnsi="仿宋" w:eastAsia="仿宋" w:cs="仿宋"/>
                <w:color w:val="auto"/>
                <w:sz w:val="24"/>
              </w:rPr>
              <w:t>供应商无论中标与否，开标后三天内向代理机构提交纸质版胶装成册的投标文件</w:t>
            </w:r>
            <w:r>
              <w:rPr>
                <w:rFonts w:hint="eastAsia" w:ascii="仿宋" w:hAnsi="仿宋" w:eastAsia="仿宋" w:cs="仿宋"/>
                <w:color w:val="auto"/>
                <w:sz w:val="24"/>
                <w:lang w:val="en-US" w:eastAsia="zh-CN"/>
              </w:rPr>
              <w:t>壹</w:t>
            </w:r>
            <w:r>
              <w:rPr>
                <w:rFonts w:hint="eastAsia" w:ascii="仿宋" w:hAnsi="仿宋" w:eastAsia="仿宋" w:cs="仿宋"/>
                <w:color w:val="auto"/>
                <w:sz w:val="24"/>
              </w:rPr>
              <w:t>份，（须与招标文件中编制电子投标文件的格式一致）。（地址：乌鲁木齐市新市区阜新街1号智慧城2号楼3楼，收件人：孙丽  15160883519）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4" w:hRule="atLeast"/>
        </w:trPr>
        <w:tc>
          <w:tcPr>
            <w:tcW w:w="1468" w:type="dxa"/>
            <w:vAlign w:val="center"/>
          </w:tcPr>
          <w:p>
            <w:pPr>
              <w:spacing w:line="240" w:lineRule="atLeast"/>
              <w:ind w:left="1080" w:leftChars="257" w:hanging="540"/>
              <w:rPr>
                <w:rFonts w:ascii="仿宋" w:hAnsi="仿宋" w:eastAsia="仿宋" w:cs="仿宋"/>
                <w:color w:val="auto"/>
                <w:sz w:val="24"/>
              </w:rPr>
            </w:pPr>
            <w:r>
              <w:rPr>
                <w:rFonts w:hint="eastAsia" w:ascii="仿宋" w:hAnsi="仿宋" w:eastAsia="仿宋" w:cs="仿宋"/>
                <w:color w:val="auto"/>
                <w:sz w:val="24"/>
              </w:rPr>
              <w:t>16．1</w:t>
            </w:r>
          </w:p>
        </w:tc>
        <w:tc>
          <w:tcPr>
            <w:tcW w:w="6840" w:type="dxa"/>
            <w:vAlign w:val="center"/>
          </w:tcPr>
          <w:p>
            <w:pPr>
              <w:spacing w:line="240" w:lineRule="atLeast"/>
              <w:rPr>
                <w:rFonts w:ascii="仿宋" w:hAnsi="仿宋" w:eastAsia="仿宋" w:cs="仿宋"/>
                <w:color w:val="auto"/>
                <w:sz w:val="24"/>
              </w:rPr>
            </w:pPr>
            <w:r>
              <w:rPr>
                <w:rFonts w:hint="eastAsia" w:ascii="仿宋" w:hAnsi="仿宋" w:eastAsia="仿宋" w:cs="仿宋"/>
                <w:color w:val="auto"/>
                <w:sz w:val="24"/>
              </w:rPr>
              <w:t>投标截止时间：</w:t>
            </w:r>
            <w:r>
              <w:rPr>
                <w:rFonts w:hint="eastAsia" w:ascii="仿宋" w:hAnsi="仿宋" w:eastAsia="仿宋"/>
                <w:color w:val="auto"/>
                <w:sz w:val="24"/>
              </w:rPr>
              <w:t>2023年</w:t>
            </w:r>
            <w:r>
              <w:rPr>
                <w:rFonts w:hint="eastAsia" w:ascii="仿宋" w:hAnsi="仿宋" w:eastAsia="仿宋"/>
                <w:color w:val="auto"/>
                <w:sz w:val="24"/>
                <w:lang w:val="en-US" w:eastAsia="zh-CN"/>
              </w:rPr>
              <w:t>3月7日</w:t>
            </w:r>
            <w:r>
              <w:rPr>
                <w:rFonts w:hint="eastAsia" w:ascii="仿宋" w:hAnsi="仿宋" w:eastAsia="仿宋"/>
                <w:color w:val="auto"/>
                <w:sz w:val="24"/>
              </w:rPr>
              <w:t xml:space="preserve"> 11:00（北京时间）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5" w:hRule="atLeast"/>
        </w:trPr>
        <w:tc>
          <w:tcPr>
            <w:tcW w:w="1468" w:type="dxa"/>
            <w:vAlign w:val="center"/>
          </w:tcPr>
          <w:p>
            <w:pPr>
              <w:spacing w:line="240" w:lineRule="atLeast"/>
              <w:ind w:left="1080" w:leftChars="257" w:hanging="540"/>
              <w:rPr>
                <w:rFonts w:ascii="仿宋" w:hAnsi="仿宋" w:eastAsia="仿宋" w:cs="仿宋"/>
                <w:color w:val="auto"/>
                <w:sz w:val="24"/>
              </w:rPr>
            </w:pPr>
            <w:r>
              <w:rPr>
                <w:rFonts w:hint="eastAsia" w:ascii="仿宋" w:hAnsi="仿宋" w:eastAsia="仿宋" w:cs="仿宋"/>
                <w:color w:val="auto"/>
                <w:sz w:val="24"/>
              </w:rPr>
              <w:t>18.1</w:t>
            </w:r>
          </w:p>
        </w:tc>
        <w:tc>
          <w:tcPr>
            <w:tcW w:w="6840" w:type="dxa"/>
            <w:vAlign w:val="center"/>
          </w:tcPr>
          <w:p>
            <w:pPr>
              <w:spacing w:line="240" w:lineRule="atLeast"/>
              <w:rPr>
                <w:rFonts w:ascii="仿宋" w:hAnsi="仿宋" w:eastAsia="仿宋" w:cs="仿宋"/>
                <w:color w:val="auto"/>
                <w:sz w:val="24"/>
                <w:highlight w:val="red"/>
                <w:u w:val="single"/>
              </w:rPr>
            </w:pPr>
            <w:r>
              <w:rPr>
                <w:rFonts w:hint="eastAsia" w:ascii="仿宋" w:hAnsi="仿宋" w:eastAsia="仿宋" w:cs="仿宋"/>
                <w:color w:val="auto"/>
                <w:sz w:val="24"/>
              </w:rPr>
              <w:t>开标时间：</w:t>
            </w:r>
            <w:r>
              <w:rPr>
                <w:rFonts w:hint="eastAsia" w:ascii="仿宋" w:hAnsi="仿宋" w:eastAsia="仿宋"/>
                <w:color w:val="auto"/>
                <w:sz w:val="24"/>
              </w:rPr>
              <w:t>2023年</w:t>
            </w:r>
            <w:r>
              <w:rPr>
                <w:rFonts w:hint="eastAsia" w:ascii="仿宋" w:hAnsi="仿宋" w:eastAsia="仿宋"/>
                <w:color w:val="auto"/>
                <w:sz w:val="24"/>
                <w:lang w:val="en-US" w:eastAsia="zh-CN"/>
              </w:rPr>
              <w:t>3月7日</w:t>
            </w:r>
            <w:r>
              <w:rPr>
                <w:rFonts w:hint="eastAsia" w:ascii="仿宋" w:hAnsi="仿宋" w:eastAsia="仿宋"/>
                <w:color w:val="auto"/>
                <w:sz w:val="24"/>
              </w:rPr>
              <w:t xml:space="preserve"> 11:00（北京时间）</w:t>
            </w:r>
          </w:p>
          <w:p>
            <w:pPr>
              <w:spacing w:line="240" w:lineRule="atLeast"/>
              <w:rPr>
                <w:rFonts w:ascii="仿宋" w:hAnsi="仿宋" w:eastAsia="仿宋" w:cs="仿宋"/>
                <w:color w:val="auto"/>
                <w:sz w:val="24"/>
              </w:rPr>
            </w:pPr>
            <w:r>
              <w:rPr>
                <w:rFonts w:hint="eastAsia" w:ascii="仿宋" w:hAnsi="仿宋" w:eastAsia="仿宋" w:cs="仿宋"/>
                <w:color w:val="auto"/>
                <w:sz w:val="24"/>
              </w:rPr>
              <w:t>开标地点：</w:t>
            </w:r>
            <w:r>
              <w:rPr>
                <w:rFonts w:hint="eastAsia" w:ascii="仿宋" w:hAnsi="仿宋" w:eastAsia="仿宋"/>
                <w:color w:val="auto"/>
                <w:sz w:val="24"/>
                <w:lang w:eastAsia="zh-CN"/>
              </w:rPr>
              <w:t>乌鲁木齐市新市区阜新街1号2号楼3楼开标厅。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70" w:hRule="atLeast"/>
        </w:trPr>
        <w:tc>
          <w:tcPr>
            <w:tcW w:w="1468" w:type="dxa"/>
            <w:vAlign w:val="center"/>
          </w:tcPr>
          <w:p>
            <w:pPr>
              <w:spacing w:line="240" w:lineRule="atLeast"/>
              <w:ind w:left="1080" w:leftChars="257" w:hanging="540"/>
              <w:rPr>
                <w:rFonts w:ascii="仿宋" w:hAnsi="仿宋" w:eastAsia="仿宋" w:cs="仿宋"/>
                <w:color w:val="auto"/>
                <w:sz w:val="24"/>
              </w:rPr>
            </w:pPr>
            <w:r>
              <w:rPr>
                <w:rFonts w:hint="eastAsia" w:ascii="仿宋" w:hAnsi="仿宋" w:eastAsia="仿宋" w:cs="仿宋"/>
                <w:color w:val="auto"/>
                <w:sz w:val="24"/>
              </w:rPr>
              <w:t>23.2</w:t>
            </w:r>
          </w:p>
        </w:tc>
        <w:tc>
          <w:tcPr>
            <w:tcW w:w="6840" w:type="dxa"/>
            <w:vAlign w:val="center"/>
          </w:tcPr>
          <w:p>
            <w:pPr>
              <w:spacing w:line="240" w:lineRule="atLeast"/>
              <w:rPr>
                <w:rFonts w:ascii="仿宋" w:hAnsi="仿宋" w:eastAsia="仿宋" w:cs="仿宋"/>
                <w:i/>
                <w:color w:val="auto"/>
                <w:sz w:val="24"/>
              </w:rPr>
            </w:pPr>
            <w:r>
              <w:rPr>
                <w:rFonts w:hint="eastAsia" w:ascii="仿宋" w:hAnsi="仿宋" w:eastAsia="仿宋" w:cs="仿宋"/>
                <w:color w:val="auto"/>
                <w:sz w:val="24"/>
              </w:rPr>
              <w:t>评标方法：适用</w:t>
            </w:r>
            <w:r>
              <w:rPr>
                <w:rFonts w:hint="eastAsia" w:ascii="仿宋" w:hAnsi="仿宋" w:eastAsia="仿宋" w:cs="仿宋"/>
                <w:color w:val="auto"/>
                <w:sz w:val="24"/>
                <w:u w:val="single"/>
              </w:rPr>
              <w:t>综合评分法</w:t>
            </w:r>
            <w:r>
              <w:rPr>
                <w:rFonts w:hint="eastAsia" w:ascii="仿宋" w:hAnsi="仿宋" w:eastAsia="仿宋" w:cs="仿宋"/>
                <w:color w:val="auto"/>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trPr>
        <w:tc>
          <w:tcPr>
            <w:tcW w:w="1468" w:type="dxa"/>
            <w:vAlign w:val="center"/>
          </w:tcPr>
          <w:p>
            <w:pPr>
              <w:spacing w:line="240" w:lineRule="atLeast"/>
              <w:ind w:left="1080" w:leftChars="257" w:hanging="540"/>
              <w:rPr>
                <w:rFonts w:ascii="仿宋" w:hAnsi="仿宋" w:eastAsia="仿宋" w:cs="仿宋"/>
                <w:color w:val="auto"/>
                <w:sz w:val="24"/>
              </w:rPr>
            </w:pPr>
            <w:r>
              <w:rPr>
                <w:rFonts w:hint="eastAsia" w:ascii="仿宋" w:hAnsi="仿宋" w:eastAsia="仿宋" w:cs="仿宋"/>
                <w:color w:val="auto"/>
                <w:sz w:val="24"/>
              </w:rPr>
              <w:t>27</w:t>
            </w:r>
          </w:p>
        </w:tc>
        <w:tc>
          <w:tcPr>
            <w:tcW w:w="6840" w:type="dxa"/>
            <w:vAlign w:val="center"/>
          </w:tcPr>
          <w:p>
            <w:pPr>
              <w:spacing w:line="240" w:lineRule="atLeast"/>
              <w:rPr>
                <w:rFonts w:ascii="仿宋" w:hAnsi="仿宋" w:eastAsia="仿宋" w:cs="仿宋"/>
                <w:color w:val="auto"/>
                <w:sz w:val="24"/>
              </w:rPr>
            </w:pPr>
            <w:r>
              <w:rPr>
                <w:rFonts w:hint="eastAsia" w:ascii="仿宋" w:hAnsi="仿宋" w:eastAsia="仿宋" w:cs="仿宋"/>
                <w:color w:val="auto"/>
                <w:sz w:val="24"/>
              </w:rPr>
              <w:t>推荐中标候选供应商的数量：</w:t>
            </w:r>
            <w:r>
              <w:rPr>
                <w:rFonts w:hint="eastAsia" w:ascii="仿宋" w:hAnsi="仿宋" w:eastAsia="仿宋" w:cs="仿宋"/>
                <w:color w:val="auto"/>
                <w:sz w:val="24"/>
                <w:u w:val="single"/>
              </w:rPr>
              <w:t>　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0" w:hRule="atLeast"/>
        </w:trPr>
        <w:tc>
          <w:tcPr>
            <w:tcW w:w="1468" w:type="dxa"/>
            <w:vAlign w:val="center"/>
          </w:tcPr>
          <w:p>
            <w:pPr>
              <w:spacing w:line="240" w:lineRule="atLeast"/>
              <w:ind w:left="1080" w:leftChars="257" w:hanging="540"/>
              <w:rPr>
                <w:rFonts w:ascii="仿宋" w:hAnsi="仿宋" w:eastAsia="仿宋" w:cs="仿宋"/>
                <w:color w:val="auto"/>
                <w:sz w:val="24"/>
              </w:rPr>
            </w:pPr>
            <w:r>
              <w:rPr>
                <w:rFonts w:hint="eastAsia" w:ascii="仿宋" w:hAnsi="仿宋" w:eastAsia="仿宋" w:cs="仿宋"/>
                <w:color w:val="auto"/>
                <w:sz w:val="24"/>
              </w:rPr>
              <w:t>27</w:t>
            </w:r>
          </w:p>
        </w:tc>
        <w:tc>
          <w:tcPr>
            <w:tcW w:w="6840" w:type="dxa"/>
            <w:vAlign w:val="center"/>
          </w:tcPr>
          <w:p>
            <w:pPr>
              <w:spacing w:line="240" w:lineRule="atLeast"/>
              <w:rPr>
                <w:rFonts w:ascii="仿宋" w:hAnsi="仿宋" w:eastAsia="仿宋" w:cs="仿宋"/>
                <w:color w:val="auto"/>
                <w:sz w:val="24"/>
              </w:rPr>
            </w:pPr>
            <w:r>
              <w:rPr>
                <w:rFonts w:hint="eastAsia" w:ascii="仿宋" w:hAnsi="仿宋" w:eastAsia="仿宋" w:cs="仿宋"/>
                <w:color w:val="auto"/>
                <w:sz w:val="24"/>
              </w:rPr>
              <w:t>招标人是否委托评标委员会直接确定中标人：</w:t>
            </w:r>
            <w:r>
              <w:rPr>
                <w:rFonts w:hint="eastAsia" w:ascii="仿宋" w:hAnsi="仿宋" w:eastAsia="仿宋" w:cs="仿宋"/>
                <w:color w:val="auto"/>
                <w:sz w:val="24"/>
                <w:u w:val="single"/>
              </w:rPr>
              <w:t xml:space="preserve">否 </w:t>
            </w:r>
            <w:r>
              <w:rPr>
                <w:rFonts w:hint="eastAsia" w:ascii="仿宋" w:hAnsi="仿宋" w:eastAsia="仿宋" w:cs="仿宋"/>
                <w:color w:val="auto"/>
                <w:sz w:val="24"/>
              </w:rPr>
              <w:t xml:space="preserve"> </w:t>
            </w:r>
            <w:r>
              <w:rPr>
                <w:rFonts w:hint="eastAsia" w:ascii="仿宋" w:hAnsi="仿宋" w:eastAsia="仿宋" w:cs="仿宋"/>
                <w:i/>
                <w:color w:val="auto"/>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1468" w:type="dxa"/>
            <w:vAlign w:val="center"/>
          </w:tcPr>
          <w:p>
            <w:pPr>
              <w:spacing w:line="240" w:lineRule="atLeast"/>
              <w:ind w:left="1080" w:leftChars="257" w:hanging="540"/>
              <w:rPr>
                <w:rFonts w:ascii="仿宋" w:hAnsi="仿宋" w:eastAsia="仿宋" w:cs="仿宋"/>
                <w:color w:val="auto"/>
                <w:sz w:val="24"/>
              </w:rPr>
            </w:pPr>
            <w:r>
              <w:rPr>
                <w:rFonts w:hint="eastAsia" w:ascii="仿宋" w:hAnsi="仿宋" w:eastAsia="仿宋" w:cs="仿宋"/>
                <w:color w:val="auto"/>
                <w:sz w:val="24"/>
              </w:rPr>
              <w:t>31.1</w:t>
            </w:r>
          </w:p>
        </w:tc>
        <w:tc>
          <w:tcPr>
            <w:tcW w:w="6840" w:type="dxa"/>
            <w:vAlign w:val="center"/>
          </w:tcPr>
          <w:p>
            <w:pPr>
              <w:spacing w:line="240" w:lineRule="atLeast"/>
              <w:rPr>
                <w:rFonts w:ascii="仿宋" w:hAnsi="仿宋" w:eastAsia="仿宋" w:cs="仿宋"/>
                <w:color w:val="auto"/>
                <w:sz w:val="24"/>
              </w:rPr>
            </w:pPr>
            <w:r>
              <w:rPr>
                <w:rFonts w:hint="eastAsia" w:ascii="仿宋" w:hAnsi="仿宋" w:eastAsia="仿宋" w:cs="仿宋"/>
                <w:color w:val="auto"/>
                <w:sz w:val="24"/>
              </w:rPr>
              <w:t>履约保证金金额：10%（不得超过政府采购合同金额的10%）。</w:t>
            </w:r>
          </w:p>
          <w:p>
            <w:pPr>
              <w:spacing w:line="240" w:lineRule="atLeast"/>
              <w:rPr>
                <w:rFonts w:ascii="仿宋" w:hAnsi="仿宋" w:eastAsia="仿宋" w:cs="仿宋"/>
                <w:color w:val="auto"/>
                <w:sz w:val="24"/>
              </w:rPr>
            </w:pPr>
            <w:r>
              <w:rPr>
                <w:rFonts w:hint="eastAsia" w:ascii="仿宋" w:hAnsi="仿宋" w:eastAsia="仿宋" w:cs="仿宋"/>
                <w:color w:val="auto"/>
                <w:sz w:val="24"/>
              </w:rPr>
              <w:t xml:space="preserve">履约保证金形式： </w:t>
            </w:r>
            <w:bookmarkStart w:id="30" w:name="_Hlk22725541"/>
            <w:r>
              <w:rPr>
                <w:rFonts w:hint="eastAsia" w:ascii="仿宋" w:hAnsi="仿宋" w:eastAsia="仿宋" w:cs="仿宋"/>
                <w:color w:val="auto"/>
                <w:sz w:val="24"/>
              </w:rPr>
              <w:t>电汇或企业账户网银汇款</w:t>
            </w:r>
            <w:bookmarkEnd w:id="30"/>
            <w:r>
              <w:rPr>
                <w:rFonts w:hint="eastAsia" w:ascii="仿宋" w:hAnsi="仿宋" w:eastAsia="仿宋" w:cs="仿宋"/>
                <w:color w:val="auto"/>
                <w:sz w:val="24"/>
              </w:rPr>
              <w:t xml:space="preserve">。 </w:t>
            </w:r>
          </w:p>
          <w:p>
            <w:pPr>
              <w:spacing w:line="240" w:lineRule="atLeast"/>
              <w:rPr>
                <w:rFonts w:ascii="仿宋" w:hAnsi="仿宋" w:eastAsia="仿宋" w:cs="仿宋"/>
                <w:color w:val="auto"/>
                <w:sz w:val="24"/>
              </w:rPr>
            </w:pPr>
            <w:r>
              <w:rPr>
                <w:rFonts w:hint="eastAsia" w:ascii="仿宋" w:hAnsi="仿宋" w:eastAsia="仿宋" w:cs="仿宋"/>
                <w:color w:val="auto"/>
                <w:sz w:val="24"/>
              </w:rPr>
              <w:t>提交履约保证金的时间： 在中标通知书发出后</w:t>
            </w:r>
            <w:r>
              <w:rPr>
                <w:rFonts w:hint="eastAsia" w:ascii="仿宋" w:hAnsi="仿宋" w:eastAsia="仿宋" w:cs="仿宋"/>
                <w:color w:val="auto"/>
                <w:sz w:val="24"/>
                <w:u w:val="single"/>
              </w:rPr>
              <w:t xml:space="preserve">  3  </w:t>
            </w:r>
            <w:r>
              <w:rPr>
                <w:rFonts w:hint="eastAsia" w:ascii="仿宋" w:hAnsi="仿宋" w:eastAsia="仿宋" w:cs="仿宋"/>
                <w:color w:val="auto"/>
                <w:sz w:val="24"/>
              </w:rPr>
              <w:t>日历日内。</w:t>
            </w:r>
          </w:p>
          <w:p>
            <w:pPr>
              <w:spacing w:line="240" w:lineRule="atLeast"/>
              <w:rPr>
                <w:rFonts w:hint="eastAsia" w:ascii="仿宋" w:hAnsi="仿宋" w:eastAsia="仿宋" w:cs="仿宋"/>
                <w:color w:val="auto"/>
                <w:sz w:val="24"/>
                <w:u w:val="single"/>
                <w:lang w:eastAsia="zh-CN"/>
              </w:rPr>
            </w:pPr>
            <w:r>
              <w:rPr>
                <w:rFonts w:hint="eastAsia" w:ascii="仿宋" w:hAnsi="仿宋" w:eastAsia="仿宋" w:cs="仿宋"/>
                <w:color w:val="auto"/>
                <w:sz w:val="24"/>
              </w:rPr>
              <w:t>履约保证金收款人：</w:t>
            </w:r>
            <w:r>
              <w:rPr>
                <w:rFonts w:hint="eastAsia" w:ascii="仿宋" w:hAnsi="仿宋" w:eastAsia="仿宋" w:cs="仿宋"/>
                <w:color w:val="auto"/>
                <w:sz w:val="24"/>
                <w:lang w:eastAsia="zh-CN"/>
              </w:rPr>
              <w:t>克孜勒苏柯尔克孜自治州自然资源局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vAlign w:val="center"/>
          </w:tcPr>
          <w:p>
            <w:pPr>
              <w:spacing w:line="240" w:lineRule="atLeast"/>
              <w:ind w:left="1080" w:leftChars="257" w:hanging="540"/>
              <w:rPr>
                <w:rFonts w:ascii="仿宋" w:hAnsi="仿宋" w:eastAsia="仿宋" w:cs="仿宋"/>
                <w:color w:val="auto"/>
                <w:sz w:val="24"/>
              </w:rPr>
            </w:pPr>
            <w:r>
              <w:rPr>
                <w:rFonts w:hint="eastAsia" w:ascii="仿宋" w:hAnsi="仿宋" w:eastAsia="仿宋" w:cs="仿宋"/>
                <w:color w:val="auto"/>
                <w:sz w:val="24"/>
              </w:rPr>
              <w:t>32</w:t>
            </w:r>
          </w:p>
        </w:tc>
        <w:tc>
          <w:tcPr>
            <w:tcW w:w="6840" w:type="dxa"/>
            <w:vAlign w:val="center"/>
          </w:tcPr>
          <w:p>
            <w:pPr>
              <w:spacing w:line="240" w:lineRule="atLeast"/>
              <w:rPr>
                <w:rFonts w:hint="eastAsia" w:ascii="仿宋" w:hAnsi="仿宋" w:eastAsia="仿宋" w:cs="仿宋"/>
                <w:b/>
                <w:bCs/>
                <w:color w:val="auto"/>
                <w:sz w:val="24"/>
              </w:rPr>
            </w:pPr>
            <w:r>
              <w:rPr>
                <w:rFonts w:hint="eastAsia" w:ascii="仿宋" w:hAnsi="仿宋" w:eastAsia="仿宋" w:cs="仿宋"/>
                <w:color w:val="auto"/>
                <w:sz w:val="24"/>
              </w:rPr>
              <w:t>中标服务费：</w:t>
            </w:r>
            <w:r>
              <w:rPr>
                <w:rFonts w:hint="eastAsia" w:ascii="仿宋" w:hAnsi="仿宋" w:eastAsia="仿宋" w:cs="仿宋"/>
                <w:b/>
                <w:bCs/>
                <w:color w:val="auto"/>
                <w:sz w:val="24"/>
              </w:rPr>
              <w:t>收费标准依据《国家发展改革委关于进一步开放建设项目专业服务价格的通知》（发改价格[2015]299号）执行，代理服务费按中标价的1.5%收取。由中标单位向招标代理机构支付本项目的代理费。</w:t>
            </w:r>
          </w:p>
          <w:p>
            <w:pPr>
              <w:spacing w:line="240" w:lineRule="atLeast"/>
              <w:rPr>
                <w:rFonts w:ascii="仿宋" w:hAnsi="仿宋" w:eastAsia="仿宋" w:cs="仿宋"/>
                <w:color w:val="auto"/>
                <w:sz w:val="24"/>
              </w:rPr>
            </w:pPr>
            <w:r>
              <w:rPr>
                <w:rFonts w:hint="eastAsia" w:ascii="仿宋" w:hAnsi="仿宋" w:eastAsia="仿宋" w:cs="仿宋"/>
                <w:color w:val="auto"/>
                <w:sz w:val="24"/>
              </w:rPr>
              <w:t>支 付 方：由中标人支付</w:t>
            </w:r>
          </w:p>
          <w:p>
            <w:pPr>
              <w:spacing w:line="240" w:lineRule="atLeast"/>
              <w:rPr>
                <w:rFonts w:ascii="仿宋" w:hAnsi="仿宋" w:eastAsia="仿宋" w:cs="仿宋"/>
                <w:color w:val="auto"/>
                <w:sz w:val="24"/>
              </w:rPr>
            </w:pPr>
            <w:r>
              <w:rPr>
                <w:rFonts w:hint="eastAsia" w:ascii="仿宋" w:hAnsi="仿宋" w:eastAsia="仿宋" w:cs="仿宋"/>
                <w:color w:val="auto"/>
                <w:sz w:val="24"/>
              </w:rPr>
              <w:t xml:space="preserve">支付形式：对公转账 </w:t>
            </w:r>
          </w:p>
          <w:p>
            <w:pPr>
              <w:spacing w:line="240" w:lineRule="atLeast"/>
              <w:rPr>
                <w:rFonts w:ascii="仿宋" w:hAnsi="仿宋" w:eastAsia="仿宋" w:cs="仿宋"/>
                <w:color w:val="auto"/>
              </w:rPr>
            </w:pPr>
            <w:r>
              <w:rPr>
                <w:rFonts w:hint="eastAsia" w:ascii="仿宋" w:hAnsi="仿宋" w:eastAsia="仿宋" w:cs="仿宋"/>
                <w:color w:val="auto"/>
                <w:sz w:val="24"/>
              </w:rPr>
              <w:t>支付时间：领取中标通知书时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vAlign w:val="center"/>
          </w:tcPr>
          <w:p>
            <w:pPr>
              <w:spacing w:line="240" w:lineRule="atLeast"/>
              <w:ind w:left="1080" w:leftChars="257" w:hanging="540"/>
              <w:rPr>
                <w:rFonts w:ascii="仿宋" w:hAnsi="仿宋" w:eastAsia="仿宋" w:cs="仿宋"/>
                <w:color w:val="auto"/>
                <w:sz w:val="24"/>
              </w:rPr>
            </w:pPr>
            <w:r>
              <w:rPr>
                <w:rFonts w:hint="eastAsia" w:ascii="仿宋" w:hAnsi="仿宋" w:eastAsia="仿宋" w:cs="仿宋"/>
                <w:color w:val="auto"/>
                <w:sz w:val="24"/>
              </w:rPr>
              <w:t>33</w:t>
            </w:r>
          </w:p>
        </w:tc>
        <w:tc>
          <w:tcPr>
            <w:tcW w:w="6840" w:type="dxa"/>
            <w:vAlign w:val="center"/>
          </w:tcPr>
          <w:p>
            <w:pPr>
              <w:spacing w:line="240" w:lineRule="atLeast"/>
              <w:rPr>
                <w:rFonts w:ascii="仿宋" w:hAnsi="仿宋" w:eastAsia="仿宋" w:cs="仿宋"/>
                <w:color w:val="auto"/>
                <w:sz w:val="24"/>
              </w:rPr>
            </w:pPr>
            <w:r>
              <w:rPr>
                <w:rFonts w:hint="eastAsia" w:ascii="仿宋" w:hAnsi="仿宋" w:eastAsia="仿宋" w:cs="仿宋"/>
                <w:color w:val="auto"/>
                <w:sz w:val="24"/>
              </w:rPr>
              <w:t>本项目是否属于信用担保试点范围：</w:t>
            </w:r>
            <w:r>
              <w:rPr>
                <w:rFonts w:hint="eastAsia" w:ascii="仿宋" w:hAnsi="仿宋" w:eastAsia="仿宋" w:cs="仿宋"/>
                <w:color w:val="auto"/>
                <w:sz w:val="24"/>
                <w:u w:val="single"/>
              </w:rPr>
              <w:t xml:space="preserve"> 否</w:t>
            </w:r>
            <w:r>
              <w:rPr>
                <w:rFonts w:hint="eastAsia" w:ascii="仿宋" w:hAnsi="仿宋" w:eastAsia="仿宋" w:cs="仿宋"/>
                <w:color w:val="auto"/>
                <w:sz w:val="24"/>
              </w:rPr>
              <w:t xml:space="preserve"> </w:t>
            </w:r>
            <w:r>
              <w:rPr>
                <w:rFonts w:hint="eastAsia" w:ascii="仿宋" w:hAnsi="仿宋" w:eastAsia="仿宋" w:cs="仿宋"/>
                <w:i/>
                <w:color w:val="auto"/>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468" w:type="dxa"/>
            <w:vAlign w:val="center"/>
          </w:tcPr>
          <w:p>
            <w:pPr>
              <w:spacing w:line="240" w:lineRule="atLeast"/>
              <w:ind w:left="1080" w:leftChars="257" w:hanging="540"/>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34</w:t>
            </w:r>
          </w:p>
        </w:tc>
        <w:tc>
          <w:tcPr>
            <w:tcW w:w="6840" w:type="dxa"/>
            <w:vAlign w:val="center"/>
          </w:tcPr>
          <w:p>
            <w:pPr>
              <w:rPr>
                <w:rFonts w:hint="default" w:ascii="仿宋" w:hAnsi="仿宋" w:eastAsia="仿宋" w:cs="仿宋"/>
                <w:color w:val="auto"/>
                <w:sz w:val="24"/>
                <w:lang w:val="en-US" w:eastAsia="zh-CN"/>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中小微企业划分标准》</w:t>
            </w:r>
          </w:p>
          <w:p>
            <w:pPr>
              <w:rPr>
                <w:rFonts w:hint="default" w:ascii="仿宋" w:hAnsi="仿宋" w:eastAsia="仿宋" w:cs="仿宋"/>
                <w:color w:val="auto"/>
                <w:sz w:val="24"/>
                <w:lang w:val="en-US" w:eastAsia="zh-CN"/>
              </w:rPr>
            </w:pPr>
            <w:r>
              <w:rPr>
                <w:rFonts w:hint="eastAsia" w:ascii="仿宋" w:hAnsi="仿宋" w:eastAsia="仿宋" w:cs="仿宋"/>
                <w:color w:val="auto"/>
                <w:sz w:val="24"/>
                <w:lang w:eastAsia="zh-CN"/>
              </w:rPr>
              <w:t>1.根据《中华人民共和国中小企业促进法》和《国务院关于进一步促进中小企业发展的若干意见》(国发[2009]36号)，</w:t>
            </w:r>
            <w:r>
              <w:rPr>
                <w:rFonts w:hint="eastAsia" w:ascii="仿宋" w:hAnsi="仿宋" w:eastAsia="仿宋" w:cs="仿宋"/>
                <w:color w:val="auto"/>
                <w:sz w:val="24"/>
                <w:lang w:val="en-US" w:eastAsia="zh-CN"/>
              </w:rPr>
              <w:t>制定本规定。</w:t>
            </w:r>
          </w:p>
          <w:p>
            <w:pPr>
              <w:rPr>
                <w:rFonts w:hint="eastAsia" w:ascii="仿宋" w:hAnsi="仿宋" w:eastAsia="仿宋" w:cs="仿宋"/>
                <w:color w:val="auto"/>
                <w:sz w:val="24"/>
                <w:lang w:eastAsia="zh-CN"/>
              </w:rPr>
            </w:pPr>
            <w:r>
              <w:rPr>
                <w:rFonts w:hint="eastAsia" w:ascii="仿宋" w:hAnsi="仿宋" w:eastAsia="仿宋" w:cs="仿宋"/>
                <w:color w:val="auto"/>
                <w:sz w:val="24"/>
                <w:lang w:eastAsia="zh-CN"/>
              </w:rPr>
              <w:t>2.中小企业划分为中型、小型、微型三种类型，具体标准根据企业从业人员、营业收入、资产总额等指标，结合行业特点制定。</w:t>
            </w:r>
          </w:p>
          <w:p>
            <w:pPr>
              <w:rPr>
                <w:rFonts w:hint="default" w:ascii="仿宋" w:hAnsi="仿宋" w:eastAsia="仿宋" w:cs="仿宋"/>
                <w:color w:val="auto"/>
                <w:sz w:val="24"/>
                <w:lang w:val="en-US"/>
              </w:rPr>
            </w:pPr>
            <w:r>
              <w:rPr>
                <w:rFonts w:hint="eastAsia" w:ascii="仿宋" w:hAnsi="仿宋" w:eastAsia="仿宋" w:cs="仿宋"/>
                <w:color w:val="auto"/>
                <w:sz w:val="24"/>
                <w:lang w:val="en-US" w:eastAsia="zh-CN"/>
              </w:rPr>
              <w:t>3.本项目所适用行业：</w:t>
            </w:r>
            <w:r>
              <w:rPr>
                <w:rFonts w:hint="eastAsia" w:ascii="仿宋" w:hAnsi="仿宋" w:eastAsia="仿宋" w:cs="仿宋"/>
                <w:b/>
                <w:bCs/>
                <w:color w:val="auto"/>
                <w:sz w:val="24"/>
                <w:lang w:eastAsia="zh-CN"/>
              </w:rPr>
              <w:t>其他未列明行业。</w:t>
            </w:r>
          </w:p>
        </w:tc>
      </w:tr>
    </w:tbl>
    <w:p>
      <w:pPr>
        <w:spacing w:line="240" w:lineRule="atLeast"/>
        <w:ind w:left="1080" w:leftChars="257" w:hanging="540"/>
        <w:rPr>
          <w:rFonts w:ascii="仿宋" w:hAnsi="仿宋" w:eastAsia="仿宋" w:cs="仿宋"/>
          <w:color w:val="auto"/>
          <w:sz w:val="24"/>
        </w:rPr>
        <w:sectPr>
          <w:footerReference r:id="rId7" w:type="default"/>
          <w:pgSz w:w="11906" w:h="16838"/>
          <w:pgMar w:top="1440" w:right="1797" w:bottom="1318" w:left="1797" w:header="851" w:footer="992" w:gutter="0"/>
          <w:pgBorders>
            <w:top w:val="none" w:sz="0" w:space="0"/>
            <w:left w:val="none" w:sz="0" w:space="0"/>
            <w:bottom w:val="none" w:sz="0" w:space="0"/>
            <w:right w:val="none" w:sz="0" w:space="0"/>
          </w:pgBorders>
          <w:pgNumType w:start="1"/>
          <w:cols w:space="720" w:num="1"/>
          <w:docGrid w:linePitch="312" w:charSpace="0"/>
        </w:sectPr>
      </w:pPr>
    </w:p>
    <w:p>
      <w:pPr>
        <w:spacing w:line="240" w:lineRule="atLeast"/>
        <w:rPr>
          <w:rFonts w:ascii="仿宋" w:hAnsi="仿宋" w:eastAsia="仿宋" w:cs="仿宋"/>
          <w:bCs/>
          <w:color w:val="auto"/>
          <w:sz w:val="28"/>
          <w:szCs w:val="28"/>
        </w:rPr>
      </w:pPr>
    </w:p>
    <w:p>
      <w:pPr>
        <w:spacing w:line="240" w:lineRule="atLeast"/>
        <w:jc w:val="left"/>
        <w:rPr>
          <w:rFonts w:ascii="仿宋" w:hAnsi="仿宋" w:eastAsia="仿宋" w:cs="仿宋"/>
          <w:b/>
          <w:color w:val="auto"/>
          <w:sz w:val="52"/>
          <w:szCs w:val="52"/>
        </w:rPr>
      </w:pPr>
    </w:p>
    <w:p>
      <w:pPr>
        <w:widowControl/>
        <w:jc w:val="center"/>
        <w:outlineLvl w:val="1"/>
        <w:rPr>
          <w:rFonts w:hint="eastAsia" w:ascii="仿宋" w:hAnsi="仿宋" w:eastAsia="仿宋" w:cs="仿宋"/>
          <w:b/>
          <w:color w:val="auto"/>
          <w:sz w:val="44"/>
          <w:szCs w:val="44"/>
        </w:rPr>
      </w:pPr>
      <w:bookmarkStart w:id="31" w:name="_Toc21149"/>
      <w:r>
        <w:rPr>
          <w:rFonts w:hint="eastAsia" w:ascii="仿宋" w:hAnsi="仿宋" w:eastAsia="仿宋" w:cs="仿宋"/>
          <w:b/>
          <w:color w:val="auto"/>
          <w:sz w:val="44"/>
          <w:szCs w:val="44"/>
          <w:lang w:val="en-US" w:eastAsia="zh-CN"/>
        </w:rPr>
        <w:t>克州</w:t>
      </w:r>
      <w:r>
        <w:rPr>
          <w:rFonts w:hint="eastAsia" w:ascii="仿宋" w:hAnsi="仿宋" w:eastAsia="仿宋" w:cs="仿宋"/>
          <w:b/>
          <w:color w:val="auto"/>
          <w:sz w:val="44"/>
          <w:szCs w:val="44"/>
        </w:rPr>
        <w:t>2023年</w:t>
      </w:r>
      <w:r>
        <w:rPr>
          <w:rFonts w:hint="eastAsia" w:ascii="仿宋" w:hAnsi="仿宋" w:eastAsia="仿宋" w:cs="仿宋"/>
          <w:b/>
          <w:color w:val="auto"/>
          <w:sz w:val="44"/>
          <w:szCs w:val="44"/>
          <w:lang w:val="en-US" w:eastAsia="zh-CN"/>
        </w:rPr>
        <w:t>自然</w:t>
      </w:r>
      <w:r>
        <w:rPr>
          <w:rFonts w:hint="eastAsia" w:ascii="仿宋" w:hAnsi="仿宋" w:eastAsia="仿宋" w:cs="仿宋"/>
          <w:b/>
          <w:color w:val="auto"/>
          <w:sz w:val="44"/>
          <w:szCs w:val="44"/>
        </w:rPr>
        <w:t>灾害防治体系建设</w:t>
      </w:r>
      <w:bookmarkEnd w:id="31"/>
    </w:p>
    <w:p>
      <w:pPr>
        <w:widowControl/>
        <w:jc w:val="center"/>
        <w:rPr>
          <w:rFonts w:hint="eastAsia" w:ascii="仿宋" w:hAnsi="仿宋" w:eastAsia="仿宋" w:cs="仿宋"/>
          <w:b/>
          <w:color w:val="auto"/>
          <w:sz w:val="44"/>
          <w:szCs w:val="44"/>
        </w:rPr>
      </w:pPr>
      <w:r>
        <w:rPr>
          <w:rFonts w:hint="eastAsia" w:ascii="仿宋" w:hAnsi="仿宋" w:eastAsia="仿宋" w:cs="仿宋"/>
          <w:b/>
          <w:color w:val="auto"/>
          <w:sz w:val="44"/>
          <w:szCs w:val="44"/>
          <w:lang w:val="en-US" w:eastAsia="zh-CN"/>
        </w:rPr>
        <w:t>补助资金</w:t>
      </w:r>
      <w:r>
        <w:rPr>
          <w:rFonts w:hint="eastAsia" w:ascii="仿宋" w:hAnsi="仿宋" w:eastAsia="仿宋" w:cs="仿宋"/>
          <w:b/>
          <w:color w:val="auto"/>
          <w:sz w:val="44"/>
          <w:szCs w:val="44"/>
        </w:rPr>
        <w:t>项目</w:t>
      </w:r>
    </w:p>
    <w:p>
      <w:pPr>
        <w:widowControl/>
        <w:jc w:val="left"/>
        <w:rPr>
          <w:rFonts w:ascii="仿宋" w:hAnsi="仿宋" w:eastAsia="仿宋" w:cs="仿宋"/>
          <w:color w:val="auto"/>
        </w:rPr>
      </w:pPr>
    </w:p>
    <w:p>
      <w:pPr>
        <w:pStyle w:val="4"/>
        <w:ind w:firstLine="480"/>
        <w:rPr>
          <w:color w:val="auto"/>
        </w:rPr>
      </w:pPr>
    </w:p>
    <w:p>
      <w:pPr>
        <w:spacing w:line="240" w:lineRule="atLeast"/>
        <w:jc w:val="center"/>
        <w:rPr>
          <w:rFonts w:ascii="仿宋" w:hAnsi="仿宋" w:eastAsia="仿宋" w:cs="仿宋"/>
          <w:bCs/>
          <w:color w:val="auto"/>
          <w:sz w:val="52"/>
          <w:szCs w:val="52"/>
        </w:rPr>
      </w:pPr>
      <w:r>
        <w:rPr>
          <w:rFonts w:hint="eastAsia" w:ascii="仿宋" w:hAnsi="仿宋" w:eastAsia="仿宋" w:cs="仿宋"/>
          <w:bCs/>
          <w:color w:val="auto"/>
          <w:sz w:val="52"/>
          <w:szCs w:val="52"/>
        </w:rPr>
        <w:t xml:space="preserve"> </w:t>
      </w:r>
      <w:r>
        <w:rPr>
          <w:rFonts w:hint="eastAsia" w:ascii="仿宋" w:hAnsi="仿宋" w:eastAsia="仿宋" w:cs="仿宋"/>
          <w:b/>
          <w:color w:val="auto"/>
          <w:sz w:val="52"/>
          <w:szCs w:val="52"/>
        </w:rPr>
        <w:t>采购文件</w:t>
      </w:r>
    </w:p>
    <w:p>
      <w:pPr>
        <w:spacing w:line="240" w:lineRule="atLeast"/>
        <w:ind w:left="1080" w:leftChars="257" w:hanging="540"/>
        <w:jc w:val="center"/>
        <w:rPr>
          <w:rFonts w:ascii="仿宋" w:hAnsi="仿宋" w:eastAsia="仿宋" w:cs="仿宋"/>
          <w:bCs/>
          <w:color w:val="auto"/>
          <w:sz w:val="52"/>
          <w:szCs w:val="52"/>
        </w:rPr>
      </w:pPr>
    </w:p>
    <w:p>
      <w:pPr>
        <w:spacing w:line="240" w:lineRule="atLeast"/>
        <w:ind w:left="1080" w:leftChars="257" w:hanging="540"/>
        <w:jc w:val="center"/>
        <w:rPr>
          <w:rFonts w:ascii="仿宋" w:hAnsi="仿宋" w:eastAsia="仿宋" w:cs="仿宋"/>
          <w:bCs/>
          <w:color w:val="auto"/>
          <w:sz w:val="32"/>
          <w:szCs w:val="32"/>
        </w:rPr>
      </w:pPr>
      <w:r>
        <w:rPr>
          <w:rFonts w:hint="eastAsia" w:ascii="仿宋" w:hAnsi="仿宋" w:eastAsia="仿宋" w:cs="仿宋"/>
          <w:bCs/>
          <w:color w:val="auto"/>
          <w:sz w:val="32"/>
          <w:szCs w:val="32"/>
        </w:rPr>
        <w:t>（项目编号：</w:t>
      </w:r>
      <w:r>
        <w:rPr>
          <w:rFonts w:hint="eastAsia" w:ascii="仿宋" w:hAnsi="仿宋" w:eastAsia="仿宋" w:cs="仿宋"/>
          <w:bCs/>
          <w:color w:val="auto"/>
          <w:sz w:val="32"/>
          <w:szCs w:val="32"/>
          <w:lang w:eastAsia="zh-CN"/>
        </w:rPr>
        <w:t>GYZB-KZDZFZ2023</w:t>
      </w:r>
      <w:r>
        <w:rPr>
          <w:rFonts w:hint="eastAsia" w:ascii="仿宋" w:hAnsi="仿宋" w:eastAsia="仿宋" w:cs="仿宋"/>
          <w:bCs/>
          <w:color w:val="auto"/>
          <w:sz w:val="32"/>
          <w:szCs w:val="32"/>
          <w:lang w:val="en-US" w:eastAsia="zh-CN"/>
        </w:rPr>
        <w:t>-01</w:t>
      </w:r>
      <w:r>
        <w:rPr>
          <w:rFonts w:hint="eastAsia" w:ascii="仿宋" w:hAnsi="仿宋" w:eastAsia="仿宋" w:cs="仿宋"/>
          <w:bCs/>
          <w:color w:val="auto"/>
          <w:sz w:val="32"/>
          <w:szCs w:val="32"/>
        </w:rPr>
        <w:t>）</w:t>
      </w:r>
    </w:p>
    <w:p>
      <w:pPr>
        <w:spacing w:line="240" w:lineRule="atLeast"/>
        <w:ind w:left="1080" w:leftChars="257" w:hanging="540"/>
        <w:jc w:val="center"/>
        <w:rPr>
          <w:rFonts w:ascii="仿宋" w:hAnsi="仿宋" w:eastAsia="仿宋" w:cs="仿宋"/>
          <w:b/>
          <w:color w:val="auto"/>
          <w:sz w:val="32"/>
          <w:szCs w:val="32"/>
        </w:rPr>
      </w:pPr>
    </w:p>
    <w:p>
      <w:pPr>
        <w:spacing w:line="240" w:lineRule="atLeast"/>
        <w:ind w:left="1079" w:leftChars="257" w:hanging="539"/>
        <w:jc w:val="center"/>
        <w:outlineLvl w:val="0"/>
        <w:rPr>
          <w:rFonts w:ascii="仿宋" w:hAnsi="仿宋" w:eastAsia="仿宋" w:cs="仿宋"/>
          <w:b/>
          <w:color w:val="auto"/>
          <w:sz w:val="36"/>
          <w:szCs w:val="36"/>
        </w:rPr>
      </w:pPr>
      <w:bookmarkStart w:id="32" w:name="_Toc29063"/>
      <w:bookmarkStart w:id="33" w:name="_Toc1099"/>
      <w:r>
        <w:rPr>
          <w:rFonts w:hint="eastAsia" w:ascii="仿宋" w:hAnsi="仿宋" w:eastAsia="仿宋" w:cs="仿宋"/>
          <w:b/>
          <w:color w:val="auto"/>
          <w:sz w:val="36"/>
          <w:szCs w:val="36"/>
        </w:rPr>
        <w:t>第</w:t>
      </w:r>
      <w:r>
        <w:rPr>
          <w:rFonts w:hint="eastAsia" w:ascii="仿宋" w:hAnsi="仿宋" w:eastAsia="仿宋" w:cs="仿宋"/>
          <w:b/>
          <w:color w:val="auto"/>
          <w:sz w:val="36"/>
          <w:szCs w:val="36"/>
          <w:lang w:eastAsia="zh-CN"/>
        </w:rPr>
        <w:t>二</w:t>
      </w:r>
      <w:r>
        <w:rPr>
          <w:rFonts w:hint="eastAsia" w:ascii="仿宋" w:hAnsi="仿宋" w:eastAsia="仿宋" w:cs="仿宋"/>
          <w:b/>
          <w:color w:val="auto"/>
          <w:sz w:val="36"/>
          <w:szCs w:val="36"/>
        </w:rPr>
        <w:t>册</w:t>
      </w:r>
      <w:bookmarkEnd w:id="32"/>
      <w:bookmarkEnd w:id="33"/>
    </w:p>
    <w:p>
      <w:pPr>
        <w:spacing w:line="240" w:lineRule="atLeast"/>
        <w:ind w:left="1080" w:leftChars="257" w:hanging="540"/>
        <w:jc w:val="center"/>
        <w:rPr>
          <w:rFonts w:ascii="仿宋" w:hAnsi="仿宋" w:eastAsia="仿宋" w:cs="仿宋"/>
          <w:b/>
          <w:color w:val="auto"/>
          <w:sz w:val="52"/>
        </w:rPr>
      </w:pPr>
    </w:p>
    <w:p>
      <w:pPr>
        <w:spacing w:line="360" w:lineRule="auto"/>
        <w:ind w:firstLine="837" w:firstLineChars="299"/>
        <w:jc w:val="left"/>
        <w:rPr>
          <w:rFonts w:hint="eastAsia" w:ascii="仿宋" w:hAnsi="仿宋" w:eastAsia="仿宋" w:cs="仿宋"/>
          <w:color w:val="auto"/>
          <w:sz w:val="28"/>
          <w:szCs w:val="28"/>
          <w:u w:val="single"/>
          <w:lang w:eastAsia="zh-CN"/>
        </w:rPr>
      </w:pPr>
      <w:r>
        <w:rPr>
          <w:rFonts w:hint="eastAsia" w:ascii="仿宋" w:hAnsi="仿宋" w:eastAsia="仿宋" w:cs="仿宋"/>
          <w:color w:val="auto"/>
          <w:sz w:val="28"/>
          <w:szCs w:val="28"/>
        </w:rPr>
        <w:t>采 购 人：</w:t>
      </w:r>
      <w:r>
        <w:rPr>
          <w:rFonts w:hint="eastAsia" w:ascii="仿宋" w:hAnsi="仿宋" w:eastAsia="仿宋" w:cs="仿宋"/>
          <w:color w:val="auto"/>
          <w:sz w:val="28"/>
          <w:szCs w:val="28"/>
          <w:u w:val="single"/>
          <w:lang w:eastAsia="zh-CN"/>
        </w:rPr>
        <w:t>克孜勒苏柯尔克孜自治州自然资源局</w:t>
      </w:r>
    </w:p>
    <w:p>
      <w:pPr>
        <w:spacing w:line="600" w:lineRule="exact"/>
        <w:ind w:firstLine="837" w:firstLineChars="299"/>
        <w:rPr>
          <w:rFonts w:ascii="仿宋" w:hAnsi="仿宋" w:eastAsia="仿宋" w:cs="仿宋"/>
          <w:color w:val="auto"/>
          <w:sz w:val="28"/>
          <w:szCs w:val="28"/>
        </w:rPr>
      </w:pPr>
      <w:r>
        <w:rPr>
          <w:rFonts w:hint="eastAsia" w:ascii="仿宋" w:hAnsi="仿宋" w:eastAsia="仿宋" w:cs="仿宋"/>
          <w:color w:val="auto"/>
          <w:sz w:val="28"/>
          <w:szCs w:val="28"/>
        </w:rPr>
        <w:t>采购机构：</w:t>
      </w:r>
      <w:r>
        <w:rPr>
          <w:rFonts w:hint="eastAsia" w:ascii="仿宋" w:hAnsi="仿宋" w:eastAsia="仿宋" w:cs="仿宋"/>
          <w:color w:val="auto"/>
          <w:sz w:val="28"/>
          <w:szCs w:val="28"/>
          <w:u w:val="single"/>
        </w:rPr>
        <w:t>新疆国源土地矿产资源交易中心（有限公司）</w:t>
      </w:r>
      <w:r>
        <w:rPr>
          <w:rFonts w:hint="eastAsia" w:ascii="仿宋" w:hAnsi="仿宋" w:eastAsia="仿宋" w:cs="仿宋"/>
          <w:color w:val="auto"/>
          <w:sz w:val="28"/>
          <w:szCs w:val="28"/>
        </w:rPr>
        <w:t xml:space="preserve"> </w:t>
      </w:r>
    </w:p>
    <w:p>
      <w:pPr>
        <w:spacing w:line="600" w:lineRule="exact"/>
        <w:ind w:firstLine="837" w:firstLineChars="299"/>
        <w:rPr>
          <w:rFonts w:ascii="仿宋" w:hAnsi="仿宋" w:eastAsia="仿宋" w:cs="仿宋"/>
          <w:b/>
          <w:color w:val="auto"/>
          <w:sz w:val="28"/>
          <w:szCs w:val="28"/>
        </w:rPr>
      </w:pPr>
      <w:r>
        <w:rPr>
          <w:rFonts w:hint="eastAsia" w:ascii="仿宋" w:hAnsi="仿宋" w:eastAsia="仿宋" w:cs="仿宋"/>
          <w:color w:val="auto"/>
          <w:sz w:val="28"/>
          <w:szCs w:val="28"/>
        </w:rPr>
        <w:t>发出日期：</w:t>
      </w:r>
      <w:r>
        <w:rPr>
          <w:rFonts w:hint="eastAsia" w:ascii="仿宋" w:hAnsi="仿宋" w:eastAsia="仿宋" w:cs="仿宋"/>
          <w:color w:val="auto"/>
          <w:sz w:val="28"/>
          <w:szCs w:val="28"/>
          <w:u w:val="single"/>
        </w:rPr>
        <w:t>2023年2月</w:t>
      </w:r>
    </w:p>
    <w:p>
      <w:pPr>
        <w:spacing w:line="240" w:lineRule="atLeast"/>
        <w:ind w:left="1080" w:leftChars="257" w:hanging="540"/>
        <w:rPr>
          <w:rFonts w:ascii="仿宋" w:hAnsi="仿宋" w:eastAsia="仿宋" w:cs="仿宋"/>
          <w:b/>
          <w:color w:val="auto"/>
          <w:szCs w:val="21"/>
        </w:rPr>
      </w:pPr>
    </w:p>
    <w:p>
      <w:pPr>
        <w:pStyle w:val="7"/>
        <w:tabs>
          <w:tab w:val="left" w:pos="0"/>
        </w:tabs>
        <w:spacing w:before="0" w:after="0" w:line="240" w:lineRule="atLeast"/>
        <w:rPr>
          <w:rFonts w:ascii="仿宋" w:hAnsi="仿宋" w:eastAsia="仿宋" w:cs="仿宋"/>
          <w:color w:val="auto"/>
        </w:rPr>
      </w:pPr>
      <w:r>
        <w:rPr>
          <w:rFonts w:hint="eastAsia" w:ascii="仿宋" w:hAnsi="仿宋" w:eastAsia="仿宋" w:cs="仿宋"/>
          <w:b/>
          <w:color w:val="auto"/>
          <w:sz w:val="52"/>
        </w:rPr>
        <w:br w:type="page"/>
      </w:r>
      <w:bookmarkStart w:id="34" w:name="_Toc18934"/>
      <w:bookmarkStart w:id="35" w:name="_Toc216582804"/>
      <w:bookmarkStart w:id="36" w:name="_Toc16386"/>
      <w:r>
        <w:rPr>
          <w:rFonts w:hint="eastAsia" w:ascii="仿宋" w:hAnsi="仿宋" w:eastAsia="仿宋" w:cs="仿宋"/>
          <w:color w:val="auto"/>
        </w:rPr>
        <w:t>第</w:t>
      </w:r>
      <w:r>
        <w:rPr>
          <w:rFonts w:hint="eastAsia" w:ascii="仿宋" w:hAnsi="仿宋" w:eastAsia="仿宋" w:cs="仿宋"/>
          <w:color w:val="auto"/>
          <w:lang w:val="en-US" w:eastAsia="zh-CN"/>
        </w:rPr>
        <w:t>3</w:t>
      </w:r>
      <w:r>
        <w:rPr>
          <w:rFonts w:hint="eastAsia" w:ascii="仿宋" w:hAnsi="仿宋" w:eastAsia="仿宋" w:cs="仿宋"/>
          <w:color w:val="auto"/>
        </w:rPr>
        <w:t xml:space="preserve">章 </w:t>
      </w:r>
      <w:bookmarkStart w:id="37" w:name="_Toc518923059"/>
      <w:r>
        <w:rPr>
          <w:rFonts w:hint="eastAsia" w:ascii="仿宋" w:hAnsi="仿宋" w:eastAsia="仿宋" w:cs="仿宋"/>
          <w:color w:val="auto"/>
        </w:rPr>
        <w:t>供应商须知</w:t>
      </w:r>
      <w:bookmarkEnd w:id="34"/>
      <w:bookmarkEnd w:id="35"/>
      <w:bookmarkEnd w:id="36"/>
      <w:bookmarkEnd w:id="37"/>
    </w:p>
    <w:p>
      <w:pPr>
        <w:rPr>
          <w:rFonts w:ascii="仿宋" w:hAnsi="仿宋" w:eastAsia="仿宋" w:cs="仿宋"/>
          <w:color w:val="auto"/>
        </w:rPr>
      </w:pPr>
    </w:p>
    <w:p>
      <w:pPr>
        <w:pStyle w:val="8"/>
        <w:spacing w:before="0" w:line="240" w:lineRule="atLeast"/>
        <w:ind w:left="1080" w:leftChars="257" w:hanging="540"/>
        <w:rPr>
          <w:rFonts w:ascii="仿宋" w:hAnsi="仿宋" w:eastAsia="仿宋" w:cs="仿宋"/>
          <w:color w:val="auto"/>
          <w:sz w:val="28"/>
        </w:rPr>
      </w:pPr>
      <w:bookmarkStart w:id="38" w:name="_Toc520356143"/>
      <w:bookmarkStart w:id="39" w:name="_Toc216582805"/>
      <w:bookmarkStart w:id="40" w:name="_Toc22759"/>
      <w:bookmarkStart w:id="41" w:name="_Toc7381"/>
      <w:bookmarkStart w:id="42" w:name="_Toc518923060"/>
      <w:r>
        <w:rPr>
          <w:rFonts w:hint="eastAsia" w:ascii="仿宋" w:hAnsi="仿宋" w:eastAsia="仿宋" w:cs="仿宋"/>
          <w:color w:val="auto"/>
          <w:sz w:val="28"/>
        </w:rPr>
        <w:t xml:space="preserve">一   </w:t>
      </w:r>
      <w:bookmarkEnd w:id="38"/>
      <w:bookmarkEnd w:id="39"/>
      <w:r>
        <w:rPr>
          <w:rFonts w:hint="eastAsia" w:ascii="仿宋" w:hAnsi="仿宋" w:eastAsia="仿宋" w:cs="仿宋"/>
          <w:color w:val="auto"/>
          <w:sz w:val="28"/>
        </w:rPr>
        <w:t>总  则</w:t>
      </w:r>
      <w:bookmarkEnd w:id="40"/>
      <w:bookmarkEnd w:id="41"/>
      <w:bookmarkEnd w:id="42"/>
    </w:p>
    <w:p>
      <w:pPr>
        <w:pStyle w:val="11"/>
        <w:rPr>
          <w:rFonts w:ascii="仿宋" w:hAnsi="仿宋" w:eastAsia="仿宋" w:cs="仿宋"/>
          <w:color w:val="auto"/>
        </w:rPr>
      </w:pPr>
    </w:p>
    <w:p>
      <w:pPr>
        <w:pStyle w:val="9"/>
        <w:spacing w:before="0" w:after="0" w:line="240" w:lineRule="atLeast"/>
        <w:outlineLvl w:val="1"/>
        <w:rPr>
          <w:rFonts w:ascii="仿宋" w:hAnsi="仿宋" w:eastAsia="仿宋" w:cs="仿宋"/>
          <w:color w:val="auto"/>
          <w:u w:val="none"/>
        </w:rPr>
      </w:pPr>
      <w:bookmarkStart w:id="43" w:name="_Toc520356144"/>
      <w:bookmarkStart w:id="44" w:name="_Toc518923061"/>
      <w:bookmarkStart w:id="45" w:name="_Toc21003"/>
      <w:bookmarkStart w:id="46" w:name="_Toc23709"/>
      <w:r>
        <w:rPr>
          <w:rFonts w:hint="eastAsia" w:ascii="仿宋" w:hAnsi="仿宋" w:eastAsia="仿宋" w:cs="仿宋"/>
          <w:color w:val="auto"/>
          <w:u w:val="none"/>
        </w:rPr>
        <w:t>1.采购人、采购代理机构及</w:t>
      </w:r>
      <w:bookmarkEnd w:id="43"/>
      <w:bookmarkEnd w:id="44"/>
      <w:r>
        <w:rPr>
          <w:rFonts w:hint="eastAsia" w:ascii="仿宋" w:hAnsi="仿宋" w:eastAsia="仿宋" w:cs="仿宋"/>
          <w:color w:val="auto"/>
          <w:u w:val="none"/>
        </w:rPr>
        <w:t>供应商</w:t>
      </w:r>
      <w:bookmarkEnd w:id="45"/>
      <w:bookmarkEnd w:id="46"/>
    </w:p>
    <w:p>
      <w:pPr>
        <w:numPr>
          <w:ilvl w:val="1"/>
          <w:numId w:val="3"/>
        </w:numPr>
        <w:tabs>
          <w:tab w:val="left" w:pos="0"/>
          <w:tab w:val="clear" w:pos="900"/>
        </w:tabs>
        <w:spacing w:line="240" w:lineRule="atLeast"/>
        <w:ind w:hanging="898"/>
        <w:rPr>
          <w:rFonts w:ascii="仿宋" w:hAnsi="仿宋" w:eastAsia="仿宋" w:cs="仿宋"/>
          <w:color w:val="auto"/>
          <w:sz w:val="24"/>
        </w:rPr>
      </w:pPr>
      <w:r>
        <w:rPr>
          <w:rFonts w:hint="eastAsia" w:ascii="仿宋" w:hAnsi="仿宋" w:eastAsia="仿宋" w:cs="仿宋"/>
          <w:color w:val="auto"/>
          <w:sz w:val="24"/>
        </w:rPr>
        <w:t>采购人：是指依法开展政府采购活动的国家机关、事业单位、团体组织。</w:t>
      </w:r>
    </w:p>
    <w:p>
      <w:pPr>
        <w:tabs>
          <w:tab w:val="left" w:pos="0"/>
        </w:tabs>
        <w:spacing w:line="240" w:lineRule="atLeast"/>
        <w:ind w:left="900"/>
        <w:rPr>
          <w:rFonts w:ascii="仿宋" w:hAnsi="仿宋" w:eastAsia="仿宋" w:cs="仿宋"/>
          <w:color w:val="auto"/>
          <w:sz w:val="24"/>
        </w:rPr>
      </w:pPr>
      <w:r>
        <w:rPr>
          <w:rFonts w:hint="eastAsia" w:ascii="仿宋" w:hAnsi="仿宋" w:eastAsia="仿宋" w:cs="仿宋"/>
          <w:color w:val="auto"/>
          <w:sz w:val="24"/>
        </w:rPr>
        <w:t>本项目的采购人见</w:t>
      </w:r>
      <w:r>
        <w:rPr>
          <w:rFonts w:hint="eastAsia" w:ascii="仿宋" w:hAnsi="仿宋" w:eastAsia="仿宋" w:cs="仿宋"/>
          <w:b/>
          <w:bCs/>
          <w:color w:val="auto"/>
          <w:sz w:val="24"/>
          <w:u w:val="single"/>
        </w:rPr>
        <w:t>供应商须知资料表</w:t>
      </w:r>
      <w:r>
        <w:rPr>
          <w:rFonts w:hint="eastAsia" w:ascii="仿宋" w:hAnsi="仿宋" w:eastAsia="仿宋" w:cs="仿宋"/>
          <w:color w:val="auto"/>
          <w:sz w:val="24"/>
        </w:rPr>
        <w:t>。</w:t>
      </w:r>
    </w:p>
    <w:p>
      <w:pPr>
        <w:numPr>
          <w:ilvl w:val="1"/>
          <w:numId w:val="3"/>
        </w:numPr>
        <w:tabs>
          <w:tab w:val="left" w:pos="0"/>
          <w:tab w:val="clear" w:pos="900"/>
        </w:tabs>
        <w:spacing w:line="240" w:lineRule="atLeast"/>
        <w:ind w:hanging="898"/>
        <w:rPr>
          <w:rFonts w:ascii="仿宋" w:hAnsi="仿宋" w:eastAsia="仿宋" w:cs="仿宋"/>
          <w:color w:val="auto"/>
          <w:sz w:val="24"/>
        </w:rPr>
      </w:pPr>
      <w:r>
        <w:rPr>
          <w:rFonts w:hint="eastAsia" w:ascii="仿宋" w:hAnsi="仿宋" w:eastAsia="仿宋" w:cs="仿宋"/>
          <w:color w:val="auto"/>
          <w:sz w:val="24"/>
        </w:rPr>
        <w:t>采购代理机构：是指集中采购机构或从事采购代理业务的社会中介机构。本项目的采购代理机构见</w:t>
      </w:r>
      <w:r>
        <w:rPr>
          <w:rFonts w:hint="eastAsia" w:ascii="仿宋" w:hAnsi="仿宋" w:eastAsia="仿宋" w:cs="仿宋"/>
          <w:b/>
          <w:bCs/>
          <w:color w:val="auto"/>
          <w:sz w:val="24"/>
          <w:u w:val="single"/>
        </w:rPr>
        <w:t>供应商须知资料表</w:t>
      </w:r>
      <w:r>
        <w:rPr>
          <w:rFonts w:hint="eastAsia" w:ascii="仿宋" w:hAnsi="仿宋" w:eastAsia="仿宋" w:cs="仿宋"/>
          <w:color w:val="auto"/>
          <w:sz w:val="24"/>
        </w:rPr>
        <w:t>。</w:t>
      </w:r>
    </w:p>
    <w:p>
      <w:pPr>
        <w:numPr>
          <w:ilvl w:val="1"/>
          <w:numId w:val="3"/>
        </w:numPr>
        <w:spacing w:line="240" w:lineRule="atLeast"/>
        <w:ind w:hangingChars="375"/>
        <w:rPr>
          <w:rFonts w:ascii="仿宋" w:hAnsi="仿宋" w:eastAsia="仿宋" w:cs="仿宋"/>
          <w:color w:val="auto"/>
          <w:sz w:val="24"/>
        </w:rPr>
      </w:pPr>
      <w:r>
        <w:rPr>
          <w:rFonts w:hint="eastAsia" w:ascii="仿宋" w:hAnsi="仿宋" w:eastAsia="仿宋" w:cs="仿宋"/>
          <w:color w:val="auto"/>
          <w:sz w:val="24"/>
        </w:rPr>
        <w:t>供应商：是指向采购人提供货物、工程或者服务的法人、非法人组织或者自然人。本项目的供应商须满足以下条件：</w:t>
      </w:r>
    </w:p>
    <w:p>
      <w:pPr>
        <w:spacing w:line="240" w:lineRule="atLeast"/>
        <w:ind w:left="850" w:hanging="849" w:hangingChars="354"/>
        <w:rPr>
          <w:rFonts w:ascii="仿宋" w:hAnsi="仿宋" w:eastAsia="仿宋" w:cs="仿宋"/>
          <w:color w:val="auto"/>
          <w:sz w:val="24"/>
        </w:rPr>
      </w:pPr>
      <w:r>
        <w:rPr>
          <w:rFonts w:hint="eastAsia" w:ascii="仿宋" w:hAnsi="仿宋" w:eastAsia="仿宋" w:cs="仿宋"/>
          <w:color w:val="auto"/>
          <w:sz w:val="24"/>
        </w:rPr>
        <w:t>1.3.1</w:t>
      </w:r>
      <w:r>
        <w:rPr>
          <w:rFonts w:hint="eastAsia" w:ascii="仿宋" w:hAnsi="仿宋" w:eastAsia="仿宋" w:cs="仿宋"/>
          <w:color w:val="auto"/>
          <w:sz w:val="24"/>
        </w:rPr>
        <w:tab/>
      </w:r>
      <w:r>
        <w:rPr>
          <w:rFonts w:hint="eastAsia" w:ascii="仿宋" w:hAnsi="仿宋" w:eastAsia="仿宋" w:cs="仿宋"/>
          <w:color w:val="auto"/>
          <w:sz w:val="24"/>
        </w:rPr>
        <w:t>在中华人民共和国境内注册，能够独立承担民事责任，有生产或供应能力的本国供应商。</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1.3.2  具备《中华人民共和国政府采购法》第二十二条关于供应商条件的规定，遵守本项目采购人本级和上级财政部门政府采购的有关规定。</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1.3.3   以采购代理机构认可的方式获得了本项目的采购文件。</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1.3.4   符合</w:t>
      </w:r>
      <w:r>
        <w:rPr>
          <w:rFonts w:hint="eastAsia" w:ascii="仿宋" w:hAnsi="仿宋" w:eastAsia="仿宋" w:cs="仿宋"/>
          <w:color w:val="auto"/>
          <w:sz w:val="24"/>
          <w:u w:val="single"/>
        </w:rPr>
        <w:t>供应商须知资料表</w:t>
      </w:r>
      <w:r>
        <w:rPr>
          <w:rFonts w:hint="eastAsia" w:ascii="仿宋" w:hAnsi="仿宋" w:eastAsia="仿宋" w:cs="仿宋"/>
          <w:color w:val="auto"/>
          <w:sz w:val="24"/>
        </w:rPr>
        <w:t>中规定的其他要求。</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1.3.5   若</w:t>
      </w:r>
      <w:r>
        <w:rPr>
          <w:rFonts w:hint="eastAsia" w:ascii="仿宋" w:hAnsi="仿宋" w:eastAsia="仿宋" w:cs="仿宋"/>
          <w:color w:val="auto"/>
          <w:sz w:val="24"/>
          <w:u w:val="single"/>
        </w:rPr>
        <w:t>供应商须知资料表</w:t>
      </w:r>
      <w:r>
        <w:rPr>
          <w:rFonts w:hint="eastAsia" w:ascii="仿宋" w:hAnsi="仿宋" w:eastAsia="仿宋" w:cs="仿宋"/>
          <w:color w:val="auto"/>
          <w:sz w:val="24"/>
        </w:rPr>
        <w:t>中写明专门面向中小企业采购的，如供应商为非中小企业，其投标将被认定为投标无效。</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1.4     如</w:t>
      </w:r>
      <w:r>
        <w:rPr>
          <w:rFonts w:hint="eastAsia" w:ascii="仿宋" w:hAnsi="仿宋" w:eastAsia="仿宋" w:cs="仿宋"/>
          <w:color w:val="auto"/>
          <w:sz w:val="24"/>
          <w:u w:val="single"/>
        </w:rPr>
        <w:t>供应商须知资料表</w:t>
      </w:r>
      <w:r>
        <w:rPr>
          <w:rFonts w:hint="eastAsia" w:ascii="仿宋" w:hAnsi="仿宋" w:eastAsia="仿宋" w:cs="仿宋"/>
          <w:color w:val="auto"/>
          <w:sz w:val="24"/>
        </w:rPr>
        <w:t>中允许联合体投标，对联合体规定如下：</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1.4.1   两个以上供应商可以组成一个投标联合体，以一个供应商的身份投标。</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1.4.2   联合体各方均应符合《中华人民共和国政府采购法》第二十二条规定的条件。</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1.4.3   采购人根据采购项目对供应商的特殊要求，联合体中至少应当有一方符合相关规定。</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1.4.4   联合体各方应签订共同投标协议，明确约定联合体各方承担的工作和相应的责任，并将共同投标协议连同投标文件一并提交招标采购单位。</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1.4.5   大中型企业、其他自然人、法人或者非法人组织与小型、微型企业组成联合体共同参加投标，共同投标协议中应写明小型、微型企业的协议合同金额占到共同投标协议投标总金额的比例。</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1.4.6  联合体中有同类资质的供应商按照联合体分工承担相同工作的，按照资质等级较低的供应商确定资质等级。</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1.4.7  以联合体形式参加政府采购活动的，联合体各方不得再单独参加或者与其他供应商另外组成联合体参加本项目投标，否则相关投标将被认定为</w:t>
      </w:r>
      <w:r>
        <w:rPr>
          <w:rFonts w:hint="eastAsia" w:ascii="仿宋" w:hAnsi="仿宋" w:eastAsia="仿宋" w:cs="仿宋"/>
          <w:b/>
          <w:bCs/>
          <w:color w:val="auto"/>
          <w:sz w:val="24"/>
        </w:rPr>
        <w:t>投标无效</w:t>
      </w:r>
      <w:r>
        <w:rPr>
          <w:rFonts w:hint="eastAsia" w:ascii="仿宋" w:hAnsi="仿宋" w:eastAsia="仿宋" w:cs="仿宋"/>
          <w:color w:val="auto"/>
          <w:sz w:val="24"/>
        </w:rPr>
        <w:t>。</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1.4.8  对联合体投标的其他资格要求见</w:t>
      </w:r>
      <w:r>
        <w:rPr>
          <w:rFonts w:hint="eastAsia" w:ascii="仿宋" w:hAnsi="仿宋" w:eastAsia="仿宋" w:cs="仿宋"/>
          <w:color w:val="auto"/>
          <w:sz w:val="24"/>
          <w:u w:val="single"/>
        </w:rPr>
        <w:t>供应商须知资料表</w:t>
      </w:r>
      <w:r>
        <w:rPr>
          <w:rFonts w:hint="eastAsia" w:ascii="仿宋" w:hAnsi="仿宋" w:eastAsia="仿宋" w:cs="仿宋"/>
          <w:color w:val="auto"/>
          <w:sz w:val="24"/>
        </w:rPr>
        <w:t>。</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1.5    单位负责人为同一人或者存在直接控股、管理关系的不同供应商，其相关投标将被认定为</w:t>
      </w:r>
      <w:r>
        <w:rPr>
          <w:rFonts w:hint="eastAsia" w:ascii="仿宋" w:hAnsi="仿宋" w:eastAsia="仿宋" w:cs="仿宋"/>
          <w:b/>
          <w:bCs/>
          <w:color w:val="auto"/>
          <w:sz w:val="24"/>
        </w:rPr>
        <w:t>投标无效</w:t>
      </w:r>
      <w:r>
        <w:rPr>
          <w:rFonts w:hint="eastAsia" w:ascii="仿宋" w:hAnsi="仿宋" w:eastAsia="仿宋" w:cs="仿宋"/>
          <w:color w:val="auto"/>
          <w:sz w:val="24"/>
        </w:rPr>
        <w:t>。</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1.6</w:t>
      </w:r>
      <w:r>
        <w:rPr>
          <w:rFonts w:hint="eastAsia" w:ascii="仿宋" w:hAnsi="仿宋" w:eastAsia="仿宋" w:cs="仿宋"/>
          <w:color w:val="auto"/>
          <w:sz w:val="24"/>
        </w:rPr>
        <w:tab/>
      </w:r>
      <w:r>
        <w:rPr>
          <w:rFonts w:hint="eastAsia" w:ascii="仿宋" w:hAnsi="仿宋" w:eastAsia="仿宋" w:cs="仿宋"/>
          <w:color w:val="auto"/>
          <w:sz w:val="24"/>
        </w:rPr>
        <w:t>供应商在投标过程中不得向采购人提供或给予影响其正常决策行为的任何有价值物品或服务。一经发现，其投标将被认定为</w:t>
      </w:r>
      <w:r>
        <w:rPr>
          <w:rFonts w:hint="eastAsia" w:ascii="仿宋" w:hAnsi="仿宋" w:eastAsia="仿宋" w:cs="仿宋"/>
          <w:b/>
          <w:bCs/>
          <w:color w:val="auto"/>
          <w:sz w:val="24"/>
        </w:rPr>
        <w:t>投标无效</w:t>
      </w:r>
      <w:r>
        <w:rPr>
          <w:rFonts w:hint="eastAsia" w:ascii="仿宋" w:hAnsi="仿宋" w:eastAsia="仿宋" w:cs="仿宋"/>
          <w:color w:val="auto"/>
          <w:sz w:val="24"/>
        </w:rPr>
        <w:t>。</w:t>
      </w:r>
    </w:p>
    <w:p>
      <w:pPr>
        <w:pStyle w:val="9"/>
        <w:spacing w:before="0" w:after="0" w:line="240" w:lineRule="atLeast"/>
        <w:outlineLvl w:val="1"/>
        <w:rPr>
          <w:rFonts w:ascii="仿宋" w:hAnsi="仿宋" w:eastAsia="仿宋" w:cs="仿宋"/>
          <w:color w:val="auto"/>
          <w:u w:val="none"/>
        </w:rPr>
      </w:pPr>
      <w:bookmarkStart w:id="47" w:name="_Toc518923062"/>
      <w:bookmarkStart w:id="48" w:name="_Toc19784"/>
      <w:bookmarkStart w:id="49" w:name="_Toc25426"/>
      <w:r>
        <w:rPr>
          <w:rFonts w:hint="eastAsia" w:ascii="仿宋" w:hAnsi="仿宋" w:eastAsia="仿宋" w:cs="仿宋"/>
          <w:color w:val="auto"/>
          <w:u w:val="none"/>
        </w:rPr>
        <w:t>2.资金来源</w:t>
      </w:r>
      <w:bookmarkEnd w:id="47"/>
      <w:bookmarkEnd w:id="48"/>
      <w:bookmarkEnd w:id="49"/>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2.1</w:t>
      </w:r>
      <w:r>
        <w:rPr>
          <w:rFonts w:hint="eastAsia" w:ascii="仿宋" w:hAnsi="仿宋" w:eastAsia="仿宋" w:cs="仿宋"/>
          <w:color w:val="auto"/>
          <w:sz w:val="24"/>
        </w:rPr>
        <w:tab/>
      </w:r>
      <w:r>
        <w:rPr>
          <w:rFonts w:hint="eastAsia" w:ascii="仿宋" w:hAnsi="仿宋" w:eastAsia="仿宋" w:cs="仿宋"/>
          <w:color w:val="auto"/>
          <w:sz w:val="24"/>
        </w:rPr>
        <w:t>本项目的采购人已获得足以支付本次招标后所签订的合同项下的资金（包括财政性资金和本项目采购中无法与财政性资金分割的非财政性资金）。</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2.2    项目预算金额和分项或分包最高限价</w:t>
      </w:r>
      <w:r>
        <w:rPr>
          <w:rFonts w:hint="eastAsia" w:ascii="仿宋" w:hAnsi="仿宋" w:eastAsia="仿宋" w:cs="仿宋"/>
          <w:b/>
          <w:bCs/>
          <w:color w:val="auto"/>
          <w:sz w:val="24"/>
          <w:u w:val="single"/>
        </w:rPr>
        <w:t>见供应商须知资料表</w:t>
      </w:r>
      <w:r>
        <w:rPr>
          <w:rFonts w:hint="eastAsia" w:ascii="仿宋" w:hAnsi="仿宋" w:eastAsia="仿宋" w:cs="仿宋"/>
          <w:color w:val="auto"/>
          <w:sz w:val="24"/>
        </w:rPr>
        <w:t>。</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2.3    供应商报价超过采购文件规定的预算金额或者分项、分包最高限价的，其投标将被认定为</w:t>
      </w:r>
      <w:r>
        <w:rPr>
          <w:rFonts w:hint="eastAsia" w:ascii="仿宋" w:hAnsi="仿宋" w:eastAsia="仿宋" w:cs="仿宋"/>
          <w:b/>
          <w:bCs/>
          <w:color w:val="auto"/>
          <w:sz w:val="24"/>
        </w:rPr>
        <w:t>投标无效</w:t>
      </w:r>
      <w:r>
        <w:rPr>
          <w:rFonts w:hint="eastAsia" w:ascii="仿宋" w:hAnsi="仿宋" w:eastAsia="仿宋" w:cs="仿宋"/>
          <w:color w:val="auto"/>
          <w:sz w:val="24"/>
        </w:rPr>
        <w:t>。</w:t>
      </w:r>
    </w:p>
    <w:p>
      <w:pPr>
        <w:pStyle w:val="9"/>
        <w:spacing w:before="0" w:after="0" w:line="240" w:lineRule="atLeast"/>
        <w:outlineLvl w:val="1"/>
        <w:rPr>
          <w:rFonts w:ascii="仿宋" w:hAnsi="仿宋" w:eastAsia="仿宋" w:cs="仿宋"/>
          <w:color w:val="auto"/>
          <w:u w:val="none"/>
        </w:rPr>
      </w:pPr>
      <w:bookmarkStart w:id="50" w:name="_Toc518923063"/>
      <w:bookmarkStart w:id="51" w:name="_Toc8114"/>
      <w:bookmarkStart w:id="52" w:name="_Toc8404"/>
      <w:bookmarkStart w:id="53" w:name="_Toc520356145"/>
      <w:r>
        <w:rPr>
          <w:rFonts w:hint="eastAsia" w:ascii="仿宋" w:hAnsi="仿宋" w:eastAsia="仿宋" w:cs="仿宋"/>
          <w:color w:val="auto"/>
          <w:u w:val="none"/>
        </w:rPr>
        <w:t>3.投标费用</w:t>
      </w:r>
      <w:bookmarkEnd w:id="50"/>
      <w:bookmarkEnd w:id="51"/>
      <w:bookmarkEnd w:id="52"/>
      <w:bookmarkEnd w:id="53"/>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ab/>
      </w:r>
      <w:r>
        <w:rPr>
          <w:rFonts w:hint="eastAsia" w:ascii="仿宋" w:hAnsi="仿宋" w:eastAsia="仿宋" w:cs="仿宋"/>
          <w:color w:val="auto"/>
          <w:sz w:val="24"/>
        </w:rPr>
        <w:t>不论投标的结果如何，供应商应承担所有与准备和参加投标有关的费用。</w:t>
      </w:r>
    </w:p>
    <w:p>
      <w:pPr>
        <w:pStyle w:val="9"/>
        <w:spacing w:before="0" w:after="0" w:line="240" w:lineRule="atLeast"/>
        <w:outlineLvl w:val="1"/>
        <w:rPr>
          <w:rFonts w:ascii="仿宋" w:hAnsi="仿宋" w:eastAsia="仿宋" w:cs="仿宋"/>
          <w:color w:val="auto"/>
          <w:u w:val="none"/>
        </w:rPr>
      </w:pPr>
      <w:bookmarkStart w:id="54" w:name="_Toc24041"/>
      <w:bookmarkStart w:id="55" w:name="_Toc518923064"/>
      <w:bookmarkStart w:id="56" w:name="_Toc7676"/>
      <w:r>
        <w:rPr>
          <w:rFonts w:hint="eastAsia" w:ascii="仿宋" w:hAnsi="仿宋" w:eastAsia="仿宋" w:cs="仿宋"/>
          <w:color w:val="auto"/>
          <w:u w:val="none"/>
        </w:rPr>
        <w:t>4.适用法律</w:t>
      </w:r>
      <w:bookmarkEnd w:id="54"/>
      <w:bookmarkEnd w:id="55"/>
      <w:bookmarkEnd w:id="56"/>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 xml:space="preserve">       本项目采购人、采购代理机构、供应商、评标委员会的相关行为均受《中华人民共和国政府采购法》《中华人民共和国政府采购法实施条例》及本项目本级和上级财政部门政府采购有关规定的约束，其权利受到上述法律法规的保护。</w:t>
      </w:r>
    </w:p>
    <w:p>
      <w:pPr>
        <w:spacing w:line="240" w:lineRule="atLeast"/>
        <w:rPr>
          <w:rFonts w:ascii="仿宋" w:hAnsi="仿宋" w:eastAsia="仿宋" w:cs="仿宋"/>
          <w:color w:val="auto"/>
          <w:sz w:val="24"/>
        </w:rPr>
      </w:pPr>
    </w:p>
    <w:p>
      <w:pPr>
        <w:pStyle w:val="8"/>
        <w:spacing w:before="0" w:line="240" w:lineRule="atLeast"/>
        <w:ind w:left="1080" w:leftChars="257" w:hanging="540"/>
        <w:rPr>
          <w:rFonts w:ascii="仿宋" w:hAnsi="仿宋" w:eastAsia="仿宋" w:cs="仿宋"/>
          <w:color w:val="auto"/>
          <w:sz w:val="28"/>
        </w:rPr>
      </w:pPr>
      <w:bookmarkStart w:id="57" w:name="_Toc518923065"/>
      <w:bookmarkStart w:id="58" w:name="_Toc216582806"/>
      <w:bookmarkStart w:id="59" w:name="_Toc520356146"/>
      <w:bookmarkStart w:id="60" w:name="_Toc23252"/>
      <w:bookmarkStart w:id="61" w:name="_Toc10350"/>
      <w:r>
        <w:rPr>
          <w:rFonts w:hint="eastAsia" w:ascii="仿宋" w:hAnsi="仿宋" w:eastAsia="仿宋" w:cs="仿宋"/>
          <w:color w:val="auto"/>
          <w:sz w:val="28"/>
        </w:rPr>
        <w:t xml:space="preserve">二   </w:t>
      </w:r>
      <w:bookmarkEnd w:id="57"/>
      <w:bookmarkEnd w:id="58"/>
      <w:bookmarkEnd w:id="59"/>
      <w:r>
        <w:rPr>
          <w:rFonts w:hint="eastAsia" w:ascii="仿宋" w:hAnsi="仿宋" w:eastAsia="仿宋" w:cs="仿宋"/>
          <w:color w:val="auto"/>
          <w:sz w:val="28"/>
        </w:rPr>
        <w:t>采购文件</w:t>
      </w:r>
      <w:bookmarkEnd w:id="60"/>
      <w:bookmarkEnd w:id="61"/>
    </w:p>
    <w:p>
      <w:pPr>
        <w:pStyle w:val="11"/>
        <w:rPr>
          <w:rFonts w:ascii="仿宋" w:hAnsi="仿宋" w:eastAsia="仿宋" w:cs="仿宋"/>
          <w:color w:val="auto"/>
        </w:rPr>
      </w:pPr>
    </w:p>
    <w:p>
      <w:pPr>
        <w:pStyle w:val="9"/>
        <w:spacing w:before="0" w:after="0" w:line="240" w:lineRule="atLeast"/>
        <w:outlineLvl w:val="1"/>
        <w:rPr>
          <w:rFonts w:ascii="仿宋" w:hAnsi="仿宋" w:eastAsia="仿宋" w:cs="仿宋"/>
          <w:color w:val="auto"/>
          <w:u w:val="none"/>
        </w:rPr>
      </w:pPr>
      <w:bookmarkStart w:id="62" w:name="_Toc520356147"/>
      <w:bookmarkStart w:id="63" w:name="_Toc23171"/>
      <w:bookmarkStart w:id="64" w:name="_Toc518923066"/>
      <w:bookmarkStart w:id="65" w:name="_Toc30098"/>
      <w:r>
        <w:rPr>
          <w:rFonts w:hint="eastAsia" w:ascii="仿宋" w:hAnsi="仿宋" w:eastAsia="仿宋" w:cs="仿宋"/>
          <w:color w:val="auto"/>
          <w:u w:val="none"/>
        </w:rPr>
        <w:t>5.采购文件构成</w:t>
      </w:r>
      <w:bookmarkEnd w:id="62"/>
      <w:bookmarkEnd w:id="63"/>
      <w:bookmarkEnd w:id="64"/>
      <w:bookmarkEnd w:id="65"/>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5.1</w:t>
      </w:r>
      <w:r>
        <w:rPr>
          <w:rFonts w:hint="eastAsia" w:ascii="仿宋" w:hAnsi="仿宋" w:eastAsia="仿宋" w:cs="仿宋"/>
          <w:color w:val="auto"/>
          <w:sz w:val="24"/>
        </w:rPr>
        <w:tab/>
      </w:r>
      <w:r>
        <w:rPr>
          <w:rFonts w:hint="eastAsia" w:ascii="仿宋" w:hAnsi="仿宋" w:eastAsia="仿宋" w:cs="仿宋"/>
          <w:color w:val="auto"/>
          <w:sz w:val="24"/>
        </w:rPr>
        <w:t>采购文件分为三册共7章，内容如下：</w:t>
      </w:r>
    </w:p>
    <w:p>
      <w:pPr>
        <w:spacing w:line="240" w:lineRule="atLeast"/>
        <w:ind w:left="1079" w:leftChars="428" w:hanging="180" w:hangingChars="75"/>
        <w:rPr>
          <w:rFonts w:ascii="仿宋" w:hAnsi="仿宋" w:eastAsia="仿宋" w:cs="仿宋"/>
          <w:color w:val="auto"/>
          <w:sz w:val="24"/>
        </w:rPr>
      </w:pPr>
      <w:r>
        <w:rPr>
          <w:rFonts w:hint="eastAsia" w:ascii="仿宋" w:hAnsi="仿宋" w:eastAsia="仿宋" w:cs="仿宋"/>
          <w:color w:val="auto"/>
          <w:sz w:val="24"/>
        </w:rPr>
        <w:t xml:space="preserve">第一册 </w:t>
      </w:r>
    </w:p>
    <w:p>
      <w:pPr>
        <w:spacing w:line="240" w:lineRule="atLeast"/>
        <w:ind w:left="1079" w:leftChars="428" w:hanging="180" w:hangingChars="75"/>
        <w:rPr>
          <w:rFonts w:hint="default" w:ascii="仿宋" w:hAnsi="仿宋" w:eastAsia="仿宋" w:cs="仿宋"/>
          <w:color w:val="auto"/>
          <w:sz w:val="24"/>
          <w:lang w:val="en-US" w:eastAsia="zh-CN"/>
        </w:rPr>
      </w:pPr>
      <w:r>
        <w:rPr>
          <w:rFonts w:hint="eastAsia" w:ascii="仿宋" w:hAnsi="仿宋" w:eastAsia="仿宋" w:cs="仿宋"/>
          <w:color w:val="auto"/>
          <w:sz w:val="24"/>
        </w:rPr>
        <w:t xml:space="preserve">第1章  </w:t>
      </w:r>
      <w:r>
        <w:rPr>
          <w:rFonts w:hint="eastAsia" w:ascii="仿宋" w:hAnsi="仿宋" w:eastAsia="仿宋" w:cs="仿宋"/>
          <w:color w:val="auto"/>
          <w:sz w:val="24"/>
          <w:lang w:val="en-US" w:eastAsia="zh-CN"/>
        </w:rPr>
        <w:t>招标公告</w:t>
      </w:r>
    </w:p>
    <w:p>
      <w:pPr>
        <w:spacing w:line="240" w:lineRule="atLeast"/>
        <w:ind w:left="901"/>
        <w:rPr>
          <w:rFonts w:ascii="仿宋" w:hAnsi="仿宋" w:eastAsia="仿宋" w:cs="仿宋"/>
          <w:color w:val="auto"/>
          <w:sz w:val="24"/>
        </w:rPr>
      </w:pPr>
      <w:r>
        <w:rPr>
          <w:rFonts w:hint="eastAsia" w:ascii="仿宋" w:hAnsi="仿宋" w:eastAsia="仿宋" w:cs="仿宋"/>
          <w:color w:val="auto"/>
          <w:sz w:val="24"/>
        </w:rPr>
        <w:t>第2章　供应商须知资料表</w:t>
      </w:r>
    </w:p>
    <w:p>
      <w:pPr>
        <w:spacing w:line="240" w:lineRule="atLeast"/>
        <w:ind w:left="1081" w:leftChars="429" w:hanging="180"/>
        <w:outlineLvl w:val="0"/>
        <w:rPr>
          <w:rFonts w:ascii="仿宋" w:hAnsi="仿宋" w:eastAsia="仿宋" w:cs="仿宋"/>
          <w:color w:val="auto"/>
          <w:sz w:val="24"/>
        </w:rPr>
      </w:pPr>
      <w:bookmarkStart w:id="66" w:name="_Toc2120"/>
      <w:r>
        <w:rPr>
          <w:rFonts w:hint="eastAsia" w:ascii="仿宋" w:hAnsi="仿宋" w:eastAsia="仿宋" w:cs="仿宋"/>
          <w:color w:val="auto"/>
          <w:sz w:val="24"/>
        </w:rPr>
        <w:t>第二册</w:t>
      </w:r>
      <w:bookmarkEnd w:id="66"/>
    </w:p>
    <w:p>
      <w:pPr>
        <w:spacing w:line="240" w:lineRule="atLeast"/>
        <w:ind w:left="901" w:leftChars="429"/>
        <w:rPr>
          <w:rFonts w:ascii="仿宋" w:hAnsi="仿宋" w:eastAsia="仿宋" w:cs="仿宋"/>
          <w:color w:val="auto"/>
          <w:sz w:val="24"/>
        </w:rPr>
      </w:pPr>
      <w:r>
        <w:rPr>
          <w:rFonts w:hint="eastAsia" w:ascii="仿宋" w:hAnsi="仿宋" w:eastAsia="仿宋" w:cs="仿宋"/>
          <w:color w:val="auto"/>
          <w:sz w:val="24"/>
        </w:rPr>
        <w:t xml:space="preserve">第3章 </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供应商须知</w:t>
      </w:r>
    </w:p>
    <w:p>
      <w:pPr>
        <w:spacing w:line="240" w:lineRule="atLeast"/>
        <w:ind w:left="901" w:leftChars="429"/>
        <w:rPr>
          <w:rFonts w:ascii="仿宋" w:hAnsi="仿宋" w:eastAsia="仿宋" w:cs="仿宋"/>
          <w:color w:val="auto"/>
          <w:sz w:val="24"/>
        </w:rPr>
      </w:pPr>
      <w:r>
        <w:rPr>
          <w:rFonts w:hint="eastAsia" w:ascii="仿宋" w:hAnsi="仿宋" w:eastAsia="仿宋" w:cs="仿宋"/>
          <w:color w:val="auto"/>
          <w:sz w:val="24"/>
        </w:rPr>
        <w:t>第4章  投标文件格式</w:t>
      </w:r>
    </w:p>
    <w:p>
      <w:pPr>
        <w:spacing w:line="240" w:lineRule="atLeast"/>
        <w:ind w:left="901" w:leftChars="429"/>
        <w:rPr>
          <w:rFonts w:ascii="仿宋" w:hAnsi="仿宋" w:eastAsia="仿宋" w:cs="仿宋"/>
          <w:color w:val="auto"/>
          <w:sz w:val="24"/>
        </w:rPr>
      </w:pPr>
      <w:r>
        <w:rPr>
          <w:rFonts w:hint="eastAsia" w:ascii="仿宋" w:hAnsi="仿宋" w:eastAsia="仿宋" w:cs="仿宋"/>
          <w:color w:val="auto"/>
          <w:sz w:val="24"/>
        </w:rPr>
        <w:t>第5章  采购需求</w:t>
      </w:r>
    </w:p>
    <w:p>
      <w:pPr>
        <w:spacing w:line="240" w:lineRule="atLeast"/>
        <w:ind w:left="901" w:leftChars="429"/>
        <w:rPr>
          <w:rFonts w:ascii="仿宋" w:hAnsi="仿宋" w:eastAsia="仿宋" w:cs="仿宋"/>
          <w:color w:val="auto"/>
          <w:sz w:val="24"/>
        </w:rPr>
      </w:pPr>
      <w:r>
        <w:rPr>
          <w:rFonts w:hint="eastAsia" w:ascii="仿宋" w:hAnsi="仿宋" w:eastAsia="仿宋" w:cs="仿宋"/>
          <w:color w:val="auto"/>
          <w:sz w:val="24"/>
        </w:rPr>
        <w:t>第6章  评标方法和标准</w:t>
      </w:r>
    </w:p>
    <w:p>
      <w:pPr>
        <w:spacing w:line="240" w:lineRule="atLeast"/>
        <w:ind w:left="901"/>
        <w:rPr>
          <w:rFonts w:ascii="仿宋" w:hAnsi="仿宋" w:eastAsia="仿宋" w:cs="仿宋"/>
          <w:color w:val="auto"/>
          <w:sz w:val="24"/>
        </w:rPr>
      </w:pPr>
      <w:r>
        <w:rPr>
          <w:rFonts w:hint="eastAsia" w:ascii="仿宋" w:hAnsi="仿宋" w:eastAsia="仿宋" w:cs="仿宋"/>
          <w:color w:val="auto"/>
          <w:sz w:val="24"/>
        </w:rPr>
        <w:t>第三册</w:t>
      </w:r>
    </w:p>
    <w:p>
      <w:pPr>
        <w:spacing w:line="240" w:lineRule="atLeast"/>
        <w:ind w:left="901" w:leftChars="429"/>
        <w:outlineLvl w:val="0"/>
        <w:rPr>
          <w:rFonts w:ascii="仿宋" w:hAnsi="仿宋" w:eastAsia="仿宋" w:cs="仿宋"/>
          <w:color w:val="auto"/>
          <w:sz w:val="24"/>
        </w:rPr>
      </w:pPr>
      <w:bookmarkStart w:id="67" w:name="_Toc8446"/>
      <w:r>
        <w:rPr>
          <w:rFonts w:hint="eastAsia" w:ascii="仿宋" w:hAnsi="仿宋" w:eastAsia="仿宋" w:cs="仿宋"/>
          <w:color w:val="auto"/>
          <w:sz w:val="24"/>
        </w:rPr>
        <w:t>第7章  政府采购合同</w:t>
      </w:r>
      <w:bookmarkEnd w:id="67"/>
    </w:p>
    <w:p>
      <w:pPr>
        <w:spacing w:line="240" w:lineRule="atLeast"/>
        <w:outlineLvl w:val="1"/>
        <w:rPr>
          <w:rFonts w:ascii="仿宋" w:hAnsi="仿宋" w:eastAsia="仿宋" w:cs="仿宋"/>
          <w:color w:val="auto"/>
          <w:sz w:val="24"/>
        </w:rPr>
      </w:pPr>
      <w:bookmarkStart w:id="68" w:name="_Toc14148"/>
      <w:r>
        <w:rPr>
          <w:rFonts w:hint="eastAsia" w:ascii="仿宋" w:hAnsi="仿宋" w:eastAsia="仿宋" w:cs="仿宋"/>
          <w:color w:val="auto"/>
          <w:sz w:val="24"/>
        </w:rPr>
        <w:t>5.2</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如本文件的前后内容不一致，以最后描述为准。</w:t>
      </w:r>
      <w:bookmarkEnd w:id="68"/>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5.3    供应商应认真阅读采购文件所有的事项、格式、条款和技术规范等。如供应商没有按照采购文件要求提交全部资料，或者投标文件没有对采购文件在各方面都做出实质性响应，可能导致其投标被认定为</w:t>
      </w:r>
      <w:r>
        <w:rPr>
          <w:rFonts w:hint="eastAsia" w:ascii="仿宋" w:hAnsi="仿宋" w:eastAsia="仿宋" w:cs="仿宋"/>
          <w:b/>
          <w:bCs/>
          <w:color w:val="auto"/>
          <w:sz w:val="24"/>
        </w:rPr>
        <w:t>投标无效</w:t>
      </w:r>
      <w:r>
        <w:rPr>
          <w:rFonts w:hint="eastAsia" w:ascii="仿宋" w:hAnsi="仿宋" w:eastAsia="仿宋" w:cs="仿宋"/>
          <w:color w:val="auto"/>
          <w:sz w:val="24"/>
        </w:rPr>
        <w:t>。</w:t>
      </w:r>
    </w:p>
    <w:p>
      <w:pPr>
        <w:pStyle w:val="9"/>
        <w:spacing w:before="0" w:after="0" w:line="240" w:lineRule="atLeast"/>
        <w:rPr>
          <w:rFonts w:ascii="仿宋" w:hAnsi="仿宋" w:eastAsia="仿宋" w:cs="仿宋"/>
          <w:b w:val="0"/>
          <w:color w:val="auto"/>
          <w:u w:val="none"/>
        </w:rPr>
      </w:pPr>
      <w:bookmarkStart w:id="69" w:name="_Toc520356148"/>
      <w:bookmarkStart w:id="70" w:name="_Toc518923067"/>
      <w:bookmarkStart w:id="71" w:name="_Toc2673"/>
      <w:r>
        <w:rPr>
          <w:rFonts w:hint="eastAsia" w:ascii="仿宋" w:hAnsi="仿宋" w:eastAsia="仿宋" w:cs="仿宋"/>
          <w:color w:val="auto"/>
          <w:u w:val="none"/>
        </w:rPr>
        <w:t>6.采购文件的澄清</w:t>
      </w:r>
      <w:bookmarkEnd w:id="69"/>
      <w:r>
        <w:rPr>
          <w:rFonts w:hint="eastAsia" w:ascii="仿宋" w:hAnsi="仿宋" w:eastAsia="仿宋" w:cs="仿宋"/>
          <w:color w:val="auto"/>
          <w:u w:val="none"/>
        </w:rPr>
        <w:t>与修改</w:t>
      </w:r>
      <w:bookmarkEnd w:id="70"/>
      <w:bookmarkEnd w:id="71"/>
    </w:p>
    <w:p>
      <w:pPr>
        <w:pStyle w:val="11"/>
        <w:ind w:left="840" w:hanging="840" w:hangingChars="350"/>
        <w:rPr>
          <w:rFonts w:ascii="仿宋" w:hAnsi="仿宋" w:eastAsia="仿宋" w:cs="仿宋"/>
          <w:color w:val="auto"/>
          <w:szCs w:val="24"/>
        </w:rPr>
      </w:pPr>
      <w:r>
        <w:rPr>
          <w:rFonts w:hint="eastAsia" w:ascii="仿宋" w:hAnsi="仿宋" w:eastAsia="仿宋" w:cs="仿宋"/>
          <w:color w:val="auto"/>
          <w:szCs w:val="24"/>
        </w:rPr>
        <w:t>6.1    为了保证对采购文件的澄清和修改满足法律的时限要求，任何要求对采购文件进行澄清的供应商，均应在投标截止期十五日前，以书面形式将澄清要求通知采购人或采购代理机构。</w:t>
      </w:r>
    </w:p>
    <w:p>
      <w:pPr>
        <w:pStyle w:val="11"/>
        <w:ind w:left="840" w:hanging="840" w:hangingChars="350"/>
        <w:rPr>
          <w:rFonts w:ascii="仿宋" w:hAnsi="仿宋" w:eastAsia="仿宋" w:cs="仿宋"/>
          <w:color w:val="auto"/>
          <w:szCs w:val="24"/>
        </w:rPr>
      </w:pPr>
      <w:bookmarkStart w:id="72" w:name="_Toc520356149"/>
      <w:bookmarkStart w:id="73" w:name="_Ref467378678"/>
      <w:r>
        <w:rPr>
          <w:rFonts w:hint="eastAsia" w:ascii="仿宋" w:hAnsi="仿宋" w:eastAsia="仿宋" w:cs="仿宋"/>
          <w:color w:val="auto"/>
          <w:szCs w:val="24"/>
        </w:rPr>
        <w:t>6.2</w:t>
      </w:r>
      <w:r>
        <w:rPr>
          <w:rFonts w:hint="eastAsia" w:ascii="仿宋" w:hAnsi="仿宋" w:eastAsia="仿宋" w:cs="仿宋"/>
          <w:color w:val="auto"/>
          <w:szCs w:val="24"/>
        </w:rPr>
        <w:tab/>
      </w:r>
      <w:r>
        <w:rPr>
          <w:rFonts w:hint="eastAsia" w:ascii="仿宋" w:hAnsi="仿宋" w:eastAsia="仿宋" w:cs="仿宋"/>
          <w:color w:val="auto"/>
          <w:szCs w:val="24"/>
        </w:rPr>
        <w:t>采购人可主动地或在解答供应商提出的澄清问题时对采购文件澄清或修改。采购代理机构将以发布澄清（更正）公告的方式，澄清或修改采购文件，澄清或修改内容作为采购文件的组成部分。</w:t>
      </w:r>
    </w:p>
    <w:p>
      <w:pPr>
        <w:pStyle w:val="11"/>
        <w:ind w:left="840" w:hanging="840" w:hangingChars="350"/>
        <w:rPr>
          <w:rFonts w:ascii="仿宋" w:hAnsi="仿宋" w:eastAsia="仿宋" w:cs="仿宋"/>
          <w:color w:val="auto"/>
          <w:szCs w:val="24"/>
        </w:rPr>
      </w:pPr>
      <w:r>
        <w:rPr>
          <w:rFonts w:hint="eastAsia" w:ascii="仿宋" w:hAnsi="仿宋" w:eastAsia="仿宋" w:cs="仿宋"/>
          <w:color w:val="auto"/>
          <w:szCs w:val="24"/>
        </w:rPr>
        <w:t>6.3</w:t>
      </w:r>
      <w:r>
        <w:rPr>
          <w:rFonts w:hint="eastAsia" w:ascii="仿宋" w:hAnsi="仿宋" w:eastAsia="仿宋" w:cs="仿宋"/>
          <w:color w:val="auto"/>
          <w:szCs w:val="24"/>
        </w:rPr>
        <w:tab/>
      </w:r>
      <w:r>
        <w:rPr>
          <w:rFonts w:hint="eastAsia" w:ascii="仿宋" w:hAnsi="仿宋" w:eastAsia="仿宋" w:cs="仿宋"/>
          <w:color w:val="auto"/>
          <w:szCs w:val="24"/>
        </w:rPr>
        <w:t>澄清或者修改的内容可能影响投标文件编制的，采购代理机构将以发布澄清（更正）公告的方式告知所有潜在供应商，并对其具有约束力。</w:t>
      </w:r>
    </w:p>
    <w:p>
      <w:pPr>
        <w:pStyle w:val="9"/>
        <w:tabs>
          <w:tab w:val="left" w:pos="900"/>
        </w:tabs>
        <w:spacing w:before="0" w:after="0" w:line="240" w:lineRule="atLeast"/>
        <w:rPr>
          <w:rFonts w:ascii="仿宋" w:hAnsi="仿宋" w:eastAsia="仿宋" w:cs="仿宋"/>
          <w:color w:val="auto"/>
          <w:u w:val="none"/>
        </w:rPr>
      </w:pPr>
      <w:bookmarkStart w:id="74" w:name="_Toc518923068"/>
      <w:bookmarkStart w:id="75" w:name="_Toc14547"/>
      <w:r>
        <w:rPr>
          <w:rFonts w:hint="eastAsia" w:ascii="仿宋" w:hAnsi="仿宋" w:eastAsia="仿宋" w:cs="仿宋"/>
          <w:color w:val="auto"/>
          <w:u w:val="none"/>
        </w:rPr>
        <w:t>7</w:t>
      </w:r>
      <w:bookmarkEnd w:id="72"/>
      <w:bookmarkEnd w:id="73"/>
      <w:r>
        <w:rPr>
          <w:rFonts w:hint="eastAsia" w:ascii="仿宋" w:hAnsi="仿宋" w:eastAsia="仿宋" w:cs="仿宋"/>
          <w:color w:val="auto"/>
          <w:u w:val="none"/>
        </w:rPr>
        <w:t>.投标截止时间的顺延</w:t>
      </w:r>
      <w:bookmarkEnd w:id="74"/>
      <w:bookmarkEnd w:id="75"/>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ab/>
      </w:r>
      <w:r>
        <w:rPr>
          <w:rFonts w:hint="eastAsia" w:ascii="仿宋" w:hAnsi="仿宋" w:eastAsia="仿宋" w:cs="仿宋"/>
          <w:color w:val="auto"/>
          <w:sz w:val="24"/>
        </w:rPr>
        <w:t>为使供应商准备投标时有足够的时间对采购文件的澄清或者修改部分进行研究，采购人将依法决定是否顺延投标截止时间。</w:t>
      </w:r>
    </w:p>
    <w:p>
      <w:pPr>
        <w:spacing w:line="240" w:lineRule="atLeast"/>
        <w:ind w:left="900" w:hanging="900" w:hangingChars="375"/>
        <w:rPr>
          <w:rFonts w:ascii="仿宋" w:hAnsi="仿宋" w:eastAsia="仿宋" w:cs="仿宋"/>
          <w:color w:val="auto"/>
          <w:sz w:val="24"/>
        </w:rPr>
      </w:pPr>
    </w:p>
    <w:p>
      <w:pPr>
        <w:pStyle w:val="8"/>
        <w:tabs>
          <w:tab w:val="left" w:pos="900"/>
        </w:tabs>
        <w:spacing w:before="0" w:line="240" w:lineRule="atLeast"/>
        <w:ind w:left="1080" w:leftChars="257" w:hanging="540"/>
        <w:rPr>
          <w:rFonts w:ascii="仿宋" w:hAnsi="仿宋" w:eastAsia="仿宋" w:cs="仿宋"/>
          <w:color w:val="auto"/>
          <w:sz w:val="28"/>
        </w:rPr>
      </w:pPr>
      <w:bookmarkStart w:id="76" w:name="_Toc516367020"/>
      <w:bookmarkStart w:id="77" w:name="_Toc518923069"/>
      <w:bookmarkStart w:id="78" w:name="_Toc6762"/>
      <w:bookmarkStart w:id="79" w:name="_Toc286"/>
      <w:bookmarkStart w:id="80" w:name="_Toc216582807"/>
      <w:bookmarkStart w:id="81" w:name="_Toc520356150"/>
      <w:r>
        <w:rPr>
          <w:rFonts w:hint="eastAsia" w:ascii="仿宋" w:hAnsi="仿宋" w:eastAsia="仿宋" w:cs="仿宋"/>
          <w:color w:val="auto"/>
          <w:sz w:val="28"/>
        </w:rPr>
        <w:t>三   投标文件</w:t>
      </w:r>
      <w:bookmarkEnd w:id="76"/>
      <w:r>
        <w:rPr>
          <w:rFonts w:hint="eastAsia" w:ascii="仿宋" w:hAnsi="仿宋" w:eastAsia="仿宋" w:cs="仿宋"/>
          <w:color w:val="auto"/>
          <w:sz w:val="28"/>
        </w:rPr>
        <w:t>的编制</w:t>
      </w:r>
      <w:bookmarkEnd w:id="77"/>
      <w:bookmarkEnd w:id="78"/>
      <w:bookmarkEnd w:id="79"/>
      <w:bookmarkEnd w:id="80"/>
      <w:bookmarkEnd w:id="81"/>
    </w:p>
    <w:p>
      <w:pPr>
        <w:pStyle w:val="11"/>
        <w:rPr>
          <w:rFonts w:ascii="仿宋" w:hAnsi="仿宋" w:eastAsia="仿宋" w:cs="仿宋"/>
          <w:color w:val="auto"/>
        </w:rPr>
      </w:pPr>
    </w:p>
    <w:p>
      <w:pPr>
        <w:pStyle w:val="9"/>
        <w:tabs>
          <w:tab w:val="left" w:pos="900"/>
        </w:tabs>
        <w:spacing w:before="0" w:after="0" w:line="240" w:lineRule="atLeast"/>
        <w:rPr>
          <w:rFonts w:ascii="仿宋" w:hAnsi="仿宋" w:eastAsia="仿宋" w:cs="仿宋"/>
          <w:color w:val="auto"/>
          <w:u w:val="none"/>
        </w:rPr>
      </w:pPr>
      <w:bookmarkStart w:id="82" w:name="_Toc17437"/>
      <w:bookmarkStart w:id="83" w:name="_Toc516367021"/>
      <w:bookmarkStart w:id="84" w:name="_Toc518923070"/>
      <w:bookmarkStart w:id="85" w:name="_Toc520356151"/>
      <w:r>
        <w:rPr>
          <w:rFonts w:hint="eastAsia" w:ascii="仿宋" w:hAnsi="仿宋" w:eastAsia="仿宋" w:cs="仿宋"/>
          <w:color w:val="auto"/>
          <w:u w:val="none"/>
        </w:rPr>
        <w:t>8.投标范围及投标文件中标准和计量单位的使用</w:t>
      </w:r>
      <w:bookmarkEnd w:id="82"/>
      <w:bookmarkEnd w:id="83"/>
      <w:bookmarkEnd w:id="84"/>
      <w:bookmarkEnd w:id="85"/>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8.1</w:t>
      </w:r>
      <w:r>
        <w:rPr>
          <w:rFonts w:hint="eastAsia" w:ascii="仿宋" w:hAnsi="仿宋" w:eastAsia="仿宋" w:cs="仿宋"/>
          <w:color w:val="auto"/>
          <w:sz w:val="24"/>
        </w:rPr>
        <w:tab/>
      </w:r>
      <w:r>
        <w:rPr>
          <w:rFonts w:hint="eastAsia" w:ascii="仿宋" w:hAnsi="仿宋" w:eastAsia="仿宋" w:cs="仿宋"/>
          <w:color w:val="auto"/>
          <w:sz w:val="24"/>
        </w:rPr>
        <w:t>项目有分包的，供应商可对采购文件其中一个或几个分包进行投标，除非在</w:t>
      </w:r>
      <w:r>
        <w:rPr>
          <w:rFonts w:hint="eastAsia" w:ascii="仿宋" w:hAnsi="仿宋" w:eastAsia="仿宋" w:cs="仿宋"/>
          <w:color w:val="auto"/>
          <w:sz w:val="24"/>
          <w:u w:val="single"/>
        </w:rPr>
        <w:t>供应商须知资料表</w:t>
      </w:r>
      <w:r>
        <w:rPr>
          <w:rFonts w:hint="eastAsia" w:ascii="仿宋" w:hAnsi="仿宋" w:eastAsia="仿宋" w:cs="仿宋"/>
          <w:color w:val="auto"/>
          <w:sz w:val="24"/>
        </w:rPr>
        <w:t>中另有规定。</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8.2    供应商应当对所投分包采购文件中“采购需求”所列的所有服务内容进行投标，如仅响应分包中的部分内容，其投标将被认定为</w:t>
      </w:r>
      <w:r>
        <w:rPr>
          <w:rFonts w:hint="eastAsia" w:ascii="仿宋" w:hAnsi="仿宋" w:eastAsia="仿宋" w:cs="仿宋"/>
          <w:b/>
          <w:bCs/>
          <w:color w:val="auto"/>
          <w:sz w:val="24"/>
        </w:rPr>
        <w:t>投标无效</w:t>
      </w:r>
      <w:r>
        <w:rPr>
          <w:rFonts w:hint="eastAsia" w:ascii="仿宋" w:hAnsi="仿宋" w:eastAsia="仿宋" w:cs="仿宋"/>
          <w:color w:val="auto"/>
          <w:sz w:val="24"/>
        </w:rPr>
        <w:t>。</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8.3     无论采购文件第5章采购需求中是否要求，供应商所投服务均应符合国家强制性标准。</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8.4     除采购文件中有特殊要求外，投标文件中所使用的计量单位，应采用中华人民共和国法定计量单位。</w:t>
      </w:r>
    </w:p>
    <w:p>
      <w:pPr>
        <w:pStyle w:val="9"/>
        <w:tabs>
          <w:tab w:val="left" w:pos="900"/>
        </w:tabs>
        <w:spacing w:before="0" w:after="0" w:line="240" w:lineRule="atLeast"/>
        <w:rPr>
          <w:rFonts w:ascii="仿宋" w:hAnsi="仿宋" w:eastAsia="仿宋" w:cs="仿宋"/>
          <w:color w:val="auto"/>
          <w:u w:val="none"/>
        </w:rPr>
      </w:pPr>
      <w:bookmarkStart w:id="86" w:name="_Ref467306195"/>
      <w:bookmarkStart w:id="87" w:name="_Toc516367022"/>
      <w:bookmarkStart w:id="88" w:name="_Ref467306676"/>
      <w:bookmarkStart w:id="89" w:name="_Toc518923071"/>
      <w:bookmarkStart w:id="90" w:name="_Toc520356152"/>
      <w:bookmarkStart w:id="91" w:name="_Toc9452"/>
      <w:r>
        <w:rPr>
          <w:rFonts w:hint="eastAsia" w:ascii="仿宋" w:hAnsi="仿宋" w:eastAsia="仿宋" w:cs="仿宋"/>
          <w:color w:val="auto"/>
          <w:u w:val="none"/>
        </w:rPr>
        <w:t>9.投标文件</w:t>
      </w:r>
      <w:bookmarkEnd w:id="86"/>
      <w:bookmarkEnd w:id="87"/>
      <w:bookmarkEnd w:id="88"/>
      <w:r>
        <w:rPr>
          <w:rFonts w:hint="eastAsia" w:ascii="仿宋" w:hAnsi="仿宋" w:eastAsia="仿宋" w:cs="仿宋"/>
          <w:color w:val="auto"/>
          <w:u w:val="none"/>
        </w:rPr>
        <w:t>构成</w:t>
      </w:r>
      <w:bookmarkEnd w:id="89"/>
      <w:bookmarkEnd w:id="90"/>
      <w:bookmarkEnd w:id="91"/>
    </w:p>
    <w:p>
      <w:pPr>
        <w:tabs>
          <w:tab w:val="left" w:pos="900"/>
          <w:tab w:val="left" w:pos="5580"/>
        </w:tabs>
        <w:spacing w:line="240" w:lineRule="atLeast"/>
        <w:ind w:left="960" w:hanging="960" w:hangingChars="400"/>
        <w:jc w:val="left"/>
        <w:rPr>
          <w:rFonts w:ascii="仿宋" w:hAnsi="仿宋" w:eastAsia="仿宋" w:cs="仿宋"/>
          <w:color w:val="auto"/>
          <w:sz w:val="24"/>
          <w:u w:val="single"/>
        </w:rPr>
      </w:pPr>
      <w:bookmarkStart w:id="92" w:name="_Ref467052588"/>
      <w:r>
        <w:rPr>
          <w:rFonts w:hint="eastAsia" w:ascii="仿宋" w:hAnsi="仿宋" w:eastAsia="仿宋" w:cs="仿宋"/>
          <w:color w:val="auto"/>
          <w:sz w:val="24"/>
        </w:rPr>
        <w:t xml:space="preserve">9.1    </w:t>
      </w:r>
      <w:r>
        <w:rPr>
          <w:rFonts w:hint="eastAsia" w:ascii="仿宋" w:hAnsi="仿宋" w:eastAsia="仿宋" w:cs="仿宋"/>
          <w:color w:val="auto"/>
          <w:sz w:val="24"/>
          <w:u w:val="single"/>
        </w:rPr>
        <w:t xml:space="preserve"> </w:t>
      </w:r>
      <w:r>
        <w:rPr>
          <w:rFonts w:hint="eastAsia" w:ascii="仿宋" w:hAnsi="仿宋" w:eastAsia="仿宋" w:cs="仿宋"/>
          <w:b/>
          <w:bCs/>
          <w:color w:val="auto"/>
          <w:sz w:val="24"/>
          <w:u w:val="single"/>
        </w:rPr>
        <w:t>供应商应完整地按采购文件提供的投标文件格式及要求编写投标文件，投标文件应包括</w:t>
      </w:r>
      <w:bookmarkEnd w:id="92"/>
      <w:r>
        <w:rPr>
          <w:rFonts w:hint="eastAsia" w:ascii="仿宋" w:hAnsi="仿宋" w:eastAsia="仿宋" w:cs="仿宋"/>
          <w:b/>
          <w:bCs/>
          <w:color w:val="auto"/>
          <w:sz w:val="24"/>
          <w:u w:val="single"/>
        </w:rPr>
        <w:t>“报价单”、“商务资信投标文件”和“技术投标方案”三部分。</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9.2    上述文件应按照采购文件规定的格式填写、签署和盖章。若供应商未依照要求制作投标文件的，则视为不响应采购文件编制投标文件的要求，</w:t>
      </w:r>
      <w:r>
        <w:rPr>
          <w:rFonts w:hint="eastAsia" w:ascii="仿宋" w:hAnsi="仿宋" w:eastAsia="仿宋" w:cs="仿宋"/>
          <w:b/>
          <w:bCs/>
          <w:color w:val="auto"/>
          <w:sz w:val="24"/>
        </w:rPr>
        <w:t>为无效投标。</w:t>
      </w:r>
    </w:p>
    <w:p>
      <w:pPr>
        <w:pStyle w:val="9"/>
        <w:tabs>
          <w:tab w:val="left" w:pos="900"/>
        </w:tabs>
        <w:spacing w:before="0" w:after="0" w:line="240" w:lineRule="atLeast"/>
        <w:rPr>
          <w:rFonts w:ascii="仿宋" w:hAnsi="仿宋" w:eastAsia="仿宋" w:cs="仿宋"/>
          <w:bCs/>
          <w:color w:val="auto"/>
          <w:kern w:val="2"/>
          <w:szCs w:val="24"/>
          <w:u w:val="none"/>
        </w:rPr>
      </w:pPr>
      <w:bookmarkStart w:id="93" w:name="_Toc508185920"/>
      <w:bookmarkStart w:id="94" w:name="_Toc520356153"/>
      <w:bookmarkStart w:id="95" w:name="_Toc518923072"/>
      <w:bookmarkStart w:id="96" w:name="_Toc516367023"/>
      <w:bookmarkStart w:id="97" w:name="_Toc19654"/>
      <w:bookmarkStart w:id="98" w:name="_Toc520356155"/>
      <w:r>
        <w:rPr>
          <w:rFonts w:hint="eastAsia" w:ascii="仿宋" w:hAnsi="仿宋" w:eastAsia="仿宋" w:cs="仿宋"/>
          <w:color w:val="auto"/>
          <w:u w:val="none"/>
        </w:rPr>
        <w:t>10.</w:t>
      </w:r>
      <w:bookmarkEnd w:id="93"/>
      <w:bookmarkEnd w:id="94"/>
      <w:bookmarkEnd w:id="95"/>
      <w:bookmarkEnd w:id="96"/>
      <w:r>
        <w:rPr>
          <w:rFonts w:hint="eastAsia" w:ascii="仿宋" w:hAnsi="仿宋" w:eastAsia="仿宋" w:cs="仿宋"/>
          <w:bCs/>
          <w:color w:val="auto"/>
          <w:kern w:val="2"/>
          <w:szCs w:val="24"/>
          <w:u w:val="none"/>
        </w:rPr>
        <w:t>证明投标标的的合格性和符合采购文件规定的技术文件</w:t>
      </w:r>
      <w:bookmarkEnd w:id="97"/>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10.1</w:t>
      </w:r>
      <w:r>
        <w:rPr>
          <w:rFonts w:hint="eastAsia" w:ascii="仿宋" w:hAnsi="仿宋" w:eastAsia="仿宋" w:cs="仿宋"/>
          <w:color w:val="auto"/>
          <w:sz w:val="24"/>
        </w:rPr>
        <w:tab/>
      </w:r>
      <w:r>
        <w:rPr>
          <w:rFonts w:hint="eastAsia" w:ascii="仿宋" w:hAnsi="仿宋" w:eastAsia="仿宋" w:cs="仿宋"/>
          <w:color w:val="auto"/>
          <w:sz w:val="24"/>
        </w:rPr>
        <w:t>供应商应提交证明文件，证明其投标内容符合采购文件规定。该证明文件是投标文件的一部分。</w:t>
      </w:r>
    </w:p>
    <w:p>
      <w:pPr>
        <w:spacing w:line="240" w:lineRule="atLeast"/>
        <w:ind w:left="900" w:hanging="900" w:hangingChars="375"/>
        <w:outlineLvl w:val="1"/>
        <w:rPr>
          <w:rFonts w:ascii="仿宋" w:hAnsi="仿宋" w:eastAsia="仿宋" w:cs="仿宋"/>
          <w:color w:val="auto"/>
          <w:sz w:val="24"/>
        </w:rPr>
      </w:pPr>
      <w:bookmarkStart w:id="99" w:name="_Ref467306244"/>
      <w:bookmarkStart w:id="100" w:name="_Toc27009"/>
      <w:r>
        <w:rPr>
          <w:rFonts w:hint="eastAsia" w:ascii="仿宋" w:hAnsi="仿宋" w:eastAsia="仿宋" w:cs="仿宋"/>
          <w:color w:val="auto"/>
          <w:sz w:val="24"/>
        </w:rPr>
        <w:t>10.2</w:t>
      </w:r>
      <w:r>
        <w:rPr>
          <w:rFonts w:hint="eastAsia" w:ascii="仿宋" w:hAnsi="仿宋" w:eastAsia="仿宋" w:cs="仿宋"/>
          <w:color w:val="auto"/>
          <w:sz w:val="24"/>
        </w:rPr>
        <w:tab/>
      </w:r>
      <w:r>
        <w:rPr>
          <w:rFonts w:hint="eastAsia" w:ascii="仿宋" w:hAnsi="仿宋" w:eastAsia="仿宋" w:cs="仿宋"/>
          <w:color w:val="auto"/>
          <w:sz w:val="24"/>
        </w:rPr>
        <w:t>上款所述的证明文件，可以是文字资料、图纸和数据</w:t>
      </w:r>
      <w:bookmarkEnd w:id="99"/>
      <w:r>
        <w:rPr>
          <w:rFonts w:hint="eastAsia" w:ascii="仿宋" w:hAnsi="仿宋" w:eastAsia="仿宋" w:cs="仿宋"/>
          <w:color w:val="auto"/>
          <w:sz w:val="24"/>
        </w:rPr>
        <w:t>。</w:t>
      </w:r>
      <w:bookmarkEnd w:id="100"/>
    </w:p>
    <w:p>
      <w:pPr>
        <w:pStyle w:val="9"/>
        <w:spacing w:before="0" w:after="0" w:line="240" w:lineRule="atLeast"/>
        <w:rPr>
          <w:rFonts w:ascii="仿宋" w:hAnsi="仿宋" w:eastAsia="仿宋" w:cs="仿宋"/>
          <w:color w:val="auto"/>
          <w:u w:val="none"/>
        </w:rPr>
      </w:pPr>
      <w:bookmarkStart w:id="101" w:name="_Toc24407"/>
      <w:bookmarkStart w:id="102" w:name="_Toc518923073"/>
      <w:r>
        <w:rPr>
          <w:rFonts w:hint="eastAsia" w:ascii="仿宋" w:hAnsi="仿宋" w:eastAsia="仿宋" w:cs="仿宋"/>
          <w:color w:val="auto"/>
          <w:u w:val="none"/>
        </w:rPr>
        <w:t>11.投标报价</w:t>
      </w:r>
      <w:bookmarkEnd w:id="98"/>
      <w:bookmarkEnd w:id="101"/>
      <w:bookmarkEnd w:id="102"/>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11.1</w:t>
      </w:r>
      <w:r>
        <w:rPr>
          <w:rFonts w:hint="eastAsia" w:ascii="仿宋" w:hAnsi="仿宋" w:eastAsia="仿宋" w:cs="仿宋"/>
          <w:color w:val="auto"/>
          <w:sz w:val="24"/>
        </w:rPr>
        <w:tab/>
      </w:r>
      <w:r>
        <w:rPr>
          <w:rFonts w:hint="eastAsia" w:ascii="仿宋" w:hAnsi="仿宋" w:eastAsia="仿宋" w:cs="仿宋"/>
          <w:color w:val="auto"/>
          <w:sz w:val="24"/>
        </w:rPr>
        <w:t>所有投标均以人民币报价。供应商的投标报价应遵守《中华人民共和国价格法》</w:t>
      </w:r>
      <w:r>
        <w:rPr>
          <w:rFonts w:hint="eastAsia" w:ascii="仿宋" w:hAnsi="仿宋" w:eastAsia="仿宋" w:cs="仿宋"/>
          <w:color w:val="auto"/>
          <w:sz w:val="24"/>
          <w:lang w:eastAsia="zh-CN"/>
        </w:rPr>
        <w:t>；</w:t>
      </w:r>
      <w:r>
        <w:rPr>
          <w:rFonts w:hint="eastAsia" w:ascii="仿宋" w:hAnsi="仿宋" w:eastAsia="仿宋" w:cs="仿宋"/>
          <w:color w:val="auto"/>
          <w:sz w:val="24"/>
        </w:rPr>
        <w:t>同时，根据《中华人民共和国政府采购法》第二条的规定，为保证公平竞争，如有主体投标标的的赠与行为，其投标将被认定为</w:t>
      </w:r>
      <w:r>
        <w:rPr>
          <w:rFonts w:hint="eastAsia" w:ascii="仿宋" w:hAnsi="仿宋" w:eastAsia="仿宋" w:cs="仿宋"/>
          <w:b/>
          <w:bCs/>
          <w:color w:val="auto"/>
          <w:sz w:val="24"/>
        </w:rPr>
        <w:t>投标无效</w:t>
      </w:r>
      <w:r>
        <w:rPr>
          <w:rFonts w:hint="eastAsia" w:ascii="仿宋" w:hAnsi="仿宋" w:eastAsia="仿宋" w:cs="仿宋"/>
          <w:color w:val="auto"/>
          <w:sz w:val="24"/>
        </w:rPr>
        <w:t>。</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11.2</w:t>
      </w:r>
      <w:r>
        <w:rPr>
          <w:rFonts w:hint="eastAsia" w:ascii="仿宋" w:hAnsi="仿宋" w:eastAsia="仿宋" w:cs="仿宋"/>
          <w:color w:val="auto"/>
          <w:sz w:val="24"/>
        </w:rPr>
        <w:tab/>
      </w:r>
      <w:r>
        <w:rPr>
          <w:rFonts w:hint="eastAsia" w:ascii="仿宋" w:hAnsi="仿宋" w:eastAsia="仿宋" w:cs="仿宋"/>
          <w:color w:val="auto"/>
          <w:sz w:val="24"/>
        </w:rPr>
        <w:t>供应商应在投标分项报价表上标明招标项目的总价，并由法定代表人或其委托代理人签署。</w:t>
      </w:r>
    </w:p>
    <w:p>
      <w:pPr>
        <w:spacing w:line="240" w:lineRule="atLeast"/>
        <w:ind w:left="900" w:hanging="900" w:hangingChars="375"/>
        <w:outlineLvl w:val="1"/>
        <w:rPr>
          <w:rFonts w:ascii="仿宋" w:hAnsi="仿宋" w:eastAsia="仿宋" w:cs="仿宋"/>
          <w:color w:val="auto"/>
          <w:sz w:val="24"/>
        </w:rPr>
      </w:pPr>
      <w:bookmarkStart w:id="103" w:name="_Toc4947"/>
      <w:r>
        <w:rPr>
          <w:rFonts w:hint="eastAsia" w:ascii="仿宋" w:hAnsi="仿宋" w:eastAsia="仿宋" w:cs="仿宋"/>
          <w:color w:val="auto"/>
          <w:sz w:val="24"/>
        </w:rPr>
        <w:t>11.3</w:t>
      </w:r>
      <w:r>
        <w:rPr>
          <w:rFonts w:hint="eastAsia" w:ascii="仿宋" w:hAnsi="仿宋" w:eastAsia="仿宋" w:cs="仿宋"/>
          <w:color w:val="auto"/>
          <w:sz w:val="24"/>
        </w:rPr>
        <w:tab/>
      </w:r>
      <w:r>
        <w:rPr>
          <w:rFonts w:hint="eastAsia" w:ascii="仿宋" w:hAnsi="仿宋" w:eastAsia="仿宋" w:cs="仿宋"/>
          <w:color w:val="auto"/>
          <w:sz w:val="24"/>
        </w:rPr>
        <w:t>采购人不接受具有附加条件的报价。</w:t>
      </w:r>
      <w:bookmarkEnd w:id="103"/>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11.4</w:t>
      </w:r>
      <w:r>
        <w:rPr>
          <w:rFonts w:hint="eastAsia" w:ascii="仿宋" w:hAnsi="仿宋" w:eastAsia="仿宋" w:cs="仿宋"/>
          <w:color w:val="auto"/>
          <w:sz w:val="24"/>
        </w:rPr>
        <w:tab/>
      </w:r>
      <w:r>
        <w:rPr>
          <w:rFonts w:hint="eastAsia" w:ascii="仿宋" w:hAnsi="仿宋" w:eastAsia="仿宋" w:cs="仿宋"/>
          <w:color w:val="auto"/>
          <w:sz w:val="24"/>
        </w:rPr>
        <w:t>供应商所报的投标报价在合同履行过程中是固定不变的，不得以任何理由予以变更。任何包含价格调整要求的投标，将被认定为投标无效。</w:t>
      </w:r>
    </w:p>
    <w:p>
      <w:pPr>
        <w:pStyle w:val="9"/>
        <w:spacing w:before="0" w:after="0" w:line="240" w:lineRule="atLeast"/>
        <w:rPr>
          <w:rFonts w:ascii="仿宋" w:hAnsi="仿宋" w:eastAsia="仿宋" w:cs="仿宋"/>
          <w:color w:val="auto"/>
          <w:u w:val="none"/>
        </w:rPr>
      </w:pPr>
      <w:bookmarkStart w:id="104" w:name="_Toc518923074"/>
      <w:bookmarkStart w:id="105" w:name="_Toc3701"/>
      <w:bookmarkStart w:id="106" w:name="_Toc520356156"/>
      <w:bookmarkStart w:id="107" w:name="_Ref467306513"/>
      <w:r>
        <w:rPr>
          <w:rFonts w:hint="eastAsia" w:ascii="仿宋" w:hAnsi="仿宋" w:eastAsia="仿宋" w:cs="仿宋"/>
          <w:color w:val="auto"/>
          <w:u w:val="none"/>
        </w:rPr>
        <w:t>12.投标保证金</w:t>
      </w:r>
      <w:bookmarkEnd w:id="104"/>
      <w:bookmarkEnd w:id="105"/>
      <w:bookmarkEnd w:id="106"/>
      <w:bookmarkEnd w:id="107"/>
    </w:p>
    <w:p>
      <w:pPr>
        <w:spacing w:line="240" w:lineRule="atLeast"/>
        <w:ind w:left="900" w:hanging="900" w:hangingChars="375"/>
        <w:rPr>
          <w:rFonts w:ascii="仿宋" w:hAnsi="仿宋" w:eastAsia="仿宋" w:cs="仿宋"/>
          <w:color w:val="auto"/>
          <w:sz w:val="24"/>
        </w:rPr>
      </w:pPr>
      <w:bookmarkStart w:id="108" w:name="_Ref467306302"/>
      <w:r>
        <w:rPr>
          <w:rFonts w:hint="eastAsia" w:ascii="仿宋" w:hAnsi="仿宋" w:eastAsia="仿宋" w:cs="仿宋"/>
          <w:color w:val="auto"/>
          <w:sz w:val="24"/>
        </w:rPr>
        <w:t>12.1</w:t>
      </w:r>
      <w:r>
        <w:rPr>
          <w:rFonts w:hint="eastAsia" w:ascii="仿宋" w:hAnsi="仿宋" w:eastAsia="仿宋" w:cs="仿宋"/>
          <w:color w:val="auto"/>
          <w:sz w:val="24"/>
        </w:rPr>
        <w:tab/>
      </w:r>
      <w:r>
        <w:rPr>
          <w:rFonts w:hint="eastAsia" w:ascii="仿宋" w:hAnsi="仿宋" w:eastAsia="仿宋" w:cs="仿宋"/>
          <w:color w:val="auto"/>
          <w:sz w:val="24"/>
        </w:rPr>
        <w:t>供应商应提交</w:t>
      </w:r>
      <w:r>
        <w:rPr>
          <w:rFonts w:hint="eastAsia" w:ascii="仿宋" w:hAnsi="仿宋" w:eastAsia="仿宋" w:cs="仿宋"/>
          <w:color w:val="auto"/>
          <w:sz w:val="24"/>
          <w:u w:val="single"/>
        </w:rPr>
        <w:t>供应商须知资料表</w:t>
      </w:r>
      <w:r>
        <w:rPr>
          <w:rFonts w:hint="eastAsia" w:ascii="仿宋" w:hAnsi="仿宋" w:eastAsia="仿宋" w:cs="仿宋"/>
          <w:color w:val="auto"/>
          <w:sz w:val="24"/>
        </w:rPr>
        <w:t>中规定的投标保证金</w:t>
      </w:r>
      <w:bookmarkEnd w:id="108"/>
      <w:r>
        <w:rPr>
          <w:rFonts w:hint="eastAsia" w:ascii="仿宋" w:hAnsi="仿宋" w:eastAsia="仿宋" w:cs="仿宋"/>
          <w:color w:val="auto"/>
          <w:sz w:val="24"/>
        </w:rPr>
        <w:t>，并作为其投标的一部分。</w:t>
      </w:r>
    </w:p>
    <w:p>
      <w:pPr>
        <w:spacing w:line="240" w:lineRule="atLeast"/>
        <w:ind w:left="900" w:hanging="900" w:hangingChars="375"/>
        <w:outlineLvl w:val="1"/>
        <w:rPr>
          <w:rFonts w:ascii="仿宋" w:hAnsi="仿宋" w:eastAsia="仿宋" w:cs="仿宋"/>
          <w:color w:val="auto"/>
          <w:sz w:val="24"/>
        </w:rPr>
      </w:pPr>
      <w:bookmarkStart w:id="109" w:name="_Toc3722"/>
      <w:r>
        <w:rPr>
          <w:rFonts w:hint="eastAsia" w:ascii="仿宋" w:hAnsi="仿宋" w:eastAsia="仿宋" w:cs="仿宋"/>
          <w:color w:val="auto"/>
          <w:sz w:val="24"/>
        </w:rPr>
        <w:t>12.2</w:t>
      </w:r>
      <w:r>
        <w:rPr>
          <w:rFonts w:hint="eastAsia" w:ascii="仿宋" w:hAnsi="仿宋" w:eastAsia="仿宋" w:cs="仿宋"/>
          <w:color w:val="auto"/>
          <w:sz w:val="24"/>
        </w:rPr>
        <w:tab/>
      </w:r>
      <w:r>
        <w:rPr>
          <w:rFonts w:hint="eastAsia" w:ascii="仿宋" w:hAnsi="仿宋" w:eastAsia="仿宋" w:cs="仿宋"/>
          <w:color w:val="auto"/>
          <w:sz w:val="24"/>
        </w:rPr>
        <w:t>供应商存在下列情形的，投标保证金不予退还：</w:t>
      </w:r>
      <w:bookmarkEnd w:id="109"/>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 xml:space="preserve">      （1）在投标有效期内，撤销投标的；</w:t>
      </w:r>
    </w:p>
    <w:p>
      <w:pPr>
        <w:pStyle w:val="17"/>
        <w:tabs>
          <w:tab w:val="left" w:pos="2240"/>
        </w:tabs>
        <w:spacing w:line="240" w:lineRule="atLeast"/>
        <w:ind w:left="1079" w:leftChars="371" w:hanging="300" w:hangingChars="125"/>
        <w:rPr>
          <w:rFonts w:ascii="仿宋" w:hAnsi="仿宋" w:eastAsia="仿宋" w:cs="仿宋"/>
          <w:color w:val="auto"/>
          <w:sz w:val="24"/>
        </w:rPr>
      </w:pPr>
      <w:r>
        <w:rPr>
          <w:rFonts w:hint="eastAsia" w:ascii="仿宋" w:hAnsi="仿宋" w:eastAsia="仿宋" w:cs="仿宋"/>
          <w:color w:val="auto"/>
          <w:sz w:val="24"/>
        </w:rPr>
        <w:t>（2）中标后不按本须知第30条的规定与采购人签订合同的；</w:t>
      </w:r>
    </w:p>
    <w:p>
      <w:pPr>
        <w:pStyle w:val="17"/>
        <w:tabs>
          <w:tab w:val="left" w:pos="2240"/>
        </w:tabs>
        <w:spacing w:line="240" w:lineRule="atLeast"/>
        <w:ind w:left="1079" w:leftChars="371" w:hanging="300" w:hangingChars="125"/>
        <w:rPr>
          <w:rFonts w:ascii="仿宋" w:hAnsi="仿宋" w:eastAsia="仿宋" w:cs="仿宋"/>
          <w:color w:val="auto"/>
          <w:sz w:val="24"/>
        </w:rPr>
      </w:pPr>
      <w:r>
        <w:rPr>
          <w:rFonts w:hint="eastAsia" w:ascii="仿宋" w:hAnsi="仿宋" w:eastAsia="仿宋" w:cs="仿宋"/>
          <w:color w:val="auto"/>
          <w:sz w:val="24"/>
        </w:rPr>
        <w:t>（3）中标后不按本须知第31条的规定提交履约保证金的；</w:t>
      </w:r>
    </w:p>
    <w:p>
      <w:pPr>
        <w:pStyle w:val="17"/>
        <w:tabs>
          <w:tab w:val="left" w:pos="2240"/>
        </w:tabs>
        <w:spacing w:line="240" w:lineRule="atLeast"/>
        <w:ind w:left="1079" w:leftChars="371" w:hanging="300" w:hangingChars="125"/>
        <w:rPr>
          <w:rFonts w:ascii="仿宋" w:hAnsi="仿宋" w:eastAsia="仿宋" w:cs="仿宋"/>
          <w:color w:val="auto"/>
          <w:sz w:val="24"/>
        </w:rPr>
      </w:pPr>
      <w:r>
        <w:rPr>
          <w:rFonts w:hint="eastAsia" w:ascii="仿宋" w:hAnsi="仿宋" w:eastAsia="仿宋" w:cs="仿宋"/>
          <w:color w:val="auto"/>
          <w:sz w:val="24"/>
        </w:rPr>
        <w:t>（4）中标后不按本须知第32条的规定缴纳中标服务费的；</w:t>
      </w:r>
    </w:p>
    <w:p>
      <w:pPr>
        <w:pStyle w:val="17"/>
        <w:tabs>
          <w:tab w:val="left" w:pos="2240"/>
        </w:tabs>
        <w:spacing w:line="240" w:lineRule="atLeast"/>
        <w:ind w:left="1079" w:leftChars="371" w:hanging="300" w:hangingChars="125"/>
        <w:rPr>
          <w:rFonts w:ascii="仿宋" w:hAnsi="仿宋" w:eastAsia="仿宋" w:cs="仿宋"/>
          <w:color w:val="auto"/>
          <w:sz w:val="24"/>
        </w:rPr>
      </w:pPr>
      <w:r>
        <w:rPr>
          <w:rFonts w:hint="eastAsia" w:ascii="仿宋" w:hAnsi="仿宋" w:eastAsia="仿宋" w:cs="仿宋"/>
          <w:color w:val="auto"/>
          <w:sz w:val="24"/>
        </w:rPr>
        <w:t>（5）存在其他违法违规行为的。</w:t>
      </w:r>
    </w:p>
    <w:p>
      <w:pPr>
        <w:spacing w:line="240" w:lineRule="atLeast"/>
        <w:ind w:left="900" w:hanging="900" w:hangingChars="375"/>
        <w:rPr>
          <w:rFonts w:ascii="仿宋" w:hAnsi="仿宋" w:eastAsia="仿宋" w:cs="仿宋"/>
          <w:color w:val="auto"/>
          <w:sz w:val="24"/>
        </w:rPr>
      </w:pPr>
      <w:bookmarkStart w:id="110" w:name="_Ref467306336"/>
      <w:r>
        <w:rPr>
          <w:rFonts w:hint="eastAsia" w:ascii="仿宋" w:hAnsi="仿宋" w:eastAsia="仿宋" w:cs="仿宋"/>
          <w:color w:val="auto"/>
          <w:sz w:val="24"/>
        </w:rPr>
        <w:t>12.3</w:t>
      </w:r>
      <w:r>
        <w:rPr>
          <w:rFonts w:hint="eastAsia" w:ascii="仿宋" w:hAnsi="仿宋" w:eastAsia="仿宋" w:cs="仿宋"/>
          <w:color w:val="auto"/>
          <w:sz w:val="24"/>
        </w:rPr>
        <w:tab/>
      </w:r>
      <w:bookmarkEnd w:id="110"/>
      <w:r>
        <w:rPr>
          <w:rFonts w:hint="eastAsia" w:ascii="仿宋" w:hAnsi="仿宋" w:eastAsia="仿宋" w:cs="仿宋"/>
          <w:color w:val="auto"/>
          <w:sz w:val="24"/>
        </w:rPr>
        <w:t>政府采购信用担保试点范围内的项目，接受符合财政部门规定的政府采购投标担保函原件。</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12.4</w:t>
      </w:r>
      <w:r>
        <w:rPr>
          <w:rFonts w:hint="eastAsia" w:ascii="仿宋" w:hAnsi="仿宋" w:eastAsia="仿宋" w:cs="仿宋"/>
          <w:color w:val="auto"/>
          <w:sz w:val="24"/>
        </w:rPr>
        <w:tab/>
      </w:r>
      <w:r>
        <w:rPr>
          <w:rFonts w:hint="eastAsia" w:ascii="仿宋" w:hAnsi="仿宋" w:eastAsia="仿宋" w:cs="仿宋"/>
          <w:color w:val="auto"/>
          <w:sz w:val="24"/>
        </w:rPr>
        <w:t>供应商未按本须知第12.1和12.3条规定提交投标保证金的，其投标将被认定为</w:t>
      </w:r>
      <w:r>
        <w:rPr>
          <w:rFonts w:hint="eastAsia" w:ascii="仿宋" w:hAnsi="仿宋" w:eastAsia="仿宋" w:cs="仿宋"/>
          <w:b/>
          <w:color w:val="auto"/>
          <w:sz w:val="24"/>
        </w:rPr>
        <w:t>投标无效</w:t>
      </w:r>
      <w:r>
        <w:rPr>
          <w:rFonts w:hint="eastAsia" w:ascii="仿宋" w:hAnsi="仿宋" w:eastAsia="仿宋" w:cs="仿宋"/>
          <w:color w:val="auto"/>
          <w:sz w:val="24"/>
        </w:rPr>
        <w:t>。</w:t>
      </w:r>
    </w:p>
    <w:p>
      <w:pPr>
        <w:spacing w:line="240" w:lineRule="atLeast"/>
        <w:rPr>
          <w:rFonts w:ascii="仿宋" w:hAnsi="仿宋" w:eastAsia="仿宋" w:cs="仿宋"/>
          <w:color w:val="auto"/>
          <w:sz w:val="24"/>
        </w:rPr>
      </w:pPr>
      <w:r>
        <w:rPr>
          <w:rFonts w:hint="eastAsia" w:ascii="仿宋" w:hAnsi="仿宋" w:eastAsia="仿宋" w:cs="仿宋"/>
          <w:color w:val="auto"/>
          <w:sz w:val="24"/>
        </w:rPr>
        <w:t>12.4.1  采用电汇、对公转账形式的，一般可以实时入账；</w:t>
      </w:r>
    </w:p>
    <w:p>
      <w:pPr>
        <w:spacing w:line="240" w:lineRule="atLeast"/>
        <w:ind w:left="960" w:hanging="960" w:hangingChars="400"/>
        <w:rPr>
          <w:rFonts w:ascii="仿宋" w:hAnsi="仿宋" w:eastAsia="仿宋" w:cs="仿宋"/>
          <w:color w:val="auto"/>
          <w:sz w:val="24"/>
        </w:rPr>
      </w:pPr>
      <w:r>
        <w:rPr>
          <w:rFonts w:hint="eastAsia" w:ascii="仿宋" w:hAnsi="仿宋" w:eastAsia="仿宋" w:cs="仿宋"/>
          <w:color w:val="auto"/>
          <w:sz w:val="24"/>
        </w:rPr>
        <w:t>12.4.2  采用支票形式的，供应商则应充分考虑支票入账时间，以确保投标保证金能按时进入指定账户。根据银行信息交换和付款时间，支票从递交至实际入账一般需要4-5个工作日。如供应商未及时提交支票或支票不符合银行委托收款要求（如污损、折叠、胶装等），导致投标保证金不能按时进入指定账户的，将按照采购文件的第22.2条相关规定处理。</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12.5    联合体投标的，可以由联合体中的一方或者共同提交投标保证金。以一方名义提交投标保证金的，对联合体各方均具有约束力。</w:t>
      </w:r>
    </w:p>
    <w:p>
      <w:pPr>
        <w:spacing w:line="240" w:lineRule="atLeast"/>
        <w:ind w:left="900" w:hanging="900" w:hangingChars="375"/>
        <w:outlineLvl w:val="1"/>
        <w:rPr>
          <w:rFonts w:ascii="仿宋" w:hAnsi="仿宋" w:eastAsia="仿宋" w:cs="仿宋"/>
          <w:color w:val="auto"/>
          <w:sz w:val="24"/>
        </w:rPr>
      </w:pPr>
      <w:bookmarkStart w:id="111" w:name="_Toc14611"/>
      <w:r>
        <w:rPr>
          <w:rFonts w:hint="eastAsia" w:ascii="仿宋" w:hAnsi="仿宋" w:eastAsia="仿宋" w:cs="仿宋"/>
          <w:color w:val="auto"/>
          <w:sz w:val="24"/>
        </w:rPr>
        <w:t>12.6</w:t>
      </w:r>
      <w:r>
        <w:rPr>
          <w:rFonts w:hint="eastAsia" w:ascii="仿宋" w:hAnsi="仿宋" w:eastAsia="仿宋" w:cs="仿宋"/>
          <w:color w:val="auto"/>
          <w:sz w:val="24"/>
        </w:rPr>
        <w:tab/>
      </w:r>
      <w:r>
        <w:rPr>
          <w:rFonts w:hint="eastAsia" w:ascii="仿宋" w:hAnsi="仿宋" w:eastAsia="仿宋" w:cs="仿宋"/>
          <w:color w:val="auto"/>
          <w:sz w:val="24"/>
        </w:rPr>
        <w:t xml:space="preserve"> </w:t>
      </w:r>
      <w:r>
        <w:rPr>
          <w:rFonts w:hint="eastAsia" w:ascii="仿宋" w:hAnsi="仿宋" w:eastAsia="仿宋" w:cs="仿宋"/>
          <w:b/>
          <w:color w:val="auto"/>
          <w:sz w:val="24"/>
        </w:rPr>
        <w:t>投标保证金的退还</w:t>
      </w:r>
      <w:bookmarkEnd w:id="111"/>
    </w:p>
    <w:p>
      <w:pPr>
        <w:spacing w:line="240" w:lineRule="atLeast"/>
        <w:ind w:left="1020" w:hanging="1020" w:hangingChars="425"/>
        <w:rPr>
          <w:rFonts w:ascii="仿宋" w:hAnsi="仿宋" w:eastAsia="仿宋" w:cs="仿宋"/>
          <w:color w:val="auto"/>
          <w:sz w:val="24"/>
        </w:rPr>
      </w:pPr>
      <w:r>
        <w:rPr>
          <w:rFonts w:hint="eastAsia" w:ascii="仿宋" w:hAnsi="仿宋" w:eastAsia="仿宋" w:cs="仿宋"/>
          <w:color w:val="auto"/>
          <w:sz w:val="24"/>
        </w:rPr>
        <w:t>12.6.1  中标人应在与采购人签订合同之日起5个工作日内，及时联系保证金收受机构办理投标保证金无息退还手续。</w:t>
      </w:r>
    </w:p>
    <w:p>
      <w:pPr>
        <w:ind w:left="1020" w:hanging="1020" w:hangingChars="425"/>
        <w:rPr>
          <w:rFonts w:ascii="仿宋" w:hAnsi="仿宋" w:eastAsia="仿宋" w:cs="仿宋"/>
          <w:color w:val="auto"/>
          <w:sz w:val="24"/>
        </w:rPr>
      </w:pPr>
      <w:r>
        <w:rPr>
          <w:rFonts w:hint="eastAsia" w:ascii="仿宋" w:hAnsi="仿宋" w:eastAsia="仿宋" w:cs="仿宋"/>
          <w:color w:val="auto"/>
          <w:sz w:val="24"/>
        </w:rPr>
        <w:t>12.6.2  未中标供应商的投标保证金将在中标通知书发出之日暨中标结果公告公布之日起5个工作日内无息退还。供应商及时联系保证金收受机构办理退还投标保证金手续。</w:t>
      </w:r>
      <w:bookmarkStart w:id="112" w:name="_Toc518923075"/>
    </w:p>
    <w:p>
      <w:pPr>
        <w:ind w:left="1020" w:hanging="1020" w:hangingChars="425"/>
        <w:rPr>
          <w:rFonts w:ascii="仿宋" w:hAnsi="仿宋" w:eastAsia="仿宋" w:cs="仿宋"/>
          <w:color w:val="auto"/>
          <w:sz w:val="24"/>
        </w:rPr>
      </w:pPr>
      <w:r>
        <w:rPr>
          <w:rFonts w:hint="eastAsia" w:ascii="仿宋" w:hAnsi="仿宋" w:eastAsia="仿宋" w:cs="仿宋"/>
          <w:color w:val="auto"/>
          <w:sz w:val="24"/>
        </w:rPr>
        <w:t>12.6.3  政府采购投标担保函不予退回。</w:t>
      </w:r>
      <w:bookmarkEnd w:id="112"/>
    </w:p>
    <w:p>
      <w:pPr>
        <w:spacing w:line="240" w:lineRule="atLeast"/>
        <w:ind w:left="960" w:hanging="960" w:hangingChars="400"/>
        <w:rPr>
          <w:rFonts w:ascii="仿宋" w:hAnsi="仿宋" w:eastAsia="仿宋" w:cs="仿宋"/>
          <w:color w:val="auto"/>
          <w:sz w:val="24"/>
        </w:rPr>
      </w:pPr>
      <w:r>
        <w:rPr>
          <w:rFonts w:hint="eastAsia" w:ascii="仿宋" w:hAnsi="仿宋" w:eastAsia="仿宋" w:cs="仿宋"/>
          <w:color w:val="auto"/>
          <w:sz w:val="24"/>
        </w:rPr>
        <w:t>12.7    因供应商自身原因导致无法及时退还的，采购人或采购代理机构将不承担相应责任。</w:t>
      </w:r>
    </w:p>
    <w:p>
      <w:pPr>
        <w:pStyle w:val="9"/>
        <w:spacing w:before="0" w:after="0" w:line="240" w:lineRule="atLeast"/>
        <w:rPr>
          <w:rFonts w:ascii="仿宋" w:hAnsi="仿宋" w:eastAsia="仿宋" w:cs="仿宋"/>
          <w:color w:val="auto"/>
          <w:u w:val="none"/>
        </w:rPr>
      </w:pPr>
      <w:bookmarkStart w:id="113" w:name="_Toc520356157"/>
      <w:bookmarkStart w:id="114" w:name="_Toc32025"/>
      <w:bookmarkStart w:id="115" w:name="_Toc518923076"/>
      <w:r>
        <w:rPr>
          <w:rFonts w:hint="eastAsia" w:ascii="仿宋" w:hAnsi="仿宋" w:eastAsia="仿宋" w:cs="仿宋"/>
          <w:color w:val="auto"/>
          <w:u w:val="none"/>
        </w:rPr>
        <w:t>13.投标有效期</w:t>
      </w:r>
      <w:bookmarkEnd w:id="113"/>
      <w:bookmarkEnd w:id="114"/>
      <w:bookmarkEnd w:id="115"/>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13.1</w:t>
      </w:r>
      <w:r>
        <w:rPr>
          <w:rFonts w:hint="eastAsia" w:ascii="仿宋" w:hAnsi="仿宋" w:eastAsia="仿宋" w:cs="仿宋"/>
          <w:color w:val="auto"/>
          <w:sz w:val="24"/>
        </w:rPr>
        <w:tab/>
      </w:r>
      <w:r>
        <w:rPr>
          <w:rFonts w:hint="eastAsia" w:ascii="仿宋" w:hAnsi="仿宋" w:eastAsia="仿宋" w:cs="仿宋"/>
          <w:color w:val="auto"/>
          <w:sz w:val="24"/>
        </w:rPr>
        <w:t>投标应在</w:t>
      </w:r>
      <w:r>
        <w:rPr>
          <w:rFonts w:hint="eastAsia" w:ascii="仿宋" w:hAnsi="仿宋" w:eastAsia="仿宋" w:cs="仿宋"/>
          <w:color w:val="auto"/>
          <w:sz w:val="24"/>
          <w:u w:val="single"/>
        </w:rPr>
        <w:t>供应商须知资料表</w:t>
      </w:r>
      <w:r>
        <w:rPr>
          <w:rFonts w:hint="eastAsia" w:ascii="仿宋" w:hAnsi="仿宋" w:eastAsia="仿宋" w:cs="仿宋"/>
          <w:color w:val="auto"/>
          <w:sz w:val="24"/>
        </w:rPr>
        <w:t>中规定时间内保持有效。投标有效期不满足要求的投标，其投标将被认定为</w:t>
      </w:r>
      <w:r>
        <w:rPr>
          <w:rFonts w:hint="eastAsia" w:ascii="仿宋" w:hAnsi="仿宋" w:eastAsia="仿宋" w:cs="仿宋"/>
          <w:b/>
          <w:color w:val="auto"/>
          <w:sz w:val="24"/>
        </w:rPr>
        <w:t>投标无效</w:t>
      </w:r>
      <w:r>
        <w:rPr>
          <w:rFonts w:hint="eastAsia" w:ascii="仿宋" w:hAnsi="仿宋" w:eastAsia="仿宋" w:cs="仿宋"/>
          <w:color w:val="auto"/>
          <w:sz w:val="24"/>
        </w:rPr>
        <w:t>。</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13.2</w:t>
      </w:r>
      <w:r>
        <w:rPr>
          <w:rFonts w:hint="eastAsia" w:ascii="仿宋" w:hAnsi="仿宋" w:eastAsia="仿宋" w:cs="仿宋"/>
          <w:color w:val="auto"/>
          <w:sz w:val="24"/>
        </w:rPr>
        <w:tab/>
      </w:r>
      <w:r>
        <w:rPr>
          <w:rFonts w:hint="eastAsia" w:ascii="仿宋" w:hAnsi="仿宋" w:eastAsia="仿宋" w:cs="仿宋"/>
          <w:color w:val="auto"/>
          <w:sz w:val="24"/>
        </w:rPr>
        <w:t>为保证有充分时间签订合同，采购人或采购代理机构可根据实际情况，在原投标有效期截止之前，要求供应商延长投标文件的有效期。接受该要求的供应商将不会被要求和允许修正其投标，且本须知中有关投标保证金的要求须在延长的有效期内继续有效。供应商可以拒绝延长投标有效期的要求，其投标保证金将及时按规定无息退还。上述要求和答复都应以书面形式提交。</w:t>
      </w:r>
    </w:p>
    <w:p>
      <w:pPr>
        <w:pStyle w:val="9"/>
        <w:spacing w:before="0" w:after="0" w:line="240" w:lineRule="atLeast"/>
        <w:rPr>
          <w:rFonts w:ascii="仿宋" w:hAnsi="仿宋" w:eastAsia="仿宋" w:cs="仿宋"/>
          <w:color w:val="auto"/>
          <w:u w:val="none"/>
        </w:rPr>
      </w:pPr>
      <w:bookmarkStart w:id="116" w:name="_Toc520356158"/>
      <w:bookmarkStart w:id="117" w:name="_Toc518923077"/>
      <w:bookmarkStart w:id="118" w:name="_Toc27623"/>
      <w:r>
        <w:rPr>
          <w:rFonts w:hint="eastAsia" w:ascii="仿宋" w:hAnsi="仿宋" w:eastAsia="仿宋" w:cs="仿宋"/>
          <w:color w:val="auto"/>
          <w:u w:val="none"/>
        </w:rPr>
        <w:t>14.投标文件的签署</w:t>
      </w:r>
      <w:bookmarkEnd w:id="116"/>
      <w:r>
        <w:rPr>
          <w:rFonts w:hint="eastAsia" w:ascii="仿宋" w:hAnsi="仿宋" w:eastAsia="仿宋" w:cs="仿宋"/>
          <w:color w:val="auto"/>
          <w:u w:val="none"/>
        </w:rPr>
        <w:t>及规定</w:t>
      </w:r>
      <w:bookmarkEnd w:id="117"/>
      <w:bookmarkEnd w:id="118"/>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14.1</w:t>
      </w:r>
      <w:r>
        <w:rPr>
          <w:rFonts w:hint="eastAsia" w:ascii="仿宋" w:hAnsi="仿宋" w:eastAsia="仿宋" w:cs="仿宋"/>
          <w:color w:val="auto"/>
          <w:sz w:val="24"/>
        </w:rPr>
        <w:tab/>
      </w:r>
      <w:r>
        <w:rPr>
          <w:rFonts w:hint="eastAsia" w:ascii="仿宋" w:hAnsi="仿宋" w:eastAsia="仿宋" w:cs="仿宋"/>
          <w:color w:val="auto"/>
          <w:sz w:val="24"/>
        </w:rPr>
        <w:t>供应商应按</w:t>
      </w:r>
      <w:r>
        <w:rPr>
          <w:rFonts w:hint="eastAsia" w:ascii="仿宋" w:hAnsi="仿宋" w:eastAsia="仿宋" w:cs="仿宋"/>
          <w:color w:val="auto"/>
          <w:sz w:val="24"/>
          <w:u w:val="single"/>
        </w:rPr>
        <w:t>供应商须知资料表</w:t>
      </w:r>
      <w:r>
        <w:rPr>
          <w:rFonts w:hint="eastAsia" w:ascii="仿宋" w:hAnsi="仿宋" w:eastAsia="仿宋" w:cs="仿宋"/>
          <w:color w:val="auto"/>
          <w:sz w:val="24"/>
        </w:rPr>
        <w:t>中的规定，准备和上传投标文件。</w:t>
      </w:r>
    </w:p>
    <w:p>
      <w:pPr>
        <w:spacing w:line="240" w:lineRule="atLeast"/>
        <w:ind w:left="900" w:hanging="900" w:hangingChars="375"/>
        <w:rPr>
          <w:rFonts w:ascii="仿宋" w:hAnsi="仿宋" w:eastAsia="仿宋" w:cs="仿宋"/>
          <w:b/>
          <w:bCs/>
          <w:color w:val="auto"/>
          <w:sz w:val="24"/>
        </w:rPr>
      </w:pPr>
      <w:r>
        <w:rPr>
          <w:rFonts w:hint="eastAsia" w:ascii="仿宋" w:hAnsi="仿宋" w:eastAsia="仿宋" w:cs="仿宋"/>
          <w:color w:val="auto"/>
          <w:sz w:val="24"/>
        </w:rPr>
        <w:t>14.2</w:t>
      </w:r>
      <w:r>
        <w:rPr>
          <w:rFonts w:hint="eastAsia" w:ascii="仿宋" w:hAnsi="仿宋" w:eastAsia="仿宋" w:cs="仿宋"/>
          <w:color w:val="auto"/>
          <w:sz w:val="24"/>
        </w:rPr>
        <w:tab/>
      </w:r>
      <w:r>
        <w:rPr>
          <w:rFonts w:hint="eastAsia" w:ascii="仿宋" w:hAnsi="仿宋" w:eastAsia="仿宋" w:cs="仿宋"/>
          <w:b/>
          <w:bCs/>
          <w:color w:val="auto"/>
          <w:sz w:val="24"/>
        </w:rPr>
        <w:t>投标文件由供应商的法定代表人或其委托代理人按采购文件规定在投标文件上签字并加盖单位印章。</w:t>
      </w:r>
    </w:p>
    <w:p>
      <w:pPr>
        <w:spacing w:line="240" w:lineRule="atLeast"/>
        <w:ind w:left="900" w:hanging="900" w:hangingChars="375"/>
        <w:rPr>
          <w:rFonts w:ascii="仿宋" w:hAnsi="仿宋" w:eastAsia="仿宋" w:cs="仿宋"/>
          <w:color w:val="auto"/>
          <w:sz w:val="24"/>
        </w:rPr>
      </w:pPr>
    </w:p>
    <w:p>
      <w:pPr>
        <w:pStyle w:val="8"/>
        <w:spacing w:before="0" w:line="240" w:lineRule="atLeast"/>
        <w:ind w:left="1080" w:leftChars="257" w:hanging="540"/>
        <w:rPr>
          <w:rFonts w:ascii="仿宋" w:hAnsi="仿宋" w:eastAsia="仿宋" w:cs="仿宋"/>
          <w:color w:val="auto"/>
          <w:sz w:val="24"/>
        </w:rPr>
      </w:pPr>
      <w:bookmarkStart w:id="119" w:name="_Toc216582808"/>
      <w:bookmarkStart w:id="120" w:name="_Toc4706"/>
      <w:bookmarkStart w:id="121" w:name="_Toc518923078"/>
      <w:bookmarkStart w:id="122" w:name="_Toc9016"/>
      <w:bookmarkStart w:id="123" w:name="_Toc520356159"/>
      <w:r>
        <w:rPr>
          <w:rFonts w:hint="eastAsia" w:ascii="仿宋" w:hAnsi="仿宋" w:eastAsia="仿宋" w:cs="仿宋"/>
          <w:color w:val="auto"/>
          <w:sz w:val="24"/>
        </w:rPr>
        <w:t>四   投标文件的递交</w:t>
      </w:r>
      <w:bookmarkEnd w:id="119"/>
      <w:bookmarkEnd w:id="120"/>
      <w:bookmarkEnd w:id="121"/>
      <w:bookmarkEnd w:id="122"/>
      <w:bookmarkEnd w:id="123"/>
    </w:p>
    <w:p>
      <w:pPr>
        <w:pStyle w:val="11"/>
        <w:rPr>
          <w:rFonts w:ascii="仿宋" w:hAnsi="仿宋" w:eastAsia="仿宋" w:cs="仿宋"/>
          <w:color w:val="auto"/>
        </w:rPr>
      </w:pPr>
    </w:p>
    <w:p>
      <w:pPr>
        <w:pStyle w:val="9"/>
        <w:spacing w:before="0" w:after="0" w:line="240" w:lineRule="atLeast"/>
        <w:rPr>
          <w:rFonts w:ascii="仿宋" w:hAnsi="仿宋" w:eastAsia="仿宋" w:cs="仿宋"/>
          <w:color w:val="auto"/>
          <w:u w:val="none"/>
        </w:rPr>
      </w:pPr>
      <w:bookmarkStart w:id="124" w:name="_Toc520356160"/>
      <w:bookmarkStart w:id="125" w:name="_Toc518923079"/>
      <w:bookmarkStart w:id="126" w:name="_Toc5700"/>
      <w:r>
        <w:rPr>
          <w:rFonts w:hint="eastAsia" w:ascii="仿宋" w:hAnsi="仿宋" w:eastAsia="仿宋" w:cs="仿宋"/>
          <w:color w:val="auto"/>
          <w:u w:val="none"/>
        </w:rPr>
        <w:t>15.投标文件的</w:t>
      </w:r>
      <w:bookmarkEnd w:id="124"/>
      <w:bookmarkEnd w:id="125"/>
      <w:r>
        <w:rPr>
          <w:rFonts w:hint="eastAsia" w:ascii="仿宋" w:hAnsi="仿宋" w:eastAsia="仿宋" w:cs="仿宋"/>
          <w:color w:val="auto"/>
          <w:u w:val="none"/>
        </w:rPr>
        <w:t>编制</w:t>
      </w:r>
      <w:bookmarkEnd w:id="126"/>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15.1   投标文件三部分内容分别拟编。</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15.2   所有封面上均应：按照投标文件格式进行编制。</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15.3   如果供应商未按上述要求编制，其投标文件将被认定为</w:t>
      </w:r>
      <w:r>
        <w:rPr>
          <w:rFonts w:hint="eastAsia" w:ascii="仿宋" w:hAnsi="仿宋" w:eastAsia="仿宋" w:cs="仿宋"/>
          <w:b/>
          <w:bCs/>
          <w:color w:val="auto"/>
          <w:sz w:val="24"/>
        </w:rPr>
        <w:t>投标无效。</w:t>
      </w:r>
    </w:p>
    <w:p>
      <w:pPr>
        <w:pStyle w:val="9"/>
        <w:spacing w:before="0" w:after="0" w:line="240" w:lineRule="atLeast"/>
        <w:rPr>
          <w:rFonts w:ascii="仿宋" w:hAnsi="仿宋" w:eastAsia="仿宋" w:cs="仿宋"/>
          <w:color w:val="auto"/>
          <w:u w:val="none"/>
        </w:rPr>
      </w:pPr>
      <w:bookmarkStart w:id="127" w:name="_Toc17813"/>
      <w:bookmarkStart w:id="128" w:name="_Toc520356161"/>
      <w:bookmarkStart w:id="129" w:name="_Toc518923080"/>
      <w:r>
        <w:rPr>
          <w:rFonts w:hint="eastAsia" w:ascii="仿宋" w:hAnsi="仿宋" w:eastAsia="仿宋" w:cs="仿宋"/>
          <w:color w:val="auto"/>
          <w:u w:val="none"/>
        </w:rPr>
        <w:t>16.投标截止</w:t>
      </w:r>
      <w:bookmarkEnd w:id="127"/>
      <w:bookmarkEnd w:id="128"/>
      <w:bookmarkEnd w:id="129"/>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16.1</w:t>
      </w:r>
      <w:r>
        <w:rPr>
          <w:rFonts w:hint="eastAsia" w:ascii="仿宋" w:hAnsi="仿宋" w:eastAsia="仿宋" w:cs="仿宋"/>
          <w:color w:val="auto"/>
          <w:sz w:val="24"/>
        </w:rPr>
        <w:tab/>
      </w:r>
      <w:r>
        <w:rPr>
          <w:rFonts w:hint="eastAsia" w:ascii="仿宋" w:hAnsi="仿宋" w:eastAsia="仿宋" w:cs="仿宋"/>
          <w:color w:val="auto"/>
          <w:sz w:val="24"/>
        </w:rPr>
        <w:t>供应商应在</w:t>
      </w:r>
      <w:r>
        <w:rPr>
          <w:rFonts w:hint="eastAsia" w:ascii="仿宋" w:hAnsi="仿宋" w:eastAsia="仿宋" w:cs="仿宋"/>
          <w:b/>
          <w:bCs/>
          <w:color w:val="auto"/>
          <w:sz w:val="24"/>
          <w:u w:val="single"/>
        </w:rPr>
        <w:t>供应商须知资料表</w:t>
      </w:r>
      <w:r>
        <w:rPr>
          <w:rFonts w:hint="eastAsia" w:ascii="仿宋" w:hAnsi="仿宋" w:eastAsia="仿宋" w:cs="仿宋"/>
          <w:color w:val="auto"/>
          <w:sz w:val="24"/>
        </w:rPr>
        <w:t>中规定的截止时间前，将投标文件上传至招标公告中规定的平台中。</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16.2</w:t>
      </w:r>
      <w:r>
        <w:rPr>
          <w:rFonts w:hint="eastAsia" w:ascii="仿宋" w:hAnsi="仿宋" w:eastAsia="仿宋" w:cs="仿宋"/>
          <w:color w:val="auto"/>
          <w:sz w:val="24"/>
        </w:rPr>
        <w:tab/>
      </w:r>
      <w:r>
        <w:rPr>
          <w:rFonts w:hint="eastAsia" w:ascii="仿宋" w:hAnsi="仿宋" w:eastAsia="仿宋" w:cs="仿宋"/>
          <w:color w:val="auto"/>
          <w:sz w:val="24"/>
        </w:rPr>
        <w:t>采购人和采购代理机构有权按本须知的规定，延迟投标截止时间。在此情况下，采购人、采购代理机构和供应商受投标截止时间制约的所有权利和义务均应延长至新的截止时间。</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16.3</w:t>
      </w:r>
      <w:r>
        <w:rPr>
          <w:rFonts w:hint="eastAsia" w:ascii="仿宋" w:hAnsi="仿宋" w:eastAsia="仿宋" w:cs="仿宋"/>
          <w:color w:val="auto"/>
          <w:sz w:val="24"/>
        </w:rPr>
        <w:tab/>
      </w:r>
      <w:r>
        <w:rPr>
          <w:rFonts w:hint="eastAsia" w:ascii="仿宋" w:hAnsi="仿宋" w:eastAsia="仿宋" w:cs="仿宋"/>
          <w:color w:val="auto"/>
          <w:sz w:val="24"/>
        </w:rPr>
        <w:t>未按照公告时间内完成投标文件的上传，采购人和采购代理机构将拒绝接收在截止时间后的投标文件。</w:t>
      </w:r>
    </w:p>
    <w:p>
      <w:pPr>
        <w:pStyle w:val="9"/>
        <w:spacing w:before="0" w:after="0" w:line="240" w:lineRule="atLeast"/>
        <w:rPr>
          <w:rFonts w:ascii="仿宋" w:hAnsi="仿宋" w:eastAsia="仿宋" w:cs="仿宋"/>
          <w:color w:val="auto"/>
          <w:u w:val="none"/>
        </w:rPr>
      </w:pPr>
      <w:bookmarkStart w:id="130" w:name="_Toc25587"/>
      <w:bookmarkStart w:id="131" w:name="_Toc518923081"/>
      <w:bookmarkStart w:id="132" w:name="_Toc520356162"/>
      <w:r>
        <w:rPr>
          <w:rFonts w:hint="eastAsia" w:ascii="仿宋" w:hAnsi="仿宋" w:eastAsia="仿宋" w:cs="仿宋"/>
          <w:color w:val="auto"/>
          <w:u w:val="none"/>
        </w:rPr>
        <w:t>17.投标文件的接收、修改与撤回</w:t>
      </w:r>
      <w:bookmarkEnd w:id="130"/>
      <w:bookmarkEnd w:id="131"/>
      <w:bookmarkEnd w:id="132"/>
    </w:p>
    <w:p>
      <w:pPr>
        <w:spacing w:line="240" w:lineRule="atLeast"/>
        <w:ind w:left="900" w:hanging="900" w:hangingChars="375"/>
        <w:rPr>
          <w:rFonts w:ascii="仿宋" w:hAnsi="仿宋" w:eastAsia="仿宋" w:cs="仿宋"/>
          <w:b/>
          <w:color w:val="auto"/>
        </w:rPr>
      </w:pPr>
      <w:r>
        <w:rPr>
          <w:rFonts w:hint="eastAsia" w:ascii="仿宋" w:hAnsi="仿宋" w:eastAsia="仿宋" w:cs="仿宋"/>
          <w:color w:val="auto"/>
          <w:sz w:val="24"/>
        </w:rPr>
        <w:t>17.1   在解密时间截止后解密投标文件的，采购人和采购代理机构将拒绝接收。</w:t>
      </w:r>
    </w:p>
    <w:p>
      <w:pPr>
        <w:spacing w:line="240" w:lineRule="atLeast"/>
        <w:ind w:left="960" w:hanging="960" w:hangingChars="400"/>
        <w:rPr>
          <w:rFonts w:ascii="仿宋" w:hAnsi="仿宋" w:eastAsia="仿宋" w:cs="仿宋"/>
          <w:color w:val="auto"/>
          <w:sz w:val="24"/>
        </w:rPr>
      </w:pPr>
      <w:r>
        <w:rPr>
          <w:rFonts w:hint="eastAsia" w:ascii="仿宋" w:hAnsi="仿宋" w:eastAsia="仿宋" w:cs="仿宋"/>
          <w:color w:val="auto"/>
          <w:sz w:val="24"/>
        </w:rPr>
        <w:t>17.2   在投标截止期之后，采购人和采购代理机构不接受供应商主动对其投标文件做任何修改。</w:t>
      </w:r>
    </w:p>
    <w:p>
      <w:pPr>
        <w:spacing w:line="240" w:lineRule="atLeast"/>
        <w:ind w:left="1080" w:leftChars="257" w:hanging="540"/>
        <w:rPr>
          <w:rFonts w:ascii="仿宋" w:hAnsi="仿宋" w:eastAsia="仿宋" w:cs="仿宋"/>
          <w:color w:val="auto"/>
          <w:sz w:val="24"/>
        </w:rPr>
      </w:pPr>
    </w:p>
    <w:p>
      <w:pPr>
        <w:pStyle w:val="8"/>
        <w:spacing w:before="0" w:line="240" w:lineRule="atLeast"/>
        <w:ind w:left="1080" w:leftChars="257" w:hanging="540"/>
        <w:rPr>
          <w:rFonts w:ascii="仿宋" w:hAnsi="仿宋" w:eastAsia="仿宋" w:cs="仿宋"/>
          <w:color w:val="auto"/>
          <w:sz w:val="24"/>
        </w:rPr>
      </w:pPr>
      <w:bookmarkStart w:id="133" w:name="_Toc520356163"/>
      <w:bookmarkStart w:id="134" w:name="_Toc29405"/>
      <w:bookmarkStart w:id="135" w:name="_Toc13158"/>
      <w:bookmarkStart w:id="136" w:name="_Toc518923082"/>
      <w:bookmarkStart w:id="137" w:name="_Toc216582809"/>
      <w:r>
        <w:rPr>
          <w:rFonts w:hint="eastAsia" w:ascii="仿宋" w:hAnsi="仿宋" w:eastAsia="仿宋" w:cs="仿宋"/>
          <w:color w:val="auto"/>
          <w:sz w:val="24"/>
        </w:rPr>
        <w:t>五   开标及评标</w:t>
      </w:r>
      <w:bookmarkEnd w:id="133"/>
      <w:bookmarkEnd w:id="134"/>
      <w:bookmarkEnd w:id="135"/>
      <w:bookmarkEnd w:id="136"/>
      <w:bookmarkEnd w:id="137"/>
    </w:p>
    <w:p>
      <w:pPr>
        <w:pStyle w:val="11"/>
        <w:rPr>
          <w:rFonts w:ascii="仿宋" w:hAnsi="仿宋" w:eastAsia="仿宋" w:cs="仿宋"/>
          <w:color w:val="auto"/>
        </w:rPr>
      </w:pPr>
    </w:p>
    <w:p>
      <w:pPr>
        <w:pStyle w:val="9"/>
        <w:spacing w:before="0" w:after="0" w:line="240" w:lineRule="atLeast"/>
        <w:rPr>
          <w:rFonts w:ascii="仿宋" w:hAnsi="仿宋" w:eastAsia="仿宋" w:cs="仿宋"/>
          <w:color w:val="auto"/>
          <w:u w:val="none"/>
        </w:rPr>
      </w:pPr>
      <w:bookmarkStart w:id="138" w:name="_Toc520356164"/>
      <w:bookmarkStart w:id="139" w:name="_Toc518923083"/>
      <w:bookmarkStart w:id="140" w:name="_Toc31557"/>
      <w:r>
        <w:rPr>
          <w:rFonts w:hint="eastAsia" w:ascii="仿宋" w:hAnsi="仿宋" w:eastAsia="仿宋" w:cs="仿宋"/>
          <w:color w:val="auto"/>
          <w:u w:val="none"/>
        </w:rPr>
        <w:t>18.开标</w:t>
      </w:r>
      <w:bookmarkEnd w:id="138"/>
      <w:bookmarkEnd w:id="139"/>
      <w:bookmarkEnd w:id="140"/>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18.1</w:t>
      </w:r>
      <w:r>
        <w:rPr>
          <w:rFonts w:hint="eastAsia" w:ascii="仿宋" w:hAnsi="仿宋" w:eastAsia="仿宋" w:cs="仿宋"/>
          <w:color w:val="auto"/>
          <w:sz w:val="24"/>
        </w:rPr>
        <w:tab/>
      </w:r>
      <w:r>
        <w:rPr>
          <w:rFonts w:hint="eastAsia" w:ascii="仿宋" w:hAnsi="仿宋" w:eastAsia="仿宋" w:cs="仿宋"/>
          <w:color w:val="auto"/>
          <w:sz w:val="24"/>
        </w:rPr>
        <w:t>采购人和采购代理机构将按</w:t>
      </w:r>
      <w:r>
        <w:rPr>
          <w:rFonts w:hint="eastAsia" w:ascii="仿宋" w:hAnsi="仿宋" w:eastAsia="仿宋" w:cs="仿宋"/>
          <w:b/>
          <w:bCs/>
          <w:color w:val="auto"/>
          <w:sz w:val="24"/>
          <w:u w:val="single"/>
        </w:rPr>
        <w:t>供应商须知资料表</w:t>
      </w:r>
      <w:r>
        <w:rPr>
          <w:rFonts w:hint="eastAsia" w:ascii="仿宋" w:hAnsi="仿宋" w:eastAsia="仿宋" w:cs="仿宋"/>
          <w:color w:val="auto"/>
          <w:sz w:val="24"/>
        </w:rPr>
        <w:t xml:space="preserve">中规定的开标时间和地点组织公开开标活动。  </w:t>
      </w:r>
    </w:p>
    <w:p>
      <w:pPr>
        <w:spacing w:line="240" w:lineRule="atLeast"/>
        <w:ind w:firstLine="964" w:firstLineChars="400"/>
        <w:rPr>
          <w:rFonts w:ascii="仿宋" w:hAnsi="仿宋" w:eastAsia="仿宋" w:cs="仿宋"/>
          <w:color w:val="auto"/>
          <w:sz w:val="24"/>
        </w:rPr>
      </w:pPr>
      <w:r>
        <w:rPr>
          <w:rFonts w:hint="eastAsia" w:ascii="仿宋" w:hAnsi="仿宋" w:eastAsia="仿宋" w:cs="仿宋"/>
          <w:b/>
          <w:bCs/>
          <w:color w:val="auto"/>
          <w:sz w:val="24"/>
        </w:rPr>
        <w:t>供应商不足3家的，不得开标</w:t>
      </w:r>
      <w:r>
        <w:rPr>
          <w:rFonts w:hint="eastAsia" w:ascii="仿宋" w:hAnsi="仿宋" w:eastAsia="仿宋" w:cs="仿宋"/>
          <w:color w:val="auto"/>
          <w:sz w:val="24"/>
        </w:rPr>
        <w:t>。</w:t>
      </w:r>
    </w:p>
    <w:p>
      <w:pPr>
        <w:spacing w:line="240" w:lineRule="atLeast"/>
        <w:ind w:left="960" w:hanging="960" w:hangingChars="400"/>
        <w:rPr>
          <w:rFonts w:ascii="仿宋" w:hAnsi="仿宋" w:eastAsia="仿宋" w:cs="仿宋"/>
          <w:color w:val="auto"/>
          <w:sz w:val="24"/>
        </w:rPr>
      </w:pPr>
      <w:r>
        <w:rPr>
          <w:rFonts w:hint="eastAsia" w:ascii="仿宋" w:hAnsi="仿宋" w:eastAsia="仿宋" w:cs="仿宋"/>
          <w:color w:val="auto"/>
          <w:sz w:val="24"/>
        </w:rPr>
        <w:t xml:space="preserve">18.2   </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开标时，由采购人或采购代理机构当众宣读供应商名称、投标价格。</w:t>
      </w:r>
    </w:p>
    <w:p>
      <w:pPr>
        <w:spacing w:line="240" w:lineRule="atLeast"/>
        <w:ind w:left="1079" w:leftChars="428" w:hanging="180" w:hangingChars="75"/>
        <w:rPr>
          <w:rFonts w:ascii="仿宋" w:hAnsi="仿宋" w:eastAsia="仿宋" w:cs="仿宋"/>
          <w:color w:val="auto"/>
          <w:sz w:val="24"/>
        </w:rPr>
      </w:pPr>
      <w:r>
        <w:rPr>
          <w:rFonts w:hint="eastAsia" w:ascii="仿宋" w:hAnsi="仿宋" w:eastAsia="仿宋" w:cs="仿宋"/>
          <w:color w:val="auto"/>
          <w:sz w:val="24"/>
        </w:rPr>
        <w:t>未宣读投标价格等实质内容，评标时不予承认。</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18.3    采购人或采购代理机构将对开标过程进行记录</w:t>
      </w:r>
      <w:bookmarkStart w:id="141" w:name="_Toc520356165"/>
      <w:r>
        <w:rPr>
          <w:rFonts w:hint="eastAsia" w:ascii="仿宋" w:hAnsi="仿宋" w:eastAsia="仿宋" w:cs="仿宋"/>
          <w:color w:val="auto"/>
          <w:sz w:val="24"/>
        </w:rPr>
        <w:t>，由参加开标的采购人代表或监督人员和相关工作人员签字确认，并存档备查。</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18.4    供应商代表</w:t>
      </w:r>
      <w:r>
        <w:rPr>
          <w:rFonts w:hint="eastAsia" w:ascii="仿宋" w:hAnsi="仿宋" w:eastAsia="仿宋" w:cs="仿宋"/>
          <w:color w:val="auto"/>
          <w:kern w:val="0"/>
          <w:sz w:val="24"/>
        </w:rPr>
        <w:t>对开标记录有疑义，应在线上提出询问。</w:t>
      </w:r>
    </w:p>
    <w:p>
      <w:pPr>
        <w:pStyle w:val="9"/>
        <w:spacing w:before="0" w:after="0" w:line="240" w:lineRule="atLeast"/>
        <w:rPr>
          <w:rFonts w:ascii="仿宋" w:hAnsi="仿宋" w:eastAsia="仿宋" w:cs="仿宋"/>
          <w:color w:val="auto"/>
          <w:u w:val="none"/>
        </w:rPr>
      </w:pPr>
      <w:bookmarkStart w:id="142" w:name="_Toc518923084"/>
      <w:bookmarkStart w:id="143" w:name="_Toc10502"/>
      <w:r>
        <w:rPr>
          <w:rFonts w:hint="eastAsia" w:ascii="仿宋" w:hAnsi="仿宋" w:eastAsia="仿宋" w:cs="仿宋"/>
          <w:color w:val="auto"/>
          <w:u w:val="none"/>
        </w:rPr>
        <w:t>19</w:t>
      </w:r>
      <w:bookmarkEnd w:id="141"/>
      <w:r>
        <w:rPr>
          <w:rFonts w:hint="eastAsia" w:ascii="仿宋" w:hAnsi="仿宋" w:eastAsia="仿宋" w:cs="仿宋"/>
          <w:color w:val="auto"/>
          <w:u w:val="none"/>
        </w:rPr>
        <w:t>.资格审查及组建评标委员会</w:t>
      </w:r>
      <w:bookmarkEnd w:id="142"/>
      <w:bookmarkEnd w:id="143"/>
    </w:p>
    <w:p>
      <w:pPr>
        <w:spacing w:line="240" w:lineRule="atLeast"/>
        <w:ind w:left="960" w:hanging="960" w:hangingChars="400"/>
        <w:rPr>
          <w:rFonts w:ascii="仿宋" w:hAnsi="仿宋" w:eastAsia="仿宋" w:cs="仿宋"/>
          <w:color w:val="auto"/>
          <w:sz w:val="24"/>
        </w:rPr>
      </w:pPr>
      <w:r>
        <w:rPr>
          <w:rFonts w:hint="eastAsia" w:ascii="仿宋" w:hAnsi="仿宋" w:eastAsia="仿宋" w:cs="仿宋"/>
          <w:color w:val="auto"/>
          <w:sz w:val="24"/>
        </w:rPr>
        <w:t>19.1    评标委员会依据法律法规和采购文件中规定的内容，对供应商的资格进行审查。未通过资格审查的供应商不进入评标；进入评标的供应商不足3家的，不得评标。</w:t>
      </w:r>
    </w:p>
    <w:p>
      <w:pPr>
        <w:spacing w:line="240" w:lineRule="atLeast"/>
        <w:ind w:firstLine="790" w:firstLineChars="328"/>
        <w:rPr>
          <w:rFonts w:ascii="仿宋" w:hAnsi="仿宋" w:eastAsia="仿宋" w:cs="仿宋"/>
          <w:color w:val="auto"/>
          <w:sz w:val="24"/>
        </w:rPr>
      </w:pPr>
      <w:r>
        <w:rPr>
          <w:rFonts w:hint="eastAsia" w:ascii="仿宋" w:hAnsi="仿宋" w:eastAsia="仿宋" w:cs="仿宋"/>
          <w:b/>
          <w:iCs/>
          <w:color w:val="auto"/>
          <w:sz w:val="24"/>
        </w:rPr>
        <w:t>通过资格审查的供应商不足三家的，不得评标。</w:t>
      </w:r>
    </w:p>
    <w:p>
      <w:pPr>
        <w:spacing w:line="240" w:lineRule="atLeast"/>
        <w:ind w:left="720" w:hanging="720" w:hangingChars="300"/>
        <w:rPr>
          <w:rFonts w:ascii="仿宋" w:hAnsi="仿宋" w:eastAsia="仿宋" w:cs="仿宋"/>
          <w:color w:val="auto"/>
          <w:sz w:val="24"/>
        </w:rPr>
      </w:pPr>
      <w:r>
        <w:rPr>
          <w:rFonts w:hint="eastAsia" w:ascii="仿宋" w:hAnsi="仿宋" w:eastAsia="仿宋" w:cs="仿宋"/>
          <w:color w:val="auto"/>
          <w:sz w:val="24"/>
        </w:rPr>
        <w:t>19.2  采购人或采购代理机构将在开标前1个工作日至投标截止后1小时的期间内查询供应商的信用记录。供应商存在不良信用记录的，其投标将被认定为投标无效。</w:t>
      </w:r>
    </w:p>
    <w:p>
      <w:pPr>
        <w:spacing w:line="240" w:lineRule="atLeast"/>
        <w:ind w:left="720" w:hanging="720" w:hangingChars="300"/>
        <w:rPr>
          <w:rFonts w:ascii="仿宋" w:hAnsi="仿宋" w:eastAsia="仿宋" w:cs="仿宋"/>
          <w:color w:val="auto"/>
          <w:sz w:val="24"/>
        </w:rPr>
      </w:pPr>
      <w:r>
        <w:rPr>
          <w:rFonts w:hint="eastAsia" w:ascii="仿宋" w:hAnsi="仿宋" w:eastAsia="仿宋" w:cs="仿宋"/>
          <w:color w:val="auto"/>
          <w:sz w:val="24"/>
        </w:rPr>
        <w:t>19.2.1  不良信用记录指：符合《中华人民共和国政府采购法》第二十二条的规定,且必须为未被列入“信用中国”网站(www.creditchina.gov.cn)、中国政府采购网(www.ccgp.gov.cn)渠道信用记录失信被执行人、重大税收违法案件当事人名单、政府采购严重违法失信行为记录名单的供应商，国家企业公示信息系统（www.gsxt.gov.cn）查询诚信记录如有严重行政处罚信息不得参加本项目（查询结果以代理公司开标现场核查为准）</w:t>
      </w:r>
      <w:r>
        <w:rPr>
          <w:rFonts w:hint="eastAsia" w:ascii="仿宋" w:hAnsi="仿宋" w:eastAsia="仿宋" w:cs="仿宋"/>
          <w:color w:val="auto"/>
          <w:sz w:val="24"/>
          <w:lang w:eastAsia="zh-CN"/>
        </w:rPr>
        <w:t>，</w:t>
      </w:r>
      <w:r>
        <w:rPr>
          <w:rFonts w:hint="eastAsia" w:ascii="仿宋" w:hAnsi="仿宋" w:eastAsia="仿宋" w:cs="仿宋"/>
          <w:color w:val="auto"/>
          <w:sz w:val="24"/>
        </w:rPr>
        <w:t>以联合体形式参加投标的，联合体任何成员存在以上不良信用记录的，联合体投标将被认定为</w:t>
      </w:r>
      <w:r>
        <w:rPr>
          <w:rFonts w:hint="eastAsia" w:ascii="仿宋" w:hAnsi="仿宋" w:eastAsia="仿宋" w:cs="仿宋"/>
          <w:b/>
          <w:bCs/>
          <w:color w:val="auto"/>
          <w:sz w:val="24"/>
        </w:rPr>
        <w:t>投标无效</w:t>
      </w:r>
      <w:r>
        <w:rPr>
          <w:rFonts w:hint="eastAsia" w:ascii="仿宋" w:hAnsi="仿宋" w:eastAsia="仿宋" w:cs="仿宋"/>
          <w:color w:val="auto"/>
          <w:sz w:val="24"/>
        </w:rPr>
        <w:t>。</w:t>
      </w:r>
    </w:p>
    <w:p>
      <w:pPr>
        <w:pStyle w:val="11"/>
        <w:spacing w:line="240" w:lineRule="atLeast"/>
        <w:ind w:left="850" w:hanging="849" w:hangingChars="354"/>
        <w:jc w:val="both"/>
        <w:rPr>
          <w:rFonts w:ascii="仿宋" w:hAnsi="仿宋" w:eastAsia="仿宋" w:cs="仿宋"/>
          <w:color w:val="auto"/>
          <w:kern w:val="2"/>
          <w:szCs w:val="24"/>
        </w:rPr>
      </w:pPr>
      <w:r>
        <w:rPr>
          <w:rFonts w:hint="eastAsia" w:ascii="仿宋" w:hAnsi="仿宋" w:eastAsia="仿宋" w:cs="仿宋"/>
          <w:color w:val="auto"/>
        </w:rPr>
        <w:t xml:space="preserve">19.2.2 </w:t>
      </w:r>
      <w:r>
        <w:rPr>
          <w:rFonts w:hint="eastAsia" w:ascii="仿宋" w:hAnsi="仿宋" w:eastAsia="仿宋" w:cs="仿宋"/>
          <w:color w:val="auto"/>
          <w:kern w:val="2"/>
          <w:szCs w:val="24"/>
        </w:rPr>
        <w:t>查询及记录方式：采购人或采购代理机构经办人将查询网页打印、签字并存档备查。供应商不良信用记录以采购人或采购代理机构查询结果为准。</w:t>
      </w:r>
    </w:p>
    <w:p>
      <w:pPr>
        <w:pStyle w:val="11"/>
        <w:spacing w:line="240" w:lineRule="atLeast"/>
        <w:ind w:left="850" w:leftChars="405" w:firstLine="0"/>
        <w:jc w:val="both"/>
        <w:rPr>
          <w:rFonts w:ascii="仿宋" w:hAnsi="仿宋" w:eastAsia="仿宋" w:cs="仿宋"/>
          <w:color w:val="auto"/>
          <w:kern w:val="2"/>
          <w:szCs w:val="24"/>
        </w:rPr>
      </w:pPr>
      <w:r>
        <w:rPr>
          <w:rFonts w:hint="eastAsia" w:ascii="仿宋" w:hAnsi="仿宋" w:eastAsia="仿宋" w:cs="仿宋"/>
          <w:color w:val="auto"/>
          <w:kern w:val="2"/>
          <w:szCs w:val="24"/>
        </w:rPr>
        <w:t>在本采购文件规定的查询时间之后，网站信息发生的任何变更均不再作为评标依据。</w:t>
      </w:r>
    </w:p>
    <w:p>
      <w:pPr>
        <w:pStyle w:val="11"/>
        <w:spacing w:line="240" w:lineRule="atLeast"/>
        <w:ind w:left="850" w:leftChars="405" w:firstLine="0"/>
        <w:jc w:val="both"/>
        <w:rPr>
          <w:rFonts w:ascii="仿宋" w:hAnsi="仿宋" w:eastAsia="仿宋" w:cs="仿宋"/>
          <w:color w:val="auto"/>
        </w:rPr>
      </w:pPr>
      <w:r>
        <w:rPr>
          <w:rFonts w:hint="eastAsia" w:ascii="仿宋" w:hAnsi="仿宋" w:eastAsia="仿宋" w:cs="仿宋"/>
          <w:color w:val="auto"/>
          <w:kern w:val="2"/>
          <w:szCs w:val="24"/>
        </w:rPr>
        <w:t>供应商自行提供的与网站信</w:t>
      </w:r>
      <w:r>
        <w:rPr>
          <w:rFonts w:hint="eastAsia" w:ascii="仿宋" w:hAnsi="仿宋" w:eastAsia="仿宋" w:cs="仿宋"/>
          <w:color w:val="auto"/>
        </w:rPr>
        <w:t>息不一致的其他证明材料亦不作为资格审查的依据。</w:t>
      </w:r>
    </w:p>
    <w:p>
      <w:pPr>
        <w:spacing w:line="240" w:lineRule="atLeast"/>
        <w:ind w:left="850" w:hanging="849" w:hangingChars="354"/>
        <w:rPr>
          <w:rFonts w:ascii="仿宋" w:hAnsi="仿宋" w:eastAsia="仿宋" w:cs="仿宋"/>
          <w:color w:val="auto"/>
          <w:sz w:val="24"/>
        </w:rPr>
      </w:pPr>
      <w:r>
        <w:rPr>
          <w:rFonts w:hint="eastAsia" w:ascii="仿宋" w:hAnsi="仿宋" w:eastAsia="仿宋" w:cs="仿宋"/>
          <w:color w:val="auto"/>
          <w:sz w:val="24"/>
        </w:rPr>
        <w:t>19.3   按照《中华人民共和国政府采购法》、《中华人民共和国政府采购法实施条例》及本项目本级和上级财政部门的有关规定依法组建的评标委员会，负责本项目评标工作。</w:t>
      </w:r>
      <w:bookmarkStart w:id="144" w:name="_Toc520356166"/>
      <w:r>
        <w:rPr>
          <w:rFonts w:hint="eastAsia" w:ascii="仿宋" w:hAnsi="仿宋" w:eastAsia="仿宋" w:cs="仿宋"/>
          <w:b/>
          <w:bCs/>
          <w:color w:val="auto"/>
          <w:sz w:val="24"/>
          <w:u w:val="single"/>
        </w:rPr>
        <w:t>本项目评标委员会成员</w:t>
      </w:r>
      <w:r>
        <w:rPr>
          <w:rFonts w:hint="eastAsia" w:ascii="仿宋" w:hAnsi="仿宋" w:eastAsia="仿宋" w:cs="仿宋"/>
          <w:b/>
          <w:bCs/>
          <w:color w:val="auto"/>
          <w:sz w:val="24"/>
          <w:u w:val="single"/>
          <w:lang w:val="en-US" w:eastAsia="zh-CN"/>
        </w:rPr>
        <w:t>7</w:t>
      </w:r>
      <w:r>
        <w:rPr>
          <w:rFonts w:hint="eastAsia" w:ascii="仿宋" w:hAnsi="仿宋" w:eastAsia="仿宋" w:cs="仿宋"/>
          <w:b/>
          <w:bCs/>
          <w:color w:val="auto"/>
          <w:sz w:val="24"/>
          <w:u w:val="single"/>
        </w:rPr>
        <w:t>名，在政府采购网自行组建按3:1比例随机抽取。</w:t>
      </w:r>
    </w:p>
    <w:p>
      <w:pPr>
        <w:pStyle w:val="9"/>
        <w:spacing w:before="0" w:after="0" w:line="240" w:lineRule="atLeast"/>
        <w:rPr>
          <w:rFonts w:ascii="仿宋" w:hAnsi="仿宋" w:eastAsia="仿宋" w:cs="仿宋"/>
          <w:b w:val="0"/>
          <w:bCs/>
          <w:color w:val="auto"/>
          <w:bdr w:val="single" w:color="auto" w:sz="4" w:space="0"/>
        </w:rPr>
      </w:pPr>
      <w:bookmarkStart w:id="145" w:name="_Toc22401"/>
      <w:bookmarkStart w:id="146" w:name="_Toc518923085"/>
      <w:r>
        <w:rPr>
          <w:rFonts w:hint="eastAsia" w:ascii="仿宋" w:hAnsi="仿宋" w:eastAsia="仿宋" w:cs="仿宋"/>
          <w:color w:val="auto"/>
          <w:u w:val="none"/>
        </w:rPr>
        <w:t>20.投标文件的</w:t>
      </w:r>
      <w:bookmarkEnd w:id="144"/>
      <w:r>
        <w:rPr>
          <w:rFonts w:hint="eastAsia" w:ascii="仿宋" w:hAnsi="仿宋" w:eastAsia="仿宋" w:cs="仿宋"/>
          <w:color w:val="auto"/>
          <w:u w:val="none"/>
        </w:rPr>
        <w:t>符合性审查与澄清</w:t>
      </w:r>
      <w:bookmarkEnd w:id="145"/>
      <w:bookmarkEnd w:id="146"/>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20.1   符合性审查是指依据采购文件的规定，从投标文件的有效性和完整性对采购文件的响应程度进行审查，以确定是否对采购文件的实质性要求做出响应。</w:t>
      </w:r>
      <w:bookmarkStart w:id="147" w:name="_Hlt522424701"/>
      <w:bookmarkEnd w:id="147"/>
      <w:bookmarkStart w:id="148" w:name="_Toc520356167"/>
    </w:p>
    <w:p>
      <w:pPr>
        <w:spacing w:line="240" w:lineRule="atLeast"/>
        <w:ind w:left="900" w:hanging="900" w:hangingChars="375"/>
        <w:outlineLvl w:val="1"/>
        <w:rPr>
          <w:rFonts w:ascii="仿宋" w:hAnsi="仿宋" w:eastAsia="仿宋" w:cs="仿宋"/>
          <w:color w:val="auto"/>
          <w:sz w:val="24"/>
        </w:rPr>
      </w:pPr>
      <w:bookmarkStart w:id="149" w:name="_Toc25206"/>
      <w:r>
        <w:rPr>
          <w:rFonts w:hint="eastAsia" w:ascii="仿宋" w:hAnsi="仿宋" w:eastAsia="仿宋" w:cs="仿宋"/>
          <w:color w:val="auto"/>
          <w:sz w:val="24"/>
        </w:rPr>
        <w:t>20.2</w:t>
      </w:r>
      <w:r>
        <w:rPr>
          <w:rFonts w:hint="eastAsia" w:ascii="仿宋" w:hAnsi="仿宋" w:eastAsia="仿宋" w:cs="仿宋"/>
          <w:color w:val="auto"/>
          <w:sz w:val="24"/>
        </w:rPr>
        <w:tab/>
      </w:r>
      <w:r>
        <w:rPr>
          <w:rFonts w:hint="eastAsia" w:ascii="仿宋" w:hAnsi="仿宋" w:eastAsia="仿宋" w:cs="仿宋"/>
          <w:color w:val="auto"/>
          <w:sz w:val="24"/>
        </w:rPr>
        <w:t>投标文件的澄清</w:t>
      </w:r>
      <w:bookmarkEnd w:id="149"/>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20.2.1  在评标期间，评标委员会将以书面方式要求供应商对其投标文件中含义不明确、对同类问题表述不一致或者有明显文字和计算错误的内容，以及评标委员会认为供应商的报价明显低于其他通过符合性检查供应商的报价，有可能影响履约的情况作必要的澄清、说明或补正。供应商澄清、说明或补正。应在评标委员会规定的时间内以书面方式进行，并不得超出投标文件范围或者改变投标文件的实质性内容。</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20.2.2  供应商的澄清、说明或补正将作为投标文件的一部分。</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20.3   投标文件报价出现前后不一致的，按照下列规定修正：</w:t>
      </w:r>
    </w:p>
    <w:p>
      <w:pPr>
        <w:spacing w:line="240" w:lineRule="atLeast"/>
        <w:ind w:left="1020" w:hanging="1020" w:hangingChars="425"/>
        <w:rPr>
          <w:rFonts w:ascii="仿宋" w:hAnsi="仿宋" w:eastAsia="仿宋" w:cs="仿宋"/>
          <w:color w:val="auto"/>
          <w:sz w:val="24"/>
        </w:rPr>
      </w:pPr>
      <w:r>
        <w:rPr>
          <w:rFonts w:hint="eastAsia" w:ascii="仿宋" w:hAnsi="仿宋" w:eastAsia="仿宋" w:cs="仿宋"/>
          <w:color w:val="auto"/>
          <w:sz w:val="24"/>
        </w:rPr>
        <w:t>　　   （一）投标文件中</w:t>
      </w:r>
      <w:r>
        <w:rPr>
          <w:rFonts w:hint="eastAsia" w:ascii="仿宋" w:hAnsi="仿宋" w:eastAsia="仿宋" w:cs="仿宋"/>
          <w:color w:val="auto"/>
          <w:sz w:val="24"/>
          <w:lang w:eastAsia="zh-CN"/>
        </w:rPr>
        <w:t>报价表</w:t>
      </w:r>
      <w:r>
        <w:rPr>
          <w:rFonts w:hint="eastAsia" w:ascii="仿宋" w:hAnsi="仿宋" w:eastAsia="仿宋" w:cs="仿宋"/>
          <w:color w:val="auto"/>
          <w:sz w:val="24"/>
        </w:rPr>
        <w:t>内容与投标文件中相应内容不一致的，以</w:t>
      </w:r>
      <w:r>
        <w:rPr>
          <w:rFonts w:hint="eastAsia" w:ascii="仿宋" w:hAnsi="仿宋" w:eastAsia="仿宋" w:cs="仿宋"/>
          <w:color w:val="auto"/>
          <w:sz w:val="24"/>
          <w:lang w:eastAsia="zh-CN"/>
        </w:rPr>
        <w:t>报价表</w:t>
      </w:r>
      <w:r>
        <w:rPr>
          <w:rFonts w:hint="eastAsia" w:ascii="仿宋" w:hAnsi="仿宋" w:eastAsia="仿宋" w:cs="仿宋"/>
          <w:color w:val="auto"/>
          <w:sz w:val="24"/>
        </w:rPr>
        <w:t>为准；</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　　   （二）大写金额和小写金额不一致的，以大写金额为准；</w:t>
      </w:r>
    </w:p>
    <w:p>
      <w:pPr>
        <w:spacing w:line="240" w:lineRule="atLeast"/>
        <w:ind w:left="1020" w:hanging="1020" w:hangingChars="425"/>
        <w:rPr>
          <w:rFonts w:ascii="仿宋" w:hAnsi="仿宋" w:eastAsia="仿宋" w:cs="仿宋"/>
          <w:color w:val="auto"/>
          <w:sz w:val="24"/>
        </w:rPr>
      </w:pPr>
      <w:r>
        <w:rPr>
          <w:rFonts w:hint="eastAsia" w:ascii="仿宋" w:hAnsi="仿宋" w:eastAsia="仿宋" w:cs="仿宋"/>
          <w:color w:val="auto"/>
          <w:sz w:val="24"/>
        </w:rPr>
        <w:t>　   　（三）单价金额小数点或者百分比有明显错位的，以开标一览表的总价为准，并修改单价；</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　   　（四）总价金额与按单价汇总金额不一致的，以单价金额计算结果为准。</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　　    同时出现两种以上不一致的，按照前款规定的顺序修正。修正后的报价按照第20.2条的规定经供应商确认后产生约束力，供应商不确认的，将被认定为投标无效。</w:t>
      </w:r>
    </w:p>
    <w:p>
      <w:pPr>
        <w:spacing w:line="240" w:lineRule="atLeast"/>
        <w:ind w:left="735" w:leftChars="350" w:firstLine="120" w:firstLineChars="50"/>
        <w:rPr>
          <w:rFonts w:ascii="仿宋" w:hAnsi="仿宋" w:eastAsia="仿宋" w:cs="仿宋"/>
          <w:color w:val="auto"/>
          <w:sz w:val="24"/>
        </w:rPr>
      </w:pPr>
      <w:r>
        <w:rPr>
          <w:rFonts w:hint="eastAsia" w:ascii="仿宋" w:hAnsi="仿宋" w:eastAsia="仿宋" w:cs="仿宋"/>
          <w:color w:val="auto"/>
          <w:sz w:val="24"/>
        </w:rPr>
        <w:t>对不同文字文本投标文件的解释发生异议的，以中文文本为准。</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20.4   供应商为提供服务所伴随投标的产品如被列入财政部与国家主管部门颁发的节能产品目录或环境标志产品目录或无线局域网产品目录，应提供相关证明，在评标时予以优先采购，具体优先采购办法见第6章评标方法和标准。</w:t>
      </w:r>
    </w:p>
    <w:p>
      <w:pPr>
        <w:pStyle w:val="9"/>
        <w:spacing w:before="0" w:after="0" w:line="240" w:lineRule="atLeast"/>
        <w:rPr>
          <w:rFonts w:ascii="仿宋" w:hAnsi="仿宋" w:eastAsia="仿宋" w:cs="仿宋"/>
          <w:color w:val="auto"/>
          <w:u w:val="none"/>
        </w:rPr>
      </w:pPr>
      <w:bookmarkStart w:id="150" w:name="_Toc16072"/>
      <w:bookmarkStart w:id="151" w:name="_Toc518923086"/>
      <w:r>
        <w:rPr>
          <w:rFonts w:hint="eastAsia" w:ascii="仿宋" w:hAnsi="仿宋" w:eastAsia="仿宋" w:cs="仿宋"/>
          <w:color w:val="auto"/>
          <w:u w:val="none"/>
        </w:rPr>
        <w:t>21.投标偏离</w:t>
      </w:r>
      <w:bookmarkEnd w:id="150"/>
      <w:bookmarkEnd w:id="151"/>
    </w:p>
    <w:p>
      <w:pPr>
        <w:spacing w:line="240" w:lineRule="atLeast"/>
        <w:ind w:left="848" w:leftChars="99" w:hanging="640" w:hangingChars="267"/>
        <w:rPr>
          <w:rFonts w:ascii="仿宋" w:hAnsi="仿宋" w:eastAsia="仿宋" w:cs="仿宋"/>
          <w:color w:val="auto"/>
          <w:sz w:val="24"/>
        </w:rPr>
      </w:pPr>
      <w:r>
        <w:rPr>
          <w:rFonts w:hint="eastAsia" w:ascii="仿宋" w:hAnsi="仿宋" w:eastAsia="仿宋" w:cs="仿宋"/>
          <w:color w:val="auto"/>
          <w:sz w:val="24"/>
        </w:rPr>
        <w:t xml:space="preserve">     评标委员不接受投标文件中</w:t>
      </w:r>
      <w:r>
        <w:rPr>
          <w:rFonts w:hint="eastAsia" w:ascii="仿宋" w:hAnsi="仿宋" w:eastAsia="仿宋" w:cs="仿宋"/>
          <w:color w:val="auto"/>
          <w:sz w:val="24"/>
          <w:lang w:eastAsia="zh-CN"/>
        </w:rPr>
        <w:t>的</w:t>
      </w:r>
      <w:r>
        <w:rPr>
          <w:rFonts w:hint="eastAsia" w:ascii="仿宋" w:hAnsi="仿宋" w:eastAsia="仿宋" w:cs="仿宋"/>
          <w:color w:val="auto"/>
          <w:sz w:val="24"/>
        </w:rPr>
        <w:t>负偏离。</w:t>
      </w:r>
    </w:p>
    <w:p>
      <w:pPr>
        <w:pStyle w:val="9"/>
        <w:spacing w:before="0" w:after="0" w:line="240" w:lineRule="atLeast"/>
        <w:rPr>
          <w:rFonts w:ascii="仿宋" w:hAnsi="仿宋" w:eastAsia="仿宋" w:cs="仿宋"/>
          <w:color w:val="auto"/>
          <w:u w:val="none"/>
        </w:rPr>
      </w:pPr>
      <w:bookmarkStart w:id="152" w:name="_Toc518923087"/>
      <w:bookmarkStart w:id="153" w:name="_Toc8960"/>
      <w:r>
        <w:rPr>
          <w:rFonts w:hint="eastAsia" w:ascii="仿宋" w:hAnsi="仿宋" w:eastAsia="仿宋" w:cs="仿宋"/>
          <w:color w:val="auto"/>
          <w:u w:val="none"/>
        </w:rPr>
        <w:t>22.投标无效</w:t>
      </w:r>
      <w:bookmarkEnd w:id="152"/>
      <w:bookmarkEnd w:id="153"/>
    </w:p>
    <w:p>
      <w:pPr>
        <w:spacing w:line="240" w:lineRule="atLeast"/>
        <w:ind w:left="852" w:leftChars="-23" w:hanging="900" w:hangingChars="375"/>
        <w:rPr>
          <w:rFonts w:ascii="仿宋" w:hAnsi="仿宋" w:eastAsia="仿宋" w:cs="仿宋"/>
          <w:color w:val="auto"/>
          <w:sz w:val="24"/>
        </w:rPr>
      </w:pPr>
      <w:r>
        <w:rPr>
          <w:rFonts w:hint="eastAsia" w:ascii="仿宋" w:hAnsi="仿宋" w:eastAsia="仿宋" w:cs="仿宋"/>
          <w:color w:val="auto"/>
          <w:sz w:val="24"/>
        </w:rPr>
        <w:t>22.1   在比较与评价之前，根据本须知的规定，评标委员会要审查每份投标文件是否实质上响应了采购文件的要求。实质上响应的投标应该是与采购文件要求的全部条款、条件和规格相符，没有偏离的投标。对招标条款的偏离，将被认定为</w:t>
      </w:r>
      <w:r>
        <w:rPr>
          <w:rFonts w:hint="eastAsia" w:ascii="仿宋" w:hAnsi="仿宋" w:eastAsia="仿宋" w:cs="仿宋"/>
          <w:b/>
          <w:bCs/>
          <w:color w:val="auto"/>
          <w:sz w:val="24"/>
        </w:rPr>
        <w:t>投标无效</w:t>
      </w:r>
      <w:r>
        <w:rPr>
          <w:rFonts w:hint="eastAsia" w:ascii="仿宋" w:hAnsi="仿宋" w:eastAsia="仿宋" w:cs="仿宋"/>
          <w:color w:val="auto"/>
          <w:sz w:val="24"/>
        </w:rPr>
        <w:t>。供应商不得通过修正或撤销不符合要求的偏离从而使其投标成为实质上响应的投标。</w:t>
      </w:r>
    </w:p>
    <w:p>
      <w:pPr>
        <w:spacing w:line="240" w:lineRule="atLeast"/>
        <w:ind w:left="792" w:leftChars="377"/>
        <w:rPr>
          <w:rFonts w:ascii="仿宋" w:hAnsi="仿宋" w:eastAsia="仿宋" w:cs="仿宋"/>
          <w:color w:val="auto"/>
          <w:sz w:val="24"/>
        </w:rPr>
      </w:pPr>
      <w:r>
        <w:rPr>
          <w:rFonts w:hint="eastAsia" w:ascii="仿宋" w:hAnsi="仿宋" w:eastAsia="仿宋" w:cs="仿宋"/>
          <w:color w:val="auto"/>
          <w:sz w:val="24"/>
        </w:rPr>
        <w:t>评标委员会决定投标的响应性只根据采购文件要求、投标文件内容及财政主管部门指定相关信息发布媒体。</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22.2</w:t>
      </w:r>
      <w:r>
        <w:rPr>
          <w:rFonts w:hint="eastAsia" w:ascii="仿宋" w:hAnsi="仿宋" w:eastAsia="仿宋" w:cs="仿宋"/>
          <w:color w:val="auto"/>
          <w:sz w:val="24"/>
        </w:rPr>
        <w:tab/>
      </w:r>
      <w:r>
        <w:rPr>
          <w:rFonts w:hint="eastAsia" w:ascii="仿宋" w:hAnsi="仿宋" w:eastAsia="仿宋" w:cs="仿宋"/>
          <w:color w:val="auto"/>
          <w:sz w:val="24"/>
        </w:rPr>
        <w:t>如发现下列情况之一的，其投标将被认定为投标无效：（</w:t>
      </w:r>
      <w:r>
        <w:rPr>
          <w:rFonts w:hint="eastAsia" w:ascii="仿宋" w:hAnsi="仿宋" w:eastAsia="仿宋" w:cs="仿宋"/>
          <w:b/>
          <w:color w:val="auto"/>
          <w:sz w:val="24"/>
        </w:rPr>
        <w:t>以下情形应当在采购文件中规定，并以醒目的方式标明</w:t>
      </w:r>
      <w:r>
        <w:rPr>
          <w:rFonts w:hint="eastAsia" w:ascii="仿宋" w:hAnsi="仿宋" w:eastAsia="仿宋" w:cs="仿宋"/>
          <w:color w:val="auto"/>
          <w:sz w:val="24"/>
        </w:rPr>
        <w:t>）</w:t>
      </w:r>
    </w:p>
    <w:p>
      <w:pPr>
        <w:numPr>
          <w:ilvl w:val="0"/>
          <w:numId w:val="4"/>
        </w:numPr>
        <w:spacing w:line="240" w:lineRule="atLeast"/>
        <w:ind w:left="1020" w:hanging="180"/>
        <w:rPr>
          <w:rFonts w:ascii="仿宋" w:hAnsi="仿宋" w:eastAsia="仿宋" w:cs="仿宋"/>
          <w:b/>
          <w:bCs/>
          <w:color w:val="auto"/>
          <w:sz w:val="24"/>
        </w:rPr>
      </w:pPr>
      <w:r>
        <w:rPr>
          <w:rFonts w:hint="eastAsia" w:ascii="仿宋" w:hAnsi="仿宋" w:eastAsia="仿宋" w:cs="仿宋"/>
          <w:b/>
          <w:bCs/>
          <w:color w:val="auto"/>
          <w:sz w:val="24"/>
        </w:rPr>
        <w:t>未按采购文件规定的形式和金额提交投标保证金的；</w:t>
      </w:r>
    </w:p>
    <w:p>
      <w:pPr>
        <w:numPr>
          <w:ilvl w:val="0"/>
          <w:numId w:val="4"/>
        </w:numPr>
        <w:spacing w:line="240" w:lineRule="atLeast"/>
        <w:ind w:left="1020" w:hanging="180"/>
        <w:rPr>
          <w:rFonts w:ascii="仿宋" w:hAnsi="仿宋" w:eastAsia="仿宋" w:cs="仿宋"/>
          <w:b/>
          <w:bCs/>
          <w:color w:val="auto"/>
          <w:sz w:val="24"/>
        </w:rPr>
      </w:pPr>
      <w:r>
        <w:rPr>
          <w:rFonts w:hint="eastAsia" w:ascii="仿宋" w:hAnsi="仿宋" w:eastAsia="仿宋" w:cs="仿宋"/>
          <w:b/>
          <w:bCs/>
          <w:color w:val="auto"/>
          <w:sz w:val="24"/>
        </w:rPr>
        <w:t>未按照采购文件规定要求签署、盖章的；</w:t>
      </w:r>
    </w:p>
    <w:p>
      <w:pPr>
        <w:numPr>
          <w:ilvl w:val="0"/>
          <w:numId w:val="4"/>
        </w:numPr>
        <w:spacing w:line="240" w:lineRule="atLeast"/>
        <w:ind w:left="1020" w:hanging="180"/>
        <w:rPr>
          <w:rFonts w:ascii="仿宋" w:hAnsi="仿宋" w:eastAsia="仿宋" w:cs="仿宋"/>
          <w:b/>
          <w:bCs/>
          <w:color w:val="auto"/>
          <w:sz w:val="24"/>
        </w:rPr>
      </w:pPr>
      <w:r>
        <w:rPr>
          <w:rFonts w:hint="eastAsia" w:ascii="仿宋" w:hAnsi="仿宋" w:eastAsia="仿宋" w:cs="仿宋"/>
          <w:b/>
          <w:bCs/>
          <w:color w:val="auto"/>
          <w:sz w:val="24"/>
        </w:rPr>
        <w:t>未满足采购文件中技术条款的实质性要求；</w:t>
      </w:r>
    </w:p>
    <w:p>
      <w:pPr>
        <w:numPr>
          <w:ilvl w:val="0"/>
          <w:numId w:val="4"/>
        </w:numPr>
        <w:spacing w:line="240" w:lineRule="atLeast"/>
        <w:ind w:left="1020" w:hanging="180"/>
        <w:rPr>
          <w:rFonts w:ascii="仿宋" w:hAnsi="仿宋" w:eastAsia="仿宋" w:cs="仿宋"/>
          <w:b/>
          <w:bCs/>
          <w:color w:val="auto"/>
          <w:sz w:val="24"/>
        </w:rPr>
      </w:pPr>
      <w:r>
        <w:rPr>
          <w:rFonts w:hint="eastAsia" w:ascii="仿宋" w:hAnsi="仿宋" w:eastAsia="仿宋" w:cs="仿宋"/>
          <w:b/>
          <w:bCs/>
          <w:color w:val="auto"/>
          <w:sz w:val="24"/>
        </w:rPr>
        <w:t>与其他供应商串通投标，或者与招标人串通投标；</w:t>
      </w:r>
    </w:p>
    <w:p>
      <w:pPr>
        <w:numPr>
          <w:ilvl w:val="0"/>
          <w:numId w:val="4"/>
        </w:numPr>
        <w:spacing w:line="240" w:lineRule="atLeast"/>
        <w:ind w:left="1020" w:hanging="180"/>
        <w:rPr>
          <w:rFonts w:ascii="仿宋" w:hAnsi="仿宋" w:eastAsia="仿宋" w:cs="仿宋"/>
          <w:b/>
          <w:bCs/>
          <w:color w:val="auto"/>
          <w:sz w:val="24"/>
        </w:rPr>
      </w:pPr>
      <w:r>
        <w:rPr>
          <w:rFonts w:hint="eastAsia" w:ascii="仿宋" w:hAnsi="仿宋" w:eastAsia="仿宋" w:cs="仿宋"/>
          <w:b/>
          <w:bCs/>
          <w:color w:val="auto"/>
          <w:sz w:val="24"/>
        </w:rPr>
        <w:t>属于采购文件规定的其他投标无效情形；</w:t>
      </w:r>
    </w:p>
    <w:p>
      <w:pPr>
        <w:numPr>
          <w:ilvl w:val="0"/>
          <w:numId w:val="4"/>
        </w:numPr>
        <w:spacing w:line="240" w:lineRule="atLeast"/>
        <w:ind w:left="1020" w:hanging="180"/>
        <w:rPr>
          <w:rFonts w:ascii="仿宋" w:hAnsi="仿宋" w:eastAsia="仿宋" w:cs="仿宋"/>
          <w:b/>
          <w:bCs/>
          <w:color w:val="auto"/>
          <w:sz w:val="24"/>
        </w:rPr>
      </w:pPr>
      <w:r>
        <w:rPr>
          <w:rFonts w:hint="eastAsia" w:ascii="仿宋" w:hAnsi="仿宋" w:eastAsia="仿宋" w:cs="仿宋"/>
          <w:b/>
          <w:bCs/>
          <w:color w:val="auto"/>
          <w:sz w:val="24"/>
        </w:rPr>
        <w:t>评标委员会认为供应商的报价明显低于其他通过符合性检查供应商的报价，有可能影响履约的，且供应商未按照规定证明其报价合理性的；</w:t>
      </w:r>
    </w:p>
    <w:p>
      <w:pPr>
        <w:numPr>
          <w:ilvl w:val="0"/>
          <w:numId w:val="4"/>
        </w:numPr>
        <w:spacing w:line="240" w:lineRule="atLeast"/>
        <w:ind w:left="1020" w:hanging="180"/>
        <w:rPr>
          <w:rFonts w:ascii="仿宋" w:hAnsi="仿宋" w:eastAsia="仿宋" w:cs="仿宋"/>
          <w:b/>
          <w:bCs/>
          <w:color w:val="auto"/>
          <w:sz w:val="24"/>
        </w:rPr>
      </w:pPr>
      <w:r>
        <w:rPr>
          <w:rFonts w:hint="eastAsia" w:ascii="仿宋" w:hAnsi="仿宋" w:eastAsia="仿宋" w:cs="仿宋"/>
          <w:b/>
          <w:bCs/>
          <w:color w:val="auto"/>
          <w:sz w:val="24"/>
        </w:rPr>
        <w:t>投标文件含有采购人不能接受的附加条件的；</w:t>
      </w:r>
    </w:p>
    <w:p>
      <w:pPr>
        <w:numPr>
          <w:ilvl w:val="0"/>
          <w:numId w:val="4"/>
        </w:numPr>
        <w:tabs>
          <w:tab w:val="left" w:pos="0"/>
        </w:tabs>
        <w:spacing w:line="240" w:lineRule="atLeast"/>
        <w:ind w:left="1020" w:hanging="180"/>
        <w:rPr>
          <w:rFonts w:ascii="仿宋" w:hAnsi="仿宋" w:eastAsia="仿宋" w:cs="仿宋"/>
          <w:b/>
          <w:bCs/>
          <w:color w:val="auto"/>
          <w:sz w:val="24"/>
        </w:rPr>
      </w:pPr>
      <w:r>
        <w:rPr>
          <w:rFonts w:hint="eastAsia" w:ascii="仿宋" w:hAnsi="仿宋" w:eastAsia="仿宋" w:cs="仿宋"/>
          <w:b/>
          <w:bCs/>
          <w:color w:val="auto"/>
          <w:sz w:val="24"/>
        </w:rPr>
        <w:t>不符合法规和采购文件中规定的其他实质性要求的。</w:t>
      </w:r>
    </w:p>
    <w:p>
      <w:pPr>
        <w:spacing w:line="240" w:lineRule="atLeast"/>
        <w:rPr>
          <w:rFonts w:ascii="仿宋" w:hAnsi="仿宋" w:eastAsia="仿宋" w:cs="仿宋"/>
          <w:color w:val="auto"/>
        </w:rPr>
      </w:pPr>
      <w:bookmarkStart w:id="154" w:name="_Toc518923088"/>
      <w:r>
        <w:rPr>
          <w:rFonts w:hint="eastAsia" w:ascii="仿宋" w:hAnsi="仿宋" w:eastAsia="仿宋" w:cs="仿宋"/>
          <w:b/>
          <w:color w:val="auto"/>
          <w:kern w:val="0"/>
          <w:sz w:val="24"/>
          <w:szCs w:val="20"/>
        </w:rPr>
        <w:t>23</w:t>
      </w:r>
      <w:bookmarkEnd w:id="148"/>
      <w:r>
        <w:rPr>
          <w:rFonts w:hint="eastAsia" w:ascii="仿宋" w:hAnsi="仿宋" w:eastAsia="仿宋" w:cs="仿宋"/>
          <w:b/>
          <w:color w:val="auto"/>
          <w:kern w:val="0"/>
          <w:sz w:val="24"/>
          <w:szCs w:val="20"/>
        </w:rPr>
        <w:t>.比较与评价</w:t>
      </w:r>
      <w:bookmarkEnd w:id="154"/>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23.1</w:t>
      </w:r>
      <w:r>
        <w:rPr>
          <w:rFonts w:hint="eastAsia" w:ascii="仿宋" w:hAnsi="仿宋" w:eastAsia="仿宋" w:cs="仿宋"/>
          <w:color w:val="auto"/>
          <w:sz w:val="24"/>
        </w:rPr>
        <w:tab/>
      </w:r>
      <w:r>
        <w:rPr>
          <w:rFonts w:hint="eastAsia" w:ascii="仿宋" w:hAnsi="仿宋" w:eastAsia="仿宋" w:cs="仿宋"/>
          <w:color w:val="auto"/>
          <w:sz w:val="24"/>
        </w:rPr>
        <w:t>经符合性审查合格的投标文件，评标委员会将根据采购文件确定的评标方法和标准，对其技术部分和商务部分作进一步的比较和评价。</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 xml:space="preserve">23.2  </w:t>
      </w:r>
      <w:r>
        <w:rPr>
          <w:rFonts w:hint="eastAsia" w:ascii="仿宋" w:hAnsi="仿宋" w:eastAsia="仿宋" w:cs="仿宋"/>
          <w:color w:val="auto"/>
          <w:sz w:val="24"/>
        </w:rPr>
        <w:tab/>
      </w:r>
      <w:r>
        <w:rPr>
          <w:rFonts w:hint="eastAsia" w:ascii="仿宋" w:hAnsi="仿宋" w:eastAsia="仿宋" w:cs="仿宋"/>
          <w:color w:val="auto"/>
          <w:sz w:val="24"/>
        </w:rPr>
        <w:t>评标严格按照采购文件的要求和条件进行。根据实际情况，在</w:t>
      </w:r>
      <w:r>
        <w:rPr>
          <w:rFonts w:hint="eastAsia" w:ascii="仿宋" w:hAnsi="仿宋" w:eastAsia="仿宋" w:cs="仿宋"/>
          <w:color w:val="auto"/>
          <w:sz w:val="24"/>
          <w:u w:val="single"/>
        </w:rPr>
        <w:t>供应商须知资料表</w:t>
      </w:r>
      <w:r>
        <w:rPr>
          <w:rFonts w:hint="eastAsia" w:ascii="仿宋" w:hAnsi="仿宋" w:eastAsia="仿宋" w:cs="仿宋"/>
          <w:color w:val="auto"/>
          <w:sz w:val="24"/>
        </w:rPr>
        <w:t>中规定采用下列一种评标方法，具体办法详见第6章评标方法和标准：</w:t>
      </w:r>
    </w:p>
    <w:p>
      <w:pPr>
        <w:pStyle w:val="17"/>
        <w:spacing w:line="240" w:lineRule="atLeast"/>
        <w:ind w:left="899" w:leftChars="342" w:hanging="181"/>
        <w:rPr>
          <w:rFonts w:ascii="仿宋" w:hAnsi="仿宋" w:eastAsia="仿宋" w:cs="仿宋"/>
          <w:color w:val="auto"/>
          <w:sz w:val="24"/>
          <w:szCs w:val="24"/>
        </w:rPr>
      </w:pPr>
      <w:r>
        <w:rPr>
          <w:rFonts w:hint="eastAsia" w:ascii="仿宋" w:hAnsi="仿宋" w:eastAsia="仿宋" w:cs="仿宋"/>
          <w:color w:val="auto"/>
          <w:sz w:val="24"/>
          <w:szCs w:val="24"/>
        </w:rPr>
        <w:t>（1） 最低评标价法，是指投标文件满足采购文件全部实质性要求，且投标报价最低的供应商为中标候选人的评标方法。</w:t>
      </w:r>
    </w:p>
    <w:p>
      <w:pPr>
        <w:pStyle w:val="17"/>
        <w:spacing w:line="240" w:lineRule="atLeast"/>
        <w:ind w:left="898" w:leftChars="342" w:hanging="180"/>
        <w:rPr>
          <w:rFonts w:ascii="仿宋" w:hAnsi="仿宋" w:eastAsia="仿宋" w:cs="仿宋"/>
          <w:color w:val="auto"/>
          <w:sz w:val="24"/>
          <w:szCs w:val="24"/>
        </w:rPr>
      </w:pPr>
      <w:r>
        <w:rPr>
          <w:rFonts w:hint="eastAsia" w:ascii="仿宋" w:hAnsi="仿宋" w:eastAsia="仿宋" w:cs="仿宋"/>
          <w:color w:val="auto"/>
          <w:sz w:val="24"/>
          <w:szCs w:val="24"/>
        </w:rPr>
        <w:t>（2） 综合评分法，是指投标文件满足采购文件全部实质性要求，且按照评审因素的量化指标评审得分最高的供应商为中标候选人的评标方法。</w:t>
      </w:r>
    </w:p>
    <w:p>
      <w:pPr>
        <w:pStyle w:val="17"/>
        <w:spacing w:line="240" w:lineRule="atLeast"/>
        <w:ind w:left="900" w:hanging="900" w:hangingChars="375"/>
        <w:rPr>
          <w:rFonts w:ascii="仿宋" w:hAnsi="仿宋" w:eastAsia="仿宋" w:cs="仿宋"/>
          <w:color w:val="auto"/>
          <w:sz w:val="24"/>
          <w:szCs w:val="24"/>
        </w:rPr>
      </w:pPr>
      <w:r>
        <w:rPr>
          <w:rFonts w:hint="eastAsia" w:ascii="仿宋" w:hAnsi="仿宋" w:eastAsia="仿宋" w:cs="仿宋"/>
          <w:color w:val="auto"/>
          <w:sz w:val="24"/>
          <w:szCs w:val="24"/>
        </w:rPr>
        <w:t>23.3   根据《政府采购促进中小企业发展管理办法》（财库[2020]46号）、《财政部 司法部关于政府采购支持监狱企业发展有关问题的通知》（财库〔2014〕68号）和《三部门联合发布关于促进残疾人就业政府采购政策的通知》（</w:t>
      </w:r>
      <w:bookmarkStart w:id="155" w:name="sendNo"/>
      <w:r>
        <w:rPr>
          <w:rFonts w:hint="eastAsia" w:ascii="仿宋" w:hAnsi="仿宋" w:eastAsia="仿宋" w:cs="仿宋"/>
          <w:bCs/>
          <w:color w:val="auto"/>
          <w:sz w:val="24"/>
          <w:szCs w:val="24"/>
        </w:rPr>
        <w:t>财库〔</w:t>
      </w:r>
      <w:bookmarkEnd w:id="155"/>
      <w:r>
        <w:rPr>
          <w:rFonts w:hint="eastAsia" w:ascii="仿宋" w:hAnsi="仿宋" w:eastAsia="仿宋" w:cs="仿宋"/>
          <w:bCs/>
          <w:color w:val="auto"/>
          <w:sz w:val="24"/>
          <w:szCs w:val="24"/>
        </w:rPr>
        <w:t>2017〕141号</w:t>
      </w:r>
      <w:r>
        <w:rPr>
          <w:rFonts w:hint="eastAsia" w:ascii="仿宋" w:hAnsi="仿宋" w:eastAsia="仿宋" w:cs="仿宋"/>
          <w:color w:val="auto"/>
          <w:sz w:val="24"/>
          <w:szCs w:val="24"/>
        </w:rPr>
        <w:t>）的规定，对满足价格扣除条件且在投标文件中提交了《供应商企业类型声明函》或省级以上监狱管理局、戒毒管理局（含新疆生产建设兵团）出具的属于监狱企业的证明文件的供应商，其投标报价扣除6-10%后参与评审。具体办法详见采购文件</w:t>
      </w:r>
      <w:r>
        <w:rPr>
          <w:rFonts w:hint="eastAsia" w:ascii="仿宋" w:hAnsi="仿宋" w:eastAsia="仿宋" w:cs="仿宋"/>
          <w:color w:val="auto"/>
          <w:sz w:val="24"/>
        </w:rPr>
        <w:t>第6章评标方法和标准</w:t>
      </w:r>
      <w:r>
        <w:rPr>
          <w:rFonts w:hint="eastAsia" w:ascii="仿宋" w:hAnsi="仿宋" w:eastAsia="仿宋" w:cs="仿宋"/>
          <w:color w:val="auto"/>
          <w:sz w:val="24"/>
          <w:szCs w:val="24"/>
        </w:rPr>
        <w:t>。</w:t>
      </w:r>
    </w:p>
    <w:p>
      <w:pPr>
        <w:pStyle w:val="17"/>
        <w:spacing w:line="240" w:lineRule="atLeast"/>
        <w:ind w:left="900" w:hanging="900" w:hangingChars="375"/>
        <w:rPr>
          <w:rFonts w:ascii="仿宋" w:hAnsi="仿宋" w:eastAsia="仿宋" w:cs="仿宋"/>
          <w:b/>
          <w:bCs/>
          <w:color w:val="auto"/>
          <w:sz w:val="24"/>
          <w:szCs w:val="24"/>
        </w:rPr>
      </w:pPr>
      <w:r>
        <w:rPr>
          <w:rFonts w:hint="eastAsia" w:ascii="仿宋" w:hAnsi="仿宋" w:eastAsia="仿宋" w:cs="仿宋"/>
          <w:color w:val="auto"/>
          <w:sz w:val="24"/>
          <w:szCs w:val="24"/>
        </w:rPr>
        <w:t xml:space="preserve">       </w:t>
      </w:r>
      <w:r>
        <w:rPr>
          <w:rFonts w:hint="eastAsia" w:ascii="仿宋" w:hAnsi="仿宋" w:eastAsia="仿宋" w:cs="仿宋"/>
          <w:b/>
          <w:bCs/>
          <w:color w:val="auto"/>
          <w:sz w:val="24"/>
          <w:szCs w:val="24"/>
        </w:rPr>
        <w:t xml:space="preserve"> 本项目采用招标方式：公开招标，评分方法：综合评分法</w:t>
      </w:r>
    </w:p>
    <w:p>
      <w:pPr>
        <w:pStyle w:val="9"/>
        <w:spacing w:before="0" w:after="0" w:line="240" w:lineRule="atLeast"/>
        <w:rPr>
          <w:rFonts w:ascii="仿宋" w:hAnsi="仿宋" w:eastAsia="仿宋" w:cs="仿宋"/>
          <w:b w:val="0"/>
          <w:color w:val="auto"/>
          <w:kern w:val="2"/>
          <w:szCs w:val="24"/>
          <w:u w:val="none"/>
        </w:rPr>
      </w:pPr>
      <w:bookmarkStart w:id="156" w:name="_Toc520356168"/>
      <w:bookmarkStart w:id="157" w:name="_Toc4516"/>
      <w:bookmarkStart w:id="158" w:name="_Toc518923089"/>
      <w:r>
        <w:rPr>
          <w:rFonts w:hint="eastAsia" w:ascii="仿宋" w:hAnsi="仿宋" w:eastAsia="仿宋" w:cs="仿宋"/>
          <w:b w:val="0"/>
          <w:color w:val="auto"/>
          <w:kern w:val="2"/>
          <w:szCs w:val="24"/>
          <w:u w:val="none"/>
        </w:rPr>
        <w:t>24</w:t>
      </w:r>
      <w:bookmarkEnd w:id="156"/>
      <w:r>
        <w:rPr>
          <w:rFonts w:hint="eastAsia" w:ascii="仿宋" w:hAnsi="仿宋" w:eastAsia="仿宋" w:cs="仿宋"/>
          <w:b w:val="0"/>
          <w:color w:val="auto"/>
          <w:kern w:val="2"/>
          <w:szCs w:val="24"/>
          <w:u w:val="none"/>
        </w:rPr>
        <w:t>.废标</w:t>
      </w:r>
      <w:bookmarkEnd w:id="157"/>
      <w:bookmarkEnd w:id="158"/>
    </w:p>
    <w:p>
      <w:pPr>
        <w:spacing w:line="240" w:lineRule="atLeast"/>
        <w:ind w:left="898" w:leftChars="399" w:hanging="60" w:hangingChars="25"/>
        <w:rPr>
          <w:rFonts w:ascii="仿宋" w:hAnsi="仿宋" w:eastAsia="仿宋" w:cs="仿宋"/>
          <w:color w:val="auto"/>
          <w:sz w:val="24"/>
        </w:rPr>
      </w:pPr>
      <w:r>
        <w:rPr>
          <w:rFonts w:hint="eastAsia" w:ascii="仿宋" w:hAnsi="仿宋" w:eastAsia="仿宋" w:cs="仿宋"/>
          <w:color w:val="auto"/>
          <w:sz w:val="24"/>
        </w:rPr>
        <w:t xml:space="preserve">出现下列情形之一，将导致项目废标： </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ab/>
      </w:r>
      <w:r>
        <w:rPr>
          <w:rFonts w:hint="eastAsia" w:ascii="仿宋" w:hAnsi="仿宋" w:eastAsia="仿宋" w:cs="仿宋"/>
          <w:color w:val="auto"/>
          <w:sz w:val="24"/>
        </w:rPr>
        <w:t>（1）符合专业条件的供应商或者对采购文件做实质性响应的供应商不足三家；</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ab/>
      </w:r>
      <w:r>
        <w:rPr>
          <w:rFonts w:hint="eastAsia" w:ascii="仿宋" w:hAnsi="仿宋" w:eastAsia="仿宋" w:cs="仿宋"/>
          <w:color w:val="auto"/>
          <w:sz w:val="24"/>
        </w:rPr>
        <w:t>（2）出现影响采购公正的违法、违规行为的；</w:t>
      </w:r>
    </w:p>
    <w:p>
      <w:pPr>
        <w:spacing w:line="240" w:lineRule="atLeast"/>
        <w:ind w:firstLine="840" w:firstLineChars="350"/>
        <w:rPr>
          <w:rFonts w:ascii="仿宋" w:hAnsi="仿宋" w:eastAsia="仿宋" w:cs="仿宋"/>
          <w:color w:val="auto"/>
          <w:sz w:val="24"/>
        </w:rPr>
      </w:pPr>
      <w:r>
        <w:rPr>
          <w:rFonts w:hint="eastAsia" w:ascii="仿宋" w:hAnsi="仿宋" w:eastAsia="仿宋" w:cs="仿宋"/>
          <w:color w:val="auto"/>
          <w:sz w:val="24"/>
        </w:rPr>
        <w:t>（3）供应商的报价均超过了采购预算，采购人不能支付的；</w:t>
      </w:r>
    </w:p>
    <w:p>
      <w:pPr>
        <w:spacing w:line="240" w:lineRule="atLeast"/>
        <w:ind w:firstLine="840" w:firstLineChars="350"/>
        <w:rPr>
          <w:rFonts w:ascii="仿宋" w:hAnsi="仿宋" w:eastAsia="仿宋" w:cs="仿宋"/>
          <w:color w:val="auto"/>
          <w:sz w:val="24"/>
        </w:rPr>
      </w:pPr>
      <w:r>
        <w:rPr>
          <w:rFonts w:hint="eastAsia" w:ascii="仿宋" w:hAnsi="仿宋" w:eastAsia="仿宋" w:cs="仿宋"/>
          <w:color w:val="auto"/>
          <w:sz w:val="24"/>
        </w:rPr>
        <w:t xml:space="preserve">（4）因重大变故，采购任务取消的。   </w:t>
      </w:r>
    </w:p>
    <w:p>
      <w:pPr>
        <w:pStyle w:val="9"/>
        <w:spacing w:before="0" w:after="0" w:line="240" w:lineRule="atLeast"/>
        <w:rPr>
          <w:rFonts w:ascii="仿宋" w:hAnsi="仿宋" w:eastAsia="仿宋" w:cs="仿宋"/>
          <w:b w:val="0"/>
          <w:color w:val="auto"/>
          <w:kern w:val="2"/>
          <w:szCs w:val="24"/>
          <w:u w:val="none"/>
        </w:rPr>
      </w:pPr>
      <w:bookmarkStart w:id="159" w:name="_Toc518923090"/>
      <w:bookmarkStart w:id="160" w:name="_Toc30591"/>
      <w:bookmarkStart w:id="161" w:name="_Toc520356169"/>
      <w:r>
        <w:rPr>
          <w:rFonts w:hint="eastAsia" w:ascii="仿宋" w:hAnsi="仿宋" w:eastAsia="仿宋" w:cs="仿宋"/>
          <w:b w:val="0"/>
          <w:color w:val="auto"/>
          <w:kern w:val="2"/>
          <w:szCs w:val="24"/>
          <w:u w:val="none"/>
        </w:rPr>
        <w:t>25.保密原则</w:t>
      </w:r>
      <w:bookmarkEnd w:id="159"/>
      <w:bookmarkEnd w:id="160"/>
    </w:p>
    <w:p>
      <w:pPr>
        <w:spacing w:line="240" w:lineRule="atLeast"/>
        <w:ind w:left="900" w:hanging="900" w:hangingChars="375"/>
        <w:outlineLvl w:val="1"/>
        <w:rPr>
          <w:rFonts w:ascii="仿宋" w:hAnsi="仿宋" w:eastAsia="仿宋" w:cs="仿宋"/>
          <w:color w:val="auto"/>
          <w:sz w:val="24"/>
        </w:rPr>
      </w:pPr>
      <w:bookmarkStart w:id="162" w:name="_Toc5155"/>
      <w:r>
        <w:rPr>
          <w:rFonts w:hint="eastAsia" w:ascii="仿宋" w:hAnsi="仿宋" w:eastAsia="仿宋" w:cs="仿宋"/>
          <w:color w:val="auto"/>
          <w:sz w:val="24"/>
        </w:rPr>
        <w:t>25.1</w:t>
      </w:r>
      <w:r>
        <w:rPr>
          <w:rFonts w:hint="eastAsia" w:ascii="仿宋" w:hAnsi="仿宋" w:eastAsia="仿宋" w:cs="仿宋"/>
          <w:color w:val="auto"/>
          <w:sz w:val="24"/>
        </w:rPr>
        <w:tab/>
      </w:r>
      <w:r>
        <w:rPr>
          <w:rFonts w:hint="eastAsia" w:ascii="仿宋" w:hAnsi="仿宋" w:eastAsia="仿宋" w:cs="仿宋"/>
          <w:color w:val="auto"/>
          <w:sz w:val="24"/>
        </w:rPr>
        <w:t>评标将在严格保密的情况下进行。</w:t>
      </w:r>
      <w:bookmarkEnd w:id="162"/>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25.2</w:t>
      </w:r>
      <w:r>
        <w:rPr>
          <w:rFonts w:hint="eastAsia" w:ascii="仿宋" w:hAnsi="仿宋" w:eastAsia="仿宋" w:cs="仿宋"/>
          <w:color w:val="auto"/>
          <w:sz w:val="24"/>
        </w:rPr>
        <w:tab/>
      </w:r>
      <w:r>
        <w:rPr>
          <w:rFonts w:hint="eastAsia" w:ascii="仿宋" w:hAnsi="仿宋" w:eastAsia="仿宋" w:cs="仿宋"/>
          <w:color w:val="auto"/>
          <w:sz w:val="24"/>
        </w:rPr>
        <w:t>政府采购评审专家应当遵守评审工作纪律，不得泄露评审文件、评审情况和评审中获悉的商业秘密。</w:t>
      </w:r>
    </w:p>
    <w:p>
      <w:pPr>
        <w:spacing w:line="240" w:lineRule="atLeast"/>
        <w:ind w:left="1080" w:leftChars="257" w:hanging="540"/>
        <w:rPr>
          <w:rFonts w:ascii="仿宋" w:hAnsi="仿宋" w:eastAsia="仿宋" w:cs="仿宋"/>
          <w:color w:val="auto"/>
          <w:sz w:val="24"/>
        </w:rPr>
      </w:pPr>
    </w:p>
    <w:p>
      <w:pPr>
        <w:pStyle w:val="8"/>
        <w:spacing w:before="0" w:line="240" w:lineRule="atLeast"/>
        <w:ind w:left="1080" w:leftChars="257" w:hanging="540"/>
        <w:rPr>
          <w:rFonts w:ascii="仿宋" w:hAnsi="仿宋" w:eastAsia="仿宋" w:cs="仿宋"/>
          <w:color w:val="auto"/>
          <w:sz w:val="24"/>
        </w:rPr>
      </w:pPr>
      <w:bookmarkStart w:id="163" w:name="_Toc216582810"/>
      <w:bookmarkStart w:id="164" w:name="_Toc8947"/>
      <w:bookmarkStart w:id="165" w:name="_Toc518923091"/>
      <w:bookmarkStart w:id="166" w:name="_Toc25989"/>
      <w:r>
        <w:rPr>
          <w:rFonts w:hint="eastAsia" w:ascii="仿宋" w:hAnsi="仿宋" w:eastAsia="仿宋" w:cs="仿宋"/>
          <w:color w:val="auto"/>
          <w:sz w:val="24"/>
        </w:rPr>
        <w:t xml:space="preserve">六   </w:t>
      </w:r>
      <w:bookmarkEnd w:id="161"/>
      <w:r>
        <w:rPr>
          <w:rFonts w:hint="eastAsia" w:ascii="仿宋" w:hAnsi="仿宋" w:eastAsia="仿宋" w:cs="仿宋"/>
          <w:color w:val="auto"/>
          <w:sz w:val="24"/>
        </w:rPr>
        <w:t>确定中标</w:t>
      </w:r>
      <w:bookmarkEnd w:id="163"/>
      <w:bookmarkEnd w:id="164"/>
      <w:bookmarkEnd w:id="165"/>
      <w:bookmarkEnd w:id="166"/>
    </w:p>
    <w:p>
      <w:pPr>
        <w:pStyle w:val="11"/>
        <w:rPr>
          <w:rFonts w:ascii="仿宋" w:hAnsi="仿宋" w:eastAsia="仿宋" w:cs="仿宋"/>
          <w:color w:val="auto"/>
        </w:rPr>
      </w:pPr>
    </w:p>
    <w:p>
      <w:pPr>
        <w:pStyle w:val="9"/>
        <w:spacing w:before="0" w:after="0" w:line="240" w:lineRule="atLeast"/>
        <w:rPr>
          <w:rFonts w:ascii="仿宋" w:hAnsi="仿宋" w:eastAsia="仿宋" w:cs="仿宋"/>
          <w:color w:val="auto"/>
          <w:u w:val="none"/>
        </w:rPr>
      </w:pPr>
      <w:bookmarkStart w:id="167" w:name="_Ref467307010"/>
      <w:bookmarkStart w:id="168" w:name="_Toc518923092"/>
      <w:bookmarkStart w:id="169" w:name="_Toc24032"/>
      <w:bookmarkStart w:id="170" w:name="_Toc520356170"/>
      <w:r>
        <w:rPr>
          <w:rFonts w:hint="eastAsia" w:ascii="仿宋" w:hAnsi="仿宋" w:eastAsia="仿宋" w:cs="仿宋"/>
          <w:color w:val="auto"/>
          <w:u w:val="none"/>
        </w:rPr>
        <w:t>26.中标候选人的确定原则及标准</w:t>
      </w:r>
      <w:bookmarkEnd w:id="167"/>
      <w:bookmarkEnd w:id="168"/>
      <w:bookmarkEnd w:id="169"/>
      <w:bookmarkEnd w:id="170"/>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ab/>
      </w:r>
      <w:r>
        <w:rPr>
          <w:rFonts w:hint="eastAsia" w:ascii="仿宋" w:hAnsi="仿宋" w:eastAsia="仿宋" w:cs="仿宋"/>
          <w:color w:val="auto"/>
          <w:sz w:val="24"/>
        </w:rPr>
        <w:t>除第28条规定外，对实质上响应采购文件的供应商按下列方法进行排序，确定中标候选人：</w:t>
      </w:r>
    </w:p>
    <w:p>
      <w:pPr>
        <w:spacing w:line="240" w:lineRule="atLeast"/>
        <w:ind w:left="898" w:leftChars="342" w:hanging="180" w:hangingChars="75"/>
        <w:rPr>
          <w:rFonts w:ascii="仿宋" w:hAnsi="仿宋" w:eastAsia="仿宋" w:cs="仿宋"/>
          <w:color w:val="auto"/>
          <w:sz w:val="24"/>
        </w:rPr>
      </w:pPr>
      <w:r>
        <w:rPr>
          <w:rFonts w:hint="eastAsia" w:ascii="仿宋" w:hAnsi="仿宋" w:eastAsia="仿宋" w:cs="仿宋"/>
          <w:color w:val="auto"/>
          <w:sz w:val="24"/>
        </w:rPr>
        <w:t>（1）采用最低评标价法的，除了算术修正和落实政府采购政策需进行的价格扣除外，不对供应商的投标价格进行任何调整。评标结果按修正和扣除后的投标报价由低到高顺序排列。报价相同的处理方式详见采购文件四、综合评分法评分标准。</w:t>
      </w:r>
    </w:p>
    <w:p>
      <w:pPr>
        <w:spacing w:line="240" w:lineRule="atLeast"/>
        <w:ind w:left="901"/>
        <w:rPr>
          <w:rFonts w:ascii="仿宋" w:hAnsi="仿宋" w:eastAsia="仿宋" w:cs="仿宋"/>
          <w:color w:val="auto"/>
          <w:sz w:val="24"/>
        </w:rPr>
      </w:pPr>
      <w:r>
        <w:rPr>
          <w:rFonts w:hint="eastAsia" w:ascii="仿宋" w:hAnsi="仿宋" w:eastAsia="仿宋" w:cs="仿宋"/>
          <w:color w:val="auto"/>
          <w:sz w:val="24"/>
        </w:rPr>
        <w:t>（2）采用综合评分法的，评标结果按评审后得分由高到低顺序排列。得分相同的，按修正和扣除后的投标报价由低到高顺序排列。得分与投标报价均相同的处理方式详见采购文件第6章评标方法和标准。</w:t>
      </w:r>
    </w:p>
    <w:p>
      <w:pPr>
        <w:spacing w:line="240" w:lineRule="atLeast"/>
        <w:ind w:left="901"/>
        <w:rPr>
          <w:rFonts w:ascii="仿宋" w:hAnsi="仿宋" w:eastAsia="仿宋" w:cs="仿宋"/>
          <w:color w:val="auto"/>
        </w:rPr>
      </w:pPr>
      <w:r>
        <w:rPr>
          <w:rFonts w:hint="eastAsia" w:ascii="仿宋" w:hAnsi="仿宋" w:eastAsia="仿宋" w:cs="仿宋"/>
          <w:b/>
          <w:bCs/>
          <w:color w:val="auto"/>
          <w:sz w:val="24"/>
        </w:rPr>
        <w:t>本项目采用综合评分法</w:t>
      </w:r>
    </w:p>
    <w:p>
      <w:pPr>
        <w:pStyle w:val="9"/>
        <w:spacing w:before="0" w:after="0" w:line="240" w:lineRule="atLeast"/>
        <w:rPr>
          <w:rFonts w:ascii="仿宋" w:hAnsi="仿宋" w:eastAsia="仿宋" w:cs="仿宋"/>
          <w:color w:val="auto"/>
          <w:u w:val="none"/>
        </w:rPr>
      </w:pPr>
      <w:bookmarkStart w:id="171" w:name="_Toc520356171"/>
      <w:bookmarkStart w:id="172" w:name="_Toc2553"/>
      <w:bookmarkStart w:id="173" w:name="_Toc518923093"/>
      <w:r>
        <w:rPr>
          <w:rFonts w:hint="eastAsia" w:ascii="仿宋" w:hAnsi="仿宋" w:eastAsia="仿宋" w:cs="仿宋"/>
          <w:color w:val="auto"/>
          <w:u w:val="none"/>
        </w:rPr>
        <w:t>27</w:t>
      </w:r>
      <w:bookmarkEnd w:id="171"/>
      <w:r>
        <w:rPr>
          <w:rFonts w:hint="eastAsia" w:ascii="仿宋" w:hAnsi="仿宋" w:eastAsia="仿宋" w:cs="仿宋"/>
          <w:color w:val="auto"/>
          <w:u w:val="none"/>
        </w:rPr>
        <w:t>.确定中标候选人和中标人</w:t>
      </w:r>
      <w:bookmarkEnd w:id="172"/>
      <w:bookmarkEnd w:id="173"/>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ab/>
      </w:r>
      <w:r>
        <w:rPr>
          <w:rFonts w:hint="eastAsia" w:ascii="仿宋" w:hAnsi="仿宋" w:eastAsia="仿宋" w:cs="仿宋"/>
          <w:color w:val="auto"/>
          <w:sz w:val="24"/>
        </w:rPr>
        <w:t>评标委员会将根据评标标准，按</w:t>
      </w:r>
      <w:r>
        <w:rPr>
          <w:rFonts w:hint="eastAsia" w:ascii="仿宋" w:hAnsi="仿宋" w:eastAsia="仿宋" w:cs="仿宋"/>
          <w:color w:val="auto"/>
          <w:sz w:val="24"/>
          <w:u w:val="single"/>
        </w:rPr>
        <w:t>供应商须知资料表中</w:t>
      </w:r>
      <w:r>
        <w:rPr>
          <w:rFonts w:hint="eastAsia" w:ascii="仿宋" w:hAnsi="仿宋" w:eastAsia="仿宋" w:cs="仿宋"/>
          <w:color w:val="auto"/>
          <w:sz w:val="24"/>
        </w:rPr>
        <w:t>规定数量推荐中标候选人；或根据采购人的委托，直接确定中标人。</w:t>
      </w:r>
    </w:p>
    <w:p>
      <w:pPr>
        <w:pStyle w:val="9"/>
        <w:tabs>
          <w:tab w:val="left" w:pos="900"/>
        </w:tabs>
        <w:spacing w:before="0" w:after="0" w:line="240" w:lineRule="atLeast"/>
        <w:rPr>
          <w:rFonts w:ascii="仿宋" w:hAnsi="仿宋" w:eastAsia="仿宋" w:cs="仿宋"/>
          <w:color w:val="auto"/>
          <w:u w:val="none"/>
        </w:rPr>
      </w:pPr>
      <w:bookmarkStart w:id="174" w:name="_Ref467306874"/>
      <w:bookmarkStart w:id="175" w:name="_Toc520356173"/>
      <w:bookmarkStart w:id="176" w:name="_Toc518923094"/>
      <w:bookmarkStart w:id="177" w:name="_Toc28895"/>
      <w:r>
        <w:rPr>
          <w:rFonts w:hint="eastAsia" w:ascii="仿宋" w:hAnsi="仿宋" w:eastAsia="仿宋" w:cs="仿宋"/>
          <w:color w:val="auto"/>
          <w:u w:val="none"/>
        </w:rPr>
        <w:t>28</w:t>
      </w:r>
      <w:bookmarkEnd w:id="174"/>
      <w:bookmarkEnd w:id="175"/>
      <w:r>
        <w:rPr>
          <w:rFonts w:hint="eastAsia" w:ascii="仿宋" w:hAnsi="仿宋" w:eastAsia="仿宋" w:cs="仿宋"/>
          <w:color w:val="auto"/>
          <w:u w:val="none"/>
        </w:rPr>
        <w:t>.采购任务取消</w:t>
      </w:r>
      <w:bookmarkEnd w:id="176"/>
      <w:bookmarkEnd w:id="177"/>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ab/>
      </w:r>
      <w:r>
        <w:rPr>
          <w:rFonts w:hint="eastAsia" w:ascii="仿宋" w:hAnsi="仿宋" w:eastAsia="仿宋" w:cs="仿宋"/>
          <w:color w:val="auto"/>
          <w:sz w:val="24"/>
        </w:rPr>
        <w:t>因重大变故采购任务取消时，采购人有权拒绝任何供应商中标，且对受影响的供应商不承担任何责任。</w:t>
      </w:r>
      <w:bookmarkStart w:id="178" w:name="_Toc520356174"/>
    </w:p>
    <w:p>
      <w:pPr>
        <w:pStyle w:val="9"/>
        <w:spacing w:before="0" w:after="0" w:line="240" w:lineRule="atLeast"/>
        <w:rPr>
          <w:rFonts w:ascii="仿宋" w:hAnsi="仿宋" w:eastAsia="仿宋" w:cs="仿宋"/>
          <w:color w:val="auto"/>
          <w:u w:val="none"/>
        </w:rPr>
      </w:pPr>
      <w:bookmarkStart w:id="179" w:name="_Toc518923095"/>
      <w:bookmarkStart w:id="180" w:name="_Toc14989"/>
      <w:r>
        <w:rPr>
          <w:rFonts w:hint="eastAsia" w:ascii="仿宋" w:hAnsi="仿宋" w:eastAsia="仿宋" w:cs="仿宋"/>
          <w:color w:val="auto"/>
          <w:u w:val="none"/>
        </w:rPr>
        <w:t>29.中标通知书</w:t>
      </w:r>
      <w:bookmarkEnd w:id="178"/>
      <w:r>
        <w:rPr>
          <w:rFonts w:hint="eastAsia" w:ascii="仿宋" w:hAnsi="仿宋" w:eastAsia="仿宋" w:cs="仿宋"/>
          <w:color w:val="auto"/>
          <w:u w:val="none"/>
        </w:rPr>
        <w:t>和招标结果</w:t>
      </w:r>
      <w:bookmarkEnd w:id="179"/>
      <w:r>
        <w:rPr>
          <w:rFonts w:hint="eastAsia" w:ascii="仿宋" w:hAnsi="仿宋" w:eastAsia="仿宋" w:cs="仿宋"/>
          <w:color w:val="auto"/>
          <w:u w:val="none"/>
        </w:rPr>
        <w:t>公示</w:t>
      </w:r>
      <w:bookmarkEnd w:id="180"/>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29.1</w:t>
      </w:r>
      <w:r>
        <w:rPr>
          <w:rFonts w:hint="eastAsia" w:ascii="仿宋" w:hAnsi="仿宋" w:eastAsia="仿宋" w:cs="仿宋"/>
          <w:color w:val="auto"/>
          <w:sz w:val="24"/>
        </w:rPr>
        <w:tab/>
      </w:r>
      <w:r>
        <w:rPr>
          <w:rFonts w:hint="eastAsia" w:ascii="仿宋" w:hAnsi="仿宋" w:eastAsia="仿宋" w:cs="仿宋"/>
          <w:color w:val="auto"/>
          <w:sz w:val="24"/>
        </w:rPr>
        <w:t>在投标有效期内，中标人确定后，采购人或者采购代理机构发布中标公告，同时以书面形式向中标人发出中标通知书；</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29.2</w:t>
      </w:r>
      <w:r>
        <w:rPr>
          <w:rFonts w:hint="eastAsia" w:ascii="仿宋" w:hAnsi="仿宋" w:eastAsia="仿宋" w:cs="仿宋"/>
          <w:color w:val="auto"/>
          <w:sz w:val="24"/>
        </w:rPr>
        <w:tab/>
      </w:r>
      <w:r>
        <w:rPr>
          <w:rFonts w:hint="eastAsia" w:ascii="仿宋" w:hAnsi="仿宋" w:eastAsia="仿宋" w:cs="仿宋"/>
          <w:color w:val="auto"/>
          <w:sz w:val="24"/>
        </w:rPr>
        <w:t>中标通知书是合同的组成部分；</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29.3    招标结果公告和中标通知书同时发出。</w:t>
      </w:r>
    </w:p>
    <w:p>
      <w:pPr>
        <w:pStyle w:val="9"/>
        <w:spacing w:before="0" w:after="0" w:line="240" w:lineRule="atLeast"/>
        <w:rPr>
          <w:rFonts w:ascii="仿宋" w:hAnsi="仿宋" w:eastAsia="仿宋" w:cs="仿宋"/>
          <w:color w:val="auto"/>
          <w:u w:val="none"/>
        </w:rPr>
      </w:pPr>
      <w:bookmarkStart w:id="181" w:name="_Toc520356175"/>
      <w:bookmarkStart w:id="182" w:name="_Toc518923096"/>
      <w:bookmarkStart w:id="183" w:name="_Ref467306978"/>
      <w:bookmarkStart w:id="184" w:name="_Ref467307204"/>
      <w:bookmarkStart w:id="185" w:name="_Ref467307062"/>
      <w:bookmarkStart w:id="186" w:name="_Ref467306377"/>
      <w:bookmarkStart w:id="187" w:name="_Toc25228"/>
      <w:r>
        <w:rPr>
          <w:rFonts w:hint="eastAsia" w:ascii="仿宋" w:hAnsi="仿宋" w:eastAsia="仿宋" w:cs="仿宋"/>
          <w:color w:val="auto"/>
          <w:u w:val="none"/>
        </w:rPr>
        <w:t>30.签订合同</w:t>
      </w:r>
      <w:bookmarkEnd w:id="181"/>
      <w:bookmarkEnd w:id="182"/>
      <w:bookmarkEnd w:id="183"/>
      <w:bookmarkEnd w:id="184"/>
      <w:bookmarkEnd w:id="185"/>
      <w:bookmarkEnd w:id="186"/>
      <w:bookmarkEnd w:id="187"/>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30.1</w:t>
      </w:r>
      <w:r>
        <w:rPr>
          <w:rFonts w:hint="eastAsia" w:ascii="仿宋" w:hAnsi="仿宋" w:eastAsia="仿宋" w:cs="仿宋"/>
          <w:color w:val="auto"/>
          <w:sz w:val="24"/>
        </w:rPr>
        <w:tab/>
      </w:r>
      <w:r>
        <w:rPr>
          <w:rFonts w:hint="eastAsia" w:ascii="仿宋" w:hAnsi="仿宋" w:eastAsia="仿宋" w:cs="仿宋"/>
          <w:color w:val="auto"/>
          <w:sz w:val="24"/>
        </w:rPr>
        <w:t>中标人应当自发出中标通知书之日起30日内，与采购人签订合同。</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30.2</w:t>
      </w:r>
      <w:r>
        <w:rPr>
          <w:rFonts w:hint="eastAsia" w:ascii="仿宋" w:hAnsi="仿宋" w:eastAsia="仿宋" w:cs="仿宋"/>
          <w:color w:val="auto"/>
          <w:sz w:val="24"/>
        </w:rPr>
        <w:tab/>
      </w:r>
      <w:bookmarkStart w:id="188" w:name="_Ref467306425"/>
      <w:bookmarkStart w:id="189" w:name="_Ref467307090"/>
      <w:bookmarkStart w:id="190" w:name="_Toc520356176"/>
      <w:r>
        <w:rPr>
          <w:rFonts w:hint="eastAsia" w:ascii="仿宋" w:hAnsi="仿宋" w:eastAsia="仿宋" w:cs="仿宋"/>
          <w:color w:val="auto"/>
          <w:sz w:val="24"/>
        </w:rPr>
        <w:t>采购文件、中标人的投标文件及其澄清文件等，均为签订合同的依据。</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30.3   中标人拒绝与采购人签订合同的，采购人可以按照评审报告推荐的中标候选人名单排序，确定下一中标候选人为中标人，也可以重新开展政府采购活动。</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30.4   当出现法规规定的</w:t>
      </w:r>
      <w:r>
        <w:rPr>
          <w:rFonts w:hint="eastAsia" w:ascii="仿宋" w:hAnsi="仿宋" w:eastAsia="仿宋" w:cs="仿宋"/>
          <w:b/>
          <w:color w:val="auto"/>
          <w:sz w:val="24"/>
        </w:rPr>
        <w:t>中标无效或中标结果无效</w:t>
      </w:r>
      <w:r>
        <w:rPr>
          <w:rFonts w:hint="eastAsia" w:ascii="仿宋" w:hAnsi="仿宋" w:eastAsia="仿宋" w:cs="仿宋"/>
          <w:color w:val="auto"/>
          <w:sz w:val="24"/>
        </w:rPr>
        <w:t>情形时，采购人可与排名下一位的中标候选人另行签订合同，或依法重新开展采购活动。</w:t>
      </w:r>
    </w:p>
    <w:p>
      <w:pPr>
        <w:pStyle w:val="9"/>
        <w:spacing w:before="0" w:after="0" w:line="240" w:lineRule="atLeast"/>
        <w:rPr>
          <w:rFonts w:ascii="仿宋" w:hAnsi="仿宋" w:eastAsia="仿宋" w:cs="仿宋"/>
          <w:color w:val="auto"/>
          <w:u w:val="none"/>
        </w:rPr>
      </w:pPr>
      <w:bookmarkStart w:id="191" w:name="_Toc6884"/>
      <w:bookmarkStart w:id="192" w:name="_Toc518923097"/>
      <w:r>
        <w:rPr>
          <w:rFonts w:hint="eastAsia" w:ascii="仿宋" w:hAnsi="仿宋" w:eastAsia="仿宋" w:cs="仿宋"/>
          <w:color w:val="auto"/>
          <w:u w:val="none"/>
        </w:rPr>
        <w:t>31.履约保证金</w:t>
      </w:r>
      <w:bookmarkEnd w:id="188"/>
      <w:bookmarkEnd w:id="189"/>
      <w:bookmarkEnd w:id="190"/>
      <w:bookmarkEnd w:id="191"/>
      <w:bookmarkEnd w:id="192"/>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31.1</w:t>
      </w:r>
      <w:r>
        <w:rPr>
          <w:rFonts w:hint="eastAsia" w:ascii="仿宋" w:hAnsi="仿宋" w:eastAsia="仿宋" w:cs="仿宋"/>
          <w:color w:val="auto"/>
          <w:sz w:val="24"/>
        </w:rPr>
        <w:tab/>
      </w:r>
      <w:r>
        <w:rPr>
          <w:rFonts w:hint="eastAsia" w:ascii="仿宋" w:hAnsi="仿宋" w:eastAsia="仿宋" w:cs="仿宋"/>
          <w:color w:val="auto"/>
          <w:sz w:val="24"/>
        </w:rPr>
        <w:t>中标人应按照</w:t>
      </w:r>
      <w:r>
        <w:rPr>
          <w:rFonts w:hint="eastAsia" w:ascii="仿宋" w:hAnsi="仿宋" w:eastAsia="仿宋" w:cs="仿宋"/>
          <w:color w:val="auto"/>
          <w:sz w:val="24"/>
          <w:u w:val="single"/>
        </w:rPr>
        <w:t>供应商须知资料表</w:t>
      </w:r>
      <w:r>
        <w:rPr>
          <w:rFonts w:hint="eastAsia" w:ascii="仿宋" w:hAnsi="仿宋" w:eastAsia="仿宋" w:cs="仿宋"/>
          <w:color w:val="auto"/>
          <w:sz w:val="24"/>
        </w:rPr>
        <w:t>规定向采购人缴纳履约保证金（如采用保函形式，格式见本章附件1）。</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31.2</w:t>
      </w:r>
      <w:r>
        <w:rPr>
          <w:rFonts w:hint="eastAsia" w:ascii="仿宋" w:hAnsi="仿宋" w:eastAsia="仿宋" w:cs="仿宋"/>
          <w:color w:val="auto"/>
          <w:sz w:val="24"/>
        </w:rPr>
        <w:tab/>
      </w:r>
      <w:r>
        <w:rPr>
          <w:rFonts w:hint="eastAsia" w:ascii="仿宋" w:hAnsi="仿宋" w:eastAsia="仿宋" w:cs="仿宋"/>
          <w:color w:val="auto"/>
          <w:sz w:val="24"/>
        </w:rPr>
        <w:t>政府采购利用担保试点范围内的项目，除31.1规定的情形外，中标人也可以按照财政部门的规定，向采购人提供合格的履约担保函（格式见本章附件2）。</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31.3   如果中标人没有按照上述履约保证金的规定执行，将视为放弃中标资格，中标人的投标保证金将不予退还。在此情况下，采购人可确定下一候选人为中标人，也可以重新开展采购活动。</w:t>
      </w:r>
    </w:p>
    <w:p>
      <w:pPr>
        <w:pStyle w:val="9"/>
        <w:spacing w:before="0" w:after="0" w:line="240" w:lineRule="atLeast"/>
        <w:rPr>
          <w:rFonts w:ascii="仿宋" w:hAnsi="仿宋" w:eastAsia="仿宋" w:cs="仿宋"/>
          <w:color w:val="auto"/>
          <w:u w:val="none"/>
        </w:rPr>
      </w:pPr>
      <w:bookmarkStart w:id="193" w:name="_Toc25230"/>
      <w:bookmarkStart w:id="194" w:name="_Toc518923098"/>
      <w:r>
        <w:rPr>
          <w:rFonts w:hint="eastAsia" w:ascii="仿宋" w:hAnsi="仿宋" w:eastAsia="仿宋" w:cs="仿宋"/>
          <w:color w:val="auto"/>
          <w:u w:val="none"/>
        </w:rPr>
        <w:t>32.中标服务费</w:t>
      </w:r>
      <w:bookmarkEnd w:id="193"/>
      <w:bookmarkEnd w:id="194"/>
    </w:p>
    <w:p>
      <w:pPr>
        <w:spacing w:line="240" w:lineRule="atLeast"/>
        <w:ind w:left="840" w:leftChars="200" w:hanging="420" w:hangingChars="175"/>
        <w:rPr>
          <w:rFonts w:ascii="仿宋" w:hAnsi="仿宋" w:eastAsia="仿宋" w:cs="仿宋"/>
          <w:color w:val="auto"/>
          <w:sz w:val="24"/>
        </w:rPr>
      </w:pPr>
      <w:r>
        <w:rPr>
          <w:rFonts w:hint="eastAsia" w:ascii="仿宋" w:hAnsi="仿宋" w:eastAsia="仿宋" w:cs="仿宋"/>
          <w:color w:val="auto"/>
          <w:sz w:val="24"/>
        </w:rPr>
        <w:t xml:space="preserve">    中标人须按照</w:t>
      </w:r>
      <w:r>
        <w:rPr>
          <w:rFonts w:hint="eastAsia" w:ascii="仿宋" w:hAnsi="仿宋" w:eastAsia="仿宋" w:cs="仿宋"/>
          <w:color w:val="auto"/>
          <w:sz w:val="24"/>
          <w:u w:val="single"/>
        </w:rPr>
        <w:t>投标须知资料表</w:t>
      </w:r>
      <w:r>
        <w:rPr>
          <w:rFonts w:hint="eastAsia" w:ascii="仿宋" w:hAnsi="仿宋" w:eastAsia="仿宋" w:cs="仿宋"/>
          <w:color w:val="auto"/>
          <w:sz w:val="24"/>
        </w:rPr>
        <w:t>规定，向采购代理机构支付中标服务费。</w:t>
      </w:r>
    </w:p>
    <w:p>
      <w:pPr>
        <w:pStyle w:val="9"/>
        <w:spacing w:before="0" w:after="0" w:line="240" w:lineRule="atLeast"/>
        <w:rPr>
          <w:rFonts w:ascii="仿宋" w:hAnsi="仿宋" w:eastAsia="仿宋" w:cs="仿宋"/>
          <w:color w:val="auto"/>
          <w:u w:val="none"/>
        </w:rPr>
      </w:pPr>
      <w:bookmarkStart w:id="195" w:name="_Toc518923099"/>
      <w:bookmarkStart w:id="196" w:name="_Toc29804"/>
      <w:r>
        <w:rPr>
          <w:rFonts w:hint="eastAsia" w:ascii="仿宋" w:hAnsi="仿宋" w:eastAsia="仿宋" w:cs="仿宋"/>
          <w:color w:val="auto"/>
          <w:u w:val="none"/>
        </w:rPr>
        <w:t>33.政府采购信用担保</w:t>
      </w:r>
      <w:bookmarkEnd w:id="195"/>
      <w:bookmarkEnd w:id="196"/>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33.1   本项目是否属于信用担保试点范围见</w:t>
      </w:r>
      <w:r>
        <w:rPr>
          <w:rFonts w:hint="eastAsia" w:ascii="仿宋" w:hAnsi="仿宋" w:eastAsia="仿宋" w:cs="仿宋"/>
          <w:color w:val="auto"/>
          <w:sz w:val="24"/>
          <w:u w:val="single"/>
        </w:rPr>
        <w:t>供应商须知资料表</w:t>
      </w:r>
      <w:r>
        <w:rPr>
          <w:rFonts w:hint="eastAsia" w:ascii="仿宋" w:hAnsi="仿宋" w:eastAsia="仿宋" w:cs="仿宋"/>
          <w:color w:val="auto"/>
          <w:sz w:val="24"/>
        </w:rPr>
        <w:t>。</w:t>
      </w:r>
    </w:p>
    <w:p>
      <w:pPr>
        <w:spacing w:line="240" w:lineRule="atLeast"/>
        <w:ind w:left="850" w:hanging="849" w:hangingChars="354"/>
        <w:rPr>
          <w:rFonts w:ascii="仿宋" w:hAnsi="仿宋" w:eastAsia="仿宋" w:cs="仿宋"/>
          <w:color w:val="auto"/>
          <w:sz w:val="24"/>
        </w:rPr>
      </w:pPr>
      <w:r>
        <w:rPr>
          <w:rFonts w:hint="eastAsia" w:ascii="仿宋" w:hAnsi="仿宋" w:eastAsia="仿宋" w:cs="仿宋"/>
          <w:color w:val="auto"/>
          <w:sz w:val="24"/>
        </w:rPr>
        <w:t>33.2   如属于政府采购信用担保试点范围内，中小型企业供应商可以自由按照财政部门的规定，采用投标担保、履约担保和融资担保。</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33.2.1 供应商递交的投标担保函和履约担保函应符合本采购文件的规定。</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33.2.2 中标人可以采取融资担保的形式为政府采购项目履约进行融资。</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33.2.3 合格的政府采购专业信用担保机构见</w:t>
      </w:r>
      <w:r>
        <w:rPr>
          <w:rFonts w:hint="eastAsia" w:ascii="仿宋" w:hAnsi="仿宋" w:eastAsia="仿宋" w:cs="仿宋"/>
          <w:color w:val="auto"/>
          <w:sz w:val="24"/>
          <w:u w:val="single"/>
        </w:rPr>
        <w:t>供应商须知资料表</w:t>
      </w:r>
      <w:r>
        <w:rPr>
          <w:rFonts w:hint="eastAsia" w:ascii="仿宋" w:hAnsi="仿宋" w:eastAsia="仿宋" w:cs="仿宋"/>
          <w:color w:val="auto"/>
          <w:sz w:val="24"/>
        </w:rPr>
        <w:t>。</w:t>
      </w:r>
    </w:p>
    <w:p>
      <w:pPr>
        <w:pStyle w:val="9"/>
        <w:spacing w:before="0" w:after="0" w:line="240" w:lineRule="atLeast"/>
        <w:rPr>
          <w:rFonts w:ascii="仿宋" w:hAnsi="仿宋" w:eastAsia="仿宋" w:cs="仿宋"/>
          <w:color w:val="auto"/>
          <w:u w:val="none"/>
        </w:rPr>
      </w:pPr>
      <w:bookmarkStart w:id="197" w:name="_Toc518923100"/>
      <w:bookmarkStart w:id="198" w:name="_Toc4980"/>
      <w:r>
        <w:rPr>
          <w:rFonts w:hint="eastAsia" w:ascii="仿宋" w:hAnsi="仿宋" w:eastAsia="仿宋" w:cs="仿宋"/>
          <w:color w:val="auto"/>
          <w:u w:val="none"/>
        </w:rPr>
        <w:t>34.廉洁自律规定</w:t>
      </w:r>
      <w:bookmarkEnd w:id="197"/>
      <w:bookmarkEnd w:id="198"/>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34.1   采购代理机构工作人员不得以不正当手段获取政府采购代理业务，不得与采购人、供应商恶意串通操纵政府采购活动。</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34.2   采购代理机构工作人员不得接受采购人或者供应商组织的宴请、旅游、娱乐，不得收受礼品、现金、有价证券等，不得向采购人或者供应商报销应当由个人承担的费用。</w:t>
      </w:r>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34.3   为强化采购代理机构内部监督机制，供应商可按</w:t>
      </w:r>
      <w:r>
        <w:rPr>
          <w:rFonts w:hint="eastAsia" w:ascii="仿宋" w:hAnsi="仿宋" w:eastAsia="仿宋" w:cs="仿宋"/>
          <w:color w:val="auto"/>
          <w:sz w:val="24"/>
          <w:u w:val="single"/>
        </w:rPr>
        <w:t>供应商须知资料表中的</w:t>
      </w:r>
      <w:r>
        <w:rPr>
          <w:rFonts w:hint="eastAsia" w:ascii="仿宋" w:hAnsi="仿宋" w:eastAsia="仿宋" w:cs="仿宋"/>
          <w:color w:val="auto"/>
          <w:sz w:val="24"/>
        </w:rPr>
        <w:t>监督电话和信箱，反映采购代理机构的廉洁自律等问题。</w:t>
      </w:r>
    </w:p>
    <w:p>
      <w:pPr>
        <w:pStyle w:val="9"/>
        <w:spacing w:before="0" w:after="0" w:line="240" w:lineRule="atLeast"/>
        <w:rPr>
          <w:rFonts w:ascii="仿宋" w:hAnsi="仿宋" w:eastAsia="仿宋" w:cs="仿宋"/>
          <w:color w:val="auto"/>
          <w:u w:val="none"/>
        </w:rPr>
      </w:pPr>
      <w:bookmarkStart w:id="199" w:name="_Toc518923101"/>
      <w:bookmarkStart w:id="200" w:name="_Toc19172"/>
      <w:r>
        <w:rPr>
          <w:rFonts w:hint="eastAsia" w:ascii="仿宋" w:hAnsi="仿宋" w:eastAsia="仿宋" w:cs="仿宋"/>
          <w:color w:val="auto"/>
          <w:u w:val="none"/>
        </w:rPr>
        <w:t>35.人员回避</w:t>
      </w:r>
      <w:bookmarkEnd w:id="199"/>
      <w:bookmarkEnd w:id="200"/>
    </w:p>
    <w:p>
      <w:pPr>
        <w:spacing w:line="240" w:lineRule="atLeast"/>
        <w:ind w:left="900" w:hanging="900" w:hangingChars="375"/>
        <w:rPr>
          <w:rFonts w:ascii="仿宋" w:hAnsi="仿宋" w:eastAsia="仿宋" w:cs="仿宋"/>
          <w:color w:val="auto"/>
          <w:sz w:val="24"/>
        </w:rPr>
      </w:pPr>
      <w:r>
        <w:rPr>
          <w:rFonts w:hint="eastAsia" w:ascii="仿宋" w:hAnsi="仿宋" w:eastAsia="仿宋" w:cs="仿宋"/>
          <w:color w:val="auto"/>
          <w:sz w:val="24"/>
        </w:rPr>
        <w:t xml:space="preserve">       供应商认为采购人员及其相关人员有法律法规所列与其他供应商有利害关系的，可以向采购人或采购代理机构书面提出回避申请，并说明理由。</w:t>
      </w:r>
    </w:p>
    <w:p>
      <w:pPr>
        <w:pStyle w:val="9"/>
        <w:spacing w:before="0" w:after="0" w:line="240" w:lineRule="atLeast"/>
        <w:rPr>
          <w:rFonts w:ascii="仿宋" w:hAnsi="仿宋" w:eastAsia="仿宋" w:cs="仿宋"/>
          <w:color w:val="auto"/>
          <w:u w:val="none"/>
        </w:rPr>
      </w:pPr>
      <w:bookmarkStart w:id="201" w:name="_Toc518923102"/>
      <w:bookmarkStart w:id="202" w:name="_Toc28582"/>
      <w:r>
        <w:rPr>
          <w:rFonts w:hint="eastAsia" w:ascii="仿宋" w:hAnsi="仿宋" w:eastAsia="仿宋" w:cs="仿宋"/>
          <w:color w:val="auto"/>
          <w:u w:val="none"/>
        </w:rPr>
        <w:t>36.质疑与接收</w:t>
      </w:r>
      <w:bookmarkEnd w:id="201"/>
      <w:bookmarkEnd w:id="202"/>
    </w:p>
    <w:p>
      <w:pPr>
        <w:spacing w:line="240" w:lineRule="atLeast"/>
        <w:ind w:left="851" w:leftChars="68" w:hanging="708" w:hangingChars="295"/>
        <w:rPr>
          <w:rFonts w:ascii="仿宋" w:hAnsi="仿宋" w:eastAsia="仿宋" w:cs="仿宋"/>
          <w:color w:val="auto"/>
          <w:sz w:val="24"/>
        </w:rPr>
      </w:pPr>
      <w:r>
        <w:rPr>
          <w:rFonts w:hint="eastAsia" w:ascii="仿宋" w:hAnsi="仿宋" w:eastAsia="仿宋" w:cs="仿宋"/>
          <w:color w:val="auto"/>
          <w:sz w:val="24"/>
        </w:rPr>
        <w:t>36.1  供应商认为采购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spacing w:line="240" w:lineRule="atLeast"/>
        <w:ind w:left="851" w:leftChars="68" w:hanging="708" w:hangingChars="295"/>
        <w:rPr>
          <w:rFonts w:ascii="仿宋" w:hAnsi="仿宋" w:eastAsia="仿宋" w:cs="仿宋"/>
          <w:color w:val="auto"/>
          <w:sz w:val="24"/>
        </w:rPr>
      </w:pPr>
      <w:r>
        <w:rPr>
          <w:rFonts w:hint="eastAsia" w:ascii="仿宋" w:hAnsi="仿宋" w:eastAsia="仿宋" w:cs="仿宋"/>
          <w:color w:val="auto"/>
          <w:sz w:val="24"/>
        </w:rPr>
        <w:t>36.2  质疑供应商应按照财政部制定的《政府采购质疑函范本》格式（可从财政部官方网站下载）和《政府采购质疑和投诉办法》的要求，在法定质疑期内以纸质形式提出质疑，针对同一采购程序环节的质疑应一次性提出。</w:t>
      </w:r>
    </w:p>
    <w:p>
      <w:pPr>
        <w:spacing w:line="240" w:lineRule="atLeast"/>
        <w:ind w:left="851" w:leftChars="405" w:hanging="1"/>
        <w:rPr>
          <w:rFonts w:ascii="仿宋" w:hAnsi="仿宋" w:eastAsia="仿宋" w:cs="仿宋"/>
          <w:color w:val="auto"/>
          <w:sz w:val="24"/>
        </w:rPr>
      </w:pPr>
      <w:r>
        <w:rPr>
          <w:rFonts w:hint="eastAsia" w:ascii="仿宋" w:hAnsi="仿宋" w:eastAsia="仿宋" w:cs="仿宋"/>
          <w:color w:val="auto"/>
          <w:sz w:val="24"/>
        </w:rPr>
        <w:t>超出法定质疑期的、重复提出的、分次提出的或内容、形式不符合《政府采购质疑和投诉办法》的，质疑供应商将依法承担不利后果。</w:t>
      </w:r>
    </w:p>
    <w:p>
      <w:pPr>
        <w:spacing w:line="240" w:lineRule="atLeast"/>
        <w:ind w:left="851" w:leftChars="68" w:hanging="708" w:hangingChars="295"/>
        <w:rPr>
          <w:rFonts w:ascii="仿宋" w:hAnsi="仿宋" w:eastAsia="仿宋" w:cs="仿宋"/>
          <w:color w:val="auto"/>
          <w:sz w:val="24"/>
        </w:rPr>
      </w:pPr>
      <w:r>
        <w:rPr>
          <w:rFonts w:hint="eastAsia" w:ascii="仿宋" w:hAnsi="仿宋" w:eastAsia="仿宋" w:cs="仿宋"/>
          <w:color w:val="auto"/>
          <w:sz w:val="24"/>
        </w:rPr>
        <w:t>36.3  采购代理机构质疑函接收部门、联系电话和通讯地址, 见</w:t>
      </w:r>
      <w:r>
        <w:rPr>
          <w:rFonts w:hint="eastAsia" w:ascii="仿宋" w:hAnsi="仿宋" w:eastAsia="仿宋" w:cs="仿宋"/>
          <w:color w:val="auto"/>
          <w:sz w:val="24"/>
          <w:u w:val="single"/>
        </w:rPr>
        <w:t>供应商须知资料表。</w:t>
      </w:r>
    </w:p>
    <w:p>
      <w:pPr>
        <w:spacing w:line="240" w:lineRule="atLeast"/>
        <w:ind w:left="900" w:hanging="900" w:hangingChars="375"/>
        <w:rPr>
          <w:rFonts w:ascii="仿宋" w:hAnsi="仿宋" w:eastAsia="仿宋" w:cs="仿宋"/>
          <w:color w:val="auto"/>
          <w:sz w:val="24"/>
        </w:rPr>
      </w:pPr>
    </w:p>
    <w:p>
      <w:pPr>
        <w:rPr>
          <w:rFonts w:ascii="仿宋" w:hAnsi="仿宋" w:eastAsia="仿宋" w:cs="仿宋"/>
          <w:color w:val="auto"/>
        </w:rPr>
      </w:pPr>
      <w:bookmarkStart w:id="203" w:name="_Toc518923104"/>
      <w:r>
        <w:rPr>
          <w:rFonts w:hint="eastAsia" w:ascii="仿宋" w:hAnsi="仿宋" w:eastAsia="仿宋" w:cs="仿宋"/>
          <w:color w:val="auto"/>
        </w:rPr>
        <w:br w:type="page"/>
      </w:r>
    </w:p>
    <w:p>
      <w:pPr>
        <w:pStyle w:val="8"/>
        <w:spacing w:before="0" w:line="240" w:lineRule="atLeast"/>
        <w:ind w:left="1080" w:leftChars="257" w:hanging="540"/>
        <w:rPr>
          <w:rFonts w:ascii="仿宋" w:hAnsi="仿宋" w:eastAsia="仿宋" w:cs="仿宋"/>
          <w:color w:val="auto"/>
          <w:szCs w:val="24"/>
        </w:rPr>
      </w:pPr>
      <w:bookmarkStart w:id="204" w:name="_Toc10668"/>
      <w:bookmarkStart w:id="205" w:name="_Toc518923103"/>
      <w:bookmarkStart w:id="206" w:name="_Toc17951"/>
      <w:r>
        <w:rPr>
          <w:rFonts w:hint="eastAsia" w:ascii="仿宋" w:hAnsi="仿宋" w:eastAsia="仿宋" w:cs="仿宋"/>
          <w:color w:val="auto"/>
          <w:szCs w:val="24"/>
        </w:rPr>
        <w:t>附件1：履约保证金保函（格式）</w:t>
      </w:r>
      <w:bookmarkEnd w:id="204"/>
      <w:bookmarkEnd w:id="205"/>
      <w:bookmarkEnd w:id="206"/>
    </w:p>
    <w:p>
      <w:pPr>
        <w:pStyle w:val="17"/>
        <w:spacing w:line="240" w:lineRule="atLeast"/>
        <w:ind w:left="1080" w:leftChars="257" w:hanging="540"/>
        <w:rPr>
          <w:rFonts w:ascii="仿宋" w:hAnsi="仿宋" w:eastAsia="仿宋" w:cs="仿宋"/>
          <w:b/>
          <w:color w:val="auto"/>
          <w:sz w:val="24"/>
        </w:rPr>
      </w:pPr>
      <w:r>
        <w:rPr>
          <w:rFonts w:hint="eastAsia" w:ascii="仿宋" w:hAnsi="仿宋" w:eastAsia="仿宋" w:cs="仿宋"/>
          <w:b/>
          <w:color w:val="auto"/>
          <w:sz w:val="24"/>
        </w:rPr>
        <w:t xml:space="preserve">                         （本项目不适用）</w:t>
      </w:r>
    </w:p>
    <w:p>
      <w:pPr>
        <w:pStyle w:val="17"/>
        <w:spacing w:line="240" w:lineRule="atLeast"/>
        <w:ind w:left="1080" w:leftChars="257" w:hanging="540"/>
        <w:rPr>
          <w:rFonts w:ascii="仿宋" w:hAnsi="仿宋" w:eastAsia="仿宋" w:cs="仿宋"/>
          <w:b/>
          <w:color w:val="auto"/>
          <w:sz w:val="24"/>
        </w:rPr>
      </w:pPr>
    </w:p>
    <w:p>
      <w:pPr>
        <w:pStyle w:val="17"/>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color w:val="auto"/>
          <w:sz w:val="24"/>
        </w:rPr>
      </w:pPr>
      <w:r>
        <w:rPr>
          <w:rFonts w:hint="eastAsia" w:ascii="仿宋" w:hAnsi="仿宋" w:eastAsia="仿宋" w:cs="仿宋"/>
          <w:color w:val="auto"/>
          <w:sz w:val="24"/>
        </w:rPr>
        <w:t>致: (</w:t>
      </w:r>
      <w:r>
        <w:rPr>
          <w:rFonts w:hint="eastAsia" w:ascii="仿宋" w:hAnsi="仿宋" w:eastAsia="仿宋" w:cs="仿宋"/>
          <w:i/>
          <w:color w:val="auto"/>
          <w:sz w:val="24"/>
          <w:u w:val="single"/>
        </w:rPr>
        <w:t>买方名称</w:t>
      </w:r>
      <w:r>
        <w:rPr>
          <w:rFonts w:hint="eastAsia" w:ascii="仿宋" w:hAnsi="仿宋" w:eastAsia="仿宋" w:cs="仿宋"/>
          <w:color w:val="auto"/>
          <w:sz w:val="24"/>
        </w:rPr>
        <w:t>)</w:t>
      </w:r>
    </w:p>
    <w:p>
      <w:pPr>
        <w:pStyle w:val="17"/>
        <w:keepNext w:val="0"/>
        <w:keepLines w:val="0"/>
        <w:pageBreakBefore w:val="0"/>
        <w:widowControl w:val="0"/>
        <w:kinsoku/>
        <w:wordWrap/>
        <w:overflowPunct/>
        <w:topLinePunct w:val="0"/>
        <w:autoSpaceDE/>
        <w:autoSpaceDN/>
        <w:bidi w:val="0"/>
        <w:adjustRightInd/>
        <w:snapToGrid/>
        <w:spacing w:line="560" w:lineRule="exact"/>
        <w:ind w:left="1080" w:leftChars="257" w:hanging="540"/>
        <w:jc w:val="center"/>
        <w:textAlignment w:val="auto"/>
        <w:rPr>
          <w:rFonts w:ascii="仿宋" w:hAnsi="仿宋" w:eastAsia="仿宋" w:cs="仿宋"/>
          <w:color w:val="auto"/>
          <w:sz w:val="24"/>
        </w:rPr>
      </w:pPr>
      <w:r>
        <w:rPr>
          <w:rFonts w:hint="eastAsia" w:ascii="仿宋" w:hAnsi="仿宋" w:eastAsia="仿宋" w:cs="仿宋"/>
          <w:color w:val="auto"/>
          <w:sz w:val="24"/>
          <w:u w:val="single"/>
        </w:rPr>
        <w:t xml:space="preserve">             </w:t>
      </w:r>
      <w:r>
        <w:rPr>
          <w:rFonts w:hint="eastAsia" w:ascii="仿宋" w:hAnsi="仿宋" w:eastAsia="仿宋" w:cs="仿宋"/>
          <w:color w:val="auto"/>
          <w:sz w:val="24"/>
        </w:rPr>
        <w:t>号合同履约保函</w:t>
      </w:r>
    </w:p>
    <w:p>
      <w:pPr>
        <w:pStyle w:val="17"/>
        <w:keepNext w:val="0"/>
        <w:keepLines w:val="0"/>
        <w:pageBreakBefore w:val="0"/>
        <w:widowControl w:val="0"/>
        <w:kinsoku/>
        <w:wordWrap/>
        <w:overflowPunct/>
        <w:topLinePunct w:val="0"/>
        <w:autoSpaceDE/>
        <w:autoSpaceDN/>
        <w:bidi w:val="0"/>
        <w:adjustRightInd/>
        <w:snapToGrid/>
        <w:spacing w:line="560" w:lineRule="exact"/>
        <w:ind w:left="1080" w:leftChars="257" w:hanging="540"/>
        <w:jc w:val="center"/>
        <w:textAlignment w:val="auto"/>
        <w:rPr>
          <w:rFonts w:ascii="仿宋" w:hAnsi="仿宋" w:eastAsia="仿宋" w:cs="仿宋"/>
          <w:color w:val="auto"/>
          <w:sz w:val="24"/>
        </w:rPr>
      </w:pPr>
    </w:p>
    <w:p>
      <w:pPr>
        <w:pStyle w:val="17"/>
        <w:keepNext w:val="0"/>
        <w:keepLines w:val="0"/>
        <w:pageBreakBefore w:val="0"/>
        <w:widowControl w:val="0"/>
        <w:kinsoku/>
        <w:wordWrap/>
        <w:overflowPunct/>
        <w:topLinePunct w:val="0"/>
        <w:autoSpaceDE/>
        <w:autoSpaceDN/>
        <w:bidi w:val="0"/>
        <w:adjustRightInd/>
        <w:snapToGrid/>
        <w:spacing w:line="560" w:lineRule="exact"/>
        <w:ind w:firstLine="600" w:firstLineChars="250"/>
        <w:textAlignment w:val="auto"/>
        <w:rPr>
          <w:rFonts w:ascii="仿宋" w:hAnsi="仿宋" w:eastAsia="仿宋" w:cs="仿宋"/>
          <w:color w:val="auto"/>
          <w:sz w:val="24"/>
        </w:rPr>
      </w:pPr>
      <w:r>
        <w:rPr>
          <w:rFonts w:hint="eastAsia" w:ascii="仿宋" w:hAnsi="仿宋" w:eastAsia="仿宋" w:cs="仿宋"/>
          <w:color w:val="auto"/>
          <w:sz w:val="24"/>
        </w:rPr>
        <w:t>本保函作为贵方与(</w:t>
      </w:r>
      <w:r>
        <w:rPr>
          <w:rFonts w:hint="eastAsia" w:ascii="仿宋" w:hAnsi="仿宋" w:eastAsia="仿宋" w:cs="仿宋"/>
          <w:i/>
          <w:color w:val="auto"/>
          <w:sz w:val="24"/>
          <w:u w:val="single"/>
        </w:rPr>
        <w:t>卖方名称</w:t>
      </w:r>
      <w:r>
        <w:rPr>
          <w:rFonts w:hint="eastAsia" w:ascii="仿宋" w:hAnsi="仿宋" w:eastAsia="仿宋" w:cs="仿宋"/>
          <w:color w:val="auto"/>
          <w:sz w:val="24"/>
        </w:rPr>
        <w:t>)(以下简称卖方)于</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日就</w:t>
      </w:r>
      <w:r>
        <w:rPr>
          <w:rFonts w:hint="eastAsia" w:ascii="仿宋" w:hAnsi="仿宋" w:eastAsia="仿宋" w:cs="仿宋"/>
          <w:color w:val="auto"/>
          <w:sz w:val="24"/>
          <w:u w:val="single"/>
        </w:rPr>
        <w:t xml:space="preserve">                  </w:t>
      </w:r>
      <w:r>
        <w:rPr>
          <w:rFonts w:hint="eastAsia" w:ascii="仿宋" w:hAnsi="仿宋" w:eastAsia="仿宋" w:cs="仿宋"/>
          <w:color w:val="auto"/>
          <w:sz w:val="24"/>
        </w:rPr>
        <w:t>项目(以下简称项目)项下提供(</w:t>
      </w:r>
      <w:r>
        <w:rPr>
          <w:rFonts w:hint="eastAsia" w:ascii="仿宋" w:hAnsi="仿宋" w:eastAsia="仿宋" w:cs="仿宋"/>
          <w:i/>
          <w:color w:val="auto"/>
          <w:sz w:val="24"/>
          <w:u w:val="single"/>
        </w:rPr>
        <w:t>服务名称</w:t>
      </w:r>
      <w:r>
        <w:rPr>
          <w:rFonts w:hint="eastAsia" w:ascii="仿宋" w:hAnsi="仿宋" w:eastAsia="仿宋" w:cs="仿宋"/>
          <w:color w:val="auto"/>
          <w:sz w:val="24"/>
        </w:rPr>
        <w:t>)(以下简称服务)签订的(</w:t>
      </w:r>
      <w:r>
        <w:rPr>
          <w:rFonts w:hint="eastAsia" w:ascii="仿宋" w:hAnsi="仿宋" w:eastAsia="仿宋" w:cs="仿宋"/>
          <w:i/>
          <w:color w:val="auto"/>
          <w:sz w:val="24"/>
          <w:u w:val="single"/>
        </w:rPr>
        <w:t>合同号</w:t>
      </w:r>
      <w:r>
        <w:rPr>
          <w:rFonts w:hint="eastAsia" w:ascii="仿宋" w:hAnsi="仿宋" w:eastAsia="仿宋" w:cs="仿宋"/>
          <w:color w:val="auto"/>
          <w:sz w:val="24"/>
        </w:rPr>
        <w:t>)号合同的履约保函。</w:t>
      </w:r>
    </w:p>
    <w:p>
      <w:pPr>
        <w:pStyle w:val="17"/>
        <w:keepNext w:val="0"/>
        <w:keepLines w:val="0"/>
        <w:pageBreakBefore w:val="0"/>
        <w:widowControl w:val="0"/>
        <w:kinsoku/>
        <w:wordWrap/>
        <w:overflowPunct/>
        <w:topLinePunct w:val="0"/>
        <w:autoSpaceDE/>
        <w:autoSpaceDN/>
        <w:bidi w:val="0"/>
        <w:adjustRightInd/>
        <w:snapToGrid/>
        <w:spacing w:line="560" w:lineRule="exact"/>
        <w:ind w:firstLine="540" w:firstLineChars="225"/>
        <w:textAlignment w:val="auto"/>
        <w:rPr>
          <w:rFonts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i/>
          <w:color w:val="auto"/>
          <w:sz w:val="24"/>
          <w:u w:val="single"/>
        </w:rPr>
        <w:t>出具保函的银行名称</w:t>
      </w:r>
      <w:r>
        <w:rPr>
          <w:rFonts w:hint="eastAsia" w:ascii="仿宋" w:hAnsi="仿宋" w:eastAsia="仿宋" w:cs="仿宋"/>
          <w:color w:val="auto"/>
          <w:sz w:val="24"/>
        </w:rPr>
        <w:t>)(以下简称银行)无条件地、不可撤销地具结保证本行、其继承人和受让人无追索地向贵方以(</w:t>
      </w:r>
      <w:r>
        <w:rPr>
          <w:rFonts w:hint="eastAsia" w:ascii="仿宋" w:hAnsi="仿宋" w:eastAsia="仿宋" w:cs="仿宋"/>
          <w:i/>
          <w:color w:val="auto"/>
          <w:sz w:val="24"/>
          <w:u w:val="single"/>
        </w:rPr>
        <w:t>货币名称</w:t>
      </w:r>
      <w:r>
        <w:rPr>
          <w:rFonts w:hint="eastAsia" w:ascii="仿宋" w:hAnsi="仿宋" w:eastAsia="仿宋" w:cs="仿宋"/>
          <w:color w:val="auto"/>
          <w:sz w:val="24"/>
        </w:rPr>
        <w:t>)支付总额不超过(</w:t>
      </w:r>
      <w:r>
        <w:rPr>
          <w:rFonts w:hint="eastAsia" w:ascii="仿宋" w:hAnsi="仿宋" w:eastAsia="仿宋" w:cs="仿宋"/>
          <w:i/>
          <w:color w:val="auto"/>
          <w:sz w:val="24"/>
          <w:u w:val="single"/>
        </w:rPr>
        <w:t>货币数量</w:t>
      </w:r>
      <w:r>
        <w:rPr>
          <w:rFonts w:hint="eastAsia" w:ascii="仿宋" w:hAnsi="仿宋" w:eastAsia="仿宋" w:cs="仿宋"/>
          <w:color w:val="auto"/>
          <w:sz w:val="24"/>
        </w:rPr>
        <w:t>),即相当于合同价格的</w:t>
      </w:r>
      <w:r>
        <w:rPr>
          <w:rFonts w:hint="eastAsia" w:ascii="仿宋" w:hAnsi="仿宋" w:eastAsia="仿宋" w:cs="仿宋"/>
          <w:color w:val="auto"/>
          <w:sz w:val="24"/>
          <w:u w:val="single"/>
        </w:rPr>
        <w:t xml:space="preserve">     </w:t>
      </w:r>
      <w:r>
        <w:rPr>
          <w:rFonts w:hint="eastAsia" w:ascii="仿宋" w:hAnsi="仿宋" w:eastAsia="仿宋" w:cs="仿宋"/>
          <w:color w:val="auto"/>
          <w:sz w:val="24"/>
        </w:rPr>
        <w:t>%,并以此约定如下:</w:t>
      </w:r>
    </w:p>
    <w:p>
      <w:pPr>
        <w:pStyle w:val="17"/>
        <w:keepNext w:val="0"/>
        <w:keepLines w:val="0"/>
        <w:pageBreakBefore w:val="0"/>
        <w:widowControl w:val="0"/>
        <w:kinsoku/>
        <w:wordWrap/>
        <w:overflowPunct/>
        <w:topLinePunct w:val="0"/>
        <w:autoSpaceDE/>
        <w:autoSpaceDN/>
        <w:bidi w:val="0"/>
        <w:adjustRightInd/>
        <w:snapToGrid/>
        <w:spacing w:line="560" w:lineRule="exact"/>
        <w:ind w:left="540" w:leftChars="257"/>
        <w:textAlignment w:val="auto"/>
        <w:rPr>
          <w:rFonts w:ascii="仿宋" w:hAnsi="仿宋" w:eastAsia="仿宋" w:cs="仿宋"/>
          <w:color w:val="auto"/>
          <w:sz w:val="24"/>
        </w:rPr>
      </w:pPr>
      <w:r>
        <w:rPr>
          <w:rFonts w:hint="eastAsia" w:ascii="仿宋" w:hAnsi="仿宋" w:eastAsia="仿宋" w:cs="仿宋"/>
          <w:color w:val="auto"/>
          <w:sz w:val="24"/>
        </w:rPr>
        <w:t>1.只要贵方确定卖方未能忠实地履行所有合同文件的规定和双方此后一致 同意的修改、补充和变动,包括更改和/或修补贵方认为有缺陷的服务(以下简称违约),无论卖方有任何反对,本行将凭贵方关于卖方违约说明的书面通知,立即按贵方提出的累计总额不超过上述金额的款项和按贵方通知规定的方式付给贵方。</w:t>
      </w:r>
    </w:p>
    <w:p>
      <w:pPr>
        <w:pStyle w:val="17"/>
        <w:keepNext w:val="0"/>
        <w:keepLines w:val="0"/>
        <w:pageBreakBefore w:val="0"/>
        <w:widowControl w:val="0"/>
        <w:kinsoku/>
        <w:wordWrap/>
        <w:overflowPunct/>
        <w:topLinePunct w:val="0"/>
        <w:autoSpaceDE/>
        <w:autoSpaceDN/>
        <w:bidi w:val="0"/>
        <w:adjustRightInd/>
        <w:snapToGrid/>
        <w:spacing w:line="560" w:lineRule="exact"/>
        <w:ind w:left="540"/>
        <w:textAlignment w:val="auto"/>
        <w:rPr>
          <w:rFonts w:ascii="仿宋" w:hAnsi="仿宋" w:eastAsia="仿宋" w:cs="仿宋"/>
          <w:color w:val="auto"/>
          <w:sz w:val="24"/>
        </w:rPr>
      </w:pPr>
      <w:r>
        <w:rPr>
          <w:rFonts w:hint="eastAsia" w:ascii="仿宋" w:hAnsi="仿宋" w:eastAsia="仿宋" w:cs="仿宋"/>
          <w:color w:val="auto"/>
          <w:sz w:val="24"/>
        </w:rPr>
        <w:t>2.本保函项下的任何支付应为免税和净值。对于现有或将来的税收、关税、收费、费用扣减或预提税款，不论这些款项是何种性质和由谁征收，都不应从本保函项下的支付中扣除。</w:t>
      </w:r>
    </w:p>
    <w:p>
      <w:pPr>
        <w:pStyle w:val="17"/>
        <w:keepNext w:val="0"/>
        <w:keepLines w:val="0"/>
        <w:pageBreakBefore w:val="0"/>
        <w:widowControl w:val="0"/>
        <w:kinsoku/>
        <w:wordWrap/>
        <w:overflowPunct/>
        <w:topLinePunct w:val="0"/>
        <w:autoSpaceDE/>
        <w:autoSpaceDN/>
        <w:bidi w:val="0"/>
        <w:adjustRightInd/>
        <w:snapToGrid/>
        <w:spacing w:line="560" w:lineRule="exact"/>
        <w:ind w:left="540"/>
        <w:textAlignment w:val="auto"/>
        <w:rPr>
          <w:rFonts w:ascii="仿宋" w:hAnsi="仿宋" w:eastAsia="仿宋" w:cs="仿宋"/>
          <w:color w:val="auto"/>
          <w:sz w:val="24"/>
        </w:rPr>
      </w:pPr>
      <w:r>
        <w:rPr>
          <w:rFonts w:hint="eastAsia" w:ascii="仿宋" w:hAnsi="仿宋" w:eastAsia="仿宋" w:cs="仿宋"/>
          <w:color w:val="auto"/>
          <w:sz w:val="24"/>
        </w:rPr>
        <w:t>3.本保函的条款构成本行无条件的、不可撤销的直接责任。对即将履行的合同条款的任何变更、贵方在时间上的宽限、或由贵方采取的如果没有本款可能免除本行责任的任何其它行为，均不能解除或免除本行在本保函项下的责任。</w:t>
      </w:r>
    </w:p>
    <w:p>
      <w:pPr>
        <w:pStyle w:val="17"/>
        <w:keepNext w:val="0"/>
        <w:keepLines w:val="0"/>
        <w:pageBreakBefore w:val="0"/>
        <w:widowControl w:val="0"/>
        <w:kinsoku/>
        <w:wordWrap/>
        <w:overflowPunct/>
        <w:topLinePunct w:val="0"/>
        <w:autoSpaceDE/>
        <w:autoSpaceDN/>
        <w:bidi w:val="0"/>
        <w:adjustRightInd/>
        <w:snapToGrid/>
        <w:spacing w:line="560" w:lineRule="exact"/>
        <w:ind w:left="1080" w:leftChars="257" w:hanging="540"/>
        <w:textAlignment w:val="auto"/>
        <w:rPr>
          <w:rFonts w:ascii="仿宋" w:hAnsi="仿宋" w:eastAsia="仿宋" w:cs="仿宋"/>
          <w:color w:val="auto"/>
          <w:sz w:val="24"/>
        </w:rPr>
      </w:pPr>
      <w:r>
        <w:rPr>
          <w:rFonts w:hint="eastAsia" w:ascii="仿宋" w:hAnsi="仿宋" w:eastAsia="仿宋" w:cs="仿宋"/>
          <w:color w:val="auto"/>
          <w:sz w:val="24"/>
        </w:rPr>
        <w:t>4.本保函在本合同规定的保证期期满前完全有效。</w:t>
      </w:r>
    </w:p>
    <w:p>
      <w:pPr>
        <w:pStyle w:val="17"/>
        <w:keepNext w:val="0"/>
        <w:keepLines w:val="0"/>
        <w:pageBreakBefore w:val="0"/>
        <w:widowControl w:val="0"/>
        <w:kinsoku/>
        <w:wordWrap/>
        <w:overflowPunct/>
        <w:topLinePunct w:val="0"/>
        <w:autoSpaceDE/>
        <w:autoSpaceDN/>
        <w:bidi w:val="0"/>
        <w:adjustRightInd/>
        <w:snapToGrid/>
        <w:spacing w:line="560" w:lineRule="exact"/>
        <w:ind w:left="1080" w:leftChars="257" w:hanging="540"/>
        <w:textAlignment w:val="auto"/>
        <w:rPr>
          <w:rFonts w:ascii="仿宋" w:hAnsi="仿宋" w:eastAsia="仿宋" w:cs="仿宋"/>
          <w:color w:val="auto"/>
          <w:sz w:val="24"/>
        </w:rPr>
      </w:pPr>
    </w:p>
    <w:p>
      <w:pPr>
        <w:pStyle w:val="17"/>
        <w:keepNext w:val="0"/>
        <w:keepLines w:val="0"/>
        <w:pageBreakBefore w:val="0"/>
        <w:widowControl w:val="0"/>
        <w:kinsoku/>
        <w:wordWrap/>
        <w:overflowPunct/>
        <w:topLinePunct w:val="0"/>
        <w:autoSpaceDE/>
        <w:autoSpaceDN/>
        <w:bidi w:val="0"/>
        <w:adjustRightInd/>
        <w:snapToGrid/>
        <w:spacing w:line="560" w:lineRule="exact"/>
        <w:ind w:left="1080" w:leftChars="257" w:hanging="540"/>
        <w:textAlignment w:val="auto"/>
        <w:rPr>
          <w:rFonts w:ascii="仿宋" w:hAnsi="仿宋" w:eastAsia="仿宋" w:cs="仿宋"/>
          <w:color w:val="auto"/>
          <w:sz w:val="24"/>
        </w:rPr>
      </w:pPr>
      <w:r>
        <w:rPr>
          <w:rFonts w:hint="eastAsia" w:ascii="仿宋" w:hAnsi="仿宋" w:eastAsia="仿宋" w:cs="仿宋"/>
          <w:color w:val="auto"/>
          <w:sz w:val="24"/>
        </w:rPr>
        <w:t>谨启</w:t>
      </w:r>
    </w:p>
    <w:p>
      <w:pPr>
        <w:pStyle w:val="17"/>
        <w:keepNext w:val="0"/>
        <w:keepLines w:val="0"/>
        <w:pageBreakBefore w:val="0"/>
        <w:widowControl w:val="0"/>
        <w:kinsoku/>
        <w:wordWrap/>
        <w:overflowPunct/>
        <w:topLinePunct w:val="0"/>
        <w:autoSpaceDE/>
        <w:autoSpaceDN/>
        <w:bidi w:val="0"/>
        <w:adjustRightInd/>
        <w:snapToGrid/>
        <w:spacing w:line="560" w:lineRule="exact"/>
        <w:ind w:left="1080" w:leftChars="257" w:hanging="540"/>
        <w:textAlignment w:val="auto"/>
        <w:rPr>
          <w:rFonts w:ascii="仿宋" w:hAnsi="仿宋" w:eastAsia="仿宋" w:cs="仿宋"/>
          <w:color w:val="auto"/>
          <w:sz w:val="24"/>
        </w:rPr>
      </w:pPr>
      <w:r>
        <w:rPr>
          <w:rFonts w:hint="eastAsia" w:ascii="仿宋" w:hAnsi="仿宋" w:eastAsia="仿宋" w:cs="仿宋"/>
          <w:color w:val="auto"/>
          <w:sz w:val="24"/>
        </w:rPr>
        <w:t>出具保函银行名称：</w:t>
      </w:r>
      <w:r>
        <w:rPr>
          <w:rFonts w:hint="eastAsia" w:ascii="仿宋" w:hAnsi="仿宋" w:eastAsia="仿宋" w:cs="仿宋"/>
          <w:color w:val="auto"/>
          <w:sz w:val="24"/>
          <w:u w:val="single"/>
        </w:rPr>
        <w:t xml:space="preserve">                             </w:t>
      </w:r>
    </w:p>
    <w:p>
      <w:pPr>
        <w:pStyle w:val="17"/>
        <w:keepNext w:val="0"/>
        <w:keepLines w:val="0"/>
        <w:pageBreakBefore w:val="0"/>
        <w:widowControl w:val="0"/>
        <w:kinsoku/>
        <w:wordWrap/>
        <w:overflowPunct/>
        <w:topLinePunct w:val="0"/>
        <w:autoSpaceDE/>
        <w:autoSpaceDN/>
        <w:bidi w:val="0"/>
        <w:adjustRightInd/>
        <w:snapToGrid/>
        <w:spacing w:line="560" w:lineRule="exact"/>
        <w:ind w:left="1080" w:leftChars="257" w:hanging="540"/>
        <w:textAlignment w:val="auto"/>
        <w:rPr>
          <w:rFonts w:ascii="仿宋" w:hAnsi="仿宋" w:eastAsia="仿宋" w:cs="仿宋"/>
          <w:color w:val="auto"/>
          <w:sz w:val="24"/>
          <w:u w:val="single"/>
        </w:rPr>
      </w:pPr>
      <w:r>
        <w:rPr>
          <w:rFonts w:hint="eastAsia" w:ascii="仿宋" w:hAnsi="仿宋" w:eastAsia="仿宋" w:cs="仿宋"/>
          <w:color w:val="auto"/>
          <w:sz w:val="24"/>
        </w:rPr>
        <w:t>签字人姓名和职务：</w:t>
      </w:r>
      <w:r>
        <w:rPr>
          <w:rFonts w:hint="eastAsia" w:ascii="仿宋" w:hAnsi="仿宋" w:eastAsia="仿宋" w:cs="仿宋"/>
          <w:color w:val="auto"/>
          <w:sz w:val="24"/>
          <w:u w:val="single"/>
        </w:rPr>
        <w:t xml:space="preserve">                             </w:t>
      </w:r>
    </w:p>
    <w:p>
      <w:pPr>
        <w:pStyle w:val="17"/>
        <w:keepNext w:val="0"/>
        <w:keepLines w:val="0"/>
        <w:pageBreakBefore w:val="0"/>
        <w:widowControl w:val="0"/>
        <w:kinsoku/>
        <w:wordWrap/>
        <w:overflowPunct/>
        <w:topLinePunct w:val="0"/>
        <w:autoSpaceDE/>
        <w:autoSpaceDN/>
        <w:bidi w:val="0"/>
        <w:adjustRightInd/>
        <w:snapToGrid/>
        <w:spacing w:line="560" w:lineRule="exact"/>
        <w:ind w:left="1080" w:leftChars="257" w:hanging="540"/>
        <w:textAlignment w:val="auto"/>
        <w:rPr>
          <w:rFonts w:ascii="仿宋" w:hAnsi="仿宋" w:eastAsia="仿宋" w:cs="仿宋"/>
          <w:color w:val="auto"/>
          <w:sz w:val="24"/>
        </w:rPr>
      </w:pPr>
      <w:r>
        <w:rPr>
          <w:rFonts w:hint="eastAsia" w:ascii="仿宋" w:hAnsi="仿宋" w:eastAsia="仿宋" w:cs="仿宋"/>
          <w:color w:val="auto"/>
          <w:sz w:val="24"/>
        </w:rPr>
        <w:t>签字人签名：</w:t>
      </w:r>
      <w:r>
        <w:rPr>
          <w:rFonts w:hint="eastAsia" w:ascii="仿宋" w:hAnsi="仿宋" w:eastAsia="仿宋" w:cs="仿宋"/>
          <w:color w:val="auto"/>
          <w:sz w:val="24"/>
          <w:u w:val="single"/>
        </w:rPr>
        <w:t xml:space="preserve">                                   </w:t>
      </w:r>
    </w:p>
    <w:p>
      <w:pPr>
        <w:pStyle w:val="17"/>
        <w:keepNext w:val="0"/>
        <w:keepLines w:val="0"/>
        <w:pageBreakBefore w:val="0"/>
        <w:widowControl w:val="0"/>
        <w:kinsoku/>
        <w:wordWrap/>
        <w:overflowPunct/>
        <w:topLinePunct w:val="0"/>
        <w:autoSpaceDE/>
        <w:autoSpaceDN/>
        <w:bidi w:val="0"/>
        <w:adjustRightInd/>
        <w:snapToGrid/>
        <w:spacing w:line="560" w:lineRule="exact"/>
        <w:ind w:left="1080" w:leftChars="257" w:hanging="540"/>
        <w:textAlignment w:val="auto"/>
        <w:rPr>
          <w:rFonts w:ascii="仿宋" w:hAnsi="仿宋" w:eastAsia="仿宋" w:cs="仿宋"/>
          <w:color w:val="auto"/>
          <w:sz w:val="24"/>
          <w:u w:val="single"/>
        </w:rPr>
      </w:pPr>
      <w:r>
        <w:rPr>
          <w:rFonts w:hint="eastAsia" w:ascii="仿宋" w:hAnsi="仿宋" w:eastAsia="仿宋" w:cs="仿宋"/>
          <w:color w:val="auto"/>
          <w:sz w:val="24"/>
        </w:rPr>
        <w:t>公章：</w:t>
      </w:r>
      <w:r>
        <w:rPr>
          <w:rFonts w:hint="eastAsia" w:ascii="仿宋" w:hAnsi="仿宋" w:eastAsia="仿宋" w:cs="仿宋"/>
          <w:color w:val="auto"/>
          <w:sz w:val="24"/>
          <w:u w:val="single"/>
        </w:rPr>
        <w:t xml:space="preserve">                                         </w:t>
      </w:r>
    </w:p>
    <w:p>
      <w:pPr>
        <w:rPr>
          <w:rFonts w:ascii="仿宋" w:hAnsi="仿宋" w:eastAsia="仿宋" w:cs="仿宋"/>
          <w:color w:val="auto"/>
        </w:rPr>
      </w:pPr>
      <w:r>
        <w:rPr>
          <w:rFonts w:hint="eastAsia" w:ascii="仿宋" w:hAnsi="仿宋" w:eastAsia="仿宋" w:cs="仿宋"/>
          <w:color w:val="auto"/>
        </w:rPr>
        <w:br w:type="page"/>
      </w:r>
    </w:p>
    <w:p>
      <w:pPr>
        <w:pStyle w:val="4"/>
        <w:ind w:firstLine="480"/>
        <w:rPr>
          <w:color w:val="auto"/>
        </w:rPr>
      </w:pPr>
    </w:p>
    <w:p>
      <w:pPr>
        <w:pStyle w:val="8"/>
        <w:spacing w:before="0" w:line="240" w:lineRule="atLeast"/>
        <w:ind w:left="1080" w:leftChars="257" w:hanging="540"/>
        <w:rPr>
          <w:rFonts w:ascii="仿宋" w:hAnsi="仿宋" w:eastAsia="仿宋" w:cs="仿宋"/>
          <w:color w:val="auto"/>
          <w:szCs w:val="24"/>
        </w:rPr>
      </w:pPr>
      <w:bookmarkStart w:id="207" w:name="_Toc17066"/>
      <w:bookmarkStart w:id="208" w:name="_Toc24569"/>
      <w:r>
        <w:rPr>
          <w:rFonts w:hint="eastAsia" w:ascii="仿宋" w:hAnsi="仿宋" w:eastAsia="仿宋" w:cs="仿宋"/>
          <w:color w:val="auto"/>
          <w:szCs w:val="24"/>
        </w:rPr>
        <w:t>附件2：履约担保函格式</w:t>
      </w:r>
      <w:bookmarkEnd w:id="203"/>
      <w:bookmarkEnd w:id="207"/>
      <w:bookmarkEnd w:id="208"/>
    </w:p>
    <w:p>
      <w:pPr>
        <w:keepNext/>
        <w:keepLines/>
        <w:autoSpaceDE w:val="0"/>
        <w:autoSpaceDN w:val="0"/>
        <w:adjustRightInd w:val="0"/>
        <w:spacing w:line="240" w:lineRule="atLeast"/>
        <w:ind w:left="1079" w:leftChars="257" w:hanging="539"/>
        <w:jc w:val="center"/>
        <w:rPr>
          <w:rFonts w:ascii="仿宋" w:hAnsi="仿宋" w:eastAsia="仿宋" w:cs="仿宋"/>
          <w:b/>
          <w:bCs/>
          <w:color w:val="auto"/>
          <w:sz w:val="28"/>
          <w:szCs w:val="36"/>
        </w:rPr>
      </w:pPr>
      <w:bookmarkStart w:id="209" w:name="_Toc515904842"/>
      <w:bookmarkStart w:id="210" w:name="_Toc518923105"/>
      <w:r>
        <w:rPr>
          <w:rFonts w:hint="eastAsia" w:ascii="仿宋" w:hAnsi="仿宋" w:eastAsia="仿宋" w:cs="仿宋"/>
          <w:b/>
          <w:bCs/>
          <w:color w:val="auto"/>
          <w:sz w:val="28"/>
          <w:szCs w:val="36"/>
        </w:rPr>
        <w:t>（采用政府采购信用担保形式时使用）</w:t>
      </w:r>
      <w:bookmarkEnd w:id="209"/>
      <w:bookmarkEnd w:id="210"/>
    </w:p>
    <w:p>
      <w:pPr>
        <w:spacing w:line="240" w:lineRule="atLeast"/>
        <w:ind w:left="1080" w:leftChars="257" w:hanging="540"/>
        <w:rPr>
          <w:rFonts w:ascii="仿宋" w:hAnsi="仿宋" w:eastAsia="仿宋" w:cs="仿宋"/>
          <w:b/>
          <w:color w:val="auto"/>
          <w:kern w:val="0"/>
          <w:sz w:val="24"/>
          <w:szCs w:val="20"/>
        </w:rPr>
      </w:pPr>
    </w:p>
    <w:p>
      <w:pPr>
        <w:jc w:val="center"/>
        <w:rPr>
          <w:rFonts w:ascii="仿宋" w:hAnsi="仿宋" w:eastAsia="仿宋" w:cs="仿宋"/>
          <w:color w:val="auto"/>
          <w:sz w:val="24"/>
        </w:rPr>
      </w:pPr>
      <w:r>
        <w:rPr>
          <w:rFonts w:hint="eastAsia" w:ascii="仿宋" w:hAnsi="仿宋" w:eastAsia="仿宋" w:cs="仿宋"/>
          <w:color w:val="auto"/>
          <w:sz w:val="24"/>
        </w:rPr>
        <w:t>政府采购履约担保函（项目用）</w:t>
      </w:r>
    </w:p>
    <w:p>
      <w:pPr>
        <w:rPr>
          <w:rFonts w:ascii="仿宋" w:hAnsi="仿宋" w:eastAsia="仿宋" w:cs="仿宋"/>
          <w:color w:val="auto"/>
          <w:sz w:val="24"/>
        </w:rPr>
      </w:pPr>
      <w:r>
        <w:rPr>
          <w:rFonts w:hint="eastAsia" w:ascii="仿宋" w:hAnsi="仿宋" w:eastAsia="仿宋" w:cs="仿宋"/>
          <w:color w:val="auto"/>
          <w:sz w:val="24"/>
        </w:rPr>
        <w:t xml:space="preserve">                                                   编号：</w:t>
      </w:r>
    </w:p>
    <w:p>
      <w:pPr>
        <w:rPr>
          <w:rFonts w:ascii="仿宋" w:hAnsi="仿宋" w:eastAsia="仿宋" w:cs="仿宋"/>
          <w:color w:val="auto"/>
          <w:sz w:val="24"/>
        </w:rPr>
      </w:pPr>
    </w:p>
    <w:p>
      <w:pPr>
        <w:rPr>
          <w:rFonts w:ascii="仿宋" w:hAnsi="仿宋" w:eastAsia="仿宋" w:cs="仿宋"/>
          <w:color w:val="auto"/>
          <w:sz w:val="24"/>
        </w:rPr>
      </w:pPr>
      <w:r>
        <w:rPr>
          <w:rFonts w:hint="eastAsia" w:ascii="仿宋" w:hAnsi="仿宋" w:eastAsia="仿宋" w:cs="仿宋"/>
          <w:color w:val="auto"/>
          <w:sz w:val="24"/>
          <w:u w:val="single"/>
        </w:rPr>
        <w:t xml:space="preserve">                  </w:t>
      </w:r>
      <w:r>
        <w:rPr>
          <w:rFonts w:hint="eastAsia" w:ascii="仿宋" w:hAnsi="仿宋" w:eastAsia="仿宋" w:cs="仿宋"/>
          <w:color w:val="auto"/>
          <w:sz w:val="24"/>
        </w:rPr>
        <w:t>（采购人）：</w:t>
      </w:r>
    </w:p>
    <w:p>
      <w:pPr>
        <w:rPr>
          <w:rFonts w:ascii="仿宋" w:hAnsi="仿宋" w:eastAsia="仿宋" w:cs="仿宋"/>
          <w:color w:val="auto"/>
          <w:sz w:val="24"/>
        </w:rPr>
      </w:pPr>
    </w:p>
    <w:p>
      <w:pPr>
        <w:ind w:firstLine="480" w:firstLineChars="200"/>
        <w:rPr>
          <w:rFonts w:ascii="仿宋" w:hAnsi="仿宋" w:eastAsia="仿宋" w:cs="仿宋"/>
          <w:color w:val="auto"/>
          <w:sz w:val="24"/>
        </w:rPr>
      </w:pPr>
      <w:r>
        <w:rPr>
          <w:rFonts w:hint="eastAsia" w:ascii="仿宋" w:hAnsi="仿宋" w:eastAsia="仿宋" w:cs="仿宋"/>
          <w:color w:val="auto"/>
          <w:sz w:val="24"/>
        </w:rPr>
        <w:t>鉴于你方与</w:t>
      </w:r>
      <w:r>
        <w:rPr>
          <w:rFonts w:hint="eastAsia" w:ascii="仿宋" w:hAnsi="仿宋" w:eastAsia="仿宋" w:cs="仿宋"/>
          <w:color w:val="auto"/>
          <w:sz w:val="24"/>
          <w:u w:val="single"/>
        </w:rPr>
        <w:t xml:space="preserve">                    </w:t>
      </w:r>
      <w:r>
        <w:rPr>
          <w:rFonts w:hint="eastAsia" w:ascii="仿宋" w:hAnsi="仿宋" w:eastAsia="仿宋" w:cs="仿宋"/>
          <w:color w:val="auto"/>
          <w:sz w:val="24"/>
        </w:rPr>
        <w:t>（以下简称供应商）于</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日签定编号为   的《</w:t>
      </w:r>
      <w:r>
        <w:rPr>
          <w:rFonts w:hint="eastAsia" w:ascii="仿宋" w:hAnsi="仿宋" w:eastAsia="仿宋" w:cs="仿宋"/>
          <w:color w:val="auto"/>
          <w:sz w:val="24"/>
          <w:u w:val="single"/>
        </w:rPr>
        <w:t xml:space="preserve">           </w:t>
      </w:r>
      <w:r>
        <w:rPr>
          <w:rFonts w:hint="eastAsia" w:ascii="仿宋" w:hAnsi="仿宋" w:eastAsia="仿宋" w:cs="仿宋"/>
          <w:color w:val="auto"/>
          <w:sz w:val="24"/>
        </w:rPr>
        <w:t>政府采购合同》（以下简称主合同），且依据该合同的约定，供应商应在</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日前向你方交纳履约保证金，且可以履约担保函的形式交纳履约保证金。应供应商的申请，我方以保证的方式向你方提供如下履约保证金担保：</w:t>
      </w:r>
    </w:p>
    <w:p>
      <w:pPr>
        <w:ind w:firstLine="480" w:firstLineChars="200"/>
        <w:rPr>
          <w:rFonts w:ascii="仿宋" w:hAnsi="仿宋" w:eastAsia="仿宋" w:cs="仿宋"/>
          <w:color w:val="auto"/>
          <w:sz w:val="24"/>
        </w:rPr>
      </w:pPr>
      <w:r>
        <w:rPr>
          <w:rFonts w:hint="eastAsia" w:ascii="仿宋" w:hAnsi="仿宋" w:eastAsia="仿宋" w:cs="仿宋"/>
          <w:color w:val="auto"/>
          <w:sz w:val="24"/>
        </w:rPr>
        <w:t>一、保证责任的情形及保证金额</w:t>
      </w:r>
    </w:p>
    <w:p>
      <w:pPr>
        <w:ind w:firstLine="480" w:firstLineChars="200"/>
        <w:rPr>
          <w:rFonts w:ascii="仿宋" w:hAnsi="仿宋" w:eastAsia="仿宋" w:cs="仿宋"/>
          <w:color w:val="auto"/>
          <w:sz w:val="24"/>
        </w:rPr>
      </w:pPr>
      <w:r>
        <w:rPr>
          <w:rFonts w:hint="eastAsia" w:ascii="仿宋" w:hAnsi="仿宋" w:eastAsia="仿宋" w:cs="仿宋"/>
          <w:color w:val="auto"/>
          <w:sz w:val="24"/>
        </w:rPr>
        <w:t>（一）在供应商出现下列情形之一时，我方承担保证责任：</w:t>
      </w:r>
    </w:p>
    <w:p>
      <w:pPr>
        <w:ind w:firstLine="480" w:firstLineChars="200"/>
        <w:rPr>
          <w:rFonts w:ascii="仿宋" w:hAnsi="仿宋" w:eastAsia="仿宋" w:cs="仿宋"/>
          <w:color w:val="auto"/>
          <w:sz w:val="24"/>
        </w:rPr>
      </w:pPr>
      <w:r>
        <w:rPr>
          <w:rFonts w:hint="eastAsia" w:ascii="仿宋" w:hAnsi="仿宋" w:eastAsia="仿宋" w:cs="仿宋"/>
          <w:color w:val="auto"/>
          <w:sz w:val="24"/>
        </w:rPr>
        <w:t>1．将中标项目转让给他人，或者在投标文件中未说明，且未经采购招标机构人同意，将中标项目分包给他人的；</w:t>
      </w:r>
    </w:p>
    <w:p>
      <w:pPr>
        <w:rPr>
          <w:rFonts w:ascii="仿宋" w:hAnsi="仿宋" w:eastAsia="仿宋" w:cs="仿宋"/>
          <w:color w:val="auto"/>
          <w:sz w:val="24"/>
        </w:rPr>
      </w:pPr>
      <w:r>
        <w:rPr>
          <w:rFonts w:hint="eastAsia" w:ascii="仿宋" w:hAnsi="仿宋" w:eastAsia="仿宋" w:cs="仿宋"/>
          <w:color w:val="auto"/>
          <w:sz w:val="24"/>
        </w:rPr>
        <w:t xml:space="preserve">　　2．主合同约定的应当缴纳履约保证金的情形: </w:t>
      </w:r>
    </w:p>
    <w:p>
      <w:pPr>
        <w:ind w:firstLine="480" w:firstLineChars="200"/>
        <w:rPr>
          <w:rFonts w:ascii="仿宋" w:hAnsi="仿宋" w:eastAsia="仿宋" w:cs="仿宋"/>
          <w:color w:val="auto"/>
          <w:sz w:val="24"/>
        </w:rPr>
      </w:pPr>
      <w:r>
        <w:rPr>
          <w:rFonts w:hint="eastAsia" w:ascii="仿宋" w:hAnsi="仿宋" w:eastAsia="仿宋" w:cs="仿宋"/>
          <w:color w:val="auto"/>
          <w:sz w:val="24"/>
        </w:rPr>
        <w:t>（1）未按主合同约定的质量、数量和期限供应货物/提供服务/完成工程的；</w:t>
      </w:r>
    </w:p>
    <w:p>
      <w:pPr>
        <w:ind w:firstLine="480" w:firstLineChars="200"/>
        <w:rPr>
          <w:rFonts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ind w:firstLine="480" w:firstLineChars="200"/>
        <w:rPr>
          <w:rFonts w:ascii="仿宋" w:hAnsi="仿宋" w:eastAsia="仿宋" w:cs="仿宋"/>
          <w:color w:val="auto"/>
          <w:sz w:val="24"/>
        </w:rPr>
      </w:pPr>
      <w:r>
        <w:rPr>
          <w:rFonts w:hint="eastAsia" w:ascii="仿宋" w:hAnsi="仿宋" w:eastAsia="仿宋" w:cs="仿宋"/>
          <w:color w:val="auto"/>
          <w:sz w:val="24"/>
        </w:rPr>
        <w:t>（二）我方的保证范围是主合同约定的合同价款总额的</w:t>
      </w:r>
      <w:r>
        <w:rPr>
          <w:rFonts w:hint="eastAsia" w:ascii="仿宋" w:hAnsi="仿宋" w:eastAsia="仿宋" w:cs="仿宋"/>
          <w:color w:val="auto"/>
          <w:sz w:val="24"/>
          <w:u w:val="single"/>
        </w:rPr>
        <w:t xml:space="preserve">        </w:t>
      </w:r>
      <w:r>
        <w:rPr>
          <w:rFonts w:hint="eastAsia" w:ascii="仿宋" w:hAnsi="仿宋" w:eastAsia="仿宋" w:cs="仿宋"/>
          <w:color w:val="auto"/>
          <w:sz w:val="24"/>
        </w:rPr>
        <w:t>%数额为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元（大写</w:t>
      </w:r>
      <w:r>
        <w:rPr>
          <w:rFonts w:hint="eastAsia" w:ascii="仿宋" w:hAnsi="仿宋" w:eastAsia="仿宋" w:cs="仿宋"/>
          <w:color w:val="auto"/>
          <w:sz w:val="24"/>
          <w:u w:val="single"/>
        </w:rPr>
        <w:t xml:space="preserve">           </w:t>
      </w:r>
      <w:r>
        <w:rPr>
          <w:rFonts w:hint="eastAsia" w:ascii="仿宋" w:hAnsi="仿宋" w:eastAsia="仿宋" w:cs="仿宋"/>
          <w:color w:val="auto"/>
          <w:sz w:val="24"/>
        </w:rPr>
        <w:t>），币种为</w:t>
      </w:r>
      <w:r>
        <w:rPr>
          <w:rFonts w:hint="eastAsia" w:ascii="仿宋" w:hAnsi="仿宋" w:eastAsia="仿宋" w:cs="仿宋"/>
          <w:color w:val="auto"/>
          <w:sz w:val="24"/>
          <w:u w:val="single"/>
        </w:rPr>
        <w:t xml:space="preserve">        </w:t>
      </w:r>
      <w:r>
        <w:rPr>
          <w:rFonts w:hint="eastAsia" w:ascii="仿宋" w:hAnsi="仿宋" w:eastAsia="仿宋" w:cs="仿宋"/>
          <w:color w:val="auto"/>
          <w:sz w:val="24"/>
        </w:rPr>
        <w:t>。（即主合同履约保证金金额）</w:t>
      </w:r>
    </w:p>
    <w:p>
      <w:pPr>
        <w:ind w:firstLine="480" w:firstLineChars="200"/>
        <w:rPr>
          <w:rFonts w:ascii="仿宋" w:hAnsi="仿宋" w:eastAsia="仿宋" w:cs="仿宋"/>
          <w:color w:val="auto"/>
          <w:sz w:val="24"/>
        </w:rPr>
      </w:pPr>
      <w:r>
        <w:rPr>
          <w:rFonts w:hint="eastAsia" w:ascii="仿宋" w:hAnsi="仿宋" w:eastAsia="仿宋" w:cs="仿宋"/>
          <w:color w:val="auto"/>
          <w:sz w:val="24"/>
        </w:rPr>
        <w:t>二、保证的方式及保证期间</w:t>
      </w:r>
    </w:p>
    <w:p>
      <w:pPr>
        <w:ind w:firstLine="480" w:firstLineChars="200"/>
        <w:rPr>
          <w:rFonts w:ascii="仿宋" w:hAnsi="仿宋" w:eastAsia="仿宋" w:cs="仿宋"/>
          <w:color w:val="auto"/>
          <w:sz w:val="24"/>
        </w:rPr>
      </w:pPr>
      <w:r>
        <w:rPr>
          <w:rFonts w:hint="eastAsia" w:ascii="仿宋" w:hAnsi="仿宋" w:eastAsia="仿宋" w:cs="仿宋"/>
          <w:color w:val="auto"/>
          <w:sz w:val="24"/>
        </w:rPr>
        <w:t>我方保证的方式为：连带责任保证。</w:t>
      </w:r>
    </w:p>
    <w:p>
      <w:pPr>
        <w:ind w:firstLine="480" w:firstLineChars="200"/>
        <w:rPr>
          <w:rFonts w:ascii="仿宋" w:hAnsi="仿宋" w:eastAsia="仿宋" w:cs="仿宋"/>
          <w:color w:val="auto"/>
          <w:sz w:val="24"/>
        </w:rPr>
      </w:pPr>
      <w:r>
        <w:rPr>
          <w:rFonts w:hint="eastAsia" w:ascii="仿宋" w:hAnsi="仿宋" w:eastAsia="仿宋" w:cs="仿宋"/>
          <w:color w:val="auto"/>
          <w:sz w:val="24"/>
        </w:rPr>
        <w:t>我方保证的期间为：自本合同生效之日起至供应商按照主合同约定的供货/完工期限届满后</w:t>
      </w:r>
      <w:r>
        <w:rPr>
          <w:rFonts w:hint="eastAsia" w:ascii="仿宋" w:hAnsi="仿宋" w:eastAsia="仿宋" w:cs="仿宋"/>
          <w:color w:val="auto"/>
          <w:sz w:val="24"/>
          <w:u w:val="single"/>
        </w:rPr>
        <w:t xml:space="preserve">     </w:t>
      </w:r>
      <w:r>
        <w:rPr>
          <w:rFonts w:hint="eastAsia" w:ascii="仿宋" w:hAnsi="仿宋" w:eastAsia="仿宋" w:cs="仿宋"/>
          <w:color w:val="auto"/>
          <w:sz w:val="24"/>
        </w:rPr>
        <w:t>日内。</w:t>
      </w:r>
    </w:p>
    <w:p>
      <w:pPr>
        <w:ind w:firstLine="480" w:firstLineChars="200"/>
        <w:rPr>
          <w:rFonts w:ascii="仿宋" w:hAnsi="仿宋" w:eastAsia="仿宋" w:cs="仿宋"/>
          <w:color w:val="auto"/>
          <w:sz w:val="24"/>
        </w:rPr>
      </w:pPr>
      <w:r>
        <w:rPr>
          <w:rFonts w:hint="eastAsia" w:ascii="仿宋" w:hAnsi="仿宋" w:eastAsia="仿宋" w:cs="仿宋"/>
          <w:color w:val="auto"/>
          <w:sz w:val="24"/>
        </w:rPr>
        <w:t>如果供应商未按主合同约定向贵方供应货物/提供服务/完成工程的，由我方在保证金额内向你方支付上述款项。</w:t>
      </w:r>
    </w:p>
    <w:p>
      <w:pPr>
        <w:ind w:firstLine="480" w:firstLineChars="200"/>
        <w:rPr>
          <w:rFonts w:ascii="仿宋" w:hAnsi="仿宋" w:eastAsia="仿宋" w:cs="仿宋"/>
          <w:color w:val="auto"/>
          <w:sz w:val="24"/>
        </w:rPr>
      </w:pPr>
      <w:r>
        <w:rPr>
          <w:rFonts w:hint="eastAsia" w:ascii="仿宋" w:hAnsi="仿宋" w:eastAsia="仿宋" w:cs="仿宋"/>
          <w:color w:val="auto"/>
          <w:sz w:val="24"/>
        </w:rPr>
        <w:t>三、承担保证责任的程序</w:t>
      </w:r>
    </w:p>
    <w:p>
      <w:pPr>
        <w:ind w:firstLine="480" w:firstLineChars="200"/>
        <w:rPr>
          <w:rFonts w:ascii="仿宋" w:hAnsi="仿宋" w:eastAsia="仿宋" w:cs="仿宋"/>
          <w:color w:val="auto"/>
          <w:sz w:val="24"/>
        </w:rPr>
      </w:pPr>
      <w:r>
        <w:rPr>
          <w:rFonts w:hint="eastAsia" w:ascii="仿宋" w:hAnsi="仿宋" w:eastAsia="仿宋" w:cs="仿宋"/>
          <w:color w:val="auto"/>
          <w:sz w:val="24"/>
        </w:rPr>
        <w:t>1．你方要求我方承担保证责任的，应在本保函保证期间内向我方发出书面索赔通知。索赔通知应写明要求索赔的金额，支付款项应到达的帐号。并附有证明供应商违约事实的证明材料。</w:t>
      </w:r>
    </w:p>
    <w:p>
      <w:pPr>
        <w:ind w:firstLine="480" w:firstLineChars="200"/>
        <w:rPr>
          <w:rFonts w:ascii="仿宋" w:hAnsi="仿宋" w:eastAsia="仿宋" w:cs="仿宋"/>
          <w:color w:val="auto"/>
          <w:sz w:val="24"/>
        </w:rPr>
      </w:pPr>
      <w:r>
        <w:rPr>
          <w:rFonts w:hint="eastAsia" w:ascii="仿宋" w:hAnsi="仿宋" w:eastAsia="仿宋" w:cs="仿宋"/>
          <w:color w:val="auto"/>
          <w:sz w:val="24"/>
        </w:rPr>
        <w:t>如果你方与供应商因货物质量问题产生争议，你方还需同时提供</w:t>
      </w:r>
      <w:r>
        <w:rPr>
          <w:rFonts w:hint="eastAsia" w:ascii="仿宋" w:hAnsi="仿宋" w:eastAsia="仿宋" w:cs="仿宋"/>
          <w:color w:val="auto"/>
          <w:sz w:val="24"/>
          <w:u w:val="single"/>
        </w:rPr>
        <w:t xml:space="preserve">        </w:t>
      </w:r>
      <w:r>
        <w:rPr>
          <w:rFonts w:hint="eastAsia" w:ascii="仿宋" w:hAnsi="仿宋" w:eastAsia="仿宋" w:cs="仿宋"/>
          <w:color w:val="auto"/>
          <w:sz w:val="24"/>
        </w:rPr>
        <w:t>部门出具的质量检测报告，或经诉讼（仲裁）程序裁决后的裁决书、调解书，本保证人即按照检测结果或裁决书、调解书决定是否承担保证责任。</w:t>
      </w:r>
    </w:p>
    <w:p>
      <w:pPr>
        <w:ind w:firstLine="480" w:firstLineChars="200"/>
        <w:rPr>
          <w:rFonts w:ascii="仿宋" w:hAnsi="仿宋" w:eastAsia="仿宋" w:cs="仿宋"/>
          <w:color w:val="auto"/>
          <w:sz w:val="24"/>
        </w:rPr>
      </w:pPr>
      <w:r>
        <w:rPr>
          <w:rFonts w:hint="eastAsia" w:ascii="仿宋" w:hAnsi="仿宋" w:eastAsia="仿宋" w:cs="仿宋"/>
          <w:color w:val="auto"/>
          <w:sz w:val="24"/>
        </w:rPr>
        <w:t>2． 我方收到你方的书面索赔通知及相应证明材料，在</w:t>
      </w:r>
      <w:r>
        <w:rPr>
          <w:rFonts w:hint="eastAsia" w:ascii="仿宋" w:hAnsi="仿宋" w:eastAsia="仿宋" w:cs="仿宋"/>
          <w:color w:val="auto"/>
          <w:sz w:val="24"/>
          <w:u w:val="single"/>
        </w:rPr>
        <w:t xml:space="preserve">     </w:t>
      </w:r>
      <w:r>
        <w:rPr>
          <w:rFonts w:hint="eastAsia" w:ascii="仿宋" w:hAnsi="仿宋" w:eastAsia="仿宋" w:cs="仿宋"/>
          <w:color w:val="auto"/>
          <w:sz w:val="24"/>
        </w:rPr>
        <w:t>工作日内进行核定后按照本保函的承诺承担保证责任。</w:t>
      </w:r>
    </w:p>
    <w:p>
      <w:pPr>
        <w:ind w:firstLine="480" w:firstLineChars="200"/>
        <w:rPr>
          <w:rFonts w:ascii="仿宋" w:hAnsi="仿宋" w:eastAsia="仿宋" w:cs="仿宋"/>
          <w:color w:val="auto"/>
          <w:sz w:val="24"/>
        </w:rPr>
      </w:pPr>
      <w:r>
        <w:rPr>
          <w:rFonts w:hint="eastAsia" w:ascii="仿宋" w:hAnsi="仿宋" w:eastAsia="仿宋" w:cs="仿宋"/>
          <w:color w:val="auto"/>
          <w:sz w:val="24"/>
        </w:rPr>
        <w:t>四、保证责任的终止</w:t>
      </w:r>
    </w:p>
    <w:p>
      <w:pPr>
        <w:ind w:firstLine="480" w:firstLineChars="200"/>
        <w:rPr>
          <w:rFonts w:ascii="仿宋" w:hAnsi="仿宋" w:eastAsia="仿宋" w:cs="仿宋"/>
          <w:color w:val="auto"/>
          <w:sz w:val="24"/>
        </w:rPr>
      </w:pPr>
      <w:r>
        <w:rPr>
          <w:rFonts w:hint="eastAsia" w:ascii="仿宋" w:hAnsi="仿宋" w:eastAsia="仿宋" w:cs="仿宋"/>
          <w:color w:val="auto"/>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pPr>
        <w:ind w:firstLine="480" w:firstLineChars="200"/>
        <w:rPr>
          <w:rFonts w:ascii="仿宋" w:hAnsi="仿宋" w:eastAsia="仿宋" w:cs="仿宋"/>
          <w:color w:val="auto"/>
          <w:sz w:val="24"/>
        </w:rPr>
      </w:pPr>
      <w:r>
        <w:rPr>
          <w:rFonts w:hint="eastAsia" w:ascii="仿宋" w:hAnsi="仿宋" w:eastAsia="仿宋" w:cs="仿宋"/>
          <w:color w:val="auto"/>
          <w:sz w:val="24"/>
        </w:rPr>
        <w:t>2．我方按照本保函向你方履行了保证责任后，自我方向你方支付款项（支付款项从我方账户划出）之日起，保证责任即终止。</w:t>
      </w:r>
    </w:p>
    <w:p>
      <w:pPr>
        <w:ind w:firstLine="480" w:firstLineChars="200"/>
        <w:rPr>
          <w:rFonts w:ascii="仿宋" w:hAnsi="仿宋" w:eastAsia="仿宋" w:cs="仿宋"/>
          <w:color w:val="auto"/>
          <w:sz w:val="24"/>
        </w:rPr>
      </w:pPr>
      <w:r>
        <w:rPr>
          <w:rFonts w:hint="eastAsia" w:ascii="仿宋" w:hAnsi="仿宋" w:eastAsia="仿宋" w:cs="仿宋"/>
          <w:color w:val="auto"/>
          <w:sz w:val="24"/>
        </w:rPr>
        <w:t>3．按照法律法规的规定或出现应终止我方保证责任的其它情形的，我方在本保函项下的保证责任亦终止。</w:t>
      </w:r>
    </w:p>
    <w:p>
      <w:pPr>
        <w:ind w:firstLine="480" w:firstLineChars="200"/>
        <w:rPr>
          <w:rFonts w:ascii="仿宋" w:hAnsi="仿宋" w:eastAsia="仿宋" w:cs="仿宋"/>
          <w:color w:val="auto"/>
          <w:sz w:val="24"/>
        </w:rPr>
      </w:pPr>
      <w:r>
        <w:rPr>
          <w:rFonts w:hint="eastAsia" w:ascii="仿宋" w:hAnsi="仿宋" w:eastAsia="仿宋" w:cs="仿宋"/>
          <w:color w:val="auto"/>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ind w:firstLine="480" w:firstLineChars="200"/>
        <w:rPr>
          <w:rFonts w:ascii="仿宋" w:hAnsi="仿宋" w:eastAsia="仿宋" w:cs="仿宋"/>
          <w:color w:val="auto"/>
          <w:sz w:val="24"/>
        </w:rPr>
      </w:pPr>
      <w:r>
        <w:rPr>
          <w:rFonts w:hint="eastAsia" w:ascii="仿宋" w:hAnsi="仿宋" w:eastAsia="仿宋" w:cs="仿宋"/>
          <w:color w:val="auto"/>
          <w:sz w:val="24"/>
        </w:rPr>
        <w:t>五、免责条款</w:t>
      </w:r>
    </w:p>
    <w:p>
      <w:pPr>
        <w:ind w:firstLine="480" w:firstLineChars="200"/>
        <w:rPr>
          <w:rFonts w:ascii="仿宋" w:hAnsi="仿宋" w:eastAsia="仿宋" w:cs="仿宋"/>
          <w:color w:val="auto"/>
          <w:sz w:val="24"/>
        </w:rPr>
      </w:pPr>
      <w:r>
        <w:rPr>
          <w:rFonts w:hint="eastAsia" w:ascii="仿宋" w:hAnsi="仿宋" w:eastAsia="仿宋" w:cs="仿宋"/>
          <w:color w:val="auto"/>
          <w:sz w:val="24"/>
        </w:rPr>
        <w:t>1．因你方违反主合同约定致使供应商不能履行义务的，我方不承担保证责任。</w:t>
      </w:r>
    </w:p>
    <w:p>
      <w:pPr>
        <w:ind w:firstLine="480" w:firstLineChars="200"/>
        <w:rPr>
          <w:rFonts w:ascii="仿宋" w:hAnsi="仿宋" w:eastAsia="仿宋" w:cs="仿宋"/>
          <w:color w:val="auto"/>
          <w:sz w:val="24"/>
        </w:rPr>
      </w:pPr>
      <w:r>
        <w:rPr>
          <w:rFonts w:hint="eastAsia" w:ascii="仿宋" w:hAnsi="仿宋" w:eastAsia="仿宋" w:cs="仿宋"/>
          <w:color w:val="auto"/>
          <w:sz w:val="24"/>
        </w:rPr>
        <w:t>2．依照法律法规的规定或你方与供应商的另行约定，全部或者部分免除供应商应缴纳的保证金义务的，我方亦免除相应的保证责任。</w:t>
      </w:r>
    </w:p>
    <w:p>
      <w:pPr>
        <w:ind w:firstLine="480" w:firstLineChars="200"/>
        <w:rPr>
          <w:rFonts w:ascii="仿宋" w:hAnsi="仿宋" w:eastAsia="仿宋" w:cs="仿宋"/>
          <w:color w:val="auto"/>
          <w:sz w:val="24"/>
        </w:rPr>
      </w:pPr>
      <w:r>
        <w:rPr>
          <w:rFonts w:hint="eastAsia" w:ascii="仿宋" w:hAnsi="仿宋" w:eastAsia="仿宋" w:cs="仿宋"/>
          <w:color w:val="auto"/>
          <w:sz w:val="24"/>
        </w:rPr>
        <w:t>3．因不可抗力造成供应商不能履行供货义务的，我方不承担保证责任。</w:t>
      </w:r>
    </w:p>
    <w:p>
      <w:pPr>
        <w:ind w:firstLine="480" w:firstLineChars="200"/>
        <w:rPr>
          <w:rFonts w:ascii="仿宋" w:hAnsi="仿宋" w:eastAsia="仿宋" w:cs="仿宋"/>
          <w:color w:val="auto"/>
          <w:sz w:val="24"/>
        </w:rPr>
      </w:pPr>
      <w:r>
        <w:rPr>
          <w:rFonts w:hint="eastAsia" w:ascii="仿宋" w:hAnsi="仿宋" w:eastAsia="仿宋" w:cs="仿宋"/>
          <w:color w:val="auto"/>
          <w:sz w:val="24"/>
        </w:rPr>
        <w:t>六、争议的解决</w:t>
      </w:r>
    </w:p>
    <w:p>
      <w:pPr>
        <w:ind w:firstLine="480" w:firstLineChars="200"/>
        <w:rPr>
          <w:rFonts w:ascii="仿宋" w:hAnsi="仿宋" w:eastAsia="仿宋" w:cs="仿宋"/>
          <w:color w:val="auto"/>
          <w:sz w:val="24"/>
        </w:rPr>
      </w:pPr>
      <w:r>
        <w:rPr>
          <w:rFonts w:hint="eastAsia" w:ascii="仿宋" w:hAnsi="仿宋" w:eastAsia="仿宋" w:cs="仿宋"/>
          <w:color w:val="auto"/>
          <w:sz w:val="24"/>
        </w:rPr>
        <w:t>因本保函发生的纠纷，由你我双方协商解决，协商不成的，通过诉讼程序解决，诉讼管辖地法院为</w:t>
      </w:r>
      <w:r>
        <w:rPr>
          <w:rFonts w:hint="eastAsia" w:ascii="仿宋" w:hAnsi="仿宋" w:eastAsia="仿宋" w:cs="仿宋"/>
          <w:color w:val="auto"/>
          <w:sz w:val="24"/>
          <w:u w:val="single"/>
        </w:rPr>
        <w:t xml:space="preserve">        </w:t>
      </w:r>
      <w:r>
        <w:rPr>
          <w:rFonts w:hint="eastAsia" w:ascii="仿宋" w:hAnsi="仿宋" w:eastAsia="仿宋" w:cs="仿宋"/>
          <w:color w:val="auto"/>
          <w:sz w:val="24"/>
        </w:rPr>
        <w:t>法院。</w:t>
      </w:r>
    </w:p>
    <w:p>
      <w:pPr>
        <w:ind w:firstLine="480" w:firstLineChars="200"/>
        <w:rPr>
          <w:rFonts w:ascii="仿宋" w:hAnsi="仿宋" w:eastAsia="仿宋" w:cs="仿宋"/>
          <w:color w:val="auto"/>
          <w:sz w:val="24"/>
        </w:rPr>
      </w:pPr>
      <w:r>
        <w:rPr>
          <w:rFonts w:hint="eastAsia" w:ascii="仿宋" w:hAnsi="仿宋" w:eastAsia="仿宋" w:cs="仿宋"/>
          <w:color w:val="auto"/>
          <w:sz w:val="24"/>
        </w:rPr>
        <w:t>七、保函的生效。</w:t>
      </w:r>
    </w:p>
    <w:p>
      <w:pPr>
        <w:ind w:firstLine="480" w:firstLineChars="200"/>
        <w:rPr>
          <w:rFonts w:ascii="仿宋" w:hAnsi="仿宋" w:eastAsia="仿宋" w:cs="仿宋"/>
          <w:color w:val="auto"/>
          <w:sz w:val="24"/>
        </w:rPr>
      </w:pPr>
      <w:r>
        <w:rPr>
          <w:rFonts w:hint="eastAsia" w:ascii="仿宋" w:hAnsi="仿宋" w:eastAsia="仿宋" w:cs="仿宋"/>
          <w:color w:val="auto"/>
          <w:sz w:val="24"/>
        </w:rPr>
        <w:t>本保函自我方加盖公章之日起生效。</w:t>
      </w:r>
    </w:p>
    <w:p>
      <w:pPr>
        <w:rPr>
          <w:rFonts w:ascii="仿宋" w:hAnsi="仿宋" w:eastAsia="仿宋" w:cs="仿宋"/>
          <w:color w:val="auto"/>
          <w:sz w:val="24"/>
        </w:rPr>
      </w:pPr>
    </w:p>
    <w:p>
      <w:pPr>
        <w:rPr>
          <w:rFonts w:ascii="仿宋" w:hAnsi="仿宋" w:eastAsia="仿宋" w:cs="仿宋"/>
          <w:color w:val="auto"/>
          <w:sz w:val="24"/>
        </w:rPr>
      </w:pPr>
      <w:r>
        <w:rPr>
          <w:rFonts w:hint="eastAsia" w:ascii="仿宋" w:hAnsi="仿宋" w:eastAsia="仿宋" w:cs="仿宋"/>
          <w:color w:val="auto"/>
          <w:sz w:val="24"/>
        </w:rPr>
        <w:t xml:space="preserve">                                      </w:t>
      </w:r>
    </w:p>
    <w:p>
      <w:pPr>
        <w:ind w:firstLine="5400" w:firstLineChars="2250"/>
        <w:rPr>
          <w:rFonts w:ascii="仿宋" w:hAnsi="仿宋" w:eastAsia="仿宋" w:cs="仿宋"/>
          <w:color w:val="auto"/>
          <w:sz w:val="24"/>
        </w:rPr>
      </w:pPr>
      <w:r>
        <w:rPr>
          <w:rFonts w:hint="eastAsia" w:ascii="仿宋" w:hAnsi="仿宋" w:eastAsia="仿宋" w:cs="仿宋"/>
          <w:color w:val="auto"/>
          <w:sz w:val="24"/>
        </w:rPr>
        <w:t>保证人：（公章）</w:t>
      </w:r>
    </w:p>
    <w:p>
      <w:pPr>
        <w:rPr>
          <w:rFonts w:ascii="仿宋" w:hAnsi="仿宋" w:eastAsia="仿宋" w:cs="仿宋"/>
          <w:color w:val="auto"/>
          <w:sz w:val="24"/>
        </w:rPr>
      </w:pPr>
      <w:r>
        <w:rPr>
          <w:rFonts w:hint="eastAsia" w:ascii="仿宋" w:hAnsi="仿宋" w:eastAsia="仿宋" w:cs="仿宋"/>
          <w:color w:val="auto"/>
          <w:sz w:val="24"/>
        </w:rPr>
        <w:t xml:space="preserve">                   </w:t>
      </w:r>
    </w:p>
    <w:p>
      <w:pPr>
        <w:rPr>
          <w:rFonts w:ascii="仿宋" w:hAnsi="仿宋" w:eastAsia="仿宋" w:cs="仿宋"/>
          <w:color w:val="auto"/>
          <w:sz w:val="24"/>
        </w:rPr>
      </w:pPr>
      <w:r>
        <w:rPr>
          <w:rFonts w:hint="eastAsia" w:ascii="仿宋" w:hAnsi="仿宋" w:eastAsia="仿宋" w:cs="仿宋"/>
          <w:color w:val="auto"/>
          <w:sz w:val="24"/>
        </w:rPr>
        <w:t xml:space="preserve">                                                   年     月      日</w:t>
      </w:r>
    </w:p>
    <w:p>
      <w:pPr>
        <w:pStyle w:val="11"/>
        <w:spacing w:line="240" w:lineRule="atLeast"/>
        <w:ind w:firstLine="0"/>
        <w:rPr>
          <w:rFonts w:ascii="仿宋" w:hAnsi="仿宋" w:eastAsia="仿宋" w:cs="仿宋"/>
          <w:color w:val="auto"/>
          <w:kern w:val="2"/>
          <w:szCs w:val="24"/>
        </w:rPr>
      </w:pPr>
      <w:r>
        <w:rPr>
          <w:rFonts w:hint="eastAsia" w:ascii="仿宋" w:hAnsi="仿宋" w:eastAsia="仿宋" w:cs="仿宋"/>
          <w:b/>
          <w:color w:val="auto"/>
        </w:rPr>
        <w:br w:type="page"/>
      </w:r>
    </w:p>
    <w:p>
      <w:pPr>
        <w:numPr>
          <w:ilvl w:val="0"/>
          <w:numId w:val="0"/>
        </w:numPr>
        <w:spacing w:line="600" w:lineRule="exact"/>
        <w:jc w:val="center"/>
        <w:outlineLvl w:val="0"/>
        <w:rPr>
          <w:rFonts w:ascii="仿宋" w:hAnsi="仿宋" w:eastAsia="仿宋" w:cs="仿宋"/>
          <w:b/>
          <w:color w:val="auto"/>
          <w:kern w:val="44"/>
          <w:sz w:val="32"/>
          <w:szCs w:val="20"/>
        </w:rPr>
      </w:pPr>
      <w:bookmarkStart w:id="211" w:name="_Toc518923106"/>
      <w:bookmarkStart w:id="212" w:name="_Toc29148"/>
      <w:bookmarkStart w:id="213" w:name="_Toc216582812"/>
      <w:r>
        <w:rPr>
          <w:rFonts w:hint="eastAsia" w:ascii="仿宋" w:hAnsi="仿宋" w:eastAsia="仿宋" w:cs="仿宋"/>
          <w:b/>
          <w:color w:val="auto"/>
          <w:kern w:val="44"/>
          <w:sz w:val="32"/>
          <w:szCs w:val="20"/>
          <w:lang w:eastAsia="zh-CN"/>
        </w:rPr>
        <w:t>第</w:t>
      </w:r>
      <w:r>
        <w:rPr>
          <w:rFonts w:hint="eastAsia" w:ascii="仿宋" w:hAnsi="仿宋" w:eastAsia="仿宋" w:cs="仿宋"/>
          <w:b/>
          <w:color w:val="auto"/>
          <w:kern w:val="44"/>
          <w:sz w:val="32"/>
          <w:szCs w:val="20"/>
          <w:lang w:val="en-US" w:eastAsia="zh-CN"/>
        </w:rPr>
        <w:t xml:space="preserve">4章 </w:t>
      </w:r>
      <w:r>
        <w:rPr>
          <w:rFonts w:hint="eastAsia" w:ascii="仿宋" w:hAnsi="仿宋" w:eastAsia="仿宋" w:cs="仿宋"/>
          <w:b/>
          <w:color w:val="auto"/>
          <w:kern w:val="44"/>
          <w:sz w:val="32"/>
          <w:szCs w:val="20"/>
        </w:rPr>
        <w:t xml:space="preserve"> </w:t>
      </w:r>
      <w:bookmarkStart w:id="214" w:name="_Toc8851"/>
      <w:r>
        <w:rPr>
          <w:rFonts w:hint="eastAsia" w:ascii="仿宋" w:hAnsi="仿宋" w:eastAsia="仿宋" w:cs="仿宋"/>
          <w:b/>
          <w:color w:val="auto"/>
          <w:kern w:val="44"/>
          <w:sz w:val="32"/>
          <w:szCs w:val="20"/>
        </w:rPr>
        <w:t>投标文件格式</w:t>
      </w:r>
      <w:bookmarkEnd w:id="211"/>
      <w:bookmarkEnd w:id="212"/>
      <w:bookmarkEnd w:id="213"/>
      <w:bookmarkEnd w:id="214"/>
    </w:p>
    <w:p>
      <w:pPr>
        <w:rPr>
          <w:color w:val="auto"/>
        </w:rPr>
      </w:pPr>
    </w:p>
    <w:p>
      <w:pPr>
        <w:pStyle w:val="8"/>
        <w:spacing w:before="0" w:line="240" w:lineRule="atLeast"/>
        <w:rPr>
          <w:rFonts w:ascii="仿宋" w:hAnsi="仿宋" w:eastAsia="仿宋" w:cs="仿宋"/>
          <w:color w:val="auto"/>
          <w:sz w:val="24"/>
        </w:rPr>
      </w:pPr>
      <w:bookmarkStart w:id="215" w:name="_Toc16868"/>
      <w:bookmarkStart w:id="216" w:name="_Toc8517"/>
      <w:r>
        <w:rPr>
          <w:rFonts w:hint="eastAsia" w:ascii="仿宋" w:hAnsi="仿宋" w:eastAsia="仿宋" w:cs="仿宋"/>
          <w:color w:val="auto"/>
          <w:sz w:val="24"/>
        </w:rPr>
        <w:t>第一部分 各部分封面格式</w:t>
      </w:r>
      <w:bookmarkEnd w:id="215"/>
      <w:bookmarkEnd w:id="216"/>
    </w:p>
    <w:p>
      <w:pPr>
        <w:jc w:val="center"/>
        <w:rPr>
          <w:rFonts w:ascii="仿宋" w:hAnsi="仿宋" w:eastAsia="仿宋" w:cs="仿宋"/>
          <w:b/>
          <w:bCs/>
          <w:color w:val="auto"/>
          <w:sz w:val="32"/>
          <w:szCs w:val="32"/>
        </w:rPr>
      </w:pPr>
      <w:r>
        <w:rPr>
          <w:rFonts w:hint="eastAsia" w:ascii="仿宋" w:hAnsi="仿宋" w:eastAsia="仿宋" w:cs="仿宋"/>
          <w:color w:val="auto"/>
          <w:sz w:val="24"/>
          <w:lang w:val="zh-CN"/>
        </w:rPr>
        <w:t>（</w:t>
      </w:r>
      <w:r>
        <w:rPr>
          <w:rFonts w:hint="eastAsia" w:ascii="仿宋" w:hAnsi="仿宋" w:eastAsia="仿宋" w:cs="仿宋"/>
          <w:color w:val="auto"/>
          <w:sz w:val="24"/>
        </w:rPr>
        <w:t>投标文件各部分封面</w:t>
      </w:r>
      <w:r>
        <w:rPr>
          <w:rFonts w:hint="eastAsia" w:ascii="仿宋" w:hAnsi="仿宋" w:eastAsia="仿宋" w:cs="仿宋"/>
          <w:color w:val="auto"/>
          <w:sz w:val="24"/>
          <w:lang w:val="zh-CN"/>
        </w:rPr>
        <w:t>示例）</w:t>
      </w:r>
    </w:p>
    <w:p>
      <w:pPr>
        <w:jc w:val="right"/>
        <w:rPr>
          <w:rFonts w:ascii="仿宋" w:hAnsi="仿宋" w:eastAsia="仿宋" w:cs="仿宋"/>
          <w:color w:val="auto"/>
          <w:sz w:val="24"/>
          <w:szCs w:val="32"/>
          <w:lang w:val="zh-CN"/>
        </w:rPr>
      </w:pPr>
    </w:p>
    <w:p>
      <w:pPr>
        <w:jc w:val="right"/>
        <w:rPr>
          <w:rFonts w:ascii="仿宋" w:hAnsi="仿宋" w:eastAsia="仿宋" w:cs="仿宋"/>
          <w:color w:val="auto"/>
          <w:sz w:val="24"/>
          <w:szCs w:val="32"/>
          <w:lang w:val="zh-CN"/>
        </w:rPr>
      </w:pPr>
    </w:p>
    <w:p>
      <w:pPr>
        <w:shd w:val="clear" w:color="auto" w:fill="FFFFFF"/>
        <w:spacing w:line="440" w:lineRule="exact"/>
        <w:ind w:firstLine="420"/>
        <w:jc w:val="center"/>
        <w:rPr>
          <w:rFonts w:ascii="仿宋" w:hAnsi="仿宋" w:eastAsia="仿宋" w:cs="仿宋"/>
          <w:bCs/>
          <w:color w:val="auto"/>
          <w:sz w:val="24"/>
          <w:lang w:val="zh-CN"/>
        </w:rPr>
      </w:pPr>
    </w:p>
    <w:p>
      <w:pPr>
        <w:pStyle w:val="27"/>
        <w:rPr>
          <w:color w:val="auto"/>
          <w:lang w:val="zh-CN"/>
        </w:rPr>
      </w:pPr>
    </w:p>
    <w:p>
      <w:pPr>
        <w:rPr>
          <w:color w:val="auto"/>
          <w:lang w:val="zh-CN"/>
        </w:rPr>
      </w:pPr>
    </w:p>
    <w:p>
      <w:pPr>
        <w:pStyle w:val="27"/>
        <w:rPr>
          <w:color w:val="auto"/>
          <w:lang w:val="zh-CN"/>
        </w:rPr>
      </w:pPr>
    </w:p>
    <w:p>
      <w:pPr>
        <w:pStyle w:val="17"/>
        <w:jc w:val="center"/>
        <w:rPr>
          <w:rFonts w:ascii="仿宋" w:hAnsi="仿宋" w:eastAsia="仿宋" w:cs="仿宋"/>
          <w:b/>
          <w:bCs/>
          <w:color w:val="auto"/>
          <w:sz w:val="36"/>
          <w:szCs w:val="44"/>
        </w:rPr>
      </w:pPr>
      <w:r>
        <w:rPr>
          <w:rFonts w:eastAsia="仿宋_GB2312"/>
          <w:b/>
          <w:bCs/>
          <w:color w:val="auto"/>
          <w:sz w:val="52"/>
        </w:rPr>
        <w:t>××××</w:t>
      </w:r>
      <w:r>
        <w:rPr>
          <w:rFonts w:hint="eastAsia" w:ascii="仿宋" w:hAnsi="仿宋" w:eastAsia="仿宋" w:cs="仿宋"/>
          <w:b/>
          <w:bCs/>
          <w:color w:val="auto"/>
          <w:sz w:val="36"/>
          <w:szCs w:val="44"/>
        </w:rPr>
        <w:t>项目</w:t>
      </w:r>
    </w:p>
    <w:p>
      <w:pPr>
        <w:jc w:val="center"/>
        <w:rPr>
          <w:rFonts w:ascii="仿宋" w:hAnsi="仿宋" w:eastAsia="仿宋" w:cs="仿宋"/>
          <w:b/>
          <w:bCs/>
          <w:color w:val="auto"/>
          <w:sz w:val="36"/>
          <w:szCs w:val="44"/>
          <w:lang w:val="zh-CN"/>
        </w:rPr>
      </w:pPr>
    </w:p>
    <w:p>
      <w:pPr>
        <w:rPr>
          <w:color w:val="auto"/>
        </w:rPr>
      </w:pPr>
    </w:p>
    <w:p>
      <w:pPr>
        <w:jc w:val="center"/>
        <w:rPr>
          <w:rFonts w:hint="eastAsia" w:ascii="仿宋" w:hAnsi="仿宋" w:eastAsia="仿宋" w:cs="仿宋"/>
          <w:b/>
          <w:bCs/>
          <w:color w:val="auto"/>
          <w:sz w:val="32"/>
          <w:szCs w:val="40"/>
          <w:lang w:val="en-US" w:eastAsia="zh-CN"/>
        </w:rPr>
      </w:pPr>
      <w:r>
        <w:rPr>
          <w:rFonts w:hint="eastAsia" w:ascii="仿宋" w:hAnsi="仿宋" w:eastAsia="仿宋" w:cs="仿宋"/>
          <w:b/>
          <w:bCs/>
          <w:color w:val="auto"/>
          <w:sz w:val="32"/>
          <w:szCs w:val="40"/>
        </w:rPr>
        <w:t>项目编号：</w:t>
      </w:r>
      <w:r>
        <w:rPr>
          <w:rFonts w:hint="eastAsia" w:ascii="仿宋" w:hAnsi="仿宋" w:eastAsia="仿宋" w:cs="仿宋"/>
          <w:b/>
          <w:bCs/>
          <w:color w:val="auto"/>
          <w:sz w:val="32"/>
          <w:szCs w:val="40"/>
          <w:lang w:eastAsia="zh-CN"/>
        </w:rPr>
        <w:t>GYZB-KZDZFZ2023</w:t>
      </w:r>
      <w:r>
        <w:rPr>
          <w:rFonts w:hint="eastAsia" w:ascii="仿宋" w:hAnsi="仿宋" w:eastAsia="仿宋" w:cs="仿宋"/>
          <w:b/>
          <w:bCs/>
          <w:color w:val="auto"/>
          <w:sz w:val="32"/>
          <w:szCs w:val="40"/>
        </w:rPr>
        <w:t>-01</w:t>
      </w:r>
      <w:r>
        <w:rPr>
          <w:rFonts w:hint="eastAsia" w:ascii="仿宋" w:hAnsi="仿宋" w:eastAsia="仿宋" w:cs="仿宋"/>
          <w:b/>
          <w:bCs/>
          <w:color w:val="auto"/>
          <w:sz w:val="32"/>
          <w:szCs w:val="40"/>
          <w:lang w:val="en-US" w:eastAsia="zh-CN"/>
        </w:rPr>
        <w:t>-01</w:t>
      </w:r>
      <w:r>
        <w:rPr>
          <w:rFonts w:hint="eastAsia" w:ascii="仿宋" w:hAnsi="仿宋" w:eastAsia="仿宋" w:cs="仿宋"/>
          <w:b/>
          <w:bCs/>
          <w:color w:val="auto"/>
          <w:sz w:val="32"/>
          <w:szCs w:val="40"/>
        </w:rPr>
        <w:t>……0</w:t>
      </w:r>
      <w:r>
        <w:rPr>
          <w:rFonts w:hint="eastAsia" w:ascii="仿宋" w:hAnsi="仿宋" w:eastAsia="仿宋" w:cs="仿宋"/>
          <w:b/>
          <w:bCs/>
          <w:color w:val="auto"/>
          <w:sz w:val="32"/>
          <w:szCs w:val="40"/>
          <w:lang w:val="en-US" w:eastAsia="zh-CN"/>
        </w:rPr>
        <w:t>6</w:t>
      </w:r>
    </w:p>
    <w:p>
      <w:pPr>
        <w:jc w:val="center"/>
        <w:rPr>
          <w:rFonts w:ascii="仿宋" w:hAnsi="仿宋" w:eastAsia="仿宋" w:cs="仿宋"/>
          <w:b/>
          <w:bCs/>
          <w:color w:val="auto"/>
          <w:sz w:val="32"/>
          <w:szCs w:val="40"/>
        </w:rPr>
      </w:pPr>
    </w:p>
    <w:p>
      <w:pPr>
        <w:jc w:val="center"/>
        <w:rPr>
          <w:color w:val="auto"/>
          <w:lang w:val="zh-CN"/>
        </w:rPr>
      </w:pPr>
    </w:p>
    <w:p>
      <w:pPr>
        <w:pStyle w:val="2"/>
        <w:rPr>
          <w:rFonts w:ascii="仿宋" w:hAnsi="仿宋" w:eastAsia="仿宋" w:cs="仿宋"/>
          <w:b/>
          <w:color w:val="auto"/>
          <w:sz w:val="36"/>
          <w:szCs w:val="36"/>
          <w:lang w:val="zh-CN"/>
        </w:rPr>
      </w:pPr>
    </w:p>
    <w:p>
      <w:pPr>
        <w:pStyle w:val="3"/>
        <w:ind w:firstLine="723"/>
        <w:rPr>
          <w:rFonts w:ascii="仿宋" w:hAnsi="仿宋" w:eastAsia="仿宋" w:cs="仿宋"/>
          <w:b/>
          <w:color w:val="auto"/>
          <w:sz w:val="36"/>
          <w:szCs w:val="36"/>
          <w:lang w:val="zh-CN"/>
        </w:rPr>
      </w:pPr>
    </w:p>
    <w:p>
      <w:pPr>
        <w:jc w:val="center"/>
        <w:rPr>
          <w:rFonts w:ascii="仿宋" w:hAnsi="仿宋" w:eastAsia="仿宋" w:cs="仿宋"/>
          <w:b/>
          <w:color w:val="auto"/>
          <w:sz w:val="36"/>
          <w:szCs w:val="36"/>
        </w:rPr>
      </w:pPr>
      <w:r>
        <w:rPr>
          <w:rFonts w:hint="eastAsia" w:ascii="仿宋" w:hAnsi="仿宋" w:eastAsia="仿宋" w:cs="仿宋"/>
          <w:b/>
          <w:color w:val="auto"/>
          <w:sz w:val="36"/>
          <w:szCs w:val="36"/>
        </w:rPr>
        <w:t>技术投标文件</w:t>
      </w:r>
    </w:p>
    <w:p>
      <w:pPr>
        <w:jc w:val="center"/>
        <w:rPr>
          <w:rFonts w:ascii="仿宋" w:hAnsi="仿宋" w:eastAsia="仿宋" w:cs="仿宋"/>
          <w:b/>
          <w:color w:val="auto"/>
          <w:sz w:val="36"/>
          <w:szCs w:val="36"/>
        </w:rPr>
      </w:pPr>
      <w:r>
        <w:rPr>
          <w:rFonts w:hint="eastAsia" w:ascii="仿宋" w:hAnsi="仿宋" w:eastAsia="仿宋" w:cs="仿宋"/>
          <w:b/>
          <w:color w:val="auto"/>
          <w:sz w:val="36"/>
          <w:szCs w:val="36"/>
        </w:rPr>
        <w:t>(商务资信投标文件)</w:t>
      </w:r>
    </w:p>
    <w:p>
      <w:pPr>
        <w:jc w:val="center"/>
        <w:rPr>
          <w:rFonts w:ascii="仿宋" w:hAnsi="仿宋" w:eastAsia="仿宋" w:cs="仿宋"/>
          <w:b/>
          <w:color w:val="auto"/>
          <w:sz w:val="36"/>
          <w:szCs w:val="36"/>
        </w:rPr>
      </w:pPr>
    </w:p>
    <w:p>
      <w:pPr>
        <w:jc w:val="center"/>
        <w:rPr>
          <w:rFonts w:ascii="仿宋" w:hAnsi="仿宋" w:eastAsia="仿宋" w:cs="仿宋"/>
          <w:b/>
          <w:color w:val="auto"/>
          <w:sz w:val="36"/>
          <w:szCs w:val="36"/>
        </w:rPr>
      </w:pPr>
    </w:p>
    <w:p>
      <w:pPr>
        <w:jc w:val="center"/>
        <w:rPr>
          <w:rFonts w:ascii="仿宋" w:hAnsi="仿宋" w:eastAsia="仿宋" w:cs="仿宋"/>
          <w:b/>
          <w:color w:val="auto"/>
          <w:sz w:val="36"/>
          <w:szCs w:val="36"/>
        </w:rPr>
      </w:pPr>
    </w:p>
    <w:p>
      <w:pPr>
        <w:pStyle w:val="11"/>
        <w:rPr>
          <w:color w:val="auto"/>
        </w:rPr>
      </w:pPr>
    </w:p>
    <w:p>
      <w:pPr>
        <w:jc w:val="center"/>
        <w:rPr>
          <w:rFonts w:ascii="仿宋" w:hAnsi="仿宋" w:eastAsia="仿宋" w:cs="仿宋"/>
          <w:b/>
          <w:color w:val="auto"/>
          <w:sz w:val="36"/>
          <w:szCs w:val="36"/>
        </w:rPr>
      </w:pPr>
    </w:p>
    <w:p>
      <w:pPr>
        <w:jc w:val="center"/>
        <w:rPr>
          <w:rFonts w:ascii="仿宋" w:hAnsi="仿宋" w:eastAsia="仿宋" w:cs="仿宋"/>
          <w:b/>
          <w:color w:val="auto"/>
          <w:sz w:val="36"/>
          <w:szCs w:val="36"/>
        </w:rPr>
      </w:pPr>
    </w:p>
    <w:p>
      <w:pPr>
        <w:jc w:val="center"/>
        <w:rPr>
          <w:rFonts w:hint="eastAsia" w:ascii="仿宋" w:hAnsi="仿宋" w:eastAsia="仿宋" w:cs="仿宋"/>
          <w:b/>
          <w:color w:val="auto"/>
          <w:sz w:val="36"/>
          <w:szCs w:val="36"/>
          <w:lang w:eastAsia="zh-CN"/>
        </w:rPr>
      </w:pPr>
      <w:r>
        <w:rPr>
          <w:rFonts w:hint="eastAsia" w:ascii="仿宋" w:hAnsi="仿宋" w:eastAsia="仿宋" w:cs="仿宋"/>
          <w:b/>
          <w:color w:val="auto"/>
          <w:sz w:val="36"/>
          <w:szCs w:val="36"/>
          <w:lang w:eastAsia="zh-CN"/>
        </w:rPr>
        <w:t>（供应商名称）</w:t>
      </w:r>
    </w:p>
    <w:p>
      <w:pPr>
        <w:keepNext/>
        <w:keepLines/>
        <w:autoSpaceDE w:val="0"/>
        <w:autoSpaceDN w:val="0"/>
        <w:adjustRightInd w:val="0"/>
        <w:spacing w:line="240" w:lineRule="atLeast"/>
        <w:jc w:val="center"/>
        <w:rPr>
          <w:rFonts w:ascii="仿宋" w:hAnsi="仿宋" w:eastAsia="仿宋" w:cs="仿宋"/>
          <w:color w:val="auto"/>
        </w:rPr>
      </w:pPr>
      <w:r>
        <w:rPr>
          <w:rFonts w:hint="eastAsia" w:ascii="仿宋" w:hAnsi="仿宋" w:eastAsia="仿宋" w:cs="仿宋"/>
          <w:b/>
          <w:bCs/>
          <w:color w:val="auto"/>
          <w:sz w:val="32"/>
          <w:szCs w:val="32"/>
        </w:rPr>
        <w:t>2023年2月</w:t>
      </w:r>
      <w:r>
        <w:rPr>
          <w:rFonts w:hint="eastAsia"/>
          <w:color w:val="auto"/>
          <w:lang w:val="zh-CN"/>
        </w:rPr>
        <w:br w:type="page"/>
      </w:r>
    </w:p>
    <w:p>
      <w:pPr>
        <w:spacing w:line="240" w:lineRule="atLeast"/>
        <w:ind w:left="735" w:leftChars="350" w:firstLine="120" w:firstLineChars="50"/>
        <w:rPr>
          <w:rFonts w:ascii="仿宋" w:hAnsi="仿宋" w:eastAsia="仿宋" w:cs="仿宋"/>
          <w:color w:val="auto"/>
          <w:sz w:val="24"/>
        </w:rPr>
      </w:pPr>
    </w:p>
    <w:p>
      <w:pPr>
        <w:pStyle w:val="8"/>
        <w:numPr>
          <w:ilvl w:val="0"/>
          <w:numId w:val="5"/>
        </w:numPr>
        <w:spacing w:before="0" w:line="240" w:lineRule="atLeast"/>
        <w:ind w:left="1080" w:leftChars="257" w:hanging="540"/>
        <w:rPr>
          <w:rFonts w:ascii="仿宋" w:hAnsi="仿宋" w:eastAsia="仿宋" w:cs="仿宋"/>
          <w:color w:val="auto"/>
          <w:sz w:val="24"/>
        </w:rPr>
      </w:pPr>
      <w:bookmarkStart w:id="217" w:name="_Toc6532"/>
      <w:bookmarkStart w:id="218" w:name="_Toc10176"/>
      <w:r>
        <w:rPr>
          <w:rFonts w:hint="eastAsia" w:ascii="仿宋" w:hAnsi="仿宋" w:eastAsia="仿宋" w:cs="仿宋"/>
          <w:color w:val="auto"/>
          <w:sz w:val="24"/>
        </w:rPr>
        <w:t>报价单</w:t>
      </w:r>
      <w:bookmarkEnd w:id="217"/>
      <w:bookmarkEnd w:id="218"/>
    </w:p>
    <w:p>
      <w:pPr>
        <w:rPr>
          <w:color w:val="auto"/>
        </w:rPr>
      </w:pPr>
    </w:p>
    <w:p>
      <w:pPr>
        <w:spacing w:line="240" w:lineRule="atLeast"/>
        <w:ind w:left="708" w:hanging="708" w:hangingChars="295"/>
        <w:jc w:val="center"/>
        <w:rPr>
          <w:rFonts w:ascii="仿宋" w:hAnsi="仿宋" w:eastAsia="仿宋" w:cs="仿宋"/>
          <w:color w:val="auto"/>
          <w:sz w:val="24"/>
        </w:rPr>
      </w:pPr>
    </w:p>
    <w:p>
      <w:pPr>
        <w:tabs>
          <w:tab w:val="left" w:pos="1800"/>
          <w:tab w:val="left" w:pos="5580"/>
        </w:tabs>
        <w:spacing w:line="240" w:lineRule="atLeast"/>
        <w:ind w:left="1080" w:leftChars="257" w:right="-867" w:rightChars="-413" w:hanging="540"/>
        <w:rPr>
          <w:rFonts w:ascii="仿宋" w:hAnsi="仿宋" w:eastAsia="仿宋" w:cs="仿宋"/>
          <w:color w:val="auto"/>
          <w:sz w:val="24"/>
        </w:rPr>
      </w:pPr>
      <w:r>
        <w:rPr>
          <w:rFonts w:hint="eastAsia" w:ascii="仿宋" w:hAnsi="仿宋" w:eastAsia="仿宋" w:cs="仿宋"/>
          <w:color w:val="auto"/>
          <w:sz w:val="24"/>
        </w:rPr>
        <w:t xml:space="preserve">项目名称：　                  招标编号：                   </w:t>
      </w:r>
    </w:p>
    <w:p>
      <w:pPr>
        <w:tabs>
          <w:tab w:val="left" w:pos="1800"/>
          <w:tab w:val="left" w:pos="5580"/>
        </w:tabs>
        <w:spacing w:line="240" w:lineRule="atLeast"/>
        <w:ind w:left="1080" w:leftChars="257" w:right="-867" w:rightChars="-413" w:hanging="540"/>
        <w:rPr>
          <w:rFonts w:ascii="仿宋" w:hAnsi="仿宋" w:eastAsia="仿宋" w:cs="仿宋"/>
          <w:color w:val="auto"/>
          <w:sz w:val="24"/>
        </w:rPr>
      </w:pPr>
      <w:r>
        <w:rPr>
          <w:rFonts w:hint="eastAsia" w:ascii="仿宋" w:hAnsi="仿宋" w:eastAsia="仿宋" w:cs="仿宋"/>
          <w:color w:val="auto"/>
          <w:sz w:val="24"/>
        </w:rPr>
        <w:t>报价单位：人民币</w:t>
      </w:r>
      <w:r>
        <w:rPr>
          <w:rFonts w:hint="eastAsia" w:ascii="仿宋" w:hAnsi="仿宋" w:eastAsia="仿宋" w:cs="仿宋"/>
          <w:b/>
          <w:color w:val="auto"/>
          <w:sz w:val="24"/>
        </w:rPr>
        <w:t>万元</w:t>
      </w:r>
    </w:p>
    <w:tbl>
      <w:tblPr>
        <w:tblStyle w:val="37"/>
        <w:tblW w:w="9155" w:type="dxa"/>
        <w:tblInd w:w="-61" w:type="dxa"/>
        <w:tblLayout w:type="fixed"/>
        <w:tblCellMar>
          <w:top w:w="0" w:type="dxa"/>
          <w:left w:w="0" w:type="dxa"/>
          <w:bottom w:w="0" w:type="dxa"/>
          <w:right w:w="0" w:type="dxa"/>
        </w:tblCellMar>
      </w:tblPr>
      <w:tblGrid>
        <w:gridCol w:w="1420"/>
        <w:gridCol w:w="2340"/>
        <w:gridCol w:w="1805"/>
        <w:gridCol w:w="1445"/>
        <w:gridCol w:w="1016"/>
        <w:gridCol w:w="1129"/>
      </w:tblGrid>
      <w:tr>
        <w:tblPrEx>
          <w:tblCellMar>
            <w:top w:w="0" w:type="dxa"/>
            <w:left w:w="0" w:type="dxa"/>
            <w:bottom w:w="0" w:type="dxa"/>
            <w:right w:w="0" w:type="dxa"/>
          </w:tblCellMar>
        </w:tblPrEx>
        <w:trPr>
          <w:trHeight w:val="662" w:hRule="atLeast"/>
        </w:trPr>
        <w:tc>
          <w:tcPr>
            <w:tcW w:w="1420" w:type="dxa"/>
            <w:tcBorders>
              <w:top w:val="single" w:color="auto" w:sz="4" w:space="0"/>
              <w:left w:val="single" w:color="auto" w:sz="4" w:space="0"/>
              <w:bottom w:val="single" w:color="auto" w:sz="8" w:space="0"/>
              <w:right w:val="single" w:color="auto" w:sz="4" w:space="0"/>
            </w:tcBorders>
            <w:vAlign w:val="center"/>
          </w:tcPr>
          <w:p>
            <w:pPr>
              <w:tabs>
                <w:tab w:val="left" w:pos="5580"/>
              </w:tabs>
              <w:spacing w:line="240" w:lineRule="atLeast"/>
              <w:ind w:right="-199"/>
              <w:jc w:val="center"/>
              <w:rPr>
                <w:rFonts w:ascii="仿宋" w:hAnsi="仿宋" w:eastAsia="仿宋" w:cs="仿宋"/>
                <w:color w:val="auto"/>
                <w:sz w:val="24"/>
              </w:rPr>
            </w:pPr>
            <w:r>
              <w:rPr>
                <w:rFonts w:hint="eastAsia" w:ascii="仿宋" w:hAnsi="仿宋" w:eastAsia="仿宋" w:cs="仿宋"/>
                <w:color w:val="auto"/>
                <w:sz w:val="24"/>
              </w:rPr>
              <w:t>标项名称</w:t>
            </w:r>
          </w:p>
        </w:tc>
        <w:tc>
          <w:tcPr>
            <w:tcW w:w="2340" w:type="dxa"/>
            <w:tcBorders>
              <w:top w:val="single" w:color="auto" w:sz="4" w:space="0"/>
              <w:left w:val="single" w:color="auto" w:sz="8" w:space="0"/>
              <w:bottom w:val="single" w:color="auto" w:sz="8" w:space="0"/>
              <w:right w:val="single" w:color="auto" w:sz="4" w:space="0"/>
            </w:tcBorders>
            <w:vAlign w:val="center"/>
          </w:tcPr>
          <w:p>
            <w:pPr>
              <w:tabs>
                <w:tab w:val="left" w:pos="5580"/>
              </w:tabs>
              <w:spacing w:line="240" w:lineRule="atLeast"/>
              <w:jc w:val="center"/>
              <w:rPr>
                <w:rFonts w:ascii="仿宋" w:hAnsi="仿宋" w:eastAsia="仿宋" w:cs="仿宋"/>
                <w:color w:val="auto"/>
                <w:sz w:val="24"/>
              </w:rPr>
            </w:pPr>
            <w:r>
              <w:rPr>
                <w:rFonts w:hint="eastAsia" w:ascii="仿宋" w:hAnsi="仿宋" w:eastAsia="仿宋" w:cs="仿宋"/>
                <w:color w:val="auto"/>
                <w:sz w:val="24"/>
              </w:rPr>
              <w:t>投标总价</w:t>
            </w:r>
          </w:p>
        </w:tc>
        <w:tc>
          <w:tcPr>
            <w:tcW w:w="1805" w:type="dxa"/>
            <w:tcBorders>
              <w:top w:val="single" w:color="auto" w:sz="8" w:space="0"/>
              <w:left w:val="nil"/>
              <w:bottom w:val="single" w:color="auto" w:sz="8" w:space="0"/>
              <w:right w:val="single" w:color="auto" w:sz="4" w:space="0"/>
            </w:tcBorders>
            <w:vAlign w:val="center"/>
          </w:tcPr>
          <w:p>
            <w:pPr>
              <w:tabs>
                <w:tab w:val="left" w:pos="5580"/>
              </w:tabs>
              <w:spacing w:line="240" w:lineRule="atLeast"/>
              <w:jc w:val="center"/>
              <w:rPr>
                <w:rFonts w:ascii="仿宋" w:hAnsi="仿宋" w:eastAsia="仿宋" w:cs="仿宋"/>
                <w:color w:val="auto"/>
                <w:sz w:val="24"/>
              </w:rPr>
            </w:pPr>
            <w:r>
              <w:rPr>
                <w:rFonts w:hint="eastAsia" w:ascii="仿宋" w:hAnsi="仿宋" w:eastAsia="仿宋" w:cs="仿宋"/>
                <w:color w:val="auto"/>
                <w:sz w:val="24"/>
              </w:rPr>
              <w:t>投标保证金</w:t>
            </w:r>
          </w:p>
        </w:tc>
        <w:tc>
          <w:tcPr>
            <w:tcW w:w="1445" w:type="dxa"/>
            <w:tcBorders>
              <w:top w:val="single" w:color="auto" w:sz="8" w:space="0"/>
              <w:left w:val="nil"/>
              <w:bottom w:val="single" w:color="auto" w:sz="8" w:space="0"/>
              <w:right w:val="single" w:color="auto" w:sz="4" w:space="0"/>
            </w:tcBorders>
            <w:vAlign w:val="center"/>
          </w:tcPr>
          <w:p>
            <w:pPr>
              <w:tabs>
                <w:tab w:val="left" w:pos="5580"/>
              </w:tabs>
              <w:spacing w:line="240" w:lineRule="atLeast"/>
              <w:jc w:val="center"/>
              <w:rPr>
                <w:rFonts w:ascii="仿宋" w:hAnsi="仿宋" w:eastAsia="仿宋" w:cs="仿宋"/>
                <w:color w:val="auto"/>
                <w:sz w:val="24"/>
              </w:rPr>
            </w:pPr>
            <w:r>
              <w:rPr>
                <w:rFonts w:hint="eastAsia" w:ascii="仿宋" w:hAnsi="仿宋" w:eastAsia="仿宋" w:cs="仿宋"/>
                <w:color w:val="auto"/>
                <w:sz w:val="24"/>
              </w:rPr>
              <w:t>履约期限</w:t>
            </w:r>
          </w:p>
        </w:tc>
        <w:tc>
          <w:tcPr>
            <w:tcW w:w="1016" w:type="dxa"/>
            <w:tcBorders>
              <w:top w:val="single" w:color="auto" w:sz="8" w:space="0"/>
              <w:left w:val="nil"/>
              <w:bottom w:val="single" w:color="auto" w:sz="8" w:space="0"/>
              <w:right w:val="single" w:color="auto" w:sz="4" w:space="0"/>
            </w:tcBorders>
            <w:vAlign w:val="center"/>
          </w:tcPr>
          <w:p>
            <w:pPr>
              <w:tabs>
                <w:tab w:val="left" w:pos="5580"/>
              </w:tabs>
              <w:spacing w:line="240" w:lineRule="atLeast"/>
              <w:jc w:val="center"/>
              <w:rPr>
                <w:rFonts w:ascii="仿宋" w:hAnsi="仿宋" w:eastAsia="仿宋" w:cs="仿宋"/>
                <w:color w:val="auto"/>
                <w:sz w:val="24"/>
              </w:rPr>
            </w:pPr>
            <w:r>
              <w:rPr>
                <w:rFonts w:hint="eastAsia" w:ascii="仿宋" w:hAnsi="仿宋" w:eastAsia="仿宋" w:cs="仿宋"/>
                <w:color w:val="auto"/>
                <w:sz w:val="24"/>
              </w:rPr>
              <w:t>履约地点</w:t>
            </w:r>
          </w:p>
        </w:tc>
        <w:tc>
          <w:tcPr>
            <w:tcW w:w="1129" w:type="dxa"/>
            <w:tcBorders>
              <w:top w:val="single" w:color="auto" w:sz="8" w:space="0"/>
              <w:left w:val="single" w:color="auto" w:sz="4" w:space="0"/>
              <w:bottom w:val="single" w:color="auto" w:sz="8" w:space="0"/>
              <w:right w:val="single" w:color="auto" w:sz="8" w:space="0"/>
            </w:tcBorders>
            <w:vAlign w:val="center"/>
          </w:tcPr>
          <w:p>
            <w:pPr>
              <w:tabs>
                <w:tab w:val="left" w:pos="5580"/>
              </w:tabs>
              <w:spacing w:line="240" w:lineRule="atLeast"/>
              <w:jc w:val="center"/>
              <w:rPr>
                <w:rFonts w:ascii="仿宋" w:hAnsi="仿宋" w:eastAsia="仿宋" w:cs="仿宋"/>
                <w:color w:val="auto"/>
                <w:sz w:val="24"/>
              </w:rPr>
            </w:pPr>
            <w:r>
              <w:rPr>
                <w:rFonts w:hint="eastAsia" w:ascii="仿宋" w:hAnsi="仿宋" w:eastAsia="仿宋" w:cs="仿宋"/>
                <w:color w:val="auto"/>
                <w:sz w:val="24"/>
              </w:rPr>
              <w:t>备注</w:t>
            </w:r>
          </w:p>
        </w:tc>
      </w:tr>
      <w:tr>
        <w:tblPrEx>
          <w:tblCellMar>
            <w:top w:w="0" w:type="dxa"/>
            <w:left w:w="0" w:type="dxa"/>
            <w:bottom w:w="0" w:type="dxa"/>
            <w:right w:w="0" w:type="dxa"/>
          </w:tblCellMar>
        </w:tblPrEx>
        <w:trPr>
          <w:cantSplit/>
          <w:trHeight w:val="1640" w:hRule="atLeast"/>
        </w:trPr>
        <w:tc>
          <w:tcPr>
            <w:tcW w:w="1420" w:type="dxa"/>
            <w:tcBorders>
              <w:top w:val="single" w:color="auto" w:sz="8" w:space="0"/>
              <w:left w:val="single" w:color="auto" w:sz="4" w:space="0"/>
              <w:bottom w:val="single" w:color="auto" w:sz="4" w:space="0"/>
              <w:right w:val="single" w:color="auto" w:sz="4" w:space="0"/>
            </w:tcBorders>
            <w:vAlign w:val="center"/>
          </w:tcPr>
          <w:p>
            <w:pPr>
              <w:tabs>
                <w:tab w:val="left" w:pos="5580"/>
              </w:tabs>
              <w:spacing w:line="240" w:lineRule="atLeast"/>
              <w:ind w:left="1080" w:leftChars="257" w:hanging="540"/>
              <w:jc w:val="center"/>
              <w:rPr>
                <w:rFonts w:ascii="仿宋" w:hAnsi="仿宋" w:eastAsia="仿宋" w:cs="仿宋"/>
                <w:color w:val="auto"/>
                <w:sz w:val="24"/>
              </w:rPr>
            </w:pPr>
          </w:p>
        </w:tc>
        <w:tc>
          <w:tcPr>
            <w:tcW w:w="2340" w:type="dxa"/>
            <w:tcBorders>
              <w:top w:val="single" w:color="auto" w:sz="8" w:space="0"/>
              <w:left w:val="single" w:color="auto" w:sz="8" w:space="0"/>
              <w:bottom w:val="single" w:color="auto" w:sz="4" w:space="0"/>
              <w:right w:val="single" w:color="auto" w:sz="4" w:space="0"/>
            </w:tcBorders>
            <w:vAlign w:val="center"/>
          </w:tcPr>
          <w:p>
            <w:pPr>
              <w:tabs>
                <w:tab w:val="left" w:pos="5580"/>
              </w:tabs>
              <w:spacing w:line="240" w:lineRule="atLeast"/>
              <w:jc w:val="left"/>
              <w:rPr>
                <w:rFonts w:ascii="仿宋" w:hAnsi="仿宋" w:eastAsia="仿宋" w:cs="仿宋"/>
                <w:color w:val="auto"/>
                <w:sz w:val="24"/>
              </w:rPr>
            </w:pPr>
            <w:r>
              <w:rPr>
                <w:rFonts w:hint="eastAsia" w:ascii="仿宋" w:hAnsi="仿宋" w:eastAsia="仿宋" w:cs="仿宋"/>
                <w:color w:val="auto"/>
                <w:sz w:val="24"/>
              </w:rPr>
              <w:t>大写：</w:t>
            </w:r>
          </w:p>
          <w:p>
            <w:pPr>
              <w:tabs>
                <w:tab w:val="left" w:pos="5580"/>
              </w:tabs>
              <w:spacing w:line="240" w:lineRule="atLeast"/>
              <w:jc w:val="left"/>
              <w:rPr>
                <w:rFonts w:ascii="仿宋" w:hAnsi="仿宋" w:eastAsia="仿宋" w:cs="仿宋"/>
                <w:color w:val="auto"/>
                <w:sz w:val="24"/>
              </w:rPr>
            </w:pPr>
            <w:r>
              <w:rPr>
                <w:rFonts w:hint="eastAsia" w:ascii="仿宋" w:hAnsi="仿宋" w:eastAsia="仿宋" w:cs="仿宋"/>
                <w:color w:val="auto"/>
                <w:sz w:val="24"/>
              </w:rPr>
              <w:t>小写：</w:t>
            </w:r>
          </w:p>
        </w:tc>
        <w:tc>
          <w:tcPr>
            <w:tcW w:w="1805" w:type="dxa"/>
            <w:tcBorders>
              <w:top w:val="single" w:color="auto" w:sz="8" w:space="0"/>
              <w:left w:val="nil"/>
              <w:bottom w:val="single" w:color="auto" w:sz="4" w:space="0"/>
              <w:right w:val="single" w:color="auto" w:sz="4" w:space="0"/>
            </w:tcBorders>
            <w:vAlign w:val="center"/>
          </w:tcPr>
          <w:p>
            <w:pPr>
              <w:tabs>
                <w:tab w:val="left" w:pos="5580"/>
              </w:tabs>
              <w:spacing w:line="240" w:lineRule="atLeast"/>
              <w:ind w:left="1080" w:leftChars="257" w:hanging="540"/>
              <w:jc w:val="center"/>
              <w:rPr>
                <w:rFonts w:ascii="仿宋" w:hAnsi="仿宋" w:eastAsia="仿宋" w:cs="仿宋"/>
                <w:color w:val="auto"/>
                <w:sz w:val="24"/>
              </w:rPr>
            </w:pPr>
          </w:p>
        </w:tc>
        <w:tc>
          <w:tcPr>
            <w:tcW w:w="1445" w:type="dxa"/>
            <w:tcBorders>
              <w:top w:val="single" w:color="auto" w:sz="8" w:space="0"/>
              <w:left w:val="nil"/>
              <w:bottom w:val="single" w:color="auto" w:sz="4" w:space="0"/>
              <w:right w:val="single" w:color="auto" w:sz="4" w:space="0"/>
            </w:tcBorders>
            <w:vAlign w:val="center"/>
          </w:tcPr>
          <w:p>
            <w:pPr>
              <w:tabs>
                <w:tab w:val="left" w:pos="5580"/>
              </w:tabs>
              <w:spacing w:line="240" w:lineRule="atLeast"/>
              <w:ind w:left="1080" w:leftChars="257" w:hanging="540"/>
              <w:jc w:val="center"/>
              <w:rPr>
                <w:rFonts w:ascii="仿宋" w:hAnsi="仿宋" w:eastAsia="仿宋" w:cs="仿宋"/>
                <w:color w:val="auto"/>
                <w:sz w:val="24"/>
              </w:rPr>
            </w:pPr>
          </w:p>
        </w:tc>
        <w:tc>
          <w:tcPr>
            <w:tcW w:w="1016" w:type="dxa"/>
            <w:tcBorders>
              <w:top w:val="single" w:color="auto" w:sz="8" w:space="0"/>
              <w:left w:val="nil"/>
              <w:bottom w:val="single" w:color="auto" w:sz="4" w:space="0"/>
              <w:right w:val="single" w:color="auto" w:sz="4" w:space="0"/>
            </w:tcBorders>
            <w:vAlign w:val="center"/>
          </w:tcPr>
          <w:p>
            <w:pPr>
              <w:tabs>
                <w:tab w:val="left" w:pos="5580"/>
              </w:tabs>
              <w:spacing w:line="240" w:lineRule="atLeast"/>
              <w:ind w:left="1080" w:leftChars="257" w:hanging="540"/>
              <w:jc w:val="center"/>
              <w:rPr>
                <w:rFonts w:ascii="仿宋" w:hAnsi="仿宋" w:eastAsia="仿宋" w:cs="仿宋"/>
                <w:color w:val="auto"/>
                <w:sz w:val="24"/>
              </w:rPr>
            </w:pPr>
          </w:p>
        </w:tc>
        <w:tc>
          <w:tcPr>
            <w:tcW w:w="1129" w:type="dxa"/>
            <w:tcBorders>
              <w:top w:val="single" w:color="auto" w:sz="8" w:space="0"/>
              <w:left w:val="single" w:color="auto" w:sz="4" w:space="0"/>
              <w:bottom w:val="single" w:color="auto" w:sz="4" w:space="0"/>
              <w:right w:val="single" w:color="auto" w:sz="8" w:space="0"/>
            </w:tcBorders>
            <w:vAlign w:val="center"/>
          </w:tcPr>
          <w:p>
            <w:pPr>
              <w:tabs>
                <w:tab w:val="left" w:pos="5580"/>
              </w:tabs>
              <w:spacing w:line="240" w:lineRule="atLeast"/>
              <w:ind w:left="1080" w:leftChars="257" w:hanging="540"/>
              <w:jc w:val="center"/>
              <w:rPr>
                <w:rFonts w:ascii="仿宋" w:hAnsi="仿宋" w:eastAsia="仿宋" w:cs="仿宋"/>
                <w:color w:val="auto"/>
                <w:sz w:val="24"/>
              </w:rPr>
            </w:pPr>
          </w:p>
        </w:tc>
      </w:tr>
    </w:tbl>
    <w:p>
      <w:pPr>
        <w:pStyle w:val="17"/>
        <w:tabs>
          <w:tab w:val="left" w:pos="5580"/>
        </w:tabs>
        <w:spacing w:line="240" w:lineRule="atLeast"/>
        <w:ind w:left="1080" w:leftChars="257" w:hanging="540"/>
        <w:rPr>
          <w:rFonts w:ascii="仿宋" w:hAnsi="仿宋" w:eastAsia="仿宋" w:cs="仿宋"/>
          <w:color w:val="auto"/>
          <w:sz w:val="24"/>
        </w:rPr>
      </w:pPr>
    </w:p>
    <w:p>
      <w:pPr>
        <w:pStyle w:val="17"/>
        <w:tabs>
          <w:tab w:val="left" w:pos="5580"/>
        </w:tabs>
        <w:spacing w:line="240" w:lineRule="atLeast"/>
        <w:rPr>
          <w:rFonts w:ascii="仿宋" w:hAnsi="仿宋" w:eastAsia="仿宋" w:cs="仿宋"/>
          <w:color w:val="auto"/>
          <w:sz w:val="24"/>
          <w:u w:val="single"/>
        </w:rPr>
      </w:pPr>
    </w:p>
    <w:p>
      <w:pPr>
        <w:pStyle w:val="17"/>
        <w:tabs>
          <w:tab w:val="left" w:pos="5580"/>
        </w:tabs>
        <w:spacing w:line="240" w:lineRule="atLeast"/>
        <w:ind w:left="1080" w:leftChars="257" w:hanging="540"/>
        <w:rPr>
          <w:rFonts w:ascii="仿宋" w:hAnsi="仿宋" w:eastAsia="仿宋" w:cs="仿宋"/>
          <w:color w:val="auto"/>
          <w:sz w:val="24"/>
        </w:rPr>
      </w:pPr>
      <w:r>
        <w:rPr>
          <w:rFonts w:hint="eastAsia" w:ascii="仿宋" w:hAnsi="仿宋" w:eastAsia="仿宋" w:cs="仿宋"/>
          <w:color w:val="auto"/>
          <w:sz w:val="24"/>
        </w:rPr>
        <w:t>供应商名称（单位章）：</w:t>
      </w:r>
      <w:r>
        <w:rPr>
          <w:rFonts w:hint="eastAsia" w:ascii="仿宋" w:hAnsi="仿宋" w:eastAsia="仿宋" w:cs="仿宋"/>
          <w:color w:val="auto"/>
          <w:sz w:val="24"/>
          <w:u w:val="single"/>
        </w:rPr>
        <w:t xml:space="preserve">                       </w:t>
      </w:r>
    </w:p>
    <w:p>
      <w:pPr>
        <w:pStyle w:val="17"/>
        <w:tabs>
          <w:tab w:val="left" w:pos="5580"/>
        </w:tabs>
        <w:spacing w:line="240" w:lineRule="atLeast"/>
        <w:ind w:left="1080" w:leftChars="257" w:hanging="540"/>
        <w:rPr>
          <w:rFonts w:ascii="仿宋" w:hAnsi="仿宋" w:eastAsia="仿宋" w:cs="仿宋"/>
          <w:color w:val="auto"/>
          <w:sz w:val="24"/>
          <w:u w:val="single"/>
        </w:rPr>
      </w:pPr>
      <w:r>
        <w:rPr>
          <w:rFonts w:hint="eastAsia" w:ascii="仿宋" w:hAnsi="仿宋" w:eastAsia="仿宋" w:cs="仿宋"/>
          <w:color w:val="auto"/>
          <w:sz w:val="24"/>
        </w:rPr>
        <w:t>法定代表人或其委托代理人(签字):</w:t>
      </w:r>
      <w:r>
        <w:rPr>
          <w:rFonts w:hint="eastAsia" w:ascii="仿宋" w:hAnsi="仿宋" w:eastAsia="仿宋" w:cs="仿宋"/>
          <w:color w:val="auto"/>
          <w:sz w:val="24"/>
          <w:u w:val="single"/>
        </w:rPr>
        <w:tab/>
      </w:r>
    </w:p>
    <w:p>
      <w:pPr>
        <w:pStyle w:val="17"/>
        <w:tabs>
          <w:tab w:val="left" w:pos="5580"/>
        </w:tabs>
        <w:spacing w:line="240" w:lineRule="atLeast"/>
        <w:rPr>
          <w:rFonts w:ascii="仿宋" w:hAnsi="仿宋" w:eastAsia="仿宋" w:cs="仿宋"/>
          <w:b/>
          <w:color w:val="auto"/>
        </w:rPr>
      </w:pPr>
    </w:p>
    <w:p>
      <w:pPr>
        <w:pStyle w:val="17"/>
        <w:tabs>
          <w:tab w:val="left" w:pos="5580"/>
        </w:tabs>
        <w:spacing w:line="240" w:lineRule="atLeast"/>
        <w:rPr>
          <w:rFonts w:ascii="仿宋" w:hAnsi="仿宋" w:eastAsia="仿宋" w:cs="仿宋"/>
          <w:color w:val="auto"/>
          <w:sz w:val="24"/>
          <w:u w:val="single"/>
        </w:rPr>
      </w:pPr>
    </w:p>
    <w:p>
      <w:pPr>
        <w:pStyle w:val="11"/>
        <w:ind w:firstLine="422"/>
        <w:rPr>
          <w:rFonts w:ascii="仿宋" w:hAnsi="仿宋" w:eastAsia="仿宋" w:cs="仿宋"/>
          <w:b/>
          <w:bCs/>
          <w:color w:val="auto"/>
          <w:kern w:val="2"/>
          <w:szCs w:val="24"/>
        </w:rPr>
      </w:pPr>
      <w:r>
        <w:rPr>
          <w:rFonts w:hint="eastAsia" w:ascii="仿宋" w:hAnsi="仿宋" w:eastAsia="仿宋" w:cs="仿宋"/>
          <w:bCs/>
          <w:iCs/>
          <w:color w:val="auto"/>
        </w:rPr>
        <w:br w:type="page"/>
      </w:r>
      <w:bookmarkStart w:id="219" w:name="_Toc480942349"/>
      <w:bookmarkStart w:id="220" w:name="_Ref467988698"/>
      <w:bookmarkStart w:id="221" w:name="_Toc520356217"/>
      <w:bookmarkStart w:id="222" w:name="_Toc216582813"/>
    </w:p>
    <w:p>
      <w:pPr>
        <w:pStyle w:val="22"/>
        <w:tabs>
          <w:tab w:val="center" w:pos="4140"/>
          <w:tab w:val="right" w:pos="8300"/>
          <w:tab w:val="clear" w:pos="4153"/>
          <w:tab w:val="clear" w:pos="8306"/>
        </w:tabs>
        <w:spacing w:line="440" w:lineRule="exact"/>
        <w:jc w:val="center"/>
        <w:outlineLvl w:val="1"/>
        <w:rPr>
          <w:rFonts w:ascii="仿宋" w:hAnsi="仿宋" w:eastAsia="仿宋" w:cs="仿宋"/>
          <w:color w:val="auto"/>
          <w:sz w:val="24"/>
        </w:rPr>
      </w:pPr>
      <w:bookmarkStart w:id="223" w:name="_Toc518923115"/>
      <w:bookmarkStart w:id="224" w:name="_Toc26612"/>
      <w:bookmarkStart w:id="225" w:name="_Toc15428"/>
      <w:r>
        <w:rPr>
          <w:rFonts w:hint="eastAsia" w:ascii="仿宋" w:hAnsi="仿宋" w:eastAsia="仿宋" w:cs="仿宋"/>
          <w:b/>
          <w:color w:val="auto"/>
          <w:sz w:val="24"/>
        </w:rPr>
        <w:t xml:space="preserve">第三部分  </w:t>
      </w:r>
      <w:bookmarkEnd w:id="223"/>
      <w:r>
        <w:rPr>
          <w:rFonts w:hint="eastAsia" w:ascii="仿宋" w:hAnsi="仿宋" w:eastAsia="仿宋" w:cs="仿宋"/>
          <w:b/>
          <w:color w:val="auto"/>
          <w:sz w:val="24"/>
        </w:rPr>
        <w:t>商务资信投标文件</w:t>
      </w:r>
      <w:bookmarkEnd w:id="224"/>
      <w:bookmarkEnd w:id="225"/>
    </w:p>
    <w:p>
      <w:pPr>
        <w:shd w:val="clear" w:color="auto" w:fill="FFFFFF"/>
        <w:spacing w:line="400" w:lineRule="exact"/>
        <w:ind w:firstLine="484" w:firstLineChars="202"/>
        <w:rPr>
          <w:rFonts w:ascii="仿宋" w:hAnsi="仿宋" w:eastAsia="仿宋" w:cs="仿宋"/>
          <w:color w:val="auto"/>
          <w:sz w:val="24"/>
          <w:lang w:val="zh-CN"/>
        </w:rPr>
      </w:pPr>
      <w:r>
        <w:rPr>
          <w:rFonts w:hint="eastAsia" w:ascii="仿宋" w:hAnsi="仿宋" w:eastAsia="仿宋" w:cs="仿宋"/>
          <w:color w:val="auto"/>
          <w:sz w:val="24"/>
          <w:lang w:val="zh-CN"/>
        </w:rPr>
        <w:t>供应商应根据采购文件的要求提供详细的</w:t>
      </w:r>
      <w:r>
        <w:rPr>
          <w:rFonts w:hint="eastAsia" w:ascii="仿宋" w:hAnsi="仿宋" w:eastAsia="仿宋" w:cs="仿宋"/>
          <w:color w:val="auto"/>
          <w:sz w:val="24"/>
        </w:rPr>
        <w:t>商务投标方案</w:t>
      </w:r>
      <w:r>
        <w:rPr>
          <w:rFonts w:hint="eastAsia" w:ascii="仿宋" w:hAnsi="仿宋" w:eastAsia="仿宋" w:cs="仿宋"/>
          <w:color w:val="auto"/>
          <w:sz w:val="24"/>
          <w:lang w:val="zh-CN"/>
        </w:rPr>
        <w:t>，参照项目的具体情况及评分标准</w:t>
      </w:r>
      <w:r>
        <w:rPr>
          <w:rFonts w:hint="eastAsia" w:ascii="仿宋" w:hAnsi="仿宋" w:eastAsia="仿宋" w:cs="仿宋"/>
          <w:color w:val="auto"/>
          <w:sz w:val="24"/>
        </w:rPr>
        <w:t>编制</w:t>
      </w:r>
      <w:r>
        <w:rPr>
          <w:rFonts w:hint="eastAsia" w:ascii="仿宋" w:hAnsi="仿宋" w:eastAsia="仿宋" w:cs="仿宋"/>
          <w:color w:val="auto"/>
          <w:sz w:val="24"/>
          <w:lang w:val="zh-CN"/>
        </w:rPr>
        <w:t>；</w:t>
      </w:r>
    </w:p>
    <w:p>
      <w:pPr>
        <w:shd w:val="clear" w:color="auto" w:fill="FFFFFF"/>
        <w:spacing w:line="400" w:lineRule="exact"/>
        <w:ind w:firstLine="484" w:firstLineChars="202"/>
        <w:rPr>
          <w:rFonts w:ascii="仿宋" w:hAnsi="仿宋" w:eastAsia="仿宋" w:cs="仿宋"/>
          <w:color w:val="auto"/>
          <w:sz w:val="24"/>
          <w:lang w:val="zh-CN"/>
        </w:rPr>
      </w:pPr>
      <w:r>
        <w:rPr>
          <w:rFonts w:hint="eastAsia" w:ascii="仿宋" w:hAnsi="仿宋" w:eastAsia="仿宋" w:cs="仿宋"/>
          <w:color w:val="auto"/>
          <w:sz w:val="24"/>
        </w:rPr>
        <w:t>标项一至</w:t>
      </w:r>
      <w:r>
        <w:rPr>
          <w:rFonts w:hint="eastAsia" w:ascii="仿宋" w:hAnsi="仿宋" w:eastAsia="仿宋" w:cs="仿宋"/>
          <w:color w:val="auto"/>
          <w:sz w:val="24"/>
          <w:lang w:val="en-US" w:eastAsia="zh-CN"/>
        </w:rPr>
        <w:t>五</w:t>
      </w:r>
      <w:r>
        <w:rPr>
          <w:rFonts w:hint="eastAsia" w:ascii="仿宋" w:hAnsi="仿宋" w:eastAsia="仿宋" w:cs="仿宋"/>
          <w:color w:val="auto"/>
          <w:sz w:val="24"/>
        </w:rPr>
        <w:t>：</w:t>
      </w:r>
      <w:r>
        <w:rPr>
          <w:rFonts w:hint="eastAsia" w:ascii="仿宋" w:hAnsi="仿宋" w:eastAsia="仿宋" w:cs="仿宋"/>
          <w:color w:val="auto"/>
          <w:sz w:val="24"/>
          <w:lang w:val="zh-CN"/>
        </w:rPr>
        <w:t>商务资信投标文件将从送审材料完整性、适用表式、编制方法、预算标准、预算内容、计算和勾稽关系、与技术方案工作量平衡、预算编制说明和报价的合理性、</w:t>
      </w:r>
      <w:r>
        <w:rPr>
          <w:rFonts w:hint="eastAsia" w:ascii="仿宋" w:hAnsi="仿宋" w:eastAsia="仿宋" w:cs="仿宋"/>
          <w:color w:val="auto"/>
          <w:sz w:val="24"/>
        </w:rPr>
        <w:t>主要工作业绩</w:t>
      </w:r>
      <w:r>
        <w:rPr>
          <w:rFonts w:hint="eastAsia" w:ascii="仿宋" w:hAnsi="仿宋" w:eastAsia="仿宋" w:cs="仿宋"/>
          <w:color w:val="auto"/>
          <w:sz w:val="24"/>
          <w:lang w:val="en-US" w:eastAsia="zh-CN"/>
        </w:rPr>
        <w:t>和</w:t>
      </w:r>
      <w:r>
        <w:rPr>
          <w:rFonts w:hint="eastAsia" w:ascii="仿宋" w:hAnsi="仿宋" w:eastAsia="仿宋" w:cs="仿宋"/>
          <w:color w:val="auto"/>
          <w:sz w:val="24"/>
        </w:rPr>
        <w:t>相关承诺</w:t>
      </w:r>
      <w:r>
        <w:rPr>
          <w:rFonts w:hint="eastAsia" w:ascii="仿宋" w:hAnsi="仿宋" w:eastAsia="仿宋" w:cs="仿宋"/>
          <w:color w:val="auto"/>
          <w:sz w:val="24"/>
          <w:lang w:val="zh-CN"/>
        </w:rPr>
        <w:t>等方面进行评审。</w:t>
      </w:r>
    </w:p>
    <w:p>
      <w:pPr>
        <w:shd w:val="clear" w:color="auto" w:fill="FFFFFF"/>
        <w:spacing w:line="400" w:lineRule="exact"/>
        <w:ind w:firstLine="484" w:firstLineChars="202"/>
        <w:rPr>
          <w:rFonts w:ascii="仿宋" w:hAnsi="仿宋" w:eastAsia="仿宋" w:cs="仿宋"/>
          <w:color w:val="auto"/>
          <w:sz w:val="24"/>
        </w:rPr>
      </w:pPr>
      <w:r>
        <w:rPr>
          <w:rFonts w:hint="eastAsia" w:ascii="仿宋" w:hAnsi="仿宋" w:eastAsia="仿宋" w:cs="仿宋"/>
          <w:color w:val="auto"/>
          <w:sz w:val="24"/>
        </w:rPr>
        <w:t>标项</w:t>
      </w:r>
      <w:r>
        <w:rPr>
          <w:rFonts w:hint="eastAsia" w:ascii="仿宋" w:hAnsi="仿宋" w:eastAsia="仿宋" w:cs="仿宋"/>
          <w:color w:val="auto"/>
          <w:sz w:val="24"/>
          <w:lang w:val="en-US" w:eastAsia="zh-CN"/>
        </w:rPr>
        <w:t>六</w:t>
      </w:r>
      <w:r>
        <w:rPr>
          <w:rFonts w:hint="eastAsia" w:ascii="仿宋" w:hAnsi="仿宋" w:eastAsia="仿宋" w:cs="仿宋"/>
          <w:color w:val="auto"/>
          <w:sz w:val="24"/>
        </w:rPr>
        <w:t>：</w:t>
      </w:r>
      <w:r>
        <w:rPr>
          <w:rFonts w:hint="eastAsia" w:ascii="仿宋" w:hAnsi="仿宋" w:eastAsia="仿宋" w:cs="仿宋"/>
          <w:color w:val="auto"/>
          <w:sz w:val="24"/>
          <w:lang w:val="zh-CN"/>
        </w:rPr>
        <w:t>商务资信投标文件</w:t>
      </w:r>
      <w:r>
        <w:rPr>
          <w:rFonts w:hint="eastAsia" w:ascii="仿宋" w:hAnsi="仿宋" w:eastAsia="仿宋" w:cs="仿宋"/>
          <w:color w:val="auto"/>
          <w:sz w:val="24"/>
        </w:rPr>
        <w:t>将从对采购文件及合同条款的确认，投入项目人员数量满足要求，工种齐全，人员专业结构配备合理，仪器、设备配置，近三年资产状况，组织管理、质量、进度、安全的保障体系及主要措施，组织管理机构应健全，拟派出的总监、总监代表人的职称，应建立领导小组，主要业绩，相关承诺等方面进行评审。</w:t>
      </w:r>
    </w:p>
    <w:p>
      <w:pPr>
        <w:shd w:val="clear" w:color="auto" w:fill="FFFFFF"/>
        <w:spacing w:line="400" w:lineRule="exact"/>
        <w:ind w:firstLine="484" w:firstLineChars="202"/>
        <w:rPr>
          <w:rFonts w:ascii="仿宋" w:hAnsi="仿宋" w:eastAsia="仿宋" w:cs="仿宋"/>
          <w:color w:val="auto"/>
          <w:sz w:val="24"/>
          <w:lang w:val="zh-CN"/>
        </w:rPr>
      </w:pPr>
      <w:r>
        <w:rPr>
          <w:rFonts w:hint="eastAsia" w:ascii="仿宋" w:hAnsi="仿宋" w:eastAsia="仿宋" w:cs="仿宋"/>
          <w:color w:val="auto"/>
          <w:sz w:val="24"/>
        </w:rPr>
        <w:t>以下</w:t>
      </w:r>
      <w:r>
        <w:rPr>
          <w:rFonts w:hint="eastAsia" w:ascii="仿宋" w:hAnsi="仿宋" w:eastAsia="仿宋" w:cs="仿宋"/>
          <w:color w:val="auto"/>
          <w:sz w:val="24"/>
          <w:lang w:val="zh-CN"/>
        </w:rPr>
        <w:t>提供</w:t>
      </w:r>
      <w:r>
        <w:rPr>
          <w:rFonts w:hint="eastAsia" w:ascii="仿宋" w:hAnsi="仿宋" w:eastAsia="仿宋" w:cs="仿宋"/>
          <w:color w:val="auto"/>
          <w:sz w:val="24"/>
        </w:rPr>
        <w:t>部分</w:t>
      </w:r>
      <w:r>
        <w:rPr>
          <w:rFonts w:hint="eastAsia" w:ascii="仿宋" w:hAnsi="仿宋" w:eastAsia="仿宋" w:cs="仿宋"/>
          <w:color w:val="auto"/>
          <w:sz w:val="24"/>
          <w:lang w:val="zh-CN"/>
        </w:rPr>
        <w:t>投标文件格式（表格可按照同样格式扩展），</w:t>
      </w:r>
      <w:r>
        <w:rPr>
          <w:rFonts w:hint="eastAsia" w:ascii="仿宋" w:hAnsi="仿宋" w:eastAsia="仿宋" w:cs="仿宋"/>
          <w:color w:val="auto"/>
          <w:sz w:val="24"/>
        </w:rPr>
        <w:t>供应商需</w:t>
      </w:r>
      <w:r>
        <w:rPr>
          <w:rFonts w:hint="eastAsia" w:ascii="仿宋" w:hAnsi="仿宋" w:eastAsia="仿宋" w:cs="仿宋"/>
          <w:color w:val="auto"/>
          <w:sz w:val="24"/>
          <w:lang w:val="zh-CN"/>
        </w:rPr>
        <w:t>保证所提供的资料的真实性。未提供格式的，供应商可自行编制，为了便于查找，请</w:t>
      </w:r>
      <w:r>
        <w:rPr>
          <w:rFonts w:hint="eastAsia" w:ascii="仿宋" w:hAnsi="仿宋" w:eastAsia="仿宋" w:cs="仿宋"/>
          <w:color w:val="auto"/>
          <w:sz w:val="24"/>
        </w:rPr>
        <w:t>编制目录</w:t>
      </w:r>
      <w:r>
        <w:rPr>
          <w:rFonts w:hint="eastAsia" w:ascii="仿宋" w:hAnsi="仿宋" w:eastAsia="仿宋" w:cs="仿宋"/>
          <w:color w:val="auto"/>
          <w:sz w:val="24"/>
          <w:lang w:val="zh-CN"/>
        </w:rPr>
        <w:t>，并在目录中注明每项内容的页码。</w:t>
      </w:r>
    </w:p>
    <w:p>
      <w:pPr>
        <w:pStyle w:val="17"/>
        <w:ind w:left="1080" w:leftChars="257" w:hanging="540"/>
        <w:rPr>
          <w:rFonts w:ascii="仿宋" w:hAnsi="仿宋" w:eastAsia="仿宋" w:cs="仿宋"/>
          <w:color w:val="auto"/>
          <w:sz w:val="24"/>
        </w:rPr>
      </w:pPr>
    </w:p>
    <w:p>
      <w:pPr>
        <w:shd w:val="clear" w:color="auto" w:fill="FFFFFF"/>
        <w:spacing w:line="400" w:lineRule="exact"/>
        <w:ind w:firstLine="484" w:firstLineChars="202"/>
        <w:rPr>
          <w:rFonts w:ascii="仿宋" w:hAnsi="仿宋" w:eastAsia="仿宋" w:cs="仿宋"/>
          <w:color w:val="auto"/>
          <w:sz w:val="24"/>
        </w:rPr>
      </w:pPr>
      <w:r>
        <w:rPr>
          <w:rFonts w:hint="eastAsia" w:ascii="仿宋" w:hAnsi="仿宋" w:eastAsia="仿宋" w:cs="仿宋"/>
          <w:color w:val="auto"/>
          <w:sz w:val="24"/>
          <w:lang w:val="zh-CN"/>
        </w:rPr>
        <w:t>提供</w:t>
      </w:r>
      <w:r>
        <w:rPr>
          <w:rFonts w:hint="eastAsia" w:ascii="仿宋" w:hAnsi="仿宋" w:eastAsia="仿宋" w:cs="仿宋"/>
          <w:color w:val="auto"/>
          <w:sz w:val="24"/>
        </w:rPr>
        <w:t>部分</w:t>
      </w:r>
      <w:r>
        <w:rPr>
          <w:rFonts w:hint="eastAsia" w:ascii="仿宋" w:hAnsi="仿宋" w:eastAsia="仿宋" w:cs="仿宋"/>
          <w:color w:val="auto"/>
          <w:sz w:val="24"/>
          <w:lang w:val="zh-CN"/>
        </w:rPr>
        <w:t>投标文件格式</w:t>
      </w:r>
      <w:r>
        <w:rPr>
          <w:rFonts w:hint="eastAsia" w:ascii="仿宋" w:hAnsi="仿宋" w:eastAsia="仿宋" w:cs="仿宋"/>
          <w:color w:val="auto"/>
          <w:sz w:val="24"/>
        </w:rPr>
        <w:t>目录</w:t>
      </w:r>
    </w:p>
    <w:p>
      <w:pPr>
        <w:shd w:val="clear" w:color="auto" w:fill="FFFFFF"/>
        <w:spacing w:line="400" w:lineRule="exact"/>
        <w:ind w:firstLine="484" w:firstLineChars="202"/>
        <w:rPr>
          <w:rFonts w:ascii="仿宋" w:hAnsi="仿宋" w:eastAsia="仿宋" w:cs="仿宋"/>
          <w:color w:val="auto"/>
          <w:sz w:val="24"/>
        </w:rPr>
      </w:pPr>
      <w:r>
        <w:rPr>
          <w:rFonts w:hint="eastAsia" w:ascii="仿宋" w:hAnsi="仿宋" w:eastAsia="仿宋" w:cs="仿宋"/>
          <w:color w:val="auto"/>
          <w:sz w:val="24"/>
        </w:rPr>
        <w:t>1.投标书（投标文件格式</w:t>
      </w:r>
      <w:r>
        <w:rPr>
          <w:rFonts w:hint="eastAsia" w:ascii="仿宋" w:hAnsi="仿宋" w:eastAsia="仿宋" w:cs="仿宋"/>
          <w:color w:val="auto"/>
          <w:sz w:val="24"/>
          <w:lang w:val="en-US" w:eastAsia="zh-CN"/>
        </w:rPr>
        <w:t>一</w:t>
      </w:r>
      <w:r>
        <w:rPr>
          <w:rFonts w:hint="eastAsia" w:ascii="仿宋" w:hAnsi="仿宋" w:eastAsia="仿宋" w:cs="仿宋"/>
          <w:color w:val="auto"/>
          <w:sz w:val="24"/>
        </w:rPr>
        <w:t>）</w:t>
      </w:r>
    </w:p>
    <w:p>
      <w:pPr>
        <w:shd w:val="clear" w:color="auto" w:fill="FFFFFF"/>
        <w:spacing w:line="400" w:lineRule="exact"/>
        <w:ind w:firstLine="484" w:firstLineChars="202"/>
        <w:rPr>
          <w:rFonts w:ascii="仿宋" w:hAnsi="仿宋" w:eastAsia="仿宋" w:cs="仿宋"/>
          <w:color w:val="auto"/>
          <w:sz w:val="24"/>
        </w:rPr>
      </w:pPr>
      <w:r>
        <w:rPr>
          <w:rFonts w:hint="eastAsia" w:ascii="仿宋" w:hAnsi="仿宋" w:eastAsia="仿宋" w:cs="仿宋"/>
          <w:color w:val="auto"/>
          <w:sz w:val="24"/>
        </w:rPr>
        <w:t>2.投标保证金缴纳凭证复印件或政府采购投标担保函（投标文件格式</w:t>
      </w:r>
      <w:r>
        <w:rPr>
          <w:rFonts w:hint="eastAsia" w:ascii="仿宋" w:hAnsi="仿宋" w:eastAsia="仿宋" w:cs="仿宋"/>
          <w:color w:val="auto"/>
          <w:sz w:val="24"/>
          <w:lang w:val="en-US" w:eastAsia="zh-CN"/>
        </w:rPr>
        <w:t>二</w:t>
      </w:r>
      <w:r>
        <w:rPr>
          <w:rFonts w:hint="eastAsia" w:ascii="仿宋" w:hAnsi="仿宋" w:eastAsia="仿宋" w:cs="仿宋"/>
          <w:color w:val="auto"/>
          <w:sz w:val="24"/>
        </w:rPr>
        <w:t>）</w:t>
      </w:r>
    </w:p>
    <w:p>
      <w:pPr>
        <w:shd w:val="clear" w:color="auto" w:fill="FFFFFF"/>
        <w:spacing w:line="400" w:lineRule="exact"/>
        <w:ind w:firstLine="484" w:firstLineChars="202"/>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3.</w:t>
      </w:r>
      <w:r>
        <w:rPr>
          <w:rFonts w:hint="eastAsia" w:ascii="仿宋" w:hAnsi="仿宋" w:eastAsia="仿宋" w:cs="仿宋"/>
          <w:color w:val="auto"/>
          <w:sz w:val="24"/>
          <w:lang w:eastAsia="zh-CN"/>
        </w:rPr>
        <w:t>技术规格偏离表</w:t>
      </w:r>
      <w:r>
        <w:rPr>
          <w:rFonts w:hint="eastAsia" w:ascii="仿宋" w:hAnsi="仿宋" w:eastAsia="仿宋" w:cs="仿宋"/>
          <w:color w:val="auto"/>
          <w:sz w:val="24"/>
        </w:rPr>
        <w:t>（投标文件格式</w:t>
      </w:r>
      <w:r>
        <w:rPr>
          <w:rFonts w:hint="eastAsia" w:ascii="仿宋" w:hAnsi="仿宋" w:eastAsia="仿宋" w:cs="仿宋"/>
          <w:color w:val="auto"/>
          <w:sz w:val="24"/>
          <w:lang w:val="en-US" w:eastAsia="zh-CN"/>
        </w:rPr>
        <w:t>三</w:t>
      </w:r>
      <w:r>
        <w:rPr>
          <w:rFonts w:hint="eastAsia" w:ascii="仿宋" w:hAnsi="仿宋" w:eastAsia="仿宋" w:cs="仿宋"/>
          <w:color w:val="auto"/>
          <w:sz w:val="24"/>
        </w:rPr>
        <w:t>）</w:t>
      </w:r>
    </w:p>
    <w:p>
      <w:pPr>
        <w:shd w:val="clear" w:color="auto" w:fill="FFFFFF"/>
        <w:spacing w:line="400" w:lineRule="exact"/>
        <w:ind w:firstLine="484" w:firstLineChars="202"/>
        <w:rPr>
          <w:rFonts w:ascii="仿宋" w:hAnsi="仿宋" w:eastAsia="仿宋" w:cs="仿宋"/>
          <w:color w:val="auto"/>
          <w:sz w:val="24"/>
        </w:rPr>
      </w:pPr>
      <w:r>
        <w:rPr>
          <w:rFonts w:hint="eastAsia" w:ascii="仿宋" w:hAnsi="仿宋" w:eastAsia="仿宋" w:cs="仿宋"/>
          <w:color w:val="auto"/>
          <w:sz w:val="24"/>
          <w:lang w:val="en-US" w:eastAsia="zh-CN"/>
        </w:rPr>
        <w:t>4</w:t>
      </w:r>
      <w:r>
        <w:rPr>
          <w:rFonts w:hint="eastAsia" w:ascii="仿宋" w:hAnsi="仿宋" w:eastAsia="仿宋" w:cs="仿宋"/>
          <w:color w:val="auto"/>
          <w:sz w:val="24"/>
        </w:rPr>
        <w:t>.商务条款偏离表（投标文件格式</w:t>
      </w:r>
      <w:r>
        <w:rPr>
          <w:rFonts w:hint="eastAsia" w:ascii="仿宋" w:hAnsi="仿宋" w:eastAsia="仿宋" w:cs="仿宋"/>
          <w:color w:val="auto"/>
          <w:sz w:val="24"/>
          <w:lang w:val="en-US" w:eastAsia="zh-CN"/>
        </w:rPr>
        <w:t>四</w:t>
      </w:r>
      <w:r>
        <w:rPr>
          <w:rFonts w:hint="eastAsia" w:ascii="仿宋" w:hAnsi="仿宋" w:eastAsia="仿宋" w:cs="仿宋"/>
          <w:color w:val="auto"/>
          <w:sz w:val="24"/>
        </w:rPr>
        <w:t>）</w:t>
      </w:r>
    </w:p>
    <w:p>
      <w:pPr>
        <w:shd w:val="clear" w:color="auto" w:fill="FFFFFF"/>
        <w:spacing w:line="400" w:lineRule="exact"/>
        <w:ind w:firstLine="484" w:firstLineChars="202"/>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5</w:t>
      </w:r>
      <w:r>
        <w:rPr>
          <w:rFonts w:hint="eastAsia" w:ascii="仿宋" w:hAnsi="仿宋" w:eastAsia="仿宋" w:cs="仿宋"/>
          <w:color w:val="auto"/>
          <w:sz w:val="24"/>
        </w:rPr>
        <w:t>.符合《政府采购促进中小企业发展暂行办法》《关于政府采购支持监狱企业发展有关问题的通知》和《三部门联合发布关于促进残疾人就业政府采购政策的通知》价格扣减条件的供应商须提交</w:t>
      </w:r>
      <w:r>
        <w:rPr>
          <w:rFonts w:hint="eastAsia" w:ascii="仿宋" w:hAnsi="仿宋" w:eastAsia="仿宋" w:cs="仿宋"/>
          <w:color w:val="auto"/>
          <w:sz w:val="24"/>
          <w:lang w:eastAsia="zh-CN"/>
        </w:rPr>
        <w:t>：</w:t>
      </w:r>
    </w:p>
    <w:p>
      <w:pPr>
        <w:shd w:val="clear" w:color="auto" w:fill="FFFFFF"/>
        <w:spacing w:line="400" w:lineRule="exact"/>
        <w:ind w:firstLine="484" w:firstLineChars="202"/>
        <w:rPr>
          <w:rFonts w:ascii="仿宋" w:hAnsi="仿宋" w:eastAsia="仿宋" w:cs="仿宋"/>
          <w:color w:val="auto"/>
          <w:sz w:val="24"/>
        </w:rPr>
      </w:pPr>
      <w:r>
        <w:rPr>
          <w:rFonts w:hint="eastAsia" w:ascii="仿宋" w:hAnsi="仿宋" w:eastAsia="仿宋" w:cs="仿宋"/>
          <w:color w:val="auto"/>
          <w:sz w:val="24"/>
        </w:rPr>
        <w:t>5-1《供应商企业类型声明函》（投标文件格式</w:t>
      </w:r>
      <w:r>
        <w:rPr>
          <w:rFonts w:hint="eastAsia" w:ascii="仿宋" w:hAnsi="仿宋" w:eastAsia="仿宋" w:cs="仿宋"/>
          <w:color w:val="auto"/>
          <w:sz w:val="24"/>
          <w:lang w:val="en-US" w:eastAsia="zh-CN"/>
        </w:rPr>
        <w:t>五</w:t>
      </w:r>
      <w:r>
        <w:rPr>
          <w:rFonts w:hint="eastAsia" w:ascii="仿宋" w:hAnsi="仿宋" w:eastAsia="仿宋" w:cs="仿宋"/>
          <w:color w:val="auto"/>
          <w:sz w:val="24"/>
        </w:rPr>
        <w:t>）</w:t>
      </w:r>
    </w:p>
    <w:p>
      <w:pPr>
        <w:shd w:val="clear" w:color="auto" w:fill="FFFFFF"/>
        <w:spacing w:line="400" w:lineRule="exact"/>
        <w:ind w:firstLine="484" w:firstLineChars="202"/>
        <w:rPr>
          <w:rFonts w:hint="eastAsia" w:ascii="仿宋" w:hAnsi="仿宋" w:eastAsia="仿宋" w:cs="仿宋"/>
          <w:color w:val="auto"/>
          <w:sz w:val="24"/>
        </w:rPr>
      </w:pPr>
      <w:r>
        <w:rPr>
          <w:rFonts w:hint="eastAsia" w:ascii="仿宋" w:hAnsi="仿宋" w:eastAsia="仿宋" w:cs="仿宋"/>
          <w:color w:val="auto"/>
          <w:sz w:val="24"/>
        </w:rPr>
        <w:t>5-2《残疾人福利性单位声明函》（投标文件格式</w:t>
      </w:r>
      <w:r>
        <w:rPr>
          <w:rFonts w:hint="eastAsia" w:ascii="仿宋" w:hAnsi="仿宋" w:eastAsia="仿宋" w:cs="仿宋"/>
          <w:color w:val="auto"/>
          <w:sz w:val="24"/>
          <w:lang w:val="en-US" w:eastAsia="zh-CN"/>
        </w:rPr>
        <w:t>六</w:t>
      </w:r>
      <w:r>
        <w:rPr>
          <w:rFonts w:hint="eastAsia" w:ascii="仿宋" w:hAnsi="仿宋" w:eastAsia="仿宋" w:cs="仿宋"/>
          <w:color w:val="auto"/>
          <w:sz w:val="24"/>
        </w:rPr>
        <w:t>）</w:t>
      </w:r>
    </w:p>
    <w:p>
      <w:pPr>
        <w:pStyle w:val="2"/>
        <w:rPr>
          <w:rFonts w:hint="default" w:eastAsia="仿宋"/>
          <w:color w:val="auto"/>
          <w:lang w:val="en-US" w:eastAsia="zh-CN"/>
        </w:rPr>
      </w:pPr>
      <w:r>
        <w:rPr>
          <w:rFonts w:hint="eastAsia" w:ascii="仿宋" w:hAnsi="仿宋" w:eastAsia="仿宋" w:cs="仿宋"/>
          <w:color w:val="auto"/>
          <w:sz w:val="24"/>
          <w:lang w:val="en-US" w:eastAsia="zh-CN"/>
        </w:rPr>
        <w:t xml:space="preserve">   </w:t>
      </w:r>
      <w:r>
        <w:rPr>
          <w:rFonts w:hint="eastAsia" w:ascii="仿宋" w:hAnsi="仿宋" w:eastAsia="仿宋" w:cs="仿宋"/>
          <w:color w:val="auto"/>
          <w:kern w:val="2"/>
          <w:sz w:val="24"/>
          <w:szCs w:val="24"/>
          <w:lang w:val="en-US" w:eastAsia="zh-CN" w:bidi="ar-SA"/>
        </w:rPr>
        <w:t xml:space="preserve"> 5-3《中小企业声明函》（投标文件格式七）</w:t>
      </w:r>
    </w:p>
    <w:p>
      <w:pPr>
        <w:shd w:val="clear" w:color="auto" w:fill="FFFFFF"/>
        <w:spacing w:line="400" w:lineRule="exact"/>
        <w:ind w:firstLine="484" w:firstLineChars="202"/>
        <w:rPr>
          <w:rFonts w:ascii="仿宋" w:hAnsi="仿宋" w:eastAsia="仿宋" w:cs="仿宋"/>
          <w:color w:val="auto"/>
          <w:sz w:val="24"/>
        </w:rPr>
      </w:pPr>
      <w:r>
        <w:rPr>
          <w:rFonts w:hint="eastAsia" w:ascii="仿宋" w:hAnsi="仿宋" w:eastAsia="仿宋" w:cs="仿宋"/>
          <w:color w:val="auto"/>
          <w:sz w:val="24"/>
        </w:rPr>
        <w:t>6.供应商关联单位的说明（格式自拟）</w:t>
      </w:r>
    </w:p>
    <w:p>
      <w:pPr>
        <w:shd w:val="clear" w:color="auto" w:fill="FFFFFF"/>
        <w:spacing w:line="400" w:lineRule="exact"/>
        <w:ind w:firstLine="484" w:firstLineChars="202"/>
        <w:rPr>
          <w:rFonts w:ascii="仿宋" w:hAnsi="仿宋" w:eastAsia="仿宋" w:cs="仿宋"/>
          <w:color w:val="auto"/>
          <w:sz w:val="24"/>
        </w:rPr>
      </w:pPr>
      <w:r>
        <w:rPr>
          <w:rFonts w:hint="eastAsia" w:ascii="仿宋" w:hAnsi="仿宋" w:eastAsia="仿宋" w:cs="仿宋"/>
          <w:color w:val="auto"/>
          <w:sz w:val="24"/>
        </w:rPr>
        <w:t>7.投标文件还应包括供应商须知第10条的所有技术文件</w:t>
      </w:r>
    </w:p>
    <w:p>
      <w:pPr>
        <w:pStyle w:val="17"/>
        <w:tabs>
          <w:tab w:val="left" w:pos="5580"/>
        </w:tabs>
        <w:spacing w:line="240" w:lineRule="atLeast"/>
        <w:ind w:left="1080" w:leftChars="257" w:hanging="540"/>
        <w:rPr>
          <w:rFonts w:ascii="仿宋" w:hAnsi="仿宋" w:eastAsia="仿宋" w:cs="仿宋"/>
          <w:color w:val="auto"/>
          <w:sz w:val="24"/>
        </w:rPr>
      </w:pPr>
      <w:r>
        <w:rPr>
          <w:rFonts w:hint="eastAsia" w:ascii="仿宋" w:hAnsi="仿宋" w:eastAsia="仿宋" w:cs="仿宋"/>
          <w:color w:val="auto"/>
          <w:sz w:val="24"/>
        </w:rPr>
        <w:br w:type="page"/>
      </w:r>
    </w:p>
    <w:p>
      <w:pPr>
        <w:pStyle w:val="8"/>
        <w:spacing w:before="0" w:line="240" w:lineRule="atLeast"/>
        <w:ind w:left="1080" w:leftChars="257" w:hanging="540"/>
        <w:rPr>
          <w:rFonts w:ascii="仿宋" w:hAnsi="仿宋" w:eastAsia="仿宋" w:cs="仿宋"/>
          <w:color w:val="auto"/>
          <w:sz w:val="24"/>
        </w:rPr>
      </w:pPr>
      <w:bookmarkStart w:id="226" w:name="_Toc23153"/>
      <w:bookmarkStart w:id="227" w:name="_Toc518923116"/>
      <w:bookmarkStart w:id="228" w:name="_Toc5304"/>
      <w:bookmarkStart w:id="229" w:name="_Toc26126"/>
      <w:r>
        <w:rPr>
          <w:rFonts w:hint="eastAsia" w:ascii="仿宋" w:hAnsi="仿宋" w:eastAsia="仿宋" w:cs="仿宋"/>
          <w:color w:val="auto"/>
          <w:sz w:val="24"/>
        </w:rPr>
        <w:t xml:space="preserve">1   </w:t>
      </w:r>
      <w:bookmarkStart w:id="230" w:name="_Hlt520355504"/>
      <w:bookmarkEnd w:id="230"/>
      <w:r>
        <w:rPr>
          <w:rFonts w:hint="eastAsia" w:ascii="仿宋" w:hAnsi="仿宋" w:eastAsia="仿宋" w:cs="仿宋"/>
          <w:color w:val="auto"/>
          <w:sz w:val="24"/>
        </w:rPr>
        <w:t>投标</w:t>
      </w:r>
      <w:bookmarkEnd w:id="219"/>
      <w:bookmarkEnd w:id="220"/>
      <w:r>
        <w:rPr>
          <w:rFonts w:hint="eastAsia" w:ascii="仿宋" w:hAnsi="仿宋" w:eastAsia="仿宋" w:cs="仿宋"/>
          <w:color w:val="auto"/>
          <w:sz w:val="24"/>
        </w:rPr>
        <w:t>书</w:t>
      </w:r>
      <w:bookmarkEnd w:id="221"/>
      <w:r>
        <w:rPr>
          <w:rFonts w:hint="eastAsia" w:ascii="仿宋" w:hAnsi="仿宋" w:eastAsia="仿宋" w:cs="仿宋"/>
          <w:color w:val="auto"/>
          <w:sz w:val="24"/>
        </w:rPr>
        <w:t>（投标文件格式</w:t>
      </w:r>
      <w:r>
        <w:rPr>
          <w:rFonts w:hint="eastAsia" w:ascii="仿宋" w:hAnsi="仿宋" w:eastAsia="仿宋" w:cs="仿宋"/>
          <w:color w:val="auto"/>
          <w:sz w:val="24"/>
          <w:lang w:val="en-US" w:eastAsia="zh-CN"/>
        </w:rPr>
        <w:t>一</w:t>
      </w:r>
      <w:r>
        <w:rPr>
          <w:rFonts w:hint="eastAsia" w:ascii="仿宋" w:hAnsi="仿宋" w:eastAsia="仿宋" w:cs="仿宋"/>
          <w:color w:val="auto"/>
          <w:sz w:val="24"/>
        </w:rPr>
        <w:t>）</w:t>
      </w:r>
      <w:bookmarkEnd w:id="222"/>
      <w:bookmarkEnd w:id="226"/>
      <w:bookmarkEnd w:id="227"/>
      <w:bookmarkEnd w:id="228"/>
      <w:bookmarkEnd w:id="229"/>
    </w:p>
    <w:p>
      <w:pPr>
        <w:tabs>
          <w:tab w:val="left" w:pos="5580"/>
        </w:tabs>
        <w:spacing w:line="240" w:lineRule="atLeast"/>
        <w:ind w:left="1080" w:leftChars="257" w:hanging="540"/>
        <w:rPr>
          <w:rFonts w:ascii="仿宋" w:hAnsi="仿宋" w:eastAsia="仿宋" w:cs="仿宋"/>
          <w:color w:val="auto"/>
          <w:sz w:val="24"/>
        </w:rPr>
      </w:pPr>
    </w:p>
    <w:p>
      <w:pPr>
        <w:tabs>
          <w:tab w:val="left" w:pos="5580"/>
        </w:tabs>
        <w:spacing w:line="240" w:lineRule="atLeast"/>
        <w:ind w:left="1080" w:hanging="1080"/>
        <w:rPr>
          <w:rFonts w:ascii="仿宋" w:hAnsi="仿宋" w:eastAsia="仿宋" w:cs="仿宋"/>
          <w:color w:val="auto"/>
          <w:sz w:val="24"/>
        </w:rPr>
      </w:pPr>
      <w:r>
        <w:rPr>
          <w:rFonts w:hint="eastAsia" w:ascii="仿宋" w:hAnsi="仿宋" w:eastAsia="仿宋" w:cs="仿宋"/>
          <w:color w:val="auto"/>
          <w:sz w:val="24"/>
        </w:rPr>
        <w:t>致：</w:t>
      </w:r>
      <w:r>
        <w:rPr>
          <w:rFonts w:hint="eastAsia" w:ascii="仿宋" w:hAnsi="仿宋" w:eastAsia="仿宋" w:cs="仿宋"/>
          <w:color w:val="auto"/>
          <w:sz w:val="24"/>
          <w:u w:val="single"/>
        </w:rPr>
        <w:t>新疆国源土地矿产资源交易中心（有限公司）</w:t>
      </w:r>
    </w:p>
    <w:p>
      <w:pPr>
        <w:pStyle w:val="17"/>
        <w:tabs>
          <w:tab w:val="left" w:pos="5580"/>
        </w:tabs>
        <w:spacing w:line="240" w:lineRule="atLeast"/>
        <w:ind w:left="1080" w:leftChars="257" w:hanging="540"/>
        <w:rPr>
          <w:rFonts w:ascii="仿宋" w:hAnsi="仿宋" w:eastAsia="仿宋" w:cs="仿宋"/>
          <w:color w:val="auto"/>
          <w:sz w:val="24"/>
        </w:rPr>
      </w:pPr>
    </w:p>
    <w:p>
      <w:pPr>
        <w:pStyle w:val="17"/>
        <w:tabs>
          <w:tab w:val="left" w:pos="5580"/>
        </w:tabs>
        <w:spacing w:line="240" w:lineRule="atLeast"/>
        <w:ind w:left="2" w:leftChars="1" w:firstLine="480" w:firstLineChars="200"/>
        <w:rPr>
          <w:rFonts w:ascii="仿宋" w:hAnsi="仿宋" w:eastAsia="仿宋" w:cs="仿宋"/>
          <w:color w:val="auto"/>
          <w:sz w:val="24"/>
        </w:rPr>
      </w:pPr>
      <w:r>
        <w:rPr>
          <w:rFonts w:hint="eastAsia" w:ascii="仿宋" w:hAnsi="仿宋" w:eastAsia="仿宋" w:cs="仿宋"/>
          <w:color w:val="auto"/>
          <w:sz w:val="24"/>
        </w:rPr>
        <w:t>根据贵方(</w:t>
      </w:r>
      <w:r>
        <w:rPr>
          <w:rFonts w:hint="eastAsia" w:ascii="仿宋" w:hAnsi="仿宋" w:eastAsia="仿宋" w:cs="仿宋"/>
          <w:i/>
          <w:color w:val="auto"/>
          <w:sz w:val="24"/>
          <w:u w:val="single"/>
        </w:rPr>
        <w:t>项目名称</w:t>
      </w:r>
      <w:r>
        <w:rPr>
          <w:rFonts w:hint="eastAsia" w:ascii="仿宋" w:hAnsi="仿宋" w:eastAsia="仿宋" w:cs="仿宋"/>
          <w:color w:val="auto"/>
          <w:sz w:val="24"/>
        </w:rPr>
        <w:t>)项目的投标邀请(</w:t>
      </w:r>
      <w:r>
        <w:rPr>
          <w:rFonts w:hint="eastAsia" w:ascii="仿宋" w:hAnsi="仿宋" w:eastAsia="仿宋" w:cs="仿宋"/>
          <w:i/>
          <w:color w:val="auto"/>
          <w:sz w:val="24"/>
          <w:u w:val="single"/>
        </w:rPr>
        <w:t>招标编号、包号：</w:t>
      </w:r>
      <w:r>
        <w:rPr>
          <w:rFonts w:hint="eastAsia" w:ascii="仿宋" w:hAnsi="仿宋" w:eastAsia="仿宋" w:cs="仿宋"/>
          <w:color w:val="auto"/>
          <w:sz w:val="24"/>
        </w:rPr>
        <w:t>),签字代表(</w:t>
      </w:r>
      <w:r>
        <w:rPr>
          <w:rFonts w:hint="eastAsia" w:ascii="仿宋" w:hAnsi="仿宋" w:eastAsia="仿宋" w:cs="仿宋"/>
          <w:i/>
          <w:color w:val="auto"/>
          <w:sz w:val="24"/>
          <w:u w:val="single"/>
        </w:rPr>
        <w:t>姓名、职务</w:t>
      </w:r>
      <w:r>
        <w:rPr>
          <w:rFonts w:hint="eastAsia" w:ascii="仿宋" w:hAnsi="仿宋" w:eastAsia="仿宋" w:cs="仿宋"/>
          <w:color w:val="auto"/>
          <w:sz w:val="24"/>
        </w:rPr>
        <w:t>)经正式授权并代表供应商（</w:t>
      </w:r>
      <w:r>
        <w:rPr>
          <w:rFonts w:hint="eastAsia" w:ascii="仿宋" w:hAnsi="仿宋" w:eastAsia="仿宋" w:cs="仿宋"/>
          <w:i/>
          <w:color w:val="auto"/>
          <w:sz w:val="24"/>
          <w:u w:val="single"/>
        </w:rPr>
        <w:t>名称、地址</w:t>
      </w:r>
      <w:r>
        <w:rPr>
          <w:rFonts w:hint="eastAsia" w:ascii="仿宋" w:hAnsi="仿宋" w:eastAsia="仿宋" w:cs="仿宋"/>
          <w:color w:val="auto"/>
          <w:sz w:val="24"/>
        </w:rPr>
        <w:t>）提交投标书，并以</w:t>
      </w:r>
      <w:r>
        <w:rPr>
          <w:rFonts w:hint="eastAsia" w:ascii="仿宋" w:hAnsi="仿宋" w:eastAsia="仿宋" w:cs="仿宋"/>
          <w:color w:val="auto"/>
          <w:sz w:val="24"/>
          <w:u w:val="single"/>
        </w:rPr>
        <w:t xml:space="preserve">         </w:t>
      </w:r>
      <w:r>
        <w:rPr>
          <w:rFonts w:hint="eastAsia" w:ascii="仿宋" w:hAnsi="仿宋" w:eastAsia="仿宋" w:cs="仿宋"/>
          <w:color w:val="auto"/>
          <w:sz w:val="24"/>
        </w:rPr>
        <w:t>形式出具的金额为人民币</w:t>
      </w:r>
      <w:r>
        <w:rPr>
          <w:rFonts w:hint="eastAsia" w:ascii="仿宋" w:hAnsi="仿宋" w:eastAsia="仿宋" w:cs="仿宋"/>
          <w:color w:val="auto"/>
          <w:sz w:val="24"/>
          <w:u w:val="single"/>
        </w:rPr>
        <w:t>　　　　</w:t>
      </w:r>
      <w:r>
        <w:rPr>
          <w:rFonts w:hint="eastAsia" w:ascii="仿宋" w:hAnsi="仿宋" w:eastAsia="仿宋" w:cs="仿宋"/>
          <w:color w:val="auto"/>
          <w:sz w:val="24"/>
        </w:rPr>
        <w:t>元的投标保证金。</w:t>
      </w:r>
    </w:p>
    <w:p>
      <w:pPr>
        <w:pStyle w:val="17"/>
        <w:tabs>
          <w:tab w:val="left" w:pos="5580"/>
        </w:tabs>
        <w:spacing w:line="240" w:lineRule="atLeast"/>
        <w:ind w:left="1080" w:leftChars="257" w:hanging="540"/>
        <w:rPr>
          <w:rFonts w:ascii="仿宋" w:hAnsi="仿宋" w:eastAsia="仿宋" w:cs="仿宋"/>
          <w:color w:val="auto"/>
          <w:sz w:val="24"/>
        </w:rPr>
      </w:pPr>
      <w:r>
        <w:rPr>
          <w:rFonts w:hint="eastAsia" w:ascii="仿宋" w:hAnsi="仿宋" w:eastAsia="仿宋" w:cs="仿宋"/>
          <w:color w:val="auto"/>
          <w:sz w:val="24"/>
        </w:rPr>
        <w:t>据此，签字代表宣布同意如下：</w:t>
      </w:r>
    </w:p>
    <w:p>
      <w:pPr>
        <w:pStyle w:val="17"/>
        <w:tabs>
          <w:tab w:val="left" w:pos="720"/>
          <w:tab w:val="left" w:pos="900"/>
        </w:tabs>
        <w:spacing w:line="240" w:lineRule="atLeast"/>
        <w:ind w:left="769" w:leftChars="257" w:hanging="229"/>
        <w:rPr>
          <w:rFonts w:ascii="仿宋" w:hAnsi="仿宋" w:eastAsia="仿宋" w:cs="仿宋"/>
          <w:color w:val="auto"/>
          <w:sz w:val="24"/>
          <w:u w:val="single"/>
        </w:rPr>
      </w:pPr>
      <w:r>
        <w:rPr>
          <w:rFonts w:hint="eastAsia" w:ascii="仿宋" w:hAnsi="仿宋" w:eastAsia="仿宋" w:cs="仿宋"/>
          <w:color w:val="auto"/>
          <w:sz w:val="24"/>
        </w:rPr>
        <w:t>（1）附投标价格表中规定的应提供服务的投标总价详见开标一览表，</w:t>
      </w:r>
      <w:r>
        <w:rPr>
          <w:rFonts w:hint="eastAsia" w:ascii="仿宋" w:hAnsi="仿宋" w:eastAsia="仿宋" w:cs="仿宋"/>
          <w:color w:val="auto"/>
          <w:sz w:val="24"/>
          <w:u w:val="single"/>
        </w:rPr>
        <w:t>其中由小型和</w:t>
      </w:r>
      <w:r>
        <w:rPr>
          <w:rFonts w:hint="eastAsia" w:ascii="仿宋" w:hAnsi="仿宋" w:eastAsia="仿宋" w:cs="仿宋"/>
          <w:color w:val="auto"/>
          <w:sz w:val="24"/>
        </w:rPr>
        <w:t>微型企业制造产品的价格为</w:t>
      </w:r>
      <w:r>
        <w:rPr>
          <w:rFonts w:hint="eastAsia" w:ascii="仿宋" w:hAnsi="仿宋" w:eastAsia="仿宋" w:cs="仿宋"/>
          <w:color w:val="auto"/>
          <w:sz w:val="24"/>
          <w:u w:val="single"/>
        </w:rPr>
        <w:t>　　  （用文字和数字表示），占投标总价   %</w:t>
      </w:r>
      <w:r>
        <w:rPr>
          <w:rFonts w:hint="eastAsia" w:ascii="仿宋" w:hAnsi="仿宋" w:eastAsia="仿宋" w:cs="仿宋"/>
          <w:color w:val="auto"/>
          <w:sz w:val="24"/>
        </w:rPr>
        <w:t>。</w:t>
      </w:r>
    </w:p>
    <w:p>
      <w:pPr>
        <w:pStyle w:val="17"/>
        <w:tabs>
          <w:tab w:val="left" w:pos="5580"/>
        </w:tabs>
        <w:spacing w:line="240" w:lineRule="atLeast"/>
        <w:ind w:left="1080" w:leftChars="257" w:hanging="540"/>
        <w:rPr>
          <w:rFonts w:ascii="仿宋" w:hAnsi="仿宋" w:eastAsia="仿宋" w:cs="仿宋"/>
          <w:color w:val="auto"/>
          <w:sz w:val="24"/>
        </w:rPr>
      </w:pPr>
      <w:r>
        <w:rPr>
          <w:rFonts w:hint="eastAsia" w:ascii="仿宋" w:hAnsi="仿宋" w:eastAsia="仿宋" w:cs="仿宋"/>
          <w:color w:val="auto"/>
          <w:sz w:val="24"/>
        </w:rPr>
        <w:t>（2）本投标有效期为自投标截止之日起</w:t>
      </w:r>
      <w:r>
        <w:rPr>
          <w:rFonts w:hint="eastAsia" w:ascii="仿宋" w:hAnsi="仿宋" w:eastAsia="仿宋" w:cs="仿宋"/>
          <w:color w:val="auto"/>
          <w:sz w:val="24"/>
          <w:u w:val="single"/>
        </w:rPr>
        <w:t xml:space="preserve">          </w:t>
      </w:r>
      <w:r>
        <w:rPr>
          <w:rFonts w:hint="eastAsia" w:ascii="仿宋" w:hAnsi="仿宋" w:eastAsia="仿宋" w:cs="仿宋"/>
          <w:color w:val="auto"/>
          <w:sz w:val="24"/>
        </w:rPr>
        <w:t>个日历日。</w:t>
      </w:r>
    </w:p>
    <w:p>
      <w:pPr>
        <w:pStyle w:val="17"/>
        <w:tabs>
          <w:tab w:val="left" w:pos="5580"/>
        </w:tabs>
        <w:spacing w:line="240" w:lineRule="atLeast"/>
        <w:ind w:left="1080" w:leftChars="257" w:hanging="540"/>
        <w:rPr>
          <w:rFonts w:ascii="仿宋" w:hAnsi="仿宋" w:eastAsia="仿宋" w:cs="仿宋"/>
          <w:color w:val="auto"/>
          <w:sz w:val="24"/>
        </w:rPr>
      </w:pPr>
      <w:r>
        <w:rPr>
          <w:rFonts w:hint="eastAsia" w:ascii="仿宋" w:hAnsi="仿宋" w:eastAsia="仿宋" w:cs="仿宋"/>
          <w:color w:val="auto"/>
          <w:sz w:val="24"/>
        </w:rPr>
        <w:t>（3）联合体中的大中型企业和其他自然人、法人或者非法人组织，与联合体中的小型、微型企业之间</w:t>
      </w:r>
      <w:r>
        <w:rPr>
          <w:rFonts w:hint="eastAsia" w:ascii="仿宋" w:hAnsi="仿宋" w:eastAsia="仿宋" w:cs="仿宋"/>
          <w:color w:val="auto"/>
          <w:sz w:val="24"/>
          <w:u w:val="single"/>
        </w:rPr>
        <w:t xml:space="preserve">     （</w:t>
      </w:r>
      <w:r>
        <w:rPr>
          <w:rFonts w:hint="eastAsia" w:ascii="仿宋" w:hAnsi="仿宋" w:eastAsia="仿宋" w:cs="仿宋"/>
          <w:color w:val="auto"/>
          <w:sz w:val="24"/>
        </w:rPr>
        <w:t>存在、不存在）投资关系（如果联合体的话）。</w:t>
      </w:r>
    </w:p>
    <w:p>
      <w:pPr>
        <w:pStyle w:val="17"/>
        <w:tabs>
          <w:tab w:val="left" w:pos="5580"/>
        </w:tabs>
        <w:spacing w:line="240" w:lineRule="atLeast"/>
        <w:ind w:left="1080" w:leftChars="257" w:hanging="540"/>
        <w:rPr>
          <w:rFonts w:ascii="仿宋" w:hAnsi="仿宋" w:eastAsia="仿宋" w:cs="仿宋"/>
          <w:color w:val="auto"/>
          <w:sz w:val="24"/>
        </w:rPr>
      </w:pPr>
      <w:r>
        <w:rPr>
          <w:rFonts w:hint="eastAsia" w:ascii="仿宋" w:hAnsi="仿宋" w:eastAsia="仿宋" w:cs="仿宋"/>
          <w:color w:val="auto"/>
          <w:sz w:val="24"/>
        </w:rPr>
        <w:t>（4）已详细审查全部采购文件，包括所有补充通知（如果有的话），完全理解并同意放弃对这方面有不明、误解和质疑的权力。</w:t>
      </w:r>
    </w:p>
    <w:p>
      <w:pPr>
        <w:pStyle w:val="17"/>
        <w:tabs>
          <w:tab w:val="left" w:pos="5580"/>
        </w:tabs>
        <w:spacing w:line="240" w:lineRule="atLeast"/>
        <w:ind w:left="1080" w:leftChars="257" w:hanging="540"/>
        <w:rPr>
          <w:rFonts w:ascii="仿宋" w:hAnsi="仿宋" w:eastAsia="仿宋" w:cs="仿宋"/>
          <w:color w:val="auto"/>
          <w:sz w:val="24"/>
        </w:rPr>
      </w:pPr>
      <w:r>
        <w:rPr>
          <w:rFonts w:hint="eastAsia" w:ascii="仿宋" w:hAnsi="仿宋" w:eastAsia="仿宋" w:cs="仿宋"/>
          <w:color w:val="auto"/>
          <w:sz w:val="24"/>
        </w:rPr>
        <w:t>（5）在规定的开标时间后，遵守采购文件中有关保证金的规定。</w:t>
      </w:r>
    </w:p>
    <w:p>
      <w:pPr>
        <w:pStyle w:val="17"/>
        <w:tabs>
          <w:tab w:val="left" w:pos="5580"/>
        </w:tabs>
        <w:spacing w:line="240" w:lineRule="atLeast"/>
        <w:ind w:left="1080" w:leftChars="257" w:hanging="540"/>
        <w:rPr>
          <w:rFonts w:ascii="仿宋" w:hAnsi="仿宋" w:eastAsia="仿宋" w:cs="仿宋"/>
          <w:color w:val="auto"/>
          <w:sz w:val="24"/>
        </w:rPr>
      </w:pPr>
      <w:r>
        <w:rPr>
          <w:rFonts w:hint="eastAsia" w:ascii="仿宋" w:hAnsi="仿宋" w:eastAsia="仿宋" w:cs="仿宋"/>
          <w:color w:val="auto"/>
          <w:sz w:val="24"/>
        </w:rPr>
        <w:t>（6）根据供应商须知第1条规定，我方不是为本项目提供整体设计、规范编制或者项目管理、监理、检测等服务的供应商，我方不是采购代理机构的附属机构。</w:t>
      </w:r>
    </w:p>
    <w:p>
      <w:pPr>
        <w:pStyle w:val="17"/>
        <w:tabs>
          <w:tab w:val="left" w:pos="5580"/>
        </w:tabs>
        <w:spacing w:line="240" w:lineRule="atLeast"/>
        <w:ind w:left="1080" w:leftChars="257" w:hanging="540"/>
        <w:rPr>
          <w:rFonts w:ascii="仿宋" w:hAnsi="仿宋" w:eastAsia="仿宋" w:cs="仿宋"/>
          <w:color w:val="auto"/>
          <w:sz w:val="24"/>
        </w:rPr>
      </w:pPr>
      <w:r>
        <w:rPr>
          <w:rFonts w:hint="eastAsia" w:ascii="仿宋" w:hAnsi="仿宋" w:eastAsia="仿宋" w:cs="仿宋"/>
          <w:color w:val="auto"/>
          <w:sz w:val="24"/>
        </w:rPr>
        <w:t>（7）在领取中标通知书的同时按采购文件规定的形式，向贵方一次性支付中标服务费。</w:t>
      </w:r>
    </w:p>
    <w:p>
      <w:pPr>
        <w:pStyle w:val="17"/>
        <w:tabs>
          <w:tab w:val="left" w:pos="5580"/>
        </w:tabs>
        <w:spacing w:line="240" w:lineRule="atLeast"/>
        <w:ind w:left="1080" w:leftChars="257" w:hanging="540"/>
        <w:rPr>
          <w:rFonts w:ascii="仿宋" w:hAnsi="仿宋" w:eastAsia="仿宋" w:cs="仿宋"/>
          <w:color w:val="auto"/>
          <w:sz w:val="24"/>
        </w:rPr>
      </w:pPr>
      <w:r>
        <w:rPr>
          <w:rFonts w:hint="eastAsia" w:ascii="仿宋" w:hAnsi="仿宋" w:eastAsia="仿宋" w:cs="仿宋"/>
          <w:color w:val="auto"/>
          <w:sz w:val="24"/>
        </w:rPr>
        <w:t>（8）按照贵方可能要求，提供与其投标有关的一切数据或资料，完全理解贵方不一定接受最低价的投标或收到的任何投标。</w:t>
      </w:r>
    </w:p>
    <w:p>
      <w:pPr>
        <w:pStyle w:val="17"/>
        <w:tabs>
          <w:tab w:val="left" w:pos="5580"/>
        </w:tabs>
        <w:spacing w:line="240" w:lineRule="atLeast"/>
        <w:ind w:left="1080" w:leftChars="257" w:hanging="540"/>
        <w:rPr>
          <w:rFonts w:ascii="仿宋" w:hAnsi="仿宋" w:eastAsia="仿宋" w:cs="仿宋"/>
          <w:color w:val="auto"/>
          <w:sz w:val="24"/>
        </w:rPr>
      </w:pPr>
      <w:r>
        <w:rPr>
          <w:rFonts w:hint="eastAsia" w:ascii="仿宋" w:hAnsi="仿宋" w:eastAsia="仿宋" w:cs="仿宋"/>
          <w:color w:val="auto"/>
          <w:sz w:val="24"/>
        </w:rPr>
        <w:t>（9）按照采购文件的规定履行合同责任和义务。</w:t>
      </w:r>
    </w:p>
    <w:p>
      <w:pPr>
        <w:pStyle w:val="17"/>
        <w:tabs>
          <w:tab w:val="left" w:pos="5580"/>
        </w:tabs>
        <w:spacing w:line="240" w:lineRule="atLeast"/>
        <w:ind w:left="359" w:leftChars="68" w:hanging="216" w:hangingChars="90"/>
        <w:rPr>
          <w:rFonts w:ascii="仿宋" w:hAnsi="仿宋" w:eastAsia="仿宋" w:cs="仿宋"/>
          <w:color w:val="auto"/>
          <w:sz w:val="24"/>
        </w:rPr>
      </w:pPr>
      <w:r>
        <w:rPr>
          <w:rFonts w:hint="eastAsia" w:ascii="仿宋" w:hAnsi="仿宋" w:eastAsia="仿宋" w:cs="仿宋"/>
          <w:color w:val="auto"/>
          <w:sz w:val="24"/>
        </w:rPr>
        <w:t xml:space="preserve">  </w:t>
      </w:r>
    </w:p>
    <w:p>
      <w:pPr>
        <w:pStyle w:val="17"/>
        <w:tabs>
          <w:tab w:val="left" w:pos="5580"/>
        </w:tabs>
        <w:spacing w:line="240" w:lineRule="atLeast"/>
        <w:ind w:left="359" w:leftChars="68" w:hanging="216" w:hangingChars="90"/>
        <w:rPr>
          <w:rFonts w:ascii="仿宋" w:hAnsi="仿宋" w:eastAsia="仿宋" w:cs="仿宋"/>
          <w:color w:val="auto"/>
          <w:sz w:val="24"/>
        </w:rPr>
      </w:pPr>
      <w:r>
        <w:rPr>
          <w:rFonts w:hint="eastAsia" w:ascii="仿宋" w:hAnsi="仿宋" w:eastAsia="仿宋" w:cs="仿宋"/>
          <w:color w:val="auto"/>
          <w:sz w:val="24"/>
        </w:rPr>
        <w:t>与本投标有关的一切正式往来信函请寄：</w:t>
      </w:r>
    </w:p>
    <w:p>
      <w:pPr>
        <w:pStyle w:val="17"/>
        <w:tabs>
          <w:tab w:val="left" w:pos="5580"/>
        </w:tabs>
        <w:spacing w:line="240" w:lineRule="atLeast"/>
        <w:ind w:left="1080" w:leftChars="257" w:hanging="540"/>
        <w:rPr>
          <w:rFonts w:ascii="仿宋" w:hAnsi="仿宋" w:eastAsia="仿宋" w:cs="仿宋"/>
          <w:color w:val="auto"/>
          <w:sz w:val="24"/>
        </w:rPr>
      </w:pPr>
      <w:r>
        <w:rPr>
          <w:rFonts w:hint="eastAsia" w:ascii="仿宋" w:hAnsi="仿宋" w:eastAsia="仿宋" w:cs="仿宋"/>
          <w:color w:val="auto"/>
          <w:sz w:val="24"/>
        </w:rPr>
        <w:t>地址：</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传真：</w:t>
      </w:r>
      <w:r>
        <w:rPr>
          <w:rFonts w:hint="eastAsia" w:ascii="仿宋" w:hAnsi="仿宋" w:eastAsia="仿宋" w:cs="仿宋"/>
          <w:color w:val="auto"/>
          <w:sz w:val="24"/>
          <w:u w:val="single"/>
        </w:rPr>
        <w:t xml:space="preserve">                             </w:t>
      </w:r>
    </w:p>
    <w:p>
      <w:pPr>
        <w:pStyle w:val="17"/>
        <w:tabs>
          <w:tab w:val="left" w:pos="5580"/>
        </w:tabs>
        <w:spacing w:line="240" w:lineRule="atLeast"/>
        <w:ind w:left="1080" w:leftChars="257" w:hanging="540"/>
        <w:rPr>
          <w:rFonts w:ascii="仿宋" w:hAnsi="仿宋" w:eastAsia="仿宋" w:cs="仿宋"/>
          <w:b/>
          <w:color w:val="auto"/>
          <w:sz w:val="24"/>
        </w:rPr>
      </w:pPr>
      <w:r>
        <w:rPr>
          <w:rFonts w:hint="eastAsia" w:ascii="仿宋" w:hAnsi="仿宋" w:eastAsia="仿宋" w:cs="仿宋"/>
          <w:color w:val="auto"/>
          <w:sz w:val="24"/>
        </w:rPr>
        <w:t>电话：</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电子函件：</w:t>
      </w:r>
      <w:r>
        <w:rPr>
          <w:rFonts w:hint="eastAsia" w:ascii="仿宋" w:hAnsi="仿宋" w:eastAsia="仿宋" w:cs="仿宋"/>
          <w:color w:val="auto"/>
          <w:sz w:val="24"/>
          <w:u w:val="single"/>
        </w:rPr>
        <w:t xml:space="preserve">                         </w:t>
      </w:r>
    </w:p>
    <w:p>
      <w:pPr>
        <w:pStyle w:val="17"/>
        <w:tabs>
          <w:tab w:val="left" w:pos="5580"/>
        </w:tabs>
        <w:spacing w:line="240" w:lineRule="atLeast"/>
        <w:ind w:left="1080" w:leftChars="257" w:hanging="540"/>
        <w:rPr>
          <w:rFonts w:ascii="仿宋" w:hAnsi="仿宋" w:eastAsia="仿宋" w:cs="仿宋"/>
          <w:color w:val="auto"/>
          <w:sz w:val="24"/>
        </w:rPr>
      </w:pPr>
    </w:p>
    <w:p>
      <w:pPr>
        <w:pStyle w:val="17"/>
        <w:tabs>
          <w:tab w:val="left" w:pos="5580"/>
        </w:tabs>
        <w:spacing w:line="240" w:lineRule="atLeast"/>
        <w:ind w:left="1080" w:leftChars="257" w:hanging="540"/>
        <w:rPr>
          <w:rFonts w:ascii="仿宋" w:hAnsi="仿宋" w:eastAsia="仿宋" w:cs="仿宋"/>
          <w:color w:val="auto"/>
          <w:sz w:val="24"/>
        </w:rPr>
      </w:pPr>
      <w:r>
        <w:rPr>
          <w:rFonts w:hint="eastAsia" w:ascii="仿宋" w:hAnsi="仿宋" w:eastAsia="仿宋" w:cs="仿宋"/>
          <w:color w:val="auto"/>
          <w:sz w:val="24"/>
        </w:rPr>
        <w:t>法定代表人或其委托代理人签字：-----------------</w:t>
      </w:r>
    </w:p>
    <w:p>
      <w:pPr>
        <w:pStyle w:val="17"/>
        <w:tabs>
          <w:tab w:val="left" w:pos="5580"/>
        </w:tabs>
        <w:spacing w:line="240" w:lineRule="atLeast"/>
        <w:ind w:left="1080" w:leftChars="257" w:hanging="540"/>
        <w:rPr>
          <w:rFonts w:ascii="仿宋" w:hAnsi="仿宋" w:eastAsia="仿宋" w:cs="仿宋"/>
          <w:color w:val="auto"/>
          <w:sz w:val="24"/>
        </w:rPr>
      </w:pPr>
      <w:r>
        <w:rPr>
          <w:rFonts w:hint="eastAsia" w:ascii="仿宋" w:hAnsi="仿宋" w:eastAsia="仿宋" w:cs="仿宋"/>
          <w:color w:val="auto"/>
          <w:sz w:val="24"/>
        </w:rPr>
        <w:t>供应商名称（全称）：-----------------</w:t>
      </w:r>
    </w:p>
    <w:p>
      <w:pPr>
        <w:pStyle w:val="17"/>
        <w:tabs>
          <w:tab w:val="left" w:pos="5580"/>
        </w:tabs>
        <w:spacing w:line="240" w:lineRule="atLeast"/>
        <w:ind w:left="1080" w:leftChars="257" w:hanging="540"/>
        <w:rPr>
          <w:rFonts w:ascii="仿宋" w:hAnsi="仿宋" w:eastAsia="仿宋" w:cs="仿宋"/>
          <w:color w:val="auto"/>
          <w:sz w:val="24"/>
        </w:rPr>
      </w:pPr>
      <w:r>
        <w:rPr>
          <w:rFonts w:hint="eastAsia" w:ascii="仿宋" w:hAnsi="仿宋" w:eastAsia="仿宋" w:cs="仿宋"/>
          <w:color w:val="auto"/>
          <w:sz w:val="24"/>
        </w:rPr>
        <w:t>供应商开户银行（全称）：</w:t>
      </w:r>
      <w:r>
        <w:rPr>
          <w:rFonts w:hint="eastAsia" w:ascii="仿宋" w:hAnsi="仿宋" w:eastAsia="仿宋" w:cs="仿宋"/>
          <w:color w:val="auto"/>
          <w:sz w:val="24"/>
          <w:u w:val="single"/>
        </w:rPr>
        <w:t xml:space="preserve">　　　　　　 </w:t>
      </w:r>
    </w:p>
    <w:p>
      <w:pPr>
        <w:pStyle w:val="17"/>
        <w:tabs>
          <w:tab w:val="left" w:pos="5580"/>
        </w:tabs>
        <w:spacing w:line="240" w:lineRule="atLeast"/>
        <w:ind w:left="1080" w:leftChars="257" w:hanging="540"/>
        <w:rPr>
          <w:rFonts w:ascii="仿宋" w:hAnsi="仿宋" w:eastAsia="仿宋" w:cs="仿宋"/>
          <w:color w:val="auto"/>
          <w:sz w:val="24"/>
        </w:rPr>
      </w:pPr>
      <w:r>
        <w:rPr>
          <w:rFonts w:hint="eastAsia" w:ascii="仿宋" w:hAnsi="仿宋" w:eastAsia="仿宋" w:cs="仿宋"/>
          <w:color w:val="auto"/>
          <w:sz w:val="24"/>
        </w:rPr>
        <w:t>供应商银行帐号：</w:t>
      </w:r>
      <w:r>
        <w:rPr>
          <w:rFonts w:hint="eastAsia" w:ascii="仿宋" w:hAnsi="仿宋" w:eastAsia="仿宋" w:cs="仿宋"/>
          <w:color w:val="auto"/>
          <w:sz w:val="24"/>
          <w:u w:val="single"/>
        </w:rPr>
        <w:t>　　　　　　　　 　　</w:t>
      </w:r>
    </w:p>
    <w:p>
      <w:pPr>
        <w:pStyle w:val="17"/>
        <w:tabs>
          <w:tab w:val="left" w:pos="5580"/>
        </w:tabs>
        <w:spacing w:line="240" w:lineRule="atLeast"/>
        <w:ind w:left="1080" w:leftChars="257" w:hanging="540"/>
        <w:rPr>
          <w:rFonts w:ascii="仿宋" w:hAnsi="仿宋" w:eastAsia="仿宋" w:cs="仿宋"/>
          <w:color w:val="auto"/>
          <w:sz w:val="24"/>
        </w:rPr>
      </w:pPr>
      <w:r>
        <w:rPr>
          <w:rFonts w:hint="eastAsia" w:ascii="仿宋" w:hAnsi="仿宋" w:eastAsia="仿宋" w:cs="仿宋"/>
          <w:color w:val="auto"/>
          <w:sz w:val="24"/>
        </w:rPr>
        <w:t>供应商单位章：-------------------------</w:t>
      </w:r>
    </w:p>
    <w:p>
      <w:pPr>
        <w:pStyle w:val="17"/>
        <w:tabs>
          <w:tab w:val="left" w:pos="5580"/>
        </w:tabs>
        <w:spacing w:line="240" w:lineRule="atLeast"/>
        <w:ind w:left="1080" w:leftChars="257" w:hanging="540"/>
        <w:rPr>
          <w:rFonts w:ascii="仿宋" w:hAnsi="仿宋" w:eastAsia="仿宋" w:cs="仿宋"/>
          <w:color w:val="auto"/>
          <w:sz w:val="24"/>
        </w:rPr>
      </w:pPr>
      <w:r>
        <w:rPr>
          <w:rFonts w:hint="eastAsia" w:ascii="仿宋" w:hAnsi="仿宋" w:eastAsia="仿宋" w:cs="仿宋"/>
          <w:color w:val="auto"/>
          <w:sz w:val="24"/>
        </w:rPr>
        <w:t>日期-：------------------------------</w:t>
      </w:r>
    </w:p>
    <w:p>
      <w:pPr>
        <w:pStyle w:val="8"/>
        <w:spacing w:before="0" w:line="240" w:lineRule="atLeast"/>
        <w:ind w:left="1080" w:leftChars="257" w:hanging="540"/>
        <w:rPr>
          <w:rFonts w:ascii="仿宋" w:hAnsi="仿宋" w:eastAsia="仿宋" w:cs="仿宋"/>
          <w:color w:val="auto"/>
          <w:sz w:val="24"/>
        </w:rPr>
      </w:pPr>
      <w:bookmarkStart w:id="231" w:name="_Hlt520356243"/>
      <w:bookmarkEnd w:id="231"/>
      <w:bookmarkStart w:id="232" w:name="_Hlt520355938"/>
      <w:bookmarkEnd w:id="232"/>
      <w:bookmarkStart w:id="233" w:name="_Toc216582815"/>
      <w:r>
        <w:rPr>
          <w:rFonts w:hint="eastAsia" w:ascii="仿宋" w:hAnsi="仿宋" w:eastAsia="仿宋" w:cs="仿宋"/>
          <w:color w:val="auto"/>
          <w:sz w:val="24"/>
        </w:rPr>
        <w:br w:type="page"/>
      </w:r>
      <w:bookmarkStart w:id="234" w:name="_Toc24886"/>
      <w:bookmarkStart w:id="235" w:name="_Toc518923117"/>
      <w:bookmarkStart w:id="236" w:name="_Toc24498"/>
      <w:bookmarkStart w:id="237" w:name="_Toc4188"/>
      <w:r>
        <w:rPr>
          <w:rFonts w:hint="eastAsia" w:ascii="仿宋" w:hAnsi="仿宋" w:eastAsia="仿宋" w:cs="仿宋"/>
          <w:color w:val="auto"/>
          <w:sz w:val="24"/>
        </w:rPr>
        <w:t>2   投标保证金缴纳凭证复印件或投标担保函</w:t>
      </w:r>
      <w:bookmarkEnd w:id="234"/>
      <w:bookmarkEnd w:id="235"/>
      <w:bookmarkEnd w:id="236"/>
      <w:bookmarkEnd w:id="237"/>
    </w:p>
    <w:p>
      <w:pPr>
        <w:ind w:firstLine="480" w:firstLineChars="200"/>
        <w:rPr>
          <w:rFonts w:ascii="仿宋" w:hAnsi="仿宋" w:eastAsia="仿宋" w:cs="仿宋"/>
          <w:color w:val="auto"/>
          <w:sz w:val="24"/>
        </w:rPr>
      </w:pPr>
      <w:bookmarkStart w:id="238" w:name="_Toc494296665"/>
      <w:bookmarkStart w:id="239" w:name="_Toc494296991"/>
      <w:r>
        <w:rPr>
          <w:rFonts w:hint="eastAsia" w:ascii="仿宋" w:hAnsi="仿宋" w:eastAsia="仿宋" w:cs="仿宋"/>
          <w:color w:val="auto"/>
          <w:sz w:val="24"/>
          <w:szCs w:val="20"/>
        </w:rPr>
        <w:t>供应商可将本项目投标保证金支付的汇款凭证、支票、汇票或保证金收据（如有）的复印件作为缴纳凭证放在本部分，复印件上应加盖本单位章；使用银行保函等其他投标担保函的，应将担保函正本，放在本部分中；如采用政府采购信用担保形式的，应使用（投标文件格式三）,将原件装订在本部分中</w:t>
      </w:r>
      <w:r>
        <w:rPr>
          <w:rFonts w:hint="eastAsia" w:ascii="仿宋" w:hAnsi="仿宋" w:eastAsia="仿宋" w:cs="仿宋"/>
          <w:color w:val="auto"/>
        </w:rPr>
        <w:t>。</w:t>
      </w:r>
      <w:bookmarkEnd w:id="238"/>
      <w:bookmarkEnd w:id="239"/>
    </w:p>
    <w:p>
      <w:pPr>
        <w:jc w:val="center"/>
        <w:rPr>
          <w:rFonts w:ascii="仿宋" w:hAnsi="仿宋" w:eastAsia="仿宋" w:cs="仿宋"/>
          <w:b/>
          <w:bCs/>
          <w:color w:val="auto"/>
          <w:sz w:val="24"/>
        </w:rPr>
      </w:pPr>
      <w:r>
        <w:rPr>
          <w:rFonts w:hint="eastAsia" w:ascii="仿宋" w:hAnsi="仿宋" w:eastAsia="仿宋" w:cs="仿宋"/>
          <w:b/>
          <w:bCs/>
          <w:color w:val="auto"/>
          <w:sz w:val="24"/>
        </w:rPr>
        <w:t>政府采购投标担保函 （项目用）（投标文件格式</w:t>
      </w:r>
      <w:r>
        <w:rPr>
          <w:rFonts w:hint="eastAsia" w:ascii="仿宋" w:hAnsi="仿宋" w:eastAsia="仿宋" w:cs="仿宋"/>
          <w:b/>
          <w:bCs/>
          <w:color w:val="auto"/>
          <w:sz w:val="24"/>
          <w:lang w:val="en-US" w:eastAsia="zh-CN"/>
        </w:rPr>
        <w:t>二</w:t>
      </w:r>
      <w:r>
        <w:rPr>
          <w:rFonts w:hint="eastAsia" w:ascii="仿宋" w:hAnsi="仿宋" w:eastAsia="仿宋" w:cs="仿宋"/>
          <w:b/>
          <w:bCs/>
          <w:color w:val="auto"/>
          <w:sz w:val="24"/>
        </w:rPr>
        <w:t>）</w:t>
      </w:r>
    </w:p>
    <w:p>
      <w:pPr>
        <w:jc w:val="center"/>
        <w:rPr>
          <w:rFonts w:ascii="仿宋" w:hAnsi="仿宋" w:eastAsia="仿宋" w:cs="仿宋"/>
          <w:color w:val="auto"/>
          <w:sz w:val="24"/>
          <w:szCs w:val="20"/>
        </w:rPr>
      </w:pPr>
      <w:r>
        <w:rPr>
          <w:rFonts w:hint="eastAsia" w:ascii="仿宋" w:hAnsi="仿宋" w:eastAsia="仿宋" w:cs="仿宋"/>
          <w:b/>
          <w:bCs/>
          <w:color w:val="auto"/>
          <w:sz w:val="24"/>
        </w:rPr>
        <w:t xml:space="preserve">                                                     </w:t>
      </w:r>
      <w:r>
        <w:rPr>
          <w:rFonts w:hint="eastAsia" w:ascii="仿宋" w:hAnsi="仿宋" w:eastAsia="仿宋" w:cs="仿宋"/>
          <w:color w:val="auto"/>
          <w:sz w:val="24"/>
          <w:szCs w:val="20"/>
        </w:rPr>
        <w:t>编号：</w:t>
      </w:r>
    </w:p>
    <w:p>
      <w:pPr>
        <w:rPr>
          <w:rFonts w:ascii="仿宋" w:hAnsi="仿宋" w:eastAsia="仿宋" w:cs="仿宋"/>
          <w:color w:val="auto"/>
        </w:rPr>
      </w:pPr>
      <w:r>
        <w:rPr>
          <w:rFonts w:hint="eastAsia" w:ascii="仿宋" w:hAnsi="仿宋" w:eastAsia="仿宋" w:cs="仿宋"/>
          <w:color w:val="auto"/>
          <w:sz w:val="24"/>
          <w:szCs w:val="20"/>
          <w:u w:val="single"/>
        </w:rPr>
        <w:t xml:space="preserve">                  </w:t>
      </w:r>
      <w:r>
        <w:rPr>
          <w:rFonts w:hint="eastAsia" w:ascii="仿宋" w:hAnsi="仿宋" w:eastAsia="仿宋" w:cs="仿宋"/>
          <w:color w:val="auto"/>
          <w:sz w:val="24"/>
          <w:szCs w:val="20"/>
        </w:rPr>
        <w:t>（采购人或采购代理机构）</w:t>
      </w:r>
      <w:r>
        <w:rPr>
          <w:rFonts w:hint="eastAsia" w:ascii="仿宋" w:hAnsi="仿宋" w:eastAsia="仿宋" w:cs="仿宋"/>
          <w:color w:val="auto"/>
        </w:rPr>
        <w:t>：</w:t>
      </w:r>
    </w:p>
    <w:p>
      <w:pPr>
        <w:ind w:firstLine="480" w:firstLineChars="200"/>
        <w:rPr>
          <w:rFonts w:ascii="仿宋" w:hAnsi="仿宋" w:eastAsia="仿宋" w:cs="仿宋"/>
          <w:color w:val="auto"/>
          <w:sz w:val="24"/>
        </w:rPr>
      </w:pPr>
      <w:r>
        <w:rPr>
          <w:rFonts w:hint="eastAsia" w:ascii="仿宋" w:hAnsi="仿宋" w:eastAsia="仿宋" w:cs="仿宋"/>
          <w:color w:val="auto"/>
          <w:sz w:val="24"/>
        </w:rPr>
        <w:t>鉴于</w:t>
      </w:r>
      <w:r>
        <w:rPr>
          <w:rFonts w:hint="eastAsia" w:ascii="仿宋" w:hAnsi="仿宋" w:eastAsia="仿宋" w:cs="仿宋"/>
          <w:color w:val="auto"/>
          <w:sz w:val="24"/>
          <w:u w:val="single"/>
        </w:rPr>
        <w:t xml:space="preserve">               </w:t>
      </w:r>
      <w:r>
        <w:rPr>
          <w:rFonts w:hint="eastAsia" w:ascii="仿宋" w:hAnsi="仿宋" w:eastAsia="仿宋" w:cs="仿宋"/>
          <w:color w:val="auto"/>
          <w:sz w:val="24"/>
        </w:rPr>
        <w:t>（以下简称“供应商”）拟参加编号为</w:t>
      </w:r>
      <w:r>
        <w:rPr>
          <w:rFonts w:hint="eastAsia" w:ascii="仿宋" w:hAnsi="仿宋" w:eastAsia="仿宋" w:cs="仿宋"/>
          <w:color w:val="auto"/>
          <w:sz w:val="24"/>
          <w:u w:val="single"/>
        </w:rPr>
        <w:t xml:space="preserve">            </w:t>
      </w:r>
      <w:r>
        <w:rPr>
          <w:rFonts w:hint="eastAsia" w:ascii="仿宋" w:hAnsi="仿宋" w:eastAsia="仿宋" w:cs="仿宋"/>
          <w:color w:val="auto"/>
          <w:sz w:val="24"/>
        </w:rPr>
        <w:t>的</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w:t>
      </w:r>
    </w:p>
    <w:p>
      <w:pPr>
        <w:rPr>
          <w:rFonts w:ascii="仿宋" w:hAnsi="仿宋" w:eastAsia="仿宋" w:cs="仿宋"/>
          <w:color w:val="auto"/>
          <w:sz w:val="24"/>
        </w:rPr>
      </w:pPr>
      <w:r>
        <w:rPr>
          <w:rFonts w:hint="eastAsia" w:ascii="仿宋" w:hAnsi="仿宋" w:eastAsia="仿宋" w:cs="仿宋"/>
          <w:color w:val="auto"/>
          <w:sz w:val="24"/>
        </w:rPr>
        <w:t>项目（以下简称“本项目”）投标，根据本项目采购文件，供应商参加投标时应向你方交纳投标保证金，且可以投标担保函的形式交纳投标保证金。应供应商的申请，我方以保证的方式向你方提供如下投标保证金担保：</w:t>
      </w:r>
    </w:p>
    <w:p>
      <w:pPr>
        <w:ind w:firstLine="480" w:firstLineChars="200"/>
        <w:rPr>
          <w:rFonts w:ascii="仿宋" w:hAnsi="仿宋" w:eastAsia="仿宋" w:cs="仿宋"/>
          <w:color w:val="auto"/>
          <w:sz w:val="24"/>
        </w:rPr>
      </w:pPr>
      <w:r>
        <w:rPr>
          <w:rFonts w:hint="eastAsia" w:ascii="仿宋" w:hAnsi="仿宋" w:eastAsia="仿宋" w:cs="仿宋"/>
          <w:color w:val="auto"/>
          <w:sz w:val="24"/>
        </w:rPr>
        <w:t>一、保证责任的情形及保证金额</w:t>
      </w:r>
    </w:p>
    <w:p>
      <w:pPr>
        <w:ind w:firstLine="240" w:firstLineChars="100"/>
        <w:rPr>
          <w:rFonts w:ascii="仿宋" w:hAnsi="仿宋" w:eastAsia="仿宋" w:cs="仿宋"/>
          <w:color w:val="auto"/>
          <w:sz w:val="24"/>
        </w:rPr>
      </w:pPr>
      <w:r>
        <w:rPr>
          <w:rFonts w:hint="eastAsia" w:ascii="仿宋" w:hAnsi="仿宋" w:eastAsia="仿宋" w:cs="仿宋"/>
          <w:color w:val="auto"/>
          <w:sz w:val="24"/>
        </w:rPr>
        <w:t>（一）在供应商出现下列情形之一时，我方承担保证责任：</w:t>
      </w:r>
    </w:p>
    <w:p>
      <w:pPr>
        <w:ind w:firstLine="480" w:firstLineChars="200"/>
        <w:rPr>
          <w:rFonts w:ascii="仿宋" w:hAnsi="仿宋" w:eastAsia="仿宋" w:cs="仿宋"/>
          <w:color w:val="auto"/>
          <w:sz w:val="24"/>
        </w:rPr>
      </w:pPr>
      <w:r>
        <w:rPr>
          <w:rFonts w:hint="eastAsia" w:ascii="仿宋" w:hAnsi="仿宋" w:eastAsia="仿宋" w:cs="仿宋"/>
          <w:color w:val="auto"/>
          <w:sz w:val="24"/>
        </w:rPr>
        <w:t>1．中标后供应商无正当理由不与采购人或者采购代理机构签订《政府采购合同》；</w:t>
      </w:r>
    </w:p>
    <w:p>
      <w:pPr>
        <w:ind w:firstLine="480" w:firstLineChars="200"/>
        <w:rPr>
          <w:rFonts w:ascii="仿宋" w:hAnsi="仿宋" w:eastAsia="仿宋" w:cs="仿宋"/>
          <w:color w:val="auto"/>
          <w:sz w:val="24"/>
        </w:rPr>
      </w:pPr>
      <w:r>
        <w:rPr>
          <w:rFonts w:hint="eastAsia" w:ascii="仿宋" w:hAnsi="仿宋" w:eastAsia="仿宋" w:cs="仿宋"/>
          <w:color w:val="auto"/>
          <w:sz w:val="24"/>
        </w:rPr>
        <w:t>2．采购文件规定的供应商应当缴纳保证金的其他情形。</w:t>
      </w:r>
    </w:p>
    <w:p>
      <w:pPr>
        <w:ind w:firstLine="240" w:firstLineChars="100"/>
        <w:rPr>
          <w:rFonts w:ascii="仿宋" w:hAnsi="仿宋" w:eastAsia="仿宋" w:cs="仿宋"/>
          <w:color w:val="auto"/>
          <w:sz w:val="24"/>
        </w:rPr>
      </w:pPr>
      <w:r>
        <w:rPr>
          <w:rFonts w:hint="eastAsia" w:ascii="仿宋" w:hAnsi="仿宋" w:eastAsia="仿宋" w:cs="仿宋"/>
          <w:color w:val="auto"/>
          <w:sz w:val="24"/>
        </w:rPr>
        <w:t>（二）我方承担保证责任的最高金额为人民币</w:t>
      </w:r>
      <w:r>
        <w:rPr>
          <w:rFonts w:hint="eastAsia" w:ascii="仿宋" w:hAnsi="仿宋" w:eastAsia="仿宋" w:cs="仿宋"/>
          <w:color w:val="auto"/>
          <w:sz w:val="24"/>
          <w:u w:val="single"/>
        </w:rPr>
        <w:t xml:space="preserve">      </w:t>
      </w:r>
      <w:r>
        <w:rPr>
          <w:rFonts w:hint="eastAsia" w:ascii="仿宋" w:hAnsi="仿宋" w:eastAsia="仿宋" w:cs="仿宋"/>
          <w:color w:val="auto"/>
          <w:sz w:val="24"/>
        </w:rPr>
        <w:t>元（大写</w:t>
      </w:r>
      <w:r>
        <w:rPr>
          <w:rFonts w:hint="eastAsia" w:ascii="仿宋" w:hAnsi="仿宋" w:eastAsia="仿宋" w:cs="仿宋"/>
          <w:color w:val="auto"/>
          <w:sz w:val="24"/>
          <w:u w:val="single"/>
        </w:rPr>
        <w:t xml:space="preserve">            </w:t>
      </w:r>
      <w:r>
        <w:rPr>
          <w:rFonts w:hint="eastAsia" w:ascii="仿宋" w:hAnsi="仿宋" w:eastAsia="仿宋" w:cs="仿宋"/>
          <w:color w:val="auto"/>
          <w:sz w:val="24"/>
        </w:rPr>
        <w:t>），即本项目的投标保证金金额。</w:t>
      </w:r>
    </w:p>
    <w:p>
      <w:pPr>
        <w:ind w:firstLine="480" w:firstLineChars="200"/>
        <w:rPr>
          <w:rFonts w:ascii="仿宋" w:hAnsi="仿宋" w:eastAsia="仿宋" w:cs="仿宋"/>
          <w:color w:val="auto"/>
          <w:sz w:val="24"/>
        </w:rPr>
      </w:pPr>
      <w:r>
        <w:rPr>
          <w:rFonts w:hint="eastAsia" w:ascii="仿宋" w:hAnsi="仿宋" w:eastAsia="仿宋" w:cs="仿宋"/>
          <w:color w:val="auto"/>
          <w:sz w:val="24"/>
        </w:rPr>
        <w:t>二、保证的方式及保证期间</w:t>
      </w:r>
    </w:p>
    <w:p>
      <w:pPr>
        <w:ind w:firstLine="480" w:firstLineChars="200"/>
        <w:rPr>
          <w:rFonts w:ascii="仿宋" w:hAnsi="仿宋" w:eastAsia="仿宋" w:cs="仿宋"/>
          <w:color w:val="auto"/>
          <w:sz w:val="24"/>
        </w:rPr>
      </w:pPr>
      <w:r>
        <w:rPr>
          <w:rFonts w:hint="eastAsia" w:ascii="仿宋" w:hAnsi="仿宋" w:eastAsia="仿宋" w:cs="仿宋"/>
          <w:color w:val="auto"/>
          <w:sz w:val="24"/>
        </w:rPr>
        <w:t>我方保证的方式为：连带责任保证。</w:t>
      </w:r>
    </w:p>
    <w:p>
      <w:pPr>
        <w:ind w:firstLine="480" w:firstLineChars="200"/>
        <w:rPr>
          <w:rFonts w:ascii="仿宋" w:hAnsi="仿宋" w:eastAsia="仿宋" w:cs="仿宋"/>
          <w:color w:val="auto"/>
          <w:sz w:val="24"/>
        </w:rPr>
      </w:pPr>
      <w:r>
        <w:rPr>
          <w:rFonts w:hint="eastAsia" w:ascii="仿宋" w:hAnsi="仿宋" w:eastAsia="仿宋" w:cs="仿宋"/>
          <w:color w:val="auto"/>
          <w:sz w:val="24"/>
        </w:rPr>
        <w:t>我方的保证期间为：自本保函生效之日起</w:t>
      </w:r>
      <w:r>
        <w:rPr>
          <w:rFonts w:hint="eastAsia" w:ascii="仿宋" w:hAnsi="仿宋" w:eastAsia="仿宋" w:cs="仿宋"/>
          <w:color w:val="auto"/>
          <w:sz w:val="24"/>
          <w:u w:val="single"/>
        </w:rPr>
        <w:t xml:space="preserve">    </w:t>
      </w:r>
      <w:r>
        <w:rPr>
          <w:rFonts w:hint="eastAsia" w:ascii="仿宋" w:hAnsi="仿宋" w:eastAsia="仿宋" w:cs="仿宋"/>
          <w:color w:val="auto"/>
          <w:sz w:val="24"/>
        </w:rPr>
        <w:t>个月止。</w:t>
      </w:r>
    </w:p>
    <w:p>
      <w:pPr>
        <w:ind w:firstLine="480" w:firstLineChars="200"/>
        <w:rPr>
          <w:rFonts w:ascii="仿宋" w:hAnsi="仿宋" w:eastAsia="仿宋" w:cs="仿宋"/>
          <w:color w:val="auto"/>
          <w:sz w:val="24"/>
        </w:rPr>
      </w:pPr>
      <w:r>
        <w:rPr>
          <w:rFonts w:hint="eastAsia" w:ascii="仿宋" w:hAnsi="仿宋" w:eastAsia="仿宋" w:cs="仿宋"/>
          <w:color w:val="auto"/>
          <w:sz w:val="24"/>
        </w:rPr>
        <w:t>三、承担保证责任的程序</w:t>
      </w:r>
    </w:p>
    <w:p>
      <w:pPr>
        <w:ind w:firstLine="480" w:firstLineChars="200"/>
        <w:rPr>
          <w:rFonts w:ascii="仿宋" w:hAnsi="仿宋" w:eastAsia="仿宋" w:cs="仿宋"/>
          <w:color w:val="auto"/>
          <w:sz w:val="24"/>
        </w:rPr>
      </w:pPr>
      <w:r>
        <w:rPr>
          <w:rFonts w:hint="eastAsia" w:ascii="仿宋" w:hAnsi="仿宋" w:eastAsia="仿宋" w:cs="仿宋"/>
          <w:color w:val="auto"/>
          <w:sz w:val="24"/>
        </w:rPr>
        <w:t>1．你方要求我方承担保证责任的，应在本保函保证期间内向我方发出书面索赔通知。索赔通知应写明要求索赔的金额，支付款项应到达的账号，并附有证明供应商发生我方应承担保证责任情形的事实材料。</w:t>
      </w:r>
    </w:p>
    <w:p>
      <w:pPr>
        <w:ind w:firstLine="480" w:firstLineChars="200"/>
        <w:rPr>
          <w:rFonts w:ascii="仿宋" w:hAnsi="仿宋" w:eastAsia="仿宋" w:cs="仿宋"/>
          <w:color w:val="auto"/>
          <w:sz w:val="24"/>
        </w:rPr>
      </w:pPr>
      <w:r>
        <w:rPr>
          <w:rFonts w:hint="eastAsia" w:ascii="仿宋" w:hAnsi="仿宋" w:eastAsia="仿宋" w:cs="仿宋"/>
          <w:color w:val="auto"/>
          <w:sz w:val="24"/>
        </w:rPr>
        <w:t>2．我方在收到索赔通知及相关证明材料后，在</w:t>
      </w:r>
      <w:r>
        <w:rPr>
          <w:rFonts w:hint="eastAsia" w:ascii="仿宋" w:hAnsi="仿宋" w:eastAsia="仿宋" w:cs="仿宋"/>
          <w:color w:val="auto"/>
          <w:sz w:val="24"/>
          <w:u w:val="single"/>
        </w:rPr>
        <w:t>　　　</w:t>
      </w:r>
      <w:r>
        <w:rPr>
          <w:rFonts w:hint="eastAsia" w:ascii="仿宋" w:hAnsi="仿宋" w:eastAsia="仿宋" w:cs="仿宋"/>
          <w:color w:val="auto"/>
          <w:sz w:val="24"/>
        </w:rPr>
        <w:t>个工作日内进行审查，符合应承担保证责任情形的，我方应按照你方的要求代供应商向你方支付投标保证金。</w:t>
      </w:r>
    </w:p>
    <w:p>
      <w:pPr>
        <w:ind w:firstLine="480" w:firstLineChars="200"/>
        <w:rPr>
          <w:rFonts w:ascii="仿宋" w:hAnsi="仿宋" w:eastAsia="仿宋" w:cs="仿宋"/>
          <w:color w:val="auto"/>
          <w:sz w:val="24"/>
        </w:rPr>
      </w:pPr>
      <w:r>
        <w:rPr>
          <w:rFonts w:hint="eastAsia" w:ascii="仿宋" w:hAnsi="仿宋" w:eastAsia="仿宋" w:cs="仿宋"/>
          <w:color w:val="auto"/>
          <w:sz w:val="24"/>
        </w:rPr>
        <w:t>四、保证责任的终止</w:t>
      </w:r>
    </w:p>
    <w:p>
      <w:pPr>
        <w:ind w:firstLine="480" w:firstLineChars="200"/>
        <w:rPr>
          <w:rFonts w:ascii="仿宋" w:hAnsi="仿宋" w:eastAsia="仿宋" w:cs="仿宋"/>
          <w:color w:val="auto"/>
          <w:sz w:val="24"/>
        </w:rPr>
      </w:pPr>
      <w:r>
        <w:rPr>
          <w:rFonts w:hint="eastAsia" w:ascii="仿宋" w:hAnsi="仿宋" w:eastAsia="仿宋" w:cs="仿宋"/>
          <w:color w:val="auto"/>
          <w:sz w:val="24"/>
        </w:rPr>
        <w:t>1．保证期间届满你方未向我方书面主张保证责任的，自保证期间届满次日起，我方保证责任自动终止。</w:t>
      </w:r>
    </w:p>
    <w:p>
      <w:pPr>
        <w:ind w:firstLine="480" w:firstLineChars="200"/>
        <w:rPr>
          <w:rFonts w:ascii="仿宋" w:hAnsi="仿宋" w:eastAsia="仿宋" w:cs="仿宋"/>
          <w:color w:val="auto"/>
          <w:sz w:val="24"/>
        </w:rPr>
      </w:pPr>
      <w:r>
        <w:rPr>
          <w:rFonts w:hint="eastAsia" w:ascii="仿宋" w:hAnsi="仿宋" w:eastAsia="仿宋" w:cs="仿宋"/>
          <w:color w:val="auto"/>
          <w:sz w:val="24"/>
        </w:rPr>
        <w:t>2．我方按照本保函向你贵方履行了保证责任后，自我方向你贵方支付款项（支付款项从我方账户划出）之日起，保证责任终止。</w:t>
      </w:r>
    </w:p>
    <w:p>
      <w:pPr>
        <w:ind w:firstLine="480" w:firstLineChars="200"/>
        <w:rPr>
          <w:rFonts w:ascii="仿宋" w:hAnsi="仿宋" w:eastAsia="仿宋" w:cs="仿宋"/>
          <w:color w:val="auto"/>
          <w:sz w:val="24"/>
        </w:rPr>
      </w:pPr>
      <w:r>
        <w:rPr>
          <w:rFonts w:hint="eastAsia" w:ascii="仿宋" w:hAnsi="仿宋" w:eastAsia="仿宋" w:cs="仿宋"/>
          <w:color w:val="auto"/>
          <w:sz w:val="24"/>
        </w:rPr>
        <w:t>3．按照法律法规的规定或出现我方保证责任终止的其它情形的，我方在本保函项下的保证责任亦终止。</w:t>
      </w:r>
    </w:p>
    <w:p>
      <w:pPr>
        <w:ind w:firstLine="480" w:firstLineChars="200"/>
        <w:rPr>
          <w:rFonts w:ascii="仿宋" w:hAnsi="仿宋" w:eastAsia="仿宋" w:cs="仿宋"/>
          <w:color w:val="auto"/>
          <w:sz w:val="24"/>
        </w:rPr>
      </w:pPr>
      <w:r>
        <w:rPr>
          <w:rFonts w:hint="eastAsia" w:ascii="仿宋" w:hAnsi="仿宋" w:eastAsia="仿宋" w:cs="仿宋"/>
          <w:color w:val="auto"/>
          <w:sz w:val="24"/>
        </w:rPr>
        <w:t>五、免责条款</w:t>
      </w:r>
    </w:p>
    <w:p>
      <w:pPr>
        <w:ind w:firstLine="480" w:firstLineChars="200"/>
        <w:rPr>
          <w:rFonts w:ascii="仿宋" w:hAnsi="仿宋" w:eastAsia="仿宋" w:cs="仿宋"/>
          <w:color w:val="auto"/>
          <w:sz w:val="24"/>
        </w:rPr>
      </w:pPr>
      <w:r>
        <w:rPr>
          <w:rFonts w:hint="eastAsia" w:ascii="仿宋" w:hAnsi="仿宋" w:eastAsia="仿宋" w:cs="仿宋"/>
          <w:color w:val="auto"/>
          <w:sz w:val="24"/>
        </w:rPr>
        <w:t>1．依照法律规定或你方与供应商的另行约定，全部或者部分免除供应商投标保证金义务时，我方亦免除相应的保证责任。</w:t>
      </w:r>
    </w:p>
    <w:p>
      <w:pPr>
        <w:ind w:firstLine="480" w:firstLineChars="200"/>
        <w:rPr>
          <w:rFonts w:ascii="仿宋" w:hAnsi="仿宋" w:eastAsia="仿宋" w:cs="仿宋"/>
          <w:color w:val="auto"/>
          <w:sz w:val="24"/>
        </w:rPr>
      </w:pPr>
      <w:r>
        <w:rPr>
          <w:rFonts w:hint="eastAsia" w:ascii="仿宋" w:hAnsi="仿宋" w:eastAsia="仿宋" w:cs="仿宋"/>
          <w:color w:val="auto"/>
          <w:sz w:val="24"/>
        </w:rPr>
        <w:t>2．因你方原因致使供应商发生本保函第一条第（一）款约定情形的，我方不承担保证责任。</w:t>
      </w:r>
    </w:p>
    <w:p>
      <w:pPr>
        <w:ind w:firstLine="480" w:firstLineChars="200"/>
        <w:rPr>
          <w:rFonts w:ascii="仿宋" w:hAnsi="仿宋" w:eastAsia="仿宋" w:cs="仿宋"/>
          <w:color w:val="auto"/>
          <w:sz w:val="24"/>
        </w:rPr>
      </w:pPr>
      <w:r>
        <w:rPr>
          <w:rFonts w:hint="eastAsia" w:ascii="仿宋" w:hAnsi="仿宋" w:eastAsia="仿宋" w:cs="仿宋"/>
          <w:color w:val="auto"/>
          <w:sz w:val="24"/>
        </w:rPr>
        <w:t>3．因不可抗力造成供应商发生本保函第一条约定情形的，我方不承担保证责任。</w:t>
      </w:r>
    </w:p>
    <w:p>
      <w:pPr>
        <w:ind w:firstLine="480" w:firstLineChars="200"/>
        <w:rPr>
          <w:rFonts w:ascii="仿宋" w:hAnsi="仿宋" w:eastAsia="仿宋" w:cs="仿宋"/>
          <w:color w:val="auto"/>
          <w:sz w:val="24"/>
        </w:rPr>
      </w:pPr>
      <w:r>
        <w:rPr>
          <w:rFonts w:hint="eastAsia" w:ascii="仿宋" w:hAnsi="仿宋" w:eastAsia="仿宋" w:cs="仿宋"/>
          <w:color w:val="auto"/>
          <w:sz w:val="24"/>
        </w:rPr>
        <w:t>4．你方或其他有权机关对采购文件进行任何澄清或修改，加重我方保证责任的，我方对加重部分不承担保证责任，但该澄清或修改经我方事先书面同意的除外。</w:t>
      </w:r>
    </w:p>
    <w:p>
      <w:pPr>
        <w:ind w:firstLine="480" w:firstLineChars="200"/>
        <w:rPr>
          <w:rFonts w:ascii="仿宋" w:hAnsi="仿宋" w:eastAsia="仿宋" w:cs="仿宋"/>
          <w:color w:val="auto"/>
          <w:sz w:val="24"/>
        </w:rPr>
      </w:pPr>
      <w:r>
        <w:rPr>
          <w:rFonts w:hint="eastAsia" w:ascii="仿宋" w:hAnsi="仿宋" w:eastAsia="仿宋" w:cs="仿宋"/>
          <w:color w:val="auto"/>
          <w:sz w:val="24"/>
        </w:rPr>
        <w:t>六、争议的解决</w:t>
      </w:r>
    </w:p>
    <w:p>
      <w:pPr>
        <w:ind w:firstLine="480" w:firstLineChars="200"/>
        <w:rPr>
          <w:rFonts w:ascii="仿宋" w:hAnsi="仿宋" w:eastAsia="仿宋" w:cs="仿宋"/>
          <w:color w:val="auto"/>
          <w:sz w:val="24"/>
        </w:rPr>
      </w:pPr>
      <w:r>
        <w:rPr>
          <w:rFonts w:hint="eastAsia" w:ascii="仿宋" w:hAnsi="仿宋" w:eastAsia="仿宋" w:cs="仿宋"/>
          <w:color w:val="auto"/>
          <w:sz w:val="24"/>
        </w:rPr>
        <w:t>因本保函发生的纠纷，由你我双方协商解决，协商不成的，通过诉讼程序解决，诉讼管辖地法院为</w:t>
      </w:r>
      <w:r>
        <w:rPr>
          <w:rFonts w:hint="eastAsia" w:ascii="仿宋" w:hAnsi="仿宋" w:eastAsia="仿宋" w:cs="仿宋"/>
          <w:color w:val="auto"/>
          <w:sz w:val="24"/>
          <w:u w:val="single"/>
        </w:rPr>
        <w:t xml:space="preserve">          </w:t>
      </w:r>
      <w:r>
        <w:rPr>
          <w:rFonts w:hint="eastAsia" w:ascii="仿宋" w:hAnsi="仿宋" w:eastAsia="仿宋" w:cs="仿宋"/>
          <w:color w:val="auto"/>
          <w:sz w:val="24"/>
        </w:rPr>
        <w:t>法院。</w:t>
      </w:r>
    </w:p>
    <w:p>
      <w:pPr>
        <w:ind w:firstLine="480" w:firstLineChars="200"/>
        <w:rPr>
          <w:rFonts w:ascii="仿宋" w:hAnsi="仿宋" w:eastAsia="仿宋" w:cs="仿宋"/>
          <w:color w:val="auto"/>
          <w:sz w:val="24"/>
        </w:rPr>
      </w:pPr>
      <w:r>
        <w:rPr>
          <w:rFonts w:hint="eastAsia" w:ascii="仿宋" w:hAnsi="仿宋" w:eastAsia="仿宋" w:cs="仿宋"/>
          <w:color w:val="auto"/>
          <w:sz w:val="24"/>
        </w:rPr>
        <w:t>七、保函的生效</w:t>
      </w:r>
    </w:p>
    <w:p>
      <w:pPr>
        <w:ind w:firstLine="480" w:firstLineChars="200"/>
        <w:rPr>
          <w:rFonts w:ascii="仿宋" w:hAnsi="仿宋" w:eastAsia="仿宋" w:cs="仿宋"/>
          <w:color w:val="auto"/>
          <w:sz w:val="24"/>
        </w:rPr>
      </w:pPr>
      <w:r>
        <w:rPr>
          <w:rFonts w:hint="eastAsia" w:ascii="仿宋" w:hAnsi="仿宋" w:eastAsia="仿宋" w:cs="仿宋"/>
          <w:color w:val="auto"/>
          <w:sz w:val="24"/>
        </w:rPr>
        <w:t>本保函自我方加盖公章之日起生效。</w:t>
      </w:r>
    </w:p>
    <w:p>
      <w:pPr>
        <w:ind w:firstLine="6360" w:firstLineChars="2650"/>
        <w:rPr>
          <w:rFonts w:ascii="仿宋" w:hAnsi="仿宋" w:eastAsia="仿宋" w:cs="仿宋"/>
          <w:color w:val="auto"/>
          <w:sz w:val="24"/>
        </w:rPr>
      </w:pPr>
      <w:r>
        <w:rPr>
          <w:rFonts w:hint="eastAsia" w:ascii="仿宋" w:hAnsi="仿宋" w:eastAsia="仿宋" w:cs="仿宋"/>
          <w:color w:val="auto"/>
          <w:sz w:val="24"/>
        </w:rPr>
        <w:t>保证人：（公章）</w:t>
      </w:r>
    </w:p>
    <w:p>
      <w:pPr>
        <w:rPr>
          <w:rFonts w:ascii="仿宋" w:hAnsi="仿宋" w:eastAsia="仿宋" w:cs="仿宋"/>
          <w:color w:val="auto"/>
          <w:sz w:val="24"/>
        </w:rPr>
      </w:pPr>
      <w:r>
        <w:rPr>
          <w:rFonts w:hint="eastAsia" w:ascii="仿宋" w:hAnsi="仿宋" w:eastAsia="仿宋" w:cs="仿宋"/>
          <w:color w:val="auto"/>
          <w:sz w:val="24"/>
        </w:rPr>
        <w:t xml:space="preserve">                               </w:t>
      </w:r>
    </w:p>
    <w:p>
      <w:pPr>
        <w:ind w:firstLine="6240" w:firstLineChars="2600"/>
        <w:rPr>
          <w:rFonts w:ascii="仿宋" w:hAnsi="仿宋" w:eastAsia="仿宋" w:cs="仿宋"/>
          <w:color w:val="auto"/>
          <w:sz w:val="24"/>
        </w:rPr>
      </w:pPr>
      <w:r>
        <w:rPr>
          <w:rFonts w:hint="eastAsia" w:ascii="仿宋" w:hAnsi="仿宋" w:eastAsia="仿宋" w:cs="仿宋"/>
          <w:color w:val="auto"/>
          <w:sz w:val="24"/>
        </w:rPr>
        <w:t>年     月      日</w:t>
      </w:r>
    </w:p>
    <w:p>
      <w:pPr>
        <w:rPr>
          <w:rFonts w:ascii="仿宋" w:hAnsi="仿宋" w:eastAsia="仿宋" w:cs="仿宋"/>
          <w:color w:val="auto"/>
          <w:sz w:val="24"/>
        </w:rPr>
      </w:pPr>
      <w:r>
        <w:rPr>
          <w:rFonts w:hint="eastAsia" w:ascii="仿宋" w:hAnsi="仿宋" w:eastAsia="仿宋" w:cs="仿宋"/>
          <w:color w:val="auto"/>
          <w:sz w:val="24"/>
        </w:rPr>
        <w:br w:type="page"/>
      </w:r>
    </w:p>
    <w:bookmarkEnd w:id="233"/>
    <w:p>
      <w:pPr>
        <w:pStyle w:val="17"/>
        <w:tabs>
          <w:tab w:val="left" w:pos="5370"/>
        </w:tabs>
        <w:spacing w:line="240" w:lineRule="atLeast"/>
        <w:ind w:left="1080" w:leftChars="257" w:hanging="540"/>
        <w:rPr>
          <w:rFonts w:ascii="仿宋" w:hAnsi="仿宋" w:eastAsia="仿宋" w:cs="仿宋"/>
          <w:color w:val="auto"/>
          <w:sz w:val="24"/>
        </w:rPr>
      </w:pPr>
    </w:p>
    <w:p>
      <w:pPr>
        <w:pStyle w:val="8"/>
        <w:spacing w:before="0" w:line="240" w:lineRule="atLeast"/>
        <w:ind w:left="1080" w:leftChars="257" w:hanging="540"/>
        <w:rPr>
          <w:rFonts w:ascii="仿宋" w:hAnsi="仿宋" w:eastAsia="仿宋" w:cs="仿宋"/>
          <w:color w:val="auto"/>
          <w:sz w:val="24"/>
        </w:rPr>
      </w:pPr>
      <w:bookmarkStart w:id="240" w:name="_Toc4709"/>
      <w:bookmarkStart w:id="241" w:name="_Toc32366"/>
      <w:r>
        <w:rPr>
          <w:rFonts w:hint="eastAsia" w:ascii="仿宋" w:hAnsi="仿宋" w:eastAsia="仿宋" w:cs="仿宋"/>
          <w:color w:val="auto"/>
          <w:sz w:val="24"/>
        </w:rPr>
        <w:t>3   技术规格偏离表（投标文件格式</w:t>
      </w:r>
      <w:r>
        <w:rPr>
          <w:rFonts w:hint="eastAsia" w:ascii="仿宋" w:hAnsi="仿宋" w:eastAsia="仿宋" w:cs="仿宋"/>
          <w:color w:val="auto"/>
          <w:sz w:val="24"/>
          <w:lang w:val="en-US" w:eastAsia="zh-CN"/>
        </w:rPr>
        <w:t>三</w:t>
      </w:r>
      <w:r>
        <w:rPr>
          <w:rFonts w:hint="eastAsia" w:ascii="仿宋" w:hAnsi="仿宋" w:eastAsia="仿宋" w:cs="仿宋"/>
          <w:color w:val="auto"/>
          <w:sz w:val="24"/>
        </w:rPr>
        <w:t>）</w:t>
      </w:r>
      <w:bookmarkEnd w:id="240"/>
      <w:bookmarkEnd w:id="241"/>
    </w:p>
    <w:p>
      <w:pPr>
        <w:pStyle w:val="17"/>
        <w:spacing w:line="240" w:lineRule="atLeast"/>
        <w:ind w:left="1080" w:leftChars="257" w:hanging="540"/>
        <w:rPr>
          <w:rFonts w:ascii="仿宋" w:hAnsi="仿宋" w:eastAsia="仿宋" w:cs="仿宋"/>
          <w:color w:val="auto"/>
          <w:sz w:val="24"/>
        </w:rPr>
      </w:pPr>
    </w:p>
    <w:p>
      <w:pPr>
        <w:pStyle w:val="17"/>
        <w:spacing w:line="240" w:lineRule="atLeast"/>
        <w:rPr>
          <w:rFonts w:ascii="仿宋" w:hAnsi="仿宋" w:eastAsia="仿宋" w:cs="仿宋"/>
          <w:color w:val="auto"/>
          <w:sz w:val="24"/>
        </w:rPr>
      </w:pPr>
      <w:r>
        <w:rPr>
          <w:rFonts w:hint="eastAsia" w:ascii="仿宋" w:hAnsi="仿宋" w:eastAsia="仿宋" w:cs="仿宋"/>
          <w:color w:val="auto"/>
          <w:sz w:val="24"/>
        </w:rPr>
        <w:t xml:space="preserve">项目名称:                       招标编号:           包号：          </w:t>
      </w:r>
    </w:p>
    <w:p>
      <w:pPr>
        <w:pStyle w:val="17"/>
        <w:spacing w:line="240" w:lineRule="atLeast"/>
        <w:ind w:left="1080" w:leftChars="257" w:hanging="540"/>
        <w:rPr>
          <w:rFonts w:ascii="仿宋" w:hAnsi="仿宋" w:eastAsia="仿宋" w:cs="仿宋"/>
          <w:color w:val="auto"/>
          <w:sz w:val="24"/>
        </w:rPr>
      </w:pPr>
    </w:p>
    <w:tbl>
      <w:tblPr>
        <w:tblStyle w:val="37"/>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2340"/>
        <w:gridCol w:w="1260"/>
        <w:gridCol w:w="126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vAlign w:val="center"/>
          </w:tcPr>
          <w:p>
            <w:pPr>
              <w:pStyle w:val="17"/>
              <w:spacing w:line="240" w:lineRule="atLeast"/>
              <w:jc w:val="center"/>
              <w:rPr>
                <w:rFonts w:ascii="仿宋" w:hAnsi="仿宋" w:eastAsia="仿宋" w:cs="仿宋"/>
                <w:color w:val="auto"/>
                <w:sz w:val="24"/>
              </w:rPr>
            </w:pPr>
            <w:r>
              <w:rPr>
                <w:rFonts w:hint="eastAsia" w:ascii="仿宋" w:hAnsi="仿宋" w:eastAsia="仿宋" w:cs="仿宋"/>
                <w:color w:val="auto"/>
                <w:sz w:val="24"/>
              </w:rPr>
              <w:t>序号</w:t>
            </w:r>
          </w:p>
        </w:tc>
        <w:tc>
          <w:tcPr>
            <w:tcW w:w="1260" w:type="dxa"/>
            <w:vAlign w:val="center"/>
          </w:tcPr>
          <w:p>
            <w:pPr>
              <w:pStyle w:val="17"/>
              <w:spacing w:line="240" w:lineRule="atLeast"/>
              <w:jc w:val="center"/>
              <w:rPr>
                <w:rFonts w:ascii="仿宋" w:hAnsi="仿宋" w:eastAsia="仿宋" w:cs="仿宋"/>
                <w:color w:val="auto"/>
                <w:sz w:val="24"/>
              </w:rPr>
            </w:pPr>
            <w:r>
              <w:rPr>
                <w:rFonts w:hint="eastAsia" w:ascii="仿宋" w:hAnsi="仿宋" w:eastAsia="仿宋" w:cs="仿宋"/>
                <w:color w:val="auto"/>
                <w:sz w:val="24"/>
              </w:rPr>
              <w:t>货物名称</w:t>
            </w:r>
          </w:p>
        </w:tc>
        <w:tc>
          <w:tcPr>
            <w:tcW w:w="2340" w:type="dxa"/>
            <w:vAlign w:val="center"/>
          </w:tcPr>
          <w:p>
            <w:pPr>
              <w:pStyle w:val="17"/>
              <w:spacing w:line="240" w:lineRule="atLeast"/>
              <w:ind w:left="269" w:leftChars="128"/>
              <w:jc w:val="center"/>
              <w:rPr>
                <w:rFonts w:ascii="仿宋" w:hAnsi="仿宋" w:eastAsia="仿宋" w:cs="仿宋"/>
                <w:color w:val="auto"/>
                <w:sz w:val="24"/>
              </w:rPr>
            </w:pPr>
            <w:r>
              <w:rPr>
                <w:rFonts w:hint="eastAsia" w:ascii="仿宋" w:hAnsi="仿宋" w:eastAsia="仿宋" w:cs="仿宋"/>
                <w:color w:val="auto"/>
                <w:sz w:val="24"/>
              </w:rPr>
              <w:t>采购文件条款号</w:t>
            </w:r>
          </w:p>
        </w:tc>
        <w:tc>
          <w:tcPr>
            <w:tcW w:w="1260" w:type="dxa"/>
            <w:vAlign w:val="center"/>
          </w:tcPr>
          <w:p>
            <w:pPr>
              <w:pStyle w:val="17"/>
              <w:spacing w:line="240" w:lineRule="atLeast"/>
              <w:jc w:val="center"/>
              <w:rPr>
                <w:rFonts w:ascii="仿宋" w:hAnsi="仿宋" w:eastAsia="仿宋" w:cs="仿宋"/>
                <w:color w:val="auto"/>
                <w:sz w:val="24"/>
              </w:rPr>
            </w:pPr>
            <w:r>
              <w:rPr>
                <w:rFonts w:hint="eastAsia" w:ascii="仿宋" w:hAnsi="仿宋" w:eastAsia="仿宋" w:cs="仿宋"/>
                <w:color w:val="auto"/>
                <w:sz w:val="24"/>
              </w:rPr>
              <w:t>招标规格</w:t>
            </w:r>
          </w:p>
        </w:tc>
        <w:tc>
          <w:tcPr>
            <w:tcW w:w="1260" w:type="dxa"/>
            <w:vAlign w:val="center"/>
          </w:tcPr>
          <w:p>
            <w:pPr>
              <w:pStyle w:val="17"/>
              <w:spacing w:line="240" w:lineRule="atLeast"/>
              <w:jc w:val="center"/>
              <w:rPr>
                <w:rFonts w:ascii="仿宋" w:hAnsi="仿宋" w:eastAsia="仿宋" w:cs="仿宋"/>
                <w:color w:val="auto"/>
                <w:sz w:val="24"/>
              </w:rPr>
            </w:pPr>
            <w:r>
              <w:rPr>
                <w:rFonts w:hint="eastAsia" w:ascii="仿宋" w:hAnsi="仿宋" w:eastAsia="仿宋" w:cs="仿宋"/>
                <w:color w:val="auto"/>
                <w:sz w:val="24"/>
              </w:rPr>
              <w:t>投标规格</w:t>
            </w:r>
          </w:p>
        </w:tc>
        <w:tc>
          <w:tcPr>
            <w:tcW w:w="900" w:type="dxa"/>
            <w:vAlign w:val="center"/>
          </w:tcPr>
          <w:p>
            <w:pPr>
              <w:pStyle w:val="17"/>
              <w:spacing w:line="240" w:lineRule="atLeast"/>
              <w:jc w:val="center"/>
              <w:rPr>
                <w:rFonts w:ascii="仿宋" w:hAnsi="仿宋" w:eastAsia="仿宋" w:cs="仿宋"/>
                <w:color w:val="auto"/>
                <w:sz w:val="24"/>
              </w:rPr>
            </w:pPr>
            <w:r>
              <w:rPr>
                <w:rFonts w:hint="eastAsia" w:ascii="仿宋" w:hAnsi="仿宋" w:eastAsia="仿宋" w:cs="仿宋"/>
                <w:color w:val="auto"/>
                <w:sz w:val="24"/>
              </w:rPr>
              <w:t>偏离</w:t>
            </w:r>
          </w:p>
        </w:tc>
        <w:tc>
          <w:tcPr>
            <w:tcW w:w="900" w:type="dxa"/>
            <w:vAlign w:val="center"/>
          </w:tcPr>
          <w:p>
            <w:pPr>
              <w:pStyle w:val="17"/>
              <w:spacing w:line="240" w:lineRule="atLeast"/>
              <w:jc w:val="center"/>
              <w:rPr>
                <w:rFonts w:ascii="仿宋" w:hAnsi="仿宋" w:eastAsia="仿宋" w:cs="仿宋"/>
                <w:color w:val="auto"/>
                <w:sz w:val="24"/>
              </w:rPr>
            </w:pPr>
            <w:r>
              <w:rPr>
                <w:rFonts w:hint="eastAsia" w:ascii="仿宋" w:hAnsi="仿宋" w:eastAsia="仿宋" w:cs="仿宋"/>
                <w:color w:val="auto"/>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7"/>
              <w:spacing w:line="240" w:lineRule="atLeast"/>
              <w:ind w:left="1080" w:leftChars="257" w:hanging="540"/>
              <w:rPr>
                <w:rFonts w:ascii="仿宋" w:hAnsi="仿宋" w:eastAsia="仿宋" w:cs="仿宋"/>
                <w:color w:val="auto"/>
                <w:sz w:val="24"/>
              </w:rPr>
            </w:pPr>
          </w:p>
        </w:tc>
        <w:tc>
          <w:tcPr>
            <w:tcW w:w="1260" w:type="dxa"/>
          </w:tcPr>
          <w:p>
            <w:pPr>
              <w:pStyle w:val="17"/>
              <w:spacing w:line="240" w:lineRule="atLeast"/>
              <w:ind w:left="1080" w:leftChars="257" w:hanging="540"/>
              <w:rPr>
                <w:rFonts w:ascii="仿宋" w:hAnsi="仿宋" w:eastAsia="仿宋" w:cs="仿宋"/>
                <w:color w:val="auto"/>
                <w:sz w:val="24"/>
              </w:rPr>
            </w:pPr>
          </w:p>
        </w:tc>
        <w:tc>
          <w:tcPr>
            <w:tcW w:w="2340" w:type="dxa"/>
          </w:tcPr>
          <w:p>
            <w:pPr>
              <w:pStyle w:val="17"/>
              <w:spacing w:line="240" w:lineRule="atLeast"/>
              <w:ind w:left="1080" w:leftChars="257" w:hanging="540"/>
              <w:rPr>
                <w:rFonts w:ascii="仿宋" w:hAnsi="仿宋" w:eastAsia="仿宋" w:cs="仿宋"/>
                <w:color w:val="auto"/>
                <w:sz w:val="24"/>
              </w:rPr>
            </w:pPr>
          </w:p>
        </w:tc>
        <w:tc>
          <w:tcPr>
            <w:tcW w:w="1260" w:type="dxa"/>
          </w:tcPr>
          <w:p>
            <w:pPr>
              <w:pStyle w:val="17"/>
              <w:spacing w:line="240" w:lineRule="atLeast"/>
              <w:ind w:left="1080" w:leftChars="257" w:hanging="540"/>
              <w:rPr>
                <w:rFonts w:ascii="仿宋" w:hAnsi="仿宋" w:eastAsia="仿宋" w:cs="仿宋"/>
                <w:color w:val="auto"/>
                <w:sz w:val="24"/>
              </w:rPr>
            </w:pPr>
          </w:p>
        </w:tc>
        <w:tc>
          <w:tcPr>
            <w:tcW w:w="1260" w:type="dxa"/>
          </w:tcPr>
          <w:p>
            <w:pPr>
              <w:pStyle w:val="17"/>
              <w:spacing w:line="240" w:lineRule="atLeast"/>
              <w:ind w:left="1080" w:leftChars="257" w:hanging="540"/>
              <w:rPr>
                <w:rFonts w:ascii="仿宋" w:hAnsi="仿宋" w:eastAsia="仿宋" w:cs="仿宋"/>
                <w:color w:val="auto"/>
                <w:sz w:val="24"/>
              </w:rPr>
            </w:pPr>
          </w:p>
        </w:tc>
        <w:tc>
          <w:tcPr>
            <w:tcW w:w="900" w:type="dxa"/>
          </w:tcPr>
          <w:p>
            <w:pPr>
              <w:pStyle w:val="17"/>
              <w:spacing w:line="240" w:lineRule="atLeast"/>
              <w:ind w:left="1080" w:leftChars="257" w:hanging="540"/>
              <w:rPr>
                <w:rFonts w:ascii="仿宋" w:hAnsi="仿宋" w:eastAsia="仿宋" w:cs="仿宋"/>
                <w:color w:val="auto"/>
                <w:sz w:val="24"/>
              </w:rPr>
            </w:pPr>
          </w:p>
        </w:tc>
        <w:tc>
          <w:tcPr>
            <w:tcW w:w="900" w:type="dxa"/>
          </w:tcPr>
          <w:p>
            <w:pPr>
              <w:pStyle w:val="17"/>
              <w:spacing w:line="240" w:lineRule="atLeast"/>
              <w:ind w:left="1080" w:leftChars="257" w:hanging="54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7"/>
              <w:spacing w:line="240" w:lineRule="atLeast"/>
              <w:ind w:left="1080" w:leftChars="257" w:hanging="540"/>
              <w:rPr>
                <w:rFonts w:ascii="仿宋" w:hAnsi="仿宋" w:eastAsia="仿宋" w:cs="仿宋"/>
                <w:color w:val="auto"/>
                <w:sz w:val="24"/>
              </w:rPr>
            </w:pPr>
          </w:p>
        </w:tc>
        <w:tc>
          <w:tcPr>
            <w:tcW w:w="1260" w:type="dxa"/>
          </w:tcPr>
          <w:p>
            <w:pPr>
              <w:pStyle w:val="17"/>
              <w:spacing w:line="240" w:lineRule="atLeast"/>
              <w:ind w:left="1080" w:leftChars="257" w:hanging="540"/>
              <w:rPr>
                <w:rFonts w:ascii="仿宋" w:hAnsi="仿宋" w:eastAsia="仿宋" w:cs="仿宋"/>
                <w:color w:val="auto"/>
                <w:sz w:val="24"/>
              </w:rPr>
            </w:pPr>
          </w:p>
        </w:tc>
        <w:tc>
          <w:tcPr>
            <w:tcW w:w="2340" w:type="dxa"/>
          </w:tcPr>
          <w:p>
            <w:pPr>
              <w:pStyle w:val="17"/>
              <w:spacing w:line="240" w:lineRule="atLeast"/>
              <w:ind w:left="1080" w:leftChars="257" w:hanging="540"/>
              <w:rPr>
                <w:rFonts w:ascii="仿宋" w:hAnsi="仿宋" w:eastAsia="仿宋" w:cs="仿宋"/>
                <w:color w:val="auto"/>
                <w:sz w:val="24"/>
              </w:rPr>
            </w:pPr>
          </w:p>
        </w:tc>
        <w:tc>
          <w:tcPr>
            <w:tcW w:w="1260" w:type="dxa"/>
          </w:tcPr>
          <w:p>
            <w:pPr>
              <w:pStyle w:val="17"/>
              <w:spacing w:line="240" w:lineRule="atLeast"/>
              <w:ind w:left="1080" w:leftChars="257" w:hanging="540"/>
              <w:rPr>
                <w:rFonts w:ascii="仿宋" w:hAnsi="仿宋" w:eastAsia="仿宋" w:cs="仿宋"/>
                <w:color w:val="auto"/>
                <w:sz w:val="24"/>
              </w:rPr>
            </w:pPr>
          </w:p>
        </w:tc>
        <w:tc>
          <w:tcPr>
            <w:tcW w:w="1260" w:type="dxa"/>
          </w:tcPr>
          <w:p>
            <w:pPr>
              <w:pStyle w:val="17"/>
              <w:spacing w:line="240" w:lineRule="atLeast"/>
              <w:ind w:left="1080" w:leftChars="257" w:hanging="540"/>
              <w:rPr>
                <w:rFonts w:ascii="仿宋" w:hAnsi="仿宋" w:eastAsia="仿宋" w:cs="仿宋"/>
                <w:color w:val="auto"/>
                <w:sz w:val="24"/>
              </w:rPr>
            </w:pPr>
          </w:p>
        </w:tc>
        <w:tc>
          <w:tcPr>
            <w:tcW w:w="900" w:type="dxa"/>
          </w:tcPr>
          <w:p>
            <w:pPr>
              <w:pStyle w:val="17"/>
              <w:spacing w:line="240" w:lineRule="atLeast"/>
              <w:ind w:left="1080" w:leftChars="257" w:hanging="540"/>
              <w:rPr>
                <w:rFonts w:ascii="仿宋" w:hAnsi="仿宋" w:eastAsia="仿宋" w:cs="仿宋"/>
                <w:color w:val="auto"/>
                <w:sz w:val="24"/>
              </w:rPr>
            </w:pPr>
          </w:p>
        </w:tc>
        <w:tc>
          <w:tcPr>
            <w:tcW w:w="900" w:type="dxa"/>
          </w:tcPr>
          <w:p>
            <w:pPr>
              <w:pStyle w:val="17"/>
              <w:spacing w:line="240" w:lineRule="atLeast"/>
              <w:ind w:left="1080" w:leftChars="257" w:hanging="54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7"/>
              <w:spacing w:line="240" w:lineRule="atLeast"/>
              <w:ind w:left="1080" w:leftChars="257" w:hanging="540"/>
              <w:rPr>
                <w:rFonts w:ascii="仿宋" w:hAnsi="仿宋" w:eastAsia="仿宋" w:cs="仿宋"/>
                <w:color w:val="auto"/>
                <w:sz w:val="24"/>
              </w:rPr>
            </w:pPr>
          </w:p>
        </w:tc>
        <w:tc>
          <w:tcPr>
            <w:tcW w:w="1260" w:type="dxa"/>
          </w:tcPr>
          <w:p>
            <w:pPr>
              <w:pStyle w:val="17"/>
              <w:spacing w:line="240" w:lineRule="atLeast"/>
              <w:ind w:left="1080" w:leftChars="257" w:hanging="540"/>
              <w:rPr>
                <w:rFonts w:ascii="仿宋" w:hAnsi="仿宋" w:eastAsia="仿宋" w:cs="仿宋"/>
                <w:color w:val="auto"/>
                <w:sz w:val="24"/>
              </w:rPr>
            </w:pPr>
          </w:p>
        </w:tc>
        <w:tc>
          <w:tcPr>
            <w:tcW w:w="2340" w:type="dxa"/>
          </w:tcPr>
          <w:p>
            <w:pPr>
              <w:pStyle w:val="17"/>
              <w:spacing w:line="240" w:lineRule="atLeast"/>
              <w:ind w:left="1080" w:leftChars="257" w:hanging="540"/>
              <w:rPr>
                <w:rFonts w:ascii="仿宋" w:hAnsi="仿宋" w:eastAsia="仿宋" w:cs="仿宋"/>
                <w:color w:val="auto"/>
                <w:sz w:val="24"/>
              </w:rPr>
            </w:pPr>
          </w:p>
        </w:tc>
        <w:tc>
          <w:tcPr>
            <w:tcW w:w="1260" w:type="dxa"/>
          </w:tcPr>
          <w:p>
            <w:pPr>
              <w:pStyle w:val="17"/>
              <w:spacing w:line="240" w:lineRule="atLeast"/>
              <w:ind w:left="1080" w:leftChars="257" w:hanging="540"/>
              <w:rPr>
                <w:rFonts w:ascii="仿宋" w:hAnsi="仿宋" w:eastAsia="仿宋" w:cs="仿宋"/>
                <w:color w:val="auto"/>
                <w:sz w:val="24"/>
              </w:rPr>
            </w:pPr>
          </w:p>
        </w:tc>
        <w:tc>
          <w:tcPr>
            <w:tcW w:w="1260" w:type="dxa"/>
          </w:tcPr>
          <w:p>
            <w:pPr>
              <w:pStyle w:val="17"/>
              <w:spacing w:line="240" w:lineRule="atLeast"/>
              <w:ind w:left="1080" w:leftChars="257" w:hanging="540"/>
              <w:rPr>
                <w:rFonts w:ascii="仿宋" w:hAnsi="仿宋" w:eastAsia="仿宋" w:cs="仿宋"/>
                <w:color w:val="auto"/>
                <w:sz w:val="24"/>
              </w:rPr>
            </w:pPr>
          </w:p>
        </w:tc>
        <w:tc>
          <w:tcPr>
            <w:tcW w:w="900" w:type="dxa"/>
          </w:tcPr>
          <w:p>
            <w:pPr>
              <w:pStyle w:val="17"/>
              <w:spacing w:line="240" w:lineRule="atLeast"/>
              <w:ind w:left="1080" w:leftChars="257" w:hanging="540"/>
              <w:rPr>
                <w:rFonts w:ascii="仿宋" w:hAnsi="仿宋" w:eastAsia="仿宋" w:cs="仿宋"/>
                <w:color w:val="auto"/>
                <w:sz w:val="24"/>
              </w:rPr>
            </w:pPr>
          </w:p>
        </w:tc>
        <w:tc>
          <w:tcPr>
            <w:tcW w:w="900" w:type="dxa"/>
          </w:tcPr>
          <w:p>
            <w:pPr>
              <w:pStyle w:val="17"/>
              <w:spacing w:line="240" w:lineRule="atLeast"/>
              <w:ind w:left="1080" w:leftChars="257" w:hanging="54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7"/>
              <w:spacing w:line="240" w:lineRule="atLeast"/>
              <w:ind w:left="1080" w:leftChars="257" w:hanging="540"/>
              <w:rPr>
                <w:rFonts w:ascii="仿宋" w:hAnsi="仿宋" w:eastAsia="仿宋" w:cs="仿宋"/>
                <w:color w:val="auto"/>
                <w:sz w:val="24"/>
              </w:rPr>
            </w:pPr>
          </w:p>
        </w:tc>
        <w:tc>
          <w:tcPr>
            <w:tcW w:w="1260" w:type="dxa"/>
          </w:tcPr>
          <w:p>
            <w:pPr>
              <w:pStyle w:val="17"/>
              <w:spacing w:line="240" w:lineRule="atLeast"/>
              <w:ind w:left="1080" w:leftChars="257" w:hanging="540"/>
              <w:rPr>
                <w:rFonts w:ascii="仿宋" w:hAnsi="仿宋" w:eastAsia="仿宋" w:cs="仿宋"/>
                <w:color w:val="auto"/>
                <w:sz w:val="24"/>
              </w:rPr>
            </w:pPr>
          </w:p>
        </w:tc>
        <w:tc>
          <w:tcPr>
            <w:tcW w:w="2340" w:type="dxa"/>
          </w:tcPr>
          <w:p>
            <w:pPr>
              <w:pStyle w:val="17"/>
              <w:spacing w:line="240" w:lineRule="atLeast"/>
              <w:ind w:left="1080" w:leftChars="257" w:hanging="540"/>
              <w:rPr>
                <w:rFonts w:ascii="仿宋" w:hAnsi="仿宋" w:eastAsia="仿宋" w:cs="仿宋"/>
                <w:color w:val="auto"/>
                <w:sz w:val="24"/>
              </w:rPr>
            </w:pPr>
          </w:p>
        </w:tc>
        <w:tc>
          <w:tcPr>
            <w:tcW w:w="1260" w:type="dxa"/>
          </w:tcPr>
          <w:p>
            <w:pPr>
              <w:pStyle w:val="17"/>
              <w:spacing w:line="240" w:lineRule="atLeast"/>
              <w:ind w:left="1080" w:leftChars="257" w:hanging="540"/>
              <w:rPr>
                <w:rFonts w:ascii="仿宋" w:hAnsi="仿宋" w:eastAsia="仿宋" w:cs="仿宋"/>
                <w:color w:val="auto"/>
                <w:sz w:val="24"/>
              </w:rPr>
            </w:pPr>
          </w:p>
        </w:tc>
        <w:tc>
          <w:tcPr>
            <w:tcW w:w="1260" w:type="dxa"/>
          </w:tcPr>
          <w:p>
            <w:pPr>
              <w:pStyle w:val="17"/>
              <w:spacing w:line="240" w:lineRule="atLeast"/>
              <w:ind w:left="1080" w:leftChars="257" w:hanging="540"/>
              <w:rPr>
                <w:rFonts w:ascii="仿宋" w:hAnsi="仿宋" w:eastAsia="仿宋" w:cs="仿宋"/>
                <w:color w:val="auto"/>
                <w:sz w:val="24"/>
              </w:rPr>
            </w:pPr>
          </w:p>
        </w:tc>
        <w:tc>
          <w:tcPr>
            <w:tcW w:w="900" w:type="dxa"/>
          </w:tcPr>
          <w:p>
            <w:pPr>
              <w:pStyle w:val="17"/>
              <w:spacing w:line="240" w:lineRule="atLeast"/>
              <w:ind w:left="1080" w:leftChars="257" w:hanging="540"/>
              <w:rPr>
                <w:rFonts w:ascii="仿宋" w:hAnsi="仿宋" w:eastAsia="仿宋" w:cs="仿宋"/>
                <w:color w:val="auto"/>
                <w:sz w:val="24"/>
              </w:rPr>
            </w:pPr>
          </w:p>
        </w:tc>
        <w:tc>
          <w:tcPr>
            <w:tcW w:w="900" w:type="dxa"/>
          </w:tcPr>
          <w:p>
            <w:pPr>
              <w:pStyle w:val="17"/>
              <w:spacing w:line="240" w:lineRule="atLeast"/>
              <w:ind w:left="1080" w:leftChars="257" w:hanging="54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7"/>
              <w:spacing w:line="240" w:lineRule="atLeast"/>
              <w:ind w:left="1080" w:leftChars="257" w:hanging="540"/>
              <w:rPr>
                <w:rFonts w:ascii="仿宋" w:hAnsi="仿宋" w:eastAsia="仿宋" w:cs="仿宋"/>
                <w:color w:val="auto"/>
                <w:sz w:val="24"/>
              </w:rPr>
            </w:pPr>
          </w:p>
        </w:tc>
        <w:tc>
          <w:tcPr>
            <w:tcW w:w="1260" w:type="dxa"/>
          </w:tcPr>
          <w:p>
            <w:pPr>
              <w:pStyle w:val="17"/>
              <w:spacing w:line="240" w:lineRule="atLeast"/>
              <w:ind w:left="1080" w:leftChars="257" w:hanging="540"/>
              <w:rPr>
                <w:rFonts w:ascii="仿宋" w:hAnsi="仿宋" w:eastAsia="仿宋" w:cs="仿宋"/>
                <w:color w:val="auto"/>
                <w:sz w:val="24"/>
              </w:rPr>
            </w:pPr>
          </w:p>
        </w:tc>
        <w:tc>
          <w:tcPr>
            <w:tcW w:w="2340" w:type="dxa"/>
          </w:tcPr>
          <w:p>
            <w:pPr>
              <w:pStyle w:val="17"/>
              <w:spacing w:line="240" w:lineRule="atLeast"/>
              <w:ind w:left="1080" w:leftChars="257" w:hanging="540"/>
              <w:rPr>
                <w:rFonts w:ascii="仿宋" w:hAnsi="仿宋" w:eastAsia="仿宋" w:cs="仿宋"/>
                <w:color w:val="auto"/>
                <w:sz w:val="24"/>
              </w:rPr>
            </w:pPr>
          </w:p>
        </w:tc>
        <w:tc>
          <w:tcPr>
            <w:tcW w:w="1260" w:type="dxa"/>
          </w:tcPr>
          <w:p>
            <w:pPr>
              <w:pStyle w:val="17"/>
              <w:spacing w:line="240" w:lineRule="atLeast"/>
              <w:ind w:left="1080" w:leftChars="257" w:hanging="540"/>
              <w:rPr>
                <w:rFonts w:ascii="仿宋" w:hAnsi="仿宋" w:eastAsia="仿宋" w:cs="仿宋"/>
                <w:color w:val="auto"/>
                <w:sz w:val="24"/>
              </w:rPr>
            </w:pPr>
          </w:p>
        </w:tc>
        <w:tc>
          <w:tcPr>
            <w:tcW w:w="1260" w:type="dxa"/>
          </w:tcPr>
          <w:p>
            <w:pPr>
              <w:pStyle w:val="17"/>
              <w:spacing w:line="240" w:lineRule="atLeast"/>
              <w:ind w:left="1080" w:leftChars="257" w:hanging="540"/>
              <w:rPr>
                <w:rFonts w:ascii="仿宋" w:hAnsi="仿宋" w:eastAsia="仿宋" w:cs="仿宋"/>
                <w:color w:val="auto"/>
                <w:sz w:val="24"/>
              </w:rPr>
            </w:pPr>
          </w:p>
        </w:tc>
        <w:tc>
          <w:tcPr>
            <w:tcW w:w="900" w:type="dxa"/>
          </w:tcPr>
          <w:p>
            <w:pPr>
              <w:pStyle w:val="17"/>
              <w:spacing w:line="240" w:lineRule="atLeast"/>
              <w:ind w:left="1080" w:leftChars="257" w:hanging="540"/>
              <w:rPr>
                <w:rFonts w:ascii="仿宋" w:hAnsi="仿宋" w:eastAsia="仿宋" w:cs="仿宋"/>
                <w:color w:val="auto"/>
                <w:sz w:val="24"/>
              </w:rPr>
            </w:pPr>
          </w:p>
        </w:tc>
        <w:tc>
          <w:tcPr>
            <w:tcW w:w="900" w:type="dxa"/>
          </w:tcPr>
          <w:p>
            <w:pPr>
              <w:pStyle w:val="17"/>
              <w:spacing w:line="240" w:lineRule="atLeast"/>
              <w:ind w:left="1080" w:leftChars="257" w:hanging="54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7"/>
              <w:spacing w:line="240" w:lineRule="atLeast"/>
              <w:ind w:left="1080" w:leftChars="257" w:hanging="540"/>
              <w:rPr>
                <w:rFonts w:ascii="仿宋" w:hAnsi="仿宋" w:eastAsia="仿宋" w:cs="仿宋"/>
                <w:color w:val="auto"/>
                <w:sz w:val="24"/>
              </w:rPr>
            </w:pPr>
          </w:p>
        </w:tc>
        <w:tc>
          <w:tcPr>
            <w:tcW w:w="1260" w:type="dxa"/>
          </w:tcPr>
          <w:p>
            <w:pPr>
              <w:pStyle w:val="17"/>
              <w:spacing w:line="240" w:lineRule="atLeast"/>
              <w:ind w:left="1080" w:leftChars="257" w:hanging="540"/>
              <w:rPr>
                <w:rFonts w:ascii="仿宋" w:hAnsi="仿宋" w:eastAsia="仿宋" w:cs="仿宋"/>
                <w:color w:val="auto"/>
                <w:sz w:val="24"/>
              </w:rPr>
            </w:pPr>
          </w:p>
        </w:tc>
        <w:tc>
          <w:tcPr>
            <w:tcW w:w="2340" w:type="dxa"/>
          </w:tcPr>
          <w:p>
            <w:pPr>
              <w:pStyle w:val="17"/>
              <w:spacing w:line="240" w:lineRule="atLeast"/>
              <w:ind w:left="1080" w:leftChars="257" w:hanging="540"/>
              <w:rPr>
                <w:rFonts w:ascii="仿宋" w:hAnsi="仿宋" w:eastAsia="仿宋" w:cs="仿宋"/>
                <w:color w:val="auto"/>
                <w:sz w:val="24"/>
              </w:rPr>
            </w:pPr>
          </w:p>
        </w:tc>
        <w:tc>
          <w:tcPr>
            <w:tcW w:w="1260" w:type="dxa"/>
          </w:tcPr>
          <w:p>
            <w:pPr>
              <w:pStyle w:val="17"/>
              <w:spacing w:line="240" w:lineRule="atLeast"/>
              <w:ind w:left="1080" w:leftChars="257" w:hanging="540"/>
              <w:rPr>
                <w:rFonts w:ascii="仿宋" w:hAnsi="仿宋" w:eastAsia="仿宋" w:cs="仿宋"/>
                <w:color w:val="auto"/>
                <w:sz w:val="24"/>
              </w:rPr>
            </w:pPr>
          </w:p>
        </w:tc>
        <w:tc>
          <w:tcPr>
            <w:tcW w:w="1260" w:type="dxa"/>
          </w:tcPr>
          <w:p>
            <w:pPr>
              <w:pStyle w:val="17"/>
              <w:spacing w:line="240" w:lineRule="atLeast"/>
              <w:ind w:left="1080" w:leftChars="257" w:hanging="540"/>
              <w:rPr>
                <w:rFonts w:ascii="仿宋" w:hAnsi="仿宋" w:eastAsia="仿宋" w:cs="仿宋"/>
                <w:color w:val="auto"/>
                <w:sz w:val="24"/>
              </w:rPr>
            </w:pPr>
          </w:p>
        </w:tc>
        <w:tc>
          <w:tcPr>
            <w:tcW w:w="900" w:type="dxa"/>
          </w:tcPr>
          <w:p>
            <w:pPr>
              <w:pStyle w:val="17"/>
              <w:spacing w:line="240" w:lineRule="atLeast"/>
              <w:ind w:left="1080" w:leftChars="257" w:hanging="540"/>
              <w:rPr>
                <w:rFonts w:ascii="仿宋" w:hAnsi="仿宋" w:eastAsia="仿宋" w:cs="仿宋"/>
                <w:color w:val="auto"/>
                <w:sz w:val="24"/>
              </w:rPr>
            </w:pPr>
          </w:p>
        </w:tc>
        <w:tc>
          <w:tcPr>
            <w:tcW w:w="900" w:type="dxa"/>
          </w:tcPr>
          <w:p>
            <w:pPr>
              <w:pStyle w:val="17"/>
              <w:spacing w:line="240" w:lineRule="atLeast"/>
              <w:ind w:left="1080" w:leftChars="257" w:hanging="54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7"/>
              <w:spacing w:line="240" w:lineRule="atLeast"/>
              <w:ind w:left="1080" w:leftChars="257" w:hanging="540"/>
              <w:rPr>
                <w:rFonts w:ascii="仿宋" w:hAnsi="仿宋" w:eastAsia="仿宋" w:cs="仿宋"/>
                <w:color w:val="auto"/>
                <w:sz w:val="24"/>
              </w:rPr>
            </w:pPr>
          </w:p>
        </w:tc>
        <w:tc>
          <w:tcPr>
            <w:tcW w:w="1260" w:type="dxa"/>
          </w:tcPr>
          <w:p>
            <w:pPr>
              <w:pStyle w:val="17"/>
              <w:spacing w:line="240" w:lineRule="atLeast"/>
              <w:ind w:left="1080" w:leftChars="257" w:hanging="540"/>
              <w:rPr>
                <w:rFonts w:ascii="仿宋" w:hAnsi="仿宋" w:eastAsia="仿宋" w:cs="仿宋"/>
                <w:color w:val="auto"/>
                <w:sz w:val="24"/>
              </w:rPr>
            </w:pPr>
          </w:p>
        </w:tc>
        <w:tc>
          <w:tcPr>
            <w:tcW w:w="2340" w:type="dxa"/>
          </w:tcPr>
          <w:p>
            <w:pPr>
              <w:pStyle w:val="17"/>
              <w:spacing w:line="240" w:lineRule="atLeast"/>
              <w:ind w:left="1080" w:leftChars="257" w:hanging="540"/>
              <w:rPr>
                <w:rFonts w:ascii="仿宋" w:hAnsi="仿宋" w:eastAsia="仿宋" w:cs="仿宋"/>
                <w:color w:val="auto"/>
                <w:sz w:val="24"/>
              </w:rPr>
            </w:pPr>
          </w:p>
        </w:tc>
        <w:tc>
          <w:tcPr>
            <w:tcW w:w="1260" w:type="dxa"/>
          </w:tcPr>
          <w:p>
            <w:pPr>
              <w:pStyle w:val="17"/>
              <w:spacing w:line="240" w:lineRule="atLeast"/>
              <w:ind w:left="1080" w:leftChars="257" w:hanging="540"/>
              <w:rPr>
                <w:rFonts w:ascii="仿宋" w:hAnsi="仿宋" w:eastAsia="仿宋" w:cs="仿宋"/>
                <w:color w:val="auto"/>
                <w:sz w:val="24"/>
              </w:rPr>
            </w:pPr>
          </w:p>
        </w:tc>
        <w:tc>
          <w:tcPr>
            <w:tcW w:w="1260" w:type="dxa"/>
          </w:tcPr>
          <w:p>
            <w:pPr>
              <w:pStyle w:val="17"/>
              <w:spacing w:line="240" w:lineRule="atLeast"/>
              <w:ind w:left="1080" w:leftChars="257" w:hanging="540"/>
              <w:rPr>
                <w:rFonts w:ascii="仿宋" w:hAnsi="仿宋" w:eastAsia="仿宋" w:cs="仿宋"/>
                <w:color w:val="auto"/>
                <w:sz w:val="24"/>
              </w:rPr>
            </w:pPr>
          </w:p>
        </w:tc>
        <w:tc>
          <w:tcPr>
            <w:tcW w:w="900" w:type="dxa"/>
          </w:tcPr>
          <w:p>
            <w:pPr>
              <w:pStyle w:val="17"/>
              <w:spacing w:line="240" w:lineRule="atLeast"/>
              <w:ind w:left="1080" w:leftChars="257" w:hanging="540"/>
              <w:rPr>
                <w:rFonts w:ascii="仿宋" w:hAnsi="仿宋" w:eastAsia="仿宋" w:cs="仿宋"/>
                <w:color w:val="auto"/>
                <w:sz w:val="24"/>
              </w:rPr>
            </w:pPr>
          </w:p>
        </w:tc>
        <w:tc>
          <w:tcPr>
            <w:tcW w:w="900" w:type="dxa"/>
          </w:tcPr>
          <w:p>
            <w:pPr>
              <w:pStyle w:val="17"/>
              <w:spacing w:line="240" w:lineRule="atLeast"/>
              <w:ind w:left="1080" w:leftChars="257" w:hanging="54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7"/>
              <w:spacing w:line="240" w:lineRule="atLeast"/>
              <w:ind w:left="1080" w:leftChars="257" w:hanging="540"/>
              <w:rPr>
                <w:rFonts w:ascii="仿宋" w:hAnsi="仿宋" w:eastAsia="仿宋" w:cs="仿宋"/>
                <w:color w:val="auto"/>
                <w:sz w:val="24"/>
              </w:rPr>
            </w:pPr>
          </w:p>
        </w:tc>
        <w:tc>
          <w:tcPr>
            <w:tcW w:w="1260" w:type="dxa"/>
          </w:tcPr>
          <w:p>
            <w:pPr>
              <w:pStyle w:val="17"/>
              <w:spacing w:line="240" w:lineRule="atLeast"/>
              <w:ind w:left="1080" w:leftChars="257" w:hanging="540"/>
              <w:rPr>
                <w:rFonts w:ascii="仿宋" w:hAnsi="仿宋" w:eastAsia="仿宋" w:cs="仿宋"/>
                <w:color w:val="auto"/>
                <w:sz w:val="24"/>
              </w:rPr>
            </w:pPr>
          </w:p>
        </w:tc>
        <w:tc>
          <w:tcPr>
            <w:tcW w:w="2340" w:type="dxa"/>
          </w:tcPr>
          <w:p>
            <w:pPr>
              <w:pStyle w:val="17"/>
              <w:spacing w:line="240" w:lineRule="atLeast"/>
              <w:ind w:left="1080" w:leftChars="257" w:hanging="540"/>
              <w:rPr>
                <w:rFonts w:ascii="仿宋" w:hAnsi="仿宋" w:eastAsia="仿宋" w:cs="仿宋"/>
                <w:color w:val="auto"/>
                <w:sz w:val="24"/>
              </w:rPr>
            </w:pPr>
          </w:p>
        </w:tc>
        <w:tc>
          <w:tcPr>
            <w:tcW w:w="1260" w:type="dxa"/>
          </w:tcPr>
          <w:p>
            <w:pPr>
              <w:pStyle w:val="17"/>
              <w:spacing w:line="240" w:lineRule="atLeast"/>
              <w:ind w:left="1080" w:leftChars="257" w:hanging="540"/>
              <w:rPr>
                <w:rFonts w:ascii="仿宋" w:hAnsi="仿宋" w:eastAsia="仿宋" w:cs="仿宋"/>
                <w:color w:val="auto"/>
                <w:sz w:val="24"/>
              </w:rPr>
            </w:pPr>
          </w:p>
        </w:tc>
        <w:tc>
          <w:tcPr>
            <w:tcW w:w="1260" w:type="dxa"/>
          </w:tcPr>
          <w:p>
            <w:pPr>
              <w:pStyle w:val="17"/>
              <w:spacing w:line="240" w:lineRule="atLeast"/>
              <w:ind w:left="1080" w:leftChars="257" w:hanging="540"/>
              <w:rPr>
                <w:rFonts w:ascii="仿宋" w:hAnsi="仿宋" w:eastAsia="仿宋" w:cs="仿宋"/>
                <w:color w:val="auto"/>
                <w:sz w:val="24"/>
              </w:rPr>
            </w:pPr>
          </w:p>
        </w:tc>
        <w:tc>
          <w:tcPr>
            <w:tcW w:w="900" w:type="dxa"/>
          </w:tcPr>
          <w:p>
            <w:pPr>
              <w:pStyle w:val="17"/>
              <w:spacing w:line="240" w:lineRule="atLeast"/>
              <w:ind w:left="1080" w:leftChars="257" w:hanging="540"/>
              <w:rPr>
                <w:rFonts w:ascii="仿宋" w:hAnsi="仿宋" w:eastAsia="仿宋" w:cs="仿宋"/>
                <w:color w:val="auto"/>
                <w:sz w:val="24"/>
              </w:rPr>
            </w:pPr>
          </w:p>
        </w:tc>
        <w:tc>
          <w:tcPr>
            <w:tcW w:w="900" w:type="dxa"/>
          </w:tcPr>
          <w:p>
            <w:pPr>
              <w:pStyle w:val="17"/>
              <w:spacing w:line="240" w:lineRule="atLeast"/>
              <w:ind w:left="1080" w:leftChars="257" w:hanging="54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pStyle w:val="17"/>
              <w:spacing w:line="240" w:lineRule="atLeast"/>
              <w:ind w:left="1080" w:leftChars="257" w:hanging="540"/>
              <w:rPr>
                <w:rFonts w:ascii="仿宋" w:hAnsi="仿宋" w:eastAsia="仿宋" w:cs="仿宋"/>
                <w:color w:val="auto"/>
                <w:sz w:val="24"/>
              </w:rPr>
            </w:pPr>
          </w:p>
        </w:tc>
        <w:tc>
          <w:tcPr>
            <w:tcW w:w="1260" w:type="dxa"/>
          </w:tcPr>
          <w:p>
            <w:pPr>
              <w:pStyle w:val="17"/>
              <w:spacing w:line="240" w:lineRule="atLeast"/>
              <w:ind w:left="1080" w:leftChars="257" w:hanging="540"/>
              <w:rPr>
                <w:rFonts w:ascii="仿宋" w:hAnsi="仿宋" w:eastAsia="仿宋" w:cs="仿宋"/>
                <w:color w:val="auto"/>
                <w:sz w:val="24"/>
              </w:rPr>
            </w:pPr>
          </w:p>
        </w:tc>
        <w:tc>
          <w:tcPr>
            <w:tcW w:w="2340" w:type="dxa"/>
          </w:tcPr>
          <w:p>
            <w:pPr>
              <w:pStyle w:val="17"/>
              <w:spacing w:line="240" w:lineRule="atLeast"/>
              <w:ind w:left="1080" w:leftChars="257" w:hanging="540"/>
              <w:rPr>
                <w:rFonts w:ascii="仿宋" w:hAnsi="仿宋" w:eastAsia="仿宋" w:cs="仿宋"/>
                <w:color w:val="auto"/>
                <w:sz w:val="24"/>
              </w:rPr>
            </w:pPr>
          </w:p>
        </w:tc>
        <w:tc>
          <w:tcPr>
            <w:tcW w:w="1260" w:type="dxa"/>
          </w:tcPr>
          <w:p>
            <w:pPr>
              <w:pStyle w:val="17"/>
              <w:spacing w:line="240" w:lineRule="atLeast"/>
              <w:ind w:left="1080" w:leftChars="257" w:hanging="540"/>
              <w:rPr>
                <w:rFonts w:ascii="仿宋" w:hAnsi="仿宋" w:eastAsia="仿宋" w:cs="仿宋"/>
                <w:color w:val="auto"/>
                <w:sz w:val="24"/>
              </w:rPr>
            </w:pPr>
          </w:p>
        </w:tc>
        <w:tc>
          <w:tcPr>
            <w:tcW w:w="1260" w:type="dxa"/>
          </w:tcPr>
          <w:p>
            <w:pPr>
              <w:pStyle w:val="17"/>
              <w:spacing w:line="240" w:lineRule="atLeast"/>
              <w:ind w:left="1080" w:leftChars="257" w:hanging="540"/>
              <w:rPr>
                <w:rFonts w:ascii="仿宋" w:hAnsi="仿宋" w:eastAsia="仿宋" w:cs="仿宋"/>
                <w:color w:val="auto"/>
                <w:sz w:val="24"/>
              </w:rPr>
            </w:pPr>
          </w:p>
        </w:tc>
        <w:tc>
          <w:tcPr>
            <w:tcW w:w="900" w:type="dxa"/>
          </w:tcPr>
          <w:p>
            <w:pPr>
              <w:pStyle w:val="17"/>
              <w:spacing w:line="240" w:lineRule="atLeast"/>
              <w:ind w:left="1080" w:leftChars="257" w:hanging="540"/>
              <w:rPr>
                <w:rFonts w:ascii="仿宋" w:hAnsi="仿宋" w:eastAsia="仿宋" w:cs="仿宋"/>
                <w:color w:val="auto"/>
                <w:sz w:val="24"/>
              </w:rPr>
            </w:pPr>
          </w:p>
        </w:tc>
        <w:tc>
          <w:tcPr>
            <w:tcW w:w="900" w:type="dxa"/>
          </w:tcPr>
          <w:p>
            <w:pPr>
              <w:pStyle w:val="17"/>
              <w:spacing w:line="240" w:lineRule="atLeast"/>
              <w:ind w:left="1080" w:leftChars="257" w:hanging="54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7"/>
              <w:spacing w:line="240" w:lineRule="atLeast"/>
              <w:ind w:left="1080" w:leftChars="257" w:hanging="540"/>
              <w:rPr>
                <w:rFonts w:ascii="仿宋" w:hAnsi="仿宋" w:eastAsia="仿宋" w:cs="仿宋"/>
                <w:color w:val="auto"/>
                <w:sz w:val="24"/>
              </w:rPr>
            </w:pPr>
          </w:p>
        </w:tc>
        <w:tc>
          <w:tcPr>
            <w:tcW w:w="1260" w:type="dxa"/>
          </w:tcPr>
          <w:p>
            <w:pPr>
              <w:pStyle w:val="17"/>
              <w:spacing w:line="240" w:lineRule="atLeast"/>
              <w:ind w:left="1080" w:leftChars="257" w:hanging="540"/>
              <w:rPr>
                <w:rFonts w:ascii="仿宋" w:hAnsi="仿宋" w:eastAsia="仿宋" w:cs="仿宋"/>
                <w:color w:val="auto"/>
                <w:sz w:val="24"/>
              </w:rPr>
            </w:pPr>
          </w:p>
        </w:tc>
        <w:tc>
          <w:tcPr>
            <w:tcW w:w="2340" w:type="dxa"/>
          </w:tcPr>
          <w:p>
            <w:pPr>
              <w:pStyle w:val="17"/>
              <w:spacing w:line="240" w:lineRule="atLeast"/>
              <w:ind w:left="1080" w:leftChars="257" w:hanging="540"/>
              <w:rPr>
                <w:rFonts w:ascii="仿宋" w:hAnsi="仿宋" w:eastAsia="仿宋" w:cs="仿宋"/>
                <w:color w:val="auto"/>
                <w:sz w:val="24"/>
              </w:rPr>
            </w:pPr>
          </w:p>
        </w:tc>
        <w:tc>
          <w:tcPr>
            <w:tcW w:w="1260" w:type="dxa"/>
          </w:tcPr>
          <w:p>
            <w:pPr>
              <w:pStyle w:val="17"/>
              <w:spacing w:line="240" w:lineRule="atLeast"/>
              <w:ind w:left="1080" w:leftChars="257" w:hanging="540"/>
              <w:rPr>
                <w:rFonts w:ascii="仿宋" w:hAnsi="仿宋" w:eastAsia="仿宋" w:cs="仿宋"/>
                <w:color w:val="auto"/>
                <w:sz w:val="24"/>
              </w:rPr>
            </w:pPr>
          </w:p>
        </w:tc>
        <w:tc>
          <w:tcPr>
            <w:tcW w:w="1260" w:type="dxa"/>
          </w:tcPr>
          <w:p>
            <w:pPr>
              <w:pStyle w:val="17"/>
              <w:spacing w:line="240" w:lineRule="atLeast"/>
              <w:ind w:left="1080" w:leftChars="257" w:hanging="540"/>
              <w:rPr>
                <w:rFonts w:ascii="仿宋" w:hAnsi="仿宋" w:eastAsia="仿宋" w:cs="仿宋"/>
                <w:color w:val="auto"/>
                <w:sz w:val="24"/>
              </w:rPr>
            </w:pPr>
          </w:p>
        </w:tc>
        <w:tc>
          <w:tcPr>
            <w:tcW w:w="900" w:type="dxa"/>
          </w:tcPr>
          <w:p>
            <w:pPr>
              <w:pStyle w:val="17"/>
              <w:spacing w:line="240" w:lineRule="atLeast"/>
              <w:ind w:left="1080" w:leftChars="257" w:hanging="540"/>
              <w:rPr>
                <w:rFonts w:ascii="仿宋" w:hAnsi="仿宋" w:eastAsia="仿宋" w:cs="仿宋"/>
                <w:color w:val="auto"/>
                <w:sz w:val="24"/>
              </w:rPr>
            </w:pPr>
          </w:p>
        </w:tc>
        <w:tc>
          <w:tcPr>
            <w:tcW w:w="900" w:type="dxa"/>
          </w:tcPr>
          <w:p>
            <w:pPr>
              <w:pStyle w:val="17"/>
              <w:spacing w:line="240" w:lineRule="atLeast"/>
              <w:ind w:left="1080" w:leftChars="257" w:hanging="54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pStyle w:val="17"/>
              <w:spacing w:line="240" w:lineRule="atLeast"/>
              <w:ind w:left="1080" w:leftChars="257" w:hanging="540"/>
              <w:rPr>
                <w:rFonts w:ascii="仿宋" w:hAnsi="仿宋" w:eastAsia="仿宋" w:cs="仿宋"/>
                <w:color w:val="auto"/>
                <w:sz w:val="24"/>
              </w:rPr>
            </w:pPr>
          </w:p>
        </w:tc>
        <w:tc>
          <w:tcPr>
            <w:tcW w:w="1260" w:type="dxa"/>
          </w:tcPr>
          <w:p>
            <w:pPr>
              <w:pStyle w:val="17"/>
              <w:spacing w:line="240" w:lineRule="atLeast"/>
              <w:ind w:left="1080" w:leftChars="257" w:hanging="540"/>
              <w:rPr>
                <w:rFonts w:ascii="仿宋" w:hAnsi="仿宋" w:eastAsia="仿宋" w:cs="仿宋"/>
                <w:color w:val="auto"/>
                <w:sz w:val="24"/>
              </w:rPr>
            </w:pPr>
          </w:p>
        </w:tc>
        <w:tc>
          <w:tcPr>
            <w:tcW w:w="2340" w:type="dxa"/>
          </w:tcPr>
          <w:p>
            <w:pPr>
              <w:pStyle w:val="17"/>
              <w:spacing w:line="240" w:lineRule="atLeast"/>
              <w:ind w:left="1080" w:leftChars="257" w:hanging="540"/>
              <w:rPr>
                <w:rFonts w:ascii="仿宋" w:hAnsi="仿宋" w:eastAsia="仿宋" w:cs="仿宋"/>
                <w:color w:val="auto"/>
                <w:sz w:val="24"/>
              </w:rPr>
            </w:pPr>
          </w:p>
        </w:tc>
        <w:tc>
          <w:tcPr>
            <w:tcW w:w="1260" w:type="dxa"/>
          </w:tcPr>
          <w:p>
            <w:pPr>
              <w:pStyle w:val="17"/>
              <w:spacing w:line="240" w:lineRule="atLeast"/>
              <w:ind w:left="1080" w:leftChars="257" w:hanging="540"/>
              <w:rPr>
                <w:rFonts w:ascii="仿宋" w:hAnsi="仿宋" w:eastAsia="仿宋" w:cs="仿宋"/>
                <w:color w:val="auto"/>
                <w:sz w:val="24"/>
              </w:rPr>
            </w:pPr>
          </w:p>
        </w:tc>
        <w:tc>
          <w:tcPr>
            <w:tcW w:w="1260" w:type="dxa"/>
          </w:tcPr>
          <w:p>
            <w:pPr>
              <w:pStyle w:val="17"/>
              <w:spacing w:line="240" w:lineRule="atLeast"/>
              <w:ind w:left="1080" w:leftChars="257" w:hanging="540"/>
              <w:rPr>
                <w:rFonts w:ascii="仿宋" w:hAnsi="仿宋" w:eastAsia="仿宋" w:cs="仿宋"/>
                <w:color w:val="auto"/>
                <w:sz w:val="24"/>
              </w:rPr>
            </w:pPr>
          </w:p>
        </w:tc>
        <w:tc>
          <w:tcPr>
            <w:tcW w:w="900" w:type="dxa"/>
          </w:tcPr>
          <w:p>
            <w:pPr>
              <w:pStyle w:val="17"/>
              <w:spacing w:line="240" w:lineRule="atLeast"/>
              <w:ind w:left="1080" w:leftChars="257" w:hanging="540"/>
              <w:rPr>
                <w:rFonts w:ascii="仿宋" w:hAnsi="仿宋" w:eastAsia="仿宋" w:cs="仿宋"/>
                <w:color w:val="auto"/>
                <w:sz w:val="24"/>
              </w:rPr>
            </w:pPr>
          </w:p>
        </w:tc>
        <w:tc>
          <w:tcPr>
            <w:tcW w:w="900" w:type="dxa"/>
          </w:tcPr>
          <w:p>
            <w:pPr>
              <w:pStyle w:val="17"/>
              <w:spacing w:line="240" w:lineRule="atLeast"/>
              <w:ind w:left="1080" w:leftChars="257" w:hanging="54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7"/>
              <w:spacing w:line="240" w:lineRule="atLeast"/>
              <w:ind w:left="1080" w:leftChars="257" w:hanging="540"/>
              <w:rPr>
                <w:rFonts w:ascii="仿宋" w:hAnsi="仿宋" w:eastAsia="仿宋" w:cs="仿宋"/>
                <w:color w:val="auto"/>
                <w:sz w:val="24"/>
              </w:rPr>
            </w:pPr>
          </w:p>
        </w:tc>
        <w:tc>
          <w:tcPr>
            <w:tcW w:w="1260" w:type="dxa"/>
          </w:tcPr>
          <w:p>
            <w:pPr>
              <w:pStyle w:val="17"/>
              <w:spacing w:line="240" w:lineRule="atLeast"/>
              <w:ind w:left="1080" w:leftChars="257" w:hanging="540"/>
              <w:rPr>
                <w:rFonts w:ascii="仿宋" w:hAnsi="仿宋" w:eastAsia="仿宋" w:cs="仿宋"/>
                <w:color w:val="auto"/>
                <w:sz w:val="24"/>
              </w:rPr>
            </w:pPr>
          </w:p>
        </w:tc>
        <w:tc>
          <w:tcPr>
            <w:tcW w:w="2340" w:type="dxa"/>
          </w:tcPr>
          <w:p>
            <w:pPr>
              <w:pStyle w:val="17"/>
              <w:spacing w:line="240" w:lineRule="atLeast"/>
              <w:ind w:left="1080" w:leftChars="257" w:hanging="540"/>
              <w:rPr>
                <w:rFonts w:ascii="仿宋" w:hAnsi="仿宋" w:eastAsia="仿宋" w:cs="仿宋"/>
                <w:color w:val="auto"/>
                <w:sz w:val="24"/>
              </w:rPr>
            </w:pPr>
          </w:p>
        </w:tc>
        <w:tc>
          <w:tcPr>
            <w:tcW w:w="1260" w:type="dxa"/>
          </w:tcPr>
          <w:p>
            <w:pPr>
              <w:pStyle w:val="17"/>
              <w:spacing w:line="240" w:lineRule="atLeast"/>
              <w:ind w:left="1080" w:leftChars="257" w:hanging="540"/>
              <w:rPr>
                <w:rFonts w:ascii="仿宋" w:hAnsi="仿宋" w:eastAsia="仿宋" w:cs="仿宋"/>
                <w:color w:val="auto"/>
                <w:sz w:val="24"/>
              </w:rPr>
            </w:pPr>
          </w:p>
        </w:tc>
        <w:tc>
          <w:tcPr>
            <w:tcW w:w="1260" w:type="dxa"/>
          </w:tcPr>
          <w:p>
            <w:pPr>
              <w:pStyle w:val="17"/>
              <w:spacing w:line="240" w:lineRule="atLeast"/>
              <w:ind w:left="1080" w:leftChars="257" w:hanging="540"/>
              <w:rPr>
                <w:rFonts w:ascii="仿宋" w:hAnsi="仿宋" w:eastAsia="仿宋" w:cs="仿宋"/>
                <w:color w:val="auto"/>
                <w:sz w:val="24"/>
              </w:rPr>
            </w:pPr>
          </w:p>
        </w:tc>
        <w:tc>
          <w:tcPr>
            <w:tcW w:w="900" w:type="dxa"/>
          </w:tcPr>
          <w:p>
            <w:pPr>
              <w:pStyle w:val="17"/>
              <w:spacing w:line="240" w:lineRule="atLeast"/>
              <w:ind w:left="1080" w:leftChars="257" w:hanging="540"/>
              <w:rPr>
                <w:rFonts w:ascii="仿宋" w:hAnsi="仿宋" w:eastAsia="仿宋" w:cs="仿宋"/>
                <w:color w:val="auto"/>
                <w:sz w:val="24"/>
              </w:rPr>
            </w:pPr>
          </w:p>
        </w:tc>
        <w:tc>
          <w:tcPr>
            <w:tcW w:w="900" w:type="dxa"/>
          </w:tcPr>
          <w:p>
            <w:pPr>
              <w:pStyle w:val="17"/>
              <w:spacing w:line="240" w:lineRule="atLeast"/>
              <w:ind w:left="1080" w:leftChars="257" w:hanging="54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pStyle w:val="17"/>
              <w:spacing w:line="240" w:lineRule="atLeast"/>
              <w:ind w:left="1080" w:leftChars="257" w:hanging="540"/>
              <w:rPr>
                <w:rFonts w:ascii="仿宋" w:hAnsi="仿宋" w:eastAsia="仿宋" w:cs="仿宋"/>
                <w:color w:val="auto"/>
                <w:sz w:val="24"/>
              </w:rPr>
            </w:pPr>
          </w:p>
        </w:tc>
        <w:tc>
          <w:tcPr>
            <w:tcW w:w="1260" w:type="dxa"/>
          </w:tcPr>
          <w:p>
            <w:pPr>
              <w:pStyle w:val="17"/>
              <w:spacing w:line="240" w:lineRule="atLeast"/>
              <w:ind w:left="1080" w:leftChars="257" w:hanging="540"/>
              <w:rPr>
                <w:rFonts w:ascii="仿宋" w:hAnsi="仿宋" w:eastAsia="仿宋" w:cs="仿宋"/>
                <w:color w:val="auto"/>
                <w:sz w:val="24"/>
              </w:rPr>
            </w:pPr>
          </w:p>
        </w:tc>
        <w:tc>
          <w:tcPr>
            <w:tcW w:w="2340" w:type="dxa"/>
          </w:tcPr>
          <w:p>
            <w:pPr>
              <w:pStyle w:val="17"/>
              <w:spacing w:line="240" w:lineRule="atLeast"/>
              <w:ind w:left="1080" w:leftChars="257" w:hanging="540"/>
              <w:rPr>
                <w:rFonts w:ascii="仿宋" w:hAnsi="仿宋" w:eastAsia="仿宋" w:cs="仿宋"/>
                <w:color w:val="auto"/>
                <w:sz w:val="24"/>
              </w:rPr>
            </w:pPr>
          </w:p>
        </w:tc>
        <w:tc>
          <w:tcPr>
            <w:tcW w:w="1260" w:type="dxa"/>
          </w:tcPr>
          <w:p>
            <w:pPr>
              <w:pStyle w:val="17"/>
              <w:spacing w:line="240" w:lineRule="atLeast"/>
              <w:ind w:left="1080" w:leftChars="257" w:hanging="540"/>
              <w:rPr>
                <w:rFonts w:ascii="仿宋" w:hAnsi="仿宋" w:eastAsia="仿宋" w:cs="仿宋"/>
                <w:color w:val="auto"/>
                <w:sz w:val="24"/>
              </w:rPr>
            </w:pPr>
          </w:p>
        </w:tc>
        <w:tc>
          <w:tcPr>
            <w:tcW w:w="1260" w:type="dxa"/>
          </w:tcPr>
          <w:p>
            <w:pPr>
              <w:pStyle w:val="17"/>
              <w:spacing w:line="240" w:lineRule="atLeast"/>
              <w:ind w:left="1080" w:leftChars="257" w:hanging="540"/>
              <w:rPr>
                <w:rFonts w:ascii="仿宋" w:hAnsi="仿宋" w:eastAsia="仿宋" w:cs="仿宋"/>
                <w:color w:val="auto"/>
                <w:sz w:val="24"/>
              </w:rPr>
            </w:pPr>
          </w:p>
        </w:tc>
        <w:tc>
          <w:tcPr>
            <w:tcW w:w="900" w:type="dxa"/>
          </w:tcPr>
          <w:p>
            <w:pPr>
              <w:pStyle w:val="17"/>
              <w:spacing w:line="240" w:lineRule="atLeast"/>
              <w:ind w:left="1080" w:leftChars="257" w:hanging="540"/>
              <w:rPr>
                <w:rFonts w:ascii="仿宋" w:hAnsi="仿宋" w:eastAsia="仿宋" w:cs="仿宋"/>
                <w:color w:val="auto"/>
                <w:sz w:val="24"/>
              </w:rPr>
            </w:pPr>
          </w:p>
        </w:tc>
        <w:tc>
          <w:tcPr>
            <w:tcW w:w="900" w:type="dxa"/>
          </w:tcPr>
          <w:p>
            <w:pPr>
              <w:pStyle w:val="17"/>
              <w:spacing w:line="240" w:lineRule="atLeast"/>
              <w:ind w:left="1080" w:leftChars="257" w:hanging="54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7"/>
              <w:spacing w:line="240" w:lineRule="atLeast"/>
              <w:ind w:left="1080" w:leftChars="257" w:hanging="540"/>
              <w:rPr>
                <w:rFonts w:ascii="仿宋" w:hAnsi="仿宋" w:eastAsia="仿宋" w:cs="仿宋"/>
                <w:color w:val="auto"/>
                <w:sz w:val="24"/>
              </w:rPr>
            </w:pPr>
          </w:p>
        </w:tc>
        <w:tc>
          <w:tcPr>
            <w:tcW w:w="1260" w:type="dxa"/>
          </w:tcPr>
          <w:p>
            <w:pPr>
              <w:pStyle w:val="17"/>
              <w:spacing w:line="240" w:lineRule="atLeast"/>
              <w:ind w:left="1080" w:leftChars="257" w:hanging="540"/>
              <w:rPr>
                <w:rFonts w:ascii="仿宋" w:hAnsi="仿宋" w:eastAsia="仿宋" w:cs="仿宋"/>
                <w:color w:val="auto"/>
                <w:sz w:val="24"/>
              </w:rPr>
            </w:pPr>
          </w:p>
        </w:tc>
        <w:tc>
          <w:tcPr>
            <w:tcW w:w="2340" w:type="dxa"/>
          </w:tcPr>
          <w:p>
            <w:pPr>
              <w:pStyle w:val="17"/>
              <w:spacing w:line="240" w:lineRule="atLeast"/>
              <w:ind w:left="1080" w:leftChars="257" w:hanging="540"/>
              <w:rPr>
                <w:rFonts w:ascii="仿宋" w:hAnsi="仿宋" w:eastAsia="仿宋" w:cs="仿宋"/>
                <w:color w:val="auto"/>
                <w:sz w:val="24"/>
              </w:rPr>
            </w:pPr>
          </w:p>
        </w:tc>
        <w:tc>
          <w:tcPr>
            <w:tcW w:w="1260" w:type="dxa"/>
          </w:tcPr>
          <w:p>
            <w:pPr>
              <w:pStyle w:val="17"/>
              <w:spacing w:line="240" w:lineRule="atLeast"/>
              <w:ind w:left="1080" w:leftChars="257" w:hanging="540"/>
              <w:rPr>
                <w:rFonts w:ascii="仿宋" w:hAnsi="仿宋" w:eastAsia="仿宋" w:cs="仿宋"/>
                <w:color w:val="auto"/>
                <w:sz w:val="24"/>
              </w:rPr>
            </w:pPr>
          </w:p>
        </w:tc>
        <w:tc>
          <w:tcPr>
            <w:tcW w:w="1260" w:type="dxa"/>
          </w:tcPr>
          <w:p>
            <w:pPr>
              <w:pStyle w:val="17"/>
              <w:spacing w:line="240" w:lineRule="atLeast"/>
              <w:ind w:left="1080" w:leftChars="257" w:hanging="540"/>
              <w:rPr>
                <w:rFonts w:ascii="仿宋" w:hAnsi="仿宋" w:eastAsia="仿宋" w:cs="仿宋"/>
                <w:color w:val="auto"/>
                <w:sz w:val="24"/>
              </w:rPr>
            </w:pPr>
          </w:p>
        </w:tc>
        <w:tc>
          <w:tcPr>
            <w:tcW w:w="900" w:type="dxa"/>
          </w:tcPr>
          <w:p>
            <w:pPr>
              <w:pStyle w:val="17"/>
              <w:spacing w:line="240" w:lineRule="atLeast"/>
              <w:ind w:left="1080" w:leftChars="257" w:hanging="540"/>
              <w:rPr>
                <w:rFonts w:ascii="仿宋" w:hAnsi="仿宋" w:eastAsia="仿宋" w:cs="仿宋"/>
                <w:color w:val="auto"/>
                <w:sz w:val="24"/>
              </w:rPr>
            </w:pPr>
          </w:p>
        </w:tc>
        <w:tc>
          <w:tcPr>
            <w:tcW w:w="900" w:type="dxa"/>
          </w:tcPr>
          <w:p>
            <w:pPr>
              <w:pStyle w:val="17"/>
              <w:spacing w:line="240" w:lineRule="atLeast"/>
              <w:ind w:left="1080" w:leftChars="257" w:hanging="54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pStyle w:val="17"/>
              <w:spacing w:line="240" w:lineRule="atLeast"/>
              <w:ind w:left="1080" w:leftChars="257" w:hanging="540"/>
              <w:rPr>
                <w:rFonts w:ascii="仿宋" w:hAnsi="仿宋" w:eastAsia="仿宋" w:cs="仿宋"/>
                <w:color w:val="auto"/>
                <w:sz w:val="24"/>
              </w:rPr>
            </w:pPr>
          </w:p>
        </w:tc>
        <w:tc>
          <w:tcPr>
            <w:tcW w:w="1260" w:type="dxa"/>
          </w:tcPr>
          <w:p>
            <w:pPr>
              <w:pStyle w:val="17"/>
              <w:spacing w:line="240" w:lineRule="atLeast"/>
              <w:ind w:left="1080" w:leftChars="257" w:hanging="540"/>
              <w:rPr>
                <w:rFonts w:ascii="仿宋" w:hAnsi="仿宋" w:eastAsia="仿宋" w:cs="仿宋"/>
                <w:color w:val="auto"/>
                <w:sz w:val="24"/>
              </w:rPr>
            </w:pPr>
          </w:p>
        </w:tc>
        <w:tc>
          <w:tcPr>
            <w:tcW w:w="2340" w:type="dxa"/>
          </w:tcPr>
          <w:p>
            <w:pPr>
              <w:pStyle w:val="17"/>
              <w:spacing w:line="240" w:lineRule="atLeast"/>
              <w:ind w:left="1080" w:leftChars="257" w:hanging="540"/>
              <w:rPr>
                <w:rFonts w:ascii="仿宋" w:hAnsi="仿宋" w:eastAsia="仿宋" w:cs="仿宋"/>
                <w:color w:val="auto"/>
                <w:sz w:val="24"/>
              </w:rPr>
            </w:pPr>
          </w:p>
        </w:tc>
        <w:tc>
          <w:tcPr>
            <w:tcW w:w="1260" w:type="dxa"/>
          </w:tcPr>
          <w:p>
            <w:pPr>
              <w:pStyle w:val="17"/>
              <w:spacing w:line="240" w:lineRule="atLeast"/>
              <w:ind w:left="1080" w:leftChars="257" w:hanging="540"/>
              <w:rPr>
                <w:rFonts w:ascii="仿宋" w:hAnsi="仿宋" w:eastAsia="仿宋" w:cs="仿宋"/>
                <w:color w:val="auto"/>
                <w:sz w:val="24"/>
              </w:rPr>
            </w:pPr>
          </w:p>
        </w:tc>
        <w:tc>
          <w:tcPr>
            <w:tcW w:w="1260" w:type="dxa"/>
          </w:tcPr>
          <w:p>
            <w:pPr>
              <w:pStyle w:val="17"/>
              <w:spacing w:line="240" w:lineRule="atLeast"/>
              <w:ind w:left="1080" w:leftChars="257" w:hanging="540"/>
              <w:rPr>
                <w:rFonts w:ascii="仿宋" w:hAnsi="仿宋" w:eastAsia="仿宋" w:cs="仿宋"/>
                <w:color w:val="auto"/>
                <w:sz w:val="24"/>
              </w:rPr>
            </w:pPr>
          </w:p>
        </w:tc>
        <w:tc>
          <w:tcPr>
            <w:tcW w:w="900" w:type="dxa"/>
          </w:tcPr>
          <w:p>
            <w:pPr>
              <w:pStyle w:val="17"/>
              <w:spacing w:line="240" w:lineRule="atLeast"/>
              <w:ind w:left="1080" w:leftChars="257" w:hanging="540"/>
              <w:rPr>
                <w:rFonts w:ascii="仿宋" w:hAnsi="仿宋" w:eastAsia="仿宋" w:cs="仿宋"/>
                <w:color w:val="auto"/>
                <w:sz w:val="24"/>
              </w:rPr>
            </w:pPr>
          </w:p>
        </w:tc>
        <w:tc>
          <w:tcPr>
            <w:tcW w:w="900" w:type="dxa"/>
          </w:tcPr>
          <w:p>
            <w:pPr>
              <w:pStyle w:val="17"/>
              <w:spacing w:line="240" w:lineRule="atLeast"/>
              <w:ind w:left="1080" w:leftChars="257" w:hanging="54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7"/>
              <w:spacing w:line="240" w:lineRule="atLeast"/>
              <w:ind w:left="1080" w:leftChars="257" w:hanging="540"/>
              <w:rPr>
                <w:rFonts w:ascii="仿宋" w:hAnsi="仿宋" w:eastAsia="仿宋" w:cs="仿宋"/>
                <w:color w:val="auto"/>
                <w:sz w:val="24"/>
              </w:rPr>
            </w:pPr>
          </w:p>
        </w:tc>
        <w:tc>
          <w:tcPr>
            <w:tcW w:w="1260" w:type="dxa"/>
          </w:tcPr>
          <w:p>
            <w:pPr>
              <w:pStyle w:val="17"/>
              <w:spacing w:line="240" w:lineRule="atLeast"/>
              <w:ind w:left="1080" w:leftChars="257" w:hanging="540"/>
              <w:rPr>
                <w:rFonts w:ascii="仿宋" w:hAnsi="仿宋" w:eastAsia="仿宋" w:cs="仿宋"/>
                <w:color w:val="auto"/>
                <w:sz w:val="24"/>
              </w:rPr>
            </w:pPr>
          </w:p>
        </w:tc>
        <w:tc>
          <w:tcPr>
            <w:tcW w:w="2340" w:type="dxa"/>
          </w:tcPr>
          <w:p>
            <w:pPr>
              <w:pStyle w:val="17"/>
              <w:spacing w:line="240" w:lineRule="atLeast"/>
              <w:ind w:left="1080" w:leftChars="257" w:hanging="540"/>
              <w:rPr>
                <w:rFonts w:ascii="仿宋" w:hAnsi="仿宋" w:eastAsia="仿宋" w:cs="仿宋"/>
                <w:color w:val="auto"/>
                <w:sz w:val="24"/>
              </w:rPr>
            </w:pPr>
          </w:p>
        </w:tc>
        <w:tc>
          <w:tcPr>
            <w:tcW w:w="1260" w:type="dxa"/>
          </w:tcPr>
          <w:p>
            <w:pPr>
              <w:pStyle w:val="17"/>
              <w:spacing w:line="240" w:lineRule="atLeast"/>
              <w:ind w:left="1080" w:leftChars="257" w:hanging="540"/>
              <w:rPr>
                <w:rFonts w:ascii="仿宋" w:hAnsi="仿宋" w:eastAsia="仿宋" w:cs="仿宋"/>
                <w:color w:val="auto"/>
                <w:sz w:val="24"/>
              </w:rPr>
            </w:pPr>
          </w:p>
        </w:tc>
        <w:tc>
          <w:tcPr>
            <w:tcW w:w="1260" w:type="dxa"/>
          </w:tcPr>
          <w:p>
            <w:pPr>
              <w:pStyle w:val="17"/>
              <w:spacing w:line="240" w:lineRule="atLeast"/>
              <w:ind w:left="1080" w:leftChars="257" w:hanging="540"/>
              <w:rPr>
                <w:rFonts w:ascii="仿宋" w:hAnsi="仿宋" w:eastAsia="仿宋" w:cs="仿宋"/>
                <w:color w:val="auto"/>
                <w:sz w:val="24"/>
              </w:rPr>
            </w:pPr>
          </w:p>
        </w:tc>
        <w:tc>
          <w:tcPr>
            <w:tcW w:w="900" w:type="dxa"/>
          </w:tcPr>
          <w:p>
            <w:pPr>
              <w:pStyle w:val="17"/>
              <w:spacing w:line="240" w:lineRule="atLeast"/>
              <w:ind w:left="1080" w:leftChars="257" w:hanging="540"/>
              <w:rPr>
                <w:rFonts w:ascii="仿宋" w:hAnsi="仿宋" w:eastAsia="仿宋" w:cs="仿宋"/>
                <w:color w:val="auto"/>
                <w:sz w:val="24"/>
              </w:rPr>
            </w:pPr>
          </w:p>
        </w:tc>
        <w:tc>
          <w:tcPr>
            <w:tcW w:w="900" w:type="dxa"/>
          </w:tcPr>
          <w:p>
            <w:pPr>
              <w:pStyle w:val="17"/>
              <w:spacing w:line="240" w:lineRule="atLeast"/>
              <w:ind w:left="1080" w:leftChars="257" w:hanging="54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pStyle w:val="17"/>
              <w:spacing w:line="240" w:lineRule="atLeast"/>
              <w:ind w:left="1080" w:leftChars="257" w:hanging="540"/>
              <w:rPr>
                <w:rFonts w:ascii="仿宋" w:hAnsi="仿宋" w:eastAsia="仿宋" w:cs="仿宋"/>
                <w:color w:val="auto"/>
                <w:sz w:val="24"/>
              </w:rPr>
            </w:pPr>
          </w:p>
        </w:tc>
        <w:tc>
          <w:tcPr>
            <w:tcW w:w="1260" w:type="dxa"/>
          </w:tcPr>
          <w:p>
            <w:pPr>
              <w:pStyle w:val="17"/>
              <w:spacing w:line="240" w:lineRule="atLeast"/>
              <w:ind w:left="1080" w:leftChars="257" w:hanging="540"/>
              <w:rPr>
                <w:rFonts w:ascii="仿宋" w:hAnsi="仿宋" w:eastAsia="仿宋" w:cs="仿宋"/>
                <w:color w:val="auto"/>
                <w:sz w:val="24"/>
              </w:rPr>
            </w:pPr>
          </w:p>
        </w:tc>
        <w:tc>
          <w:tcPr>
            <w:tcW w:w="2340" w:type="dxa"/>
          </w:tcPr>
          <w:p>
            <w:pPr>
              <w:pStyle w:val="17"/>
              <w:spacing w:line="240" w:lineRule="atLeast"/>
              <w:ind w:left="1080" w:leftChars="257" w:hanging="540"/>
              <w:rPr>
                <w:rFonts w:ascii="仿宋" w:hAnsi="仿宋" w:eastAsia="仿宋" w:cs="仿宋"/>
                <w:color w:val="auto"/>
                <w:sz w:val="24"/>
              </w:rPr>
            </w:pPr>
          </w:p>
        </w:tc>
        <w:tc>
          <w:tcPr>
            <w:tcW w:w="1260" w:type="dxa"/>
          </w:tcPr>
          <w:p>
            <w:pPr>
              <w:pStyle w:val="17"/>
              <w:spacing w:line="240" w:lineRule="atLeast"/>
              <w:ind w:left="1080" w:leftChars="257" w:hanging="540"/>
              <w:rPr>
                <w:rFonts w:ascii="仿宋" w:hAnsi="仿宋" w:eastAsia="仿宋" w:cs="仿宋"/>
                <w:color w:val="auto"/>
                <w:sz w:val="24"/>
              </w:rPr>
            </w:pPr>
          </w:p>
        </w:tc>
        <w:tc>
          <w:tcPr>
            <w:tcW w:w="1260" w:type="dxa"/>
          </w:tcPr>
          <w:p>
            <w:pPr>
              <w:pStyle w:val="17"/>
              <w:spacing w:line="240" w:lineRule="atLeast"/>
              <w:ind w:left="1080" w:leftChars="257" w:hanging="540"/>
              <w:rPr>
                <w:rFonts w:ascii="仿宋" w:hAnsi="仿宋" w:eastAsia="仿宋" w:cs="仿宋"/>
                <w:color w:val="auto"/>
                <w:sz w:val="24"/>
              </w:rPr>
            </w:pPr>
          </w:p>
        </w:tc>
        <w:tc>
          <w:tcPr>
            <w:tcW w:w="900" w:type="dxa"/>
          </w:tcPr>
          <w:p>
            <w:pPr>
              <w:pStyle w:val="17"/>
              <w:spacing w:line="240" w:lineRule="atLeast"/>
              <w:ind w:left="1080" w:leftChars="257" w:hanging="540"/>
              <w:rPr>
                <w:rFonts w:ascii="仿宋" w:hAnsi="仿宋" w:eastAsia="仿宋" w:cs="仿宋"/>
                <w:color w:val="auto"/>
                <w:sz w:val="24"/>
              </w:rPr>
            </w:pPr>
          </w:p>
        </w:tc>
        <w:tc>
          <w:tcPr>
            <w:tcW w:w="900" w:type="dxa"/>
          </w:tcPr>
          <w:p>
            <w:pPr>
              <w:pStyle w:val="17"/>
              <w:spacing w:line="240" w:lineRule="atLeast"/>
              <w:ind w:left="1080" w:leftChars="257" w:hanging="540"/>
              <w:rPr>
                <w:rFonts w:ascii="仿宋" w:hAnsi="仿宋" w:eastAsia="仿宋" w:cs="仿宋"/>
                <w:color w:val="auto"/>
                <w:sz w:val="24"/>
              </w:rPr>
            </w:pPr>
          </w:p>
        </w:tc>
      </w:tr>
    </w:tbl>
    <w:p>
      <w:pPr>
        <w:pStyle w:val="17"/>
        <w:spacing w:line="240" w:lineRule="atLeast"/>
        <w:ind w:left="1080" w:leftChars="257" w:hanging="540"/>
        <w:rPr>
          <w:rFonts w:ascii="仿宋" w:hAnsi="仿宋" w:eastAsia="仿宋" w:cs="仿宋"/>
          <w:color w:val="auto"/>
          <w:sz w:val="24"/>
        </w:rPr>
      </w:pPr>
    </w:p>
    <w:p>
      <w:pPr>
        <w:pStyle w:val="17"/>
        <w:spacing w:line="240" w:lineRule="atLeast"/>
        <w:ind w:left="1080" w:leftChars="257" w:hanging="540"/>
        <w:rPr>
          <w:rFonts w:ascii="仿宋" w:hAnsi="仿宋" w:eastAsia="仿宋" w:cs="仿宋"/>
          <w:color w:val="auto"/>
          <w:sz w:val="24"/>
        </w:rPr>
      </w:pPr>
    </w:p>
    <w:p>
      <w:pPr>
        <w:pStyle w:val="17"/>
        <w:spacing w:line="240" w:lineRule="atLeast"/>
        <w:ind w:left="1080" w:leftChars="257" w:hanging="540"/>
        <w:rPr>
          <w:rFonts w:ascii="仿宋" w:hAnsi="仿宋" w:eastAsia="仿宋" w:cs="仿宋"/>
          <w:color w:val="auto"/>
          <w:sz w:val="24"/>
        </w:rPr>
      </w:pPr>
      <w:r>
        <w:rPr>
          <w:rFonts w:hint="eastAsia" w:ascii="仿宋" w:hAnsi="仿宋" w:eastAsia="仿宋" w:cs="仿宋"/>
          <w:color w:val="auto"/>
          <w:sz w:val="24"/>
        </w:rPr>
        <w:t>法定代表人或其委托代理人签字:</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r>
        <w:rPr>
          <w:rFonts w:hint="eastAsia" w:ascii="仿宋" w:hAnsi="仿宋" w:eastAsia="仿宋" w:cs="仿宋"/>
          <w:color w:val="auto"/>
          <w:sz w:val="24"/>
          <w:u w:val="single"/>
        </w:rPr>
        <w:t xml:space="preserve">                 </w:t>
      </w:r>
    </w:p>
    <w:p>
      <w:pPr>
        <w:pStyle w:val="17"/>
        <w:tabs>
          <w:tab w:val="left" w:pos="5370"/>
        </w:tabs>
        <w:spacing w:line="240" w:lineRule="atLeast"/>
        <w:ind w:left="1080" w:leftChars="257" w:hanging="540"/>
        <w:rPr>
          <w:rFonts w:ascii="仿宋" w:hAnsi="仿宋" w:eastAsia="仿宋" w:cs="仿宋"/>
          <w:color w:val="auto"/>
          <w:sz w:val="24"/>
          <w:u w:val="single"/>
        </w:rPr>
      </w:pPr>
      <w:r>
        <w:rPr>
          <w:rFonts w:hint="eastAsia" w:ascii="仿宋" w:hAnsi="仿宋" w:eastAsia="仿宋" w:cs="仿宋"/>
          <w:color w:val="auto"/>
          <w:sz w:val="24"/>
        </w:rPr>
        <w:t>供应商(盖单位章):</w:t>
      </w:r>
      <w:r>
        <w:rPr>
          <w:rFonts w:hint="eastAsia" w:ascii="仿宋" w:hAnsi="仿宋" w:eastAsia="仿宋" w:cs="仿宋"/>
          <w:color w:val="auto"/>
          <w:sz w:val="24"/>
          <w:u w:val="single"/>
        </w:rPr>
        <w:tab/>
      </w:r>
    </w:p>
    <w:p>
      <w:pPr>
        <w:pStyle w:val="17"/>
        <w:spacing w:line="240" w:lineRule="atLeast"/>
        <w:ind w:left="1080" w:leftChars="257" w:hanging="540"/>
        <w:rPr>
          <w:rFonts w:ascii="仿宋" w:hAnsi="仿宋" w:eastAsia="仿宋" w:cs="仿宋"/>
          <w:color w:val="auto"/>
          <w:sz w:val="24"/>
        </w:rPr>
      </w:pPr>
      <w:r>
        <w:rPr>
          <w:rFonts w:hint="eastAsia" w:ascii="仿宋" w:hAnsi="仿宋" w:eastAsia="仿宋" w:cs="仿宋"/>
          <w:color w:val="auto"/>
          <w:sz w:val="24"/>
          <w:u w:val="single"/>
        </w:rPr>
        <w:br w:type="page"/>
      </w:r>
    </w:p>
    <w:p>
      <w:pPr>
        <w:pStyle w:val="8"/>
        <w:spacing w:before="0" w:line="240" w:lineRule="atLeast"/>
        <w:ind w:left="1080" w:leftChars="257" w:hanging="540"/>
        <w:rPr>
          <w:rFonts w:ascii="仿宋" w:hAnsi="仿宋" w:eastAsia="仿宋" w:cs="仿宋"/>
          <w:color w:val="auto"/>
          <w:sz w:val="24"/>
        </w:rPr>
      </w:pPr>
      <w:bookmarkStart w:id="242" w:name="_Toc216582818"/>
      <w:bookmarkStart w:id="243" w:name="_Toc8079"/>
      <w:bookmarkStart w:id="244" w:name="_Toc518923119"/>
      <w:bookmarkStart w:id="245" w:name="_Toc27950"/>
      <w:bookmarkStart w:id="246" w:name="_Toc32031"/>
      <w:r>
        <w:rPr>
          <w:rFonts w:hint="eastAsia" w:ascii="仿宋" w:hAnsi="仿宋" w:eastAsia="仿宋" w:cs="仿宋"/>
          <w:color w:val="auto"/>
          <w:sz w:val="24"/>
        </w:rPr>
        <w:t>4   商务条款偏离表</w:t>
      </w:r>
      <w:bookmarkEnd w:id="242"/>
      <w:r>
        <w:rPr>
          <w:rFonts w:hint="eastAsia" w:ascii="仿宋" w:hAnsi="仿宋" w:eastAsia="仿宋" w:cs="仿宋"/>
          <w:color w:val="auto"/>
          <w:sz w:val="24"/>
        </w:rPr>
        <w:t>（投标文件格式</w:t>
      </w:r>
      <w:r>
        <w:rPr>
          <w:rFonts w:hint="eastAsia" w:ascii="仿宋" w:hAnsi="仿宋" w:eastAsia="仿宋" w:cs="仿宋"/>
          <w:color w:val="auto"/>
          <w:sz w:val="24"/>
          <w:lang w:val="en-US" w:eastAsia="zh-CN"/>
        </w:rPr>
        <w:t>四</w:t>
      </w:r>
      <w:r>
        <w:rPr>
          <w:rFonts w:hint="eastAsia" w:ascii="仿宋" w:hAnsi="仿宋" w:eastAsia="仿宋" w:cs="仿宋"/>
          <w:color w:val="auto"/>
          <w:sz w:val="24"/>
        </w:rPr>
        <w:t>）</w:t>
      </w:r>
      <w:bookmarkEnd w:id="243"/>
      <w:bookmarkEnd w:id="244"/>
      <w:bookmarkEnd w:id="245"/>
      <w:bookmarkEnd w:id="246"/>
    </w:p>
    <w:p>
      <w:pPr>
        <w:pStyle w:val="17"/>
        <w:spacing w:line="240" w:lineRule="atLeast"/>
        <w:ind w:left="1080" w:leftChars="257" w:hanging="540"/>
        <w:rPr>
          <w:rFonts w:ascii="仿宋" w:hAnsi="仿宋" w:eastAsia="仿宋" w:cs="仿宋"/>
          <w:color w:val="auto"/>
          <w:sz w:val="24"/>
        </w:rPr>
      </w:pPr>
    </w:p>
    <w:p>
      <w:pPr>
        <w:pStyle w:val="17"/>
        <w:spacing w:line="240" w:lineRule="atLeast"/>
        <w:ind w:left="1080" w:leftChars="257" w:hanging="540"/>
        <w:rPr>
          <w:rFonts w:ascii="仿宋" w:hAnsi="仿宋" w:eastAsia="仿宋" w:cs="仿宋"/>
          <w:color w:val="auto"/>
          <w:sz w:val="24"/>
        </w:rPr>
      </w:pPr>
    </w:p>
    <w:p>
      <w:pPr>
        <w:pStyle w:val="17"/>
        <w:spacing w:line="240" w:lineRule="atLeast"/>
        <w:ind w:left="1080" w:leftChars="257" w:hanging="540"/>
        <w:rPr>
          <w:rFonts w:ascii="仿宋" w:hAnsi="仿宋" w:eastAsia="仿宋" w:cs="仿宋"/>
          <w:color w:val="auto"/>
          <w:sz w:val="24"/>
        </w:rPr>
      </w:pPr>
      <w:r>
        <w:rPr>
          <w:rFonts w:hint="eastAsia" w:ascii="仿宋" w:hAnsi="仿宋" w:eastAsia="仿宋" w:cs="仿宋"/>
          <w:color w:val="auto"/>
          <w:sz w:val="24"/>
        </w:rPr>
        <w:t>项目名称:                      招标编号:            包号：</w:t>
      </w:r>
    </w:p>
    <w:p>
      <w:pPr>
        <w:pStyle w:val="17"/>
        <w:spacing w:line="240" w:lineRule="atLeast"/>
        <w:ind w:left="1080" w:leftChars="257" w:hanging="540"/>
        <w:rPr>
          <w:rFonts w:ascii="仿宋" w:hAnsi="仿宋" w:eastAsia="仿宋" w:cs="仿宋"/>
          <w:color w:val="auto"/>
          <w:sz w:val="24"/>
        </w:rPr>
      </w:pPr>
    </w:p>
    <w:tbl>
      <w:tblPr>
        <w:tblStyle w:val="37"/>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7"/>
              <w:spacing w:line="240" w:lineRule="atLeast"/>
              <w:jc w:val="center"/>
              <w:rPr>
                <w:rFonts w:ascii="仿宋" w:hAnsi="仿宋" w:eastAsia="仿宋" w:cs="仿宋"/>
                <w:color w:val="auto"/>
                <w:sz w:val="24"/>
              </w:rPr>
            </w:pPr>
            <w:r>
              <w:rPr>
                <w:rFonts w:hint="eastAsia" w:ascii="仿宋" w:hAnsi="仿宋" w:eastAsia="仿宋" w:cs="仿宋"/>
                <w:color w:val="auto"/>
                <w:sz w:val="24"/>
              </w:rPr>
              <w:t>序号</w:t>
            </w:r>
          </w:p>
        </w:tc>
        <w:tc>
          <w:tcPr>
            <w:tcW w:w="2040" w:type="dxa"/>
          </w:tcPr>
          <w:p>
            <w:pPr>
              <w:pStyle w:val="17"/>
              <w:spacing w:line="240" w:lineRule="atLeast"/>
              <w:jc w:val="center"/>
              <w:rPr>
                <w:rFonts w:ascii="仿宋" w:hAnsi="仿宋" w:eastAsia="仿宋" w:cs="仿宋"/>
                <w:color w:val="auto"/>
                <w:sz w:val="24"/>
              </w:rPr>
            </w:pPr>
            <w:r>
              <w:rPr>
                <w:rFonts w:hint="eastAsia" w:ascii="仿宋" w:hAnsi="仿宋" w:eastAsia="仿宋" w:cs="仿宋"/>
                <w:color w:val="auto"/>
                <w:sz w:val="24"/>
              </w:rPr>
              <w:t>采购文件条款号</w:t>
            </w:r>
          </w:p>
        </w:tc>
        <w:tc>
          <w:tcPr>
            <w:tcW w:w="2520" w:type="dxa"/>
          </w:tcPr>
          <w:p>
            <w:pPr>
              <w:pStyle w:val="17"/>
              <w:spacing w:line="240" w:lineRule="atLeast"/>
              <w:jc w:val="center"/>
              <w:rPr>
                <w:rFonts w:ascii="仿宋" w:hAnsi="仿宋" w:eastAsia="仿宋" w:cs="仿宋"/>
                <w:color w:val="auto"/>
                <w:sz w:val="24"/>
              </w:rPr>
            </w:pPr>
            <w:r>
              <w:rPr>
                <w:rFonts w:hint="eastAsia" w:ascii="仿宋" w:hAnsi="仿宋" w:eastAsia="仿宋" w:cs="仿宋"/>
                <w:color w:val="auto"/>
                <w:sz w:val="24"/>
              </w:rPr>
              <w:t>采购文件的商务条款</w:t>
            </w:r>
          </w:p>
        </w:tc>
        <w:tc>
          <w:tcPr>
            <w:tcW w:w="2520" w:type="dxa"/>
          </w:tcPr>
          <w:p>
            <w:pPr>
              <w:pStyle w:val="17"/>
              <w:spacing w:line="240" w:lineRule="atLeast"/>
              <w:jc w:val="center"/>
              <w:rPr>
                <w:rFonts w:ascii="仿宋" w:hAnsi="仿宋" w:eastAsia="仿宋" w:cs="仿宋"/>
                <w:color w:val="auto"/>
                <w:sz w:val="24"/>
              </w:rPr>
            </w:pPr>
            <w:r>
              <w:rPr>
                <w:rFonts w:hint="eastAsia" w:ascii="仿宋" w:hAnsi="仿宋" w:eastAsia="仿宋" w:cs="仿宋"/>
                <w:color w:val="auto"/>
                <w:sz w:val="24"/>
              </w:rPr>
              <w:t>投标文件的商务条款</w:t>
            </w:r>
          </w:p>
        </w:tc>
        <w:tc>
          <w:tcPr>
            <w:tcW w:w="900" w:type="dxa"/>
          </w:tcPr>
          <w:p>
            <w:pPr>
              <w:pStyle w:val="17"/>
              <w:spacing w:line="240" w:lineRule="atLeast"/>
              <w:jc w:val="center"/>
              <w:rPr>
                <w:rFonts w:ascii="仿宋" w:hAnsi="仿宋" w:eastAsia="仿宋" w:cs="仿宋"/>
                <w:color w:val="auto"/>
                <w:sz w:val="24"/>
              </w:rPr>
            </w:pPr>
            <w:r>
              <w:rPr>
                <w:rFonts w:hint="eastAsia" w:ascii="仿宋" w:hAnsi="仿宋" w:eastAsia="仿宋" w:cs="仿宋"/>
                <w:color w:val="auto"/>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7"/>
              <w:spacing w:line="240" w:lineRule="atLeast"/>
              <w:ind w:left="1080" w:leftChars="257" w:hanging="540"/>
              <w:rPr>
                <w:rFonts w:ascii="仿宋" w:hAnsi="仿宋" w:eastAsia="仿宋" w:cs="仿宋"/>
                <w:color w:val="auto"/>
                <w:sz w:val="24"/>
              </w:rPr>
            </w:pPr>
          </w:p>
        </w:tc>
        <w:tc>
          <w:tcPr>
            <w:tcW w:w="2040" w:type="dxa"/>
          </w:tcPr>
          <w:p>
            <w:pPr>
              <w:pStyle w:val="17"/>
              <w:spacing w:line="240" w:lineRule="atLeast"/>
              <w:ind w:left="1080" w:leftChars="257" w:hanging="540"/>
              <w:rPr>
                <w:rFonts w:ascii="仿宋" w:hAnsi="仿宋" w:eastAsia="仿宋" w:cs="仿宋"/>
                <w:color w:val="auto"/>
                <w:sz w:val="24"/>
              </w:rPr>
            </w:pPr>
          </w:p>
        </w:tc>
        <w:tc>
          <w:tcPr>
            <w:tcW w:w="2520" w:type="dxa"/>
          </w:tcPr>
          <w:p>
            <w:pPr>
              <w:pStyle w:val="17"/>
              <w:spacing w:line="240" w:lineRule="atLeast"/>
              <w:ind w:left="1080" w:leftChars="257" w:hanging="540"/>
              <w:jc w:val="center"/>
              <w:rPr>
                <w:rFonts w:ascii="仿宋" w:hAnsi="仿宋" w:eastAsia="仿宋" w:cs="仿宋"/>
                <w:color w:val="auto"/>
                <w:sz w:val="24"/>
              </w:rPr>
            </w:pPr>
          </w:p>
        </w:tc>
        <w:tc>
          <w:tcPr>
            <w:tcW w:w="2520" w:type="dxa"/>
          </w:tcPr>
          <w:p>
            <w:pPr>
              <w:pStyle w:val="17"/>
              <w:spacing w:line="240" w:lineRule="atLeast"/>
              <w:ind w:left="1080" w:leftChars="257" w:hanging="540"/>
              <w:jc w:val="center"/>
              <w:rPr>
                <w:rFonts w:ascii="仿宋" w:hAnsi="仿宋" w:eastAsia="仿宋" w:cs="仿宋"/>
                <w:color w:val="auto"/>
                <w:sz w:val="24"/>
              </w:rPr>
            </w:pPr>
          </w:p>
        </w:tc>
        <w:tc>
          <w:tcPr>
            <w:tcW w:w="900" w:type="dxa"/>
          </w:tcPr>
          <w:p>
            <w:pPr>
              <w:pStyle w:val="17"/>
              <w:spacing w:line="240" w:lineRule="atLeast"/>
              <w:ind w:left="1080" w:leftChars="257" w:hanging="54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7"/>
              <w:spacing w:line="240" w:lineRule="atLeast"/>
              <w:ind w:left="1080" w:leftChars="257" w:hanging="540"/>
              <w:rPr>
                <w:rFonts w:ascii="仿宋" w:hAnsi="仿宋" w:eastAsia="仿宋" w:cs="仿宋"/>
                <w:color w:val="auto"/>
                <w:sz w:val="24"/>
              </w:rPr>
            </w:pPr>
          </w:p>
        </w:tc>
        <w:tc>
          <w:tcPr>
            <w:tcW w:w="2040" w:type="dxa"/>
          </w:tcPr>
          <w:p>
            <w:pPr>
              <w:pStyle w:val="17"/>
              <w:spacing w:line="240" w:lineRule="atLeast"/>
              <w:ind w:left="1080" w:leftChars="257" w:hanging="540"/>
              <w:rPr>
                <w:rFonts w:ascii="仿宋" w:hAnsi="仿宋" w:eastAsia="仿宋" w:cs="仿宋"/>
                <w:color w:val="auto"/>
                <w:sz w:val="24"/>
              </w:rPr>
            </w:pPr>
          </w:p>
        </w:tc>
        <w:tc>
          <w:tcPr>
            <w:tcW w:w="2520" w:type="dxa"/>
          </w:tcPr>
          <w:p>
            <w:pPr>
              <w:pStyle w:val="17"/>
              <w:spacing w:line="240" w:lineRule="atLeast"/>
              <w:ind w:left="1080" w:leftChars="257" w:hanging="540"/>
              <w:rPr>
                <w:rFonts w:ascii="仿宋" w:hAnsi="仿宋" w:eastAsia="仿宋" w:cs="仿宋"/>
                <w:color w:val="auto"/>
                <w:sz w:val="24"/>
              </w:rPr>
            </w:pPr>
          </w:p>
        </w:tc>
        <w:tc>
          <w:tcPr>
            <w:tcW w:w="2520" w:type="dxa"/>
          </w:tcPr>
          <w:p>
            <w:pPr>
              <w:pStyle w:val="17"/>
              <w:spacing w:line="240" w:lineRule="atLeast"/>
              <w:ind w:left="1080" w:leftChars="257" w:hanging="540"/>
              <w:rPr>
                <w:rFonts w:ascii="仿宋" w:hAnsi="仿宋" w:eastAsia="仿宋" w:cs="仿宋"/>
                <w:color w:val="auto"/>
                <w:sz w:val="24"/>
              </w:rPr>
            </w:pPr>
          </w:p>
        </w:tc>
        <w:tc>
          <w:tcPr>
            <w:tcW w:w="900" w:type="dxa"/>
          </w:tcPr>
          <w:p>
            <w:pPr>
              <w:pStyle w:val="17"/>
              <w:spacing w:line="240" w:lineRule="atLeast"/>
              <w:ind w:left="1080" w:leftChars="257" w:hanging="54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7"/>
              <w:spacing w:line="240" w:lineRule="atLeast"/>
              <w:ind w:left="1080" w:leftChars="257" w:hanging="540"/>
              <w:rPr>
                <w:rFonts w:ascii="仿宋" w:hAnsi="仿宋" w:eastAsia="仿宋" w:cs="仿宋"/>
                <w:color w:val="auto"/>
                <w:sz w:val="24"/>
              </w:rPr>
            </w:pPr>
          </w:p>
        </w:tc>
        <w:tc>
          <w:tcPr>
            <w:tcW w:w="2040" w:type="dxa"/>
          </w:tcPr>
          <w:p>
            <w:pPr>
              <w:pStyle w:val="17"/>
              <w:spacing w:line="240" w:lineRule="atLeast"/>
              <w:ind w:left="1080" w:leftChars="257" w:hanging="540"/>
              <w:rPr>
                <w:rFonts w:ascii="仿宋" w:hAnsi="仿宋" w:eastAsia="仿宋" w:cs="仿宋"/>
                <w:color w:val="auto"/>
                <w:sz w:val="24"/>
              </w:rPr>
            </w:pPr>
          </w:p>
        </w:tc>
        <w:tc>
          <w:tcPr>
            <w:tcW w:w="2520" w:type="dxa"/>
          </w:tcPr>
          <w:p>
            <w:pPr>
              <w:pStyle w:val="17"/>
              <w:spacing w:line="240" w:lineRule="atLeast"/>
              <w:ind w:left="1080" w:leftChars="257" w:hanging="540"/>
              <w:rPr>
                <w:rFonts w:ascii="仿宋" w:hAnsi="仿宋" w:eastAsia="仿宋" w:cs="仿宋"/>
                <w:color w:val="auto"/>
                <w:sz w:val="24"/>
              </w:rPr>
            </w:pPr>
          </w:p>
        </w:tc>
        <w:tc>
          <w:tcPr>
            <w:tcW w:w="2520" w:type="dxa"/>
          </w:tcPr>
          <w:p>
            <w:pPr>
              <w:pStyle w:val="17"/>
              <w:spacing w:line="240" w:lineRule="atLeast"/>
              <w:ind w:left="1080" w:leftChars="257" w:hanging="540"/>
              <w:rPr>
                <w:rFonts w:ascii="仿宋" w:hAnsi="仿宋" w:eastAsia="仿宋" w:cs="仿宋"/>
                <w:color w:val="auto"/>
                <w:sz w:val="24"/>
              </w:rPr>
            </w:pPr>
          </w:p>
        </w:tc>
        <w:tc>
          <w:tcPr>
            <w:tcW w:w="900" w:type="dxa"/>
          </w:tcPr>
          <w:p>
            <w:pPr>
              <w:pStyle w:val="17"/>
              <w:spacing w:line="240" w:lineRule="atLeast"/>
              <w:ind w:left="1080" w:leftChars="257" w:hanging="54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7"/>
              <w:spacing w:line="240" w:lineRule="atLeast"/>
              <w:ind w:left="1080" w:leftChars="257" w:hanging="540"/>
              <w:rPr>
                <w:rFonts w:ascii="仿宋" w:hAnsi="仿宋" w:eastAsia="仿宋" w:cs="仿宋"/>
                <w:color w:val="auto"/>
                <w:sz w:val="24"/>
              </w:rPr>
            </w:pPr>
          </w:p>
        </w:tc>
        <w:tc>
          <w:tcPr>
            <w:tcW w:w="2040" w:type="dxa"/>
          </w:tcPr>
          <w:p>
            <w:pPr>
              <w:pStyle w:val="17"/>
              <w:spacing w:line="240" w:lineRule="atLeast"/>
              <w:ind w:left="1080" w:leftChars="257" w:hanging="540"/>
              <w:rPr>
                <w:rFonts w:ascii="仿宋" w:hAnsi="仿宋" w:eastAsia="仿宋" w:cs="仿宋"/>
                <w:color w:val="auto"/>
                <w:sz w:val="24"/>
              </w:rPr>
            </w:pPr>
          </w:p>
        </w:tc>
        <w:tc>
          <w:tcPr>
            <w:tcW w:w="2520" w:type="dxa"/>
          </w:tcPr>
          <w:p>
            <w:pPr>
              <w:pStyle w:val="17"/>
              <w:spacing w:line="240" w:lineRule="atLeast"/>
              <w:ind w:left="1080" w:leftChars="257" w:hanging="540"/>
              <w:rPr>
                <w:rFonts w:ascii="仿宋" w:hAnsi="仿宋" w:eastAsia="仿宋" w:cs="仿宋"/>
                <w:color w:val="auto"/>
                <w:sz w:val="24"/>
              </w:rPr>
            </w:pPr>
          </w:p>
        </w:tc>
        <w:tc>
          <w:tcPr>
            <w:tcW w:w="2520" w:type="dxa"/>
          </w:tcPr>
          <w:p>
            <w:pPr>
              <w:pStyle w:val="17"/>
              <w:spacing w:line="240" w:lineRule="atLeast"/>
              <w:ind w:left="1080" w:leftChars="257" w:hanging="540"/>
              <w:rPr>
                <w:rFonts w:ascii="仿宋" w:hAnsi="仿宋" w:eastAsia="仿宋" w:cs="仿宋"/>
                <w:color w:val="auto"/>
                <w:sz w:val="24"/>
              </w:rPr>
            </w:pPr>
          </w:p>
        </w:tc>
        <w:tc>
          <w:tcPr>
            <w:tcW w:w="900" w:type="dxa"/>
          </w:tcPr>
          <w:p>
            <w:pPr>
              <w:pStyle w:val="17"/>
              <w:spacing w:line="240" w:lineRule="atLeast"/>
              <w:ind w:left="1080" w:leftChars="257" w:hanging="54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7"/>
              <w:spacing w:line="240" w:lineRule="atLeast"/>
              <w:ind w:left="1080" w:leftChars="257" w:hanging="540"/>
              <w:rPr>
                <w:rFonts w:ascii="仿宋" w:hAnsi="仿宋" w:eastAsia="仿宋" w:cs="仿宋"/>
                <w:color w:val="auto"/>
                <w:sz w:val="24"/>
              </w:rPr>
            </w:pPr>
          </w:p>
        </w:tc>
        <w:tc>
          <w:tcPr>
            <w:tcW w:w="2040" w:type="dxa"/>
          </w:tcPr>
          <w:p>
            <w:pPr>
              <w:pStyle w:val="17"/>
              <w:spacing w:line="240" w:lineRule="atLeast"/>
              <w:ind w:left="1080" w:leftChars="257" w:hanging="540"/>
              <w:rPr>
                <w:rFonts w:ascii="仿宋" w:hAnsi="仿宋" w:eastAsia="仿宋" w:cs="仿宋"/>
                <w:color w:val="auto"/>
                <w:sz w:val="24"/>
              </w:rPr>
            </w:pPr>
          </w:p>
        </w:tc>
        <w:tc>
          <w:tcPr>
            <w:tcW w:w="2520" w:type="dxa"/>
          </w:tcPr>
          <w:p>
            <w:pPr>
              <w:pStyle w:val="17"/>
              <w:spacing w:line="240" w:lineRule="atLeast"/>
              <w:ind w:left="1080" w:leftChars="257" w:hanging="540"/>
              <w:rPr>
                <w:rFonts w:ascii="仿宋" w:hAnsi="仿宋" w:eastAsia="仿宋" w:cs="仿宋"/>
                <w:color w:val="auto"/>
                <w:sz w:val="24"/>
              </w:rPr>
            </w:pPr>
          </w:p>
        </w:tc>
        <w:tc>
          <w:tcPr>
            <w:tcW w:w="2520" w:type="dxa"/>
          </w:tcPr>
          <w:p>
            <w:pPr>
              <w:pStyle w:val="17"/>
              <w:spacing w:line="240" w:lineRule="atLeast"/>
              <w:ind w:left="1080" w:leftChars="257" w:hanging="540"/>
              <w:rPr>
                <w:rFonts w:ascii="仿宋" w:hAnsi="仿宋" w:eastAsia="仿宋" w:cs="仿宋"/>
                <w:color w:val="auto"/>
                <w:sz w:val="24"/>
              </w:rPr>
            </w:pPr>
          </w:p>
        </w:tc>
        <w:tc>
          <w:tcPr>
            <w:tcW w:w="900" w:type="dxa"/>
          </w:tcPr>
          <w:p>
            <w:pPr>
              <w:pStyle w:val="17"/>
              <w:spacing w:line="240" w:lineRule="atLeast"/>
              <w:ind w:left="1080" w:leftChars="257" w:hanging="54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7"/>
              <w:spacing w:line="240" w:lineRule="atLeast"/>
              <w:ind w:left="1080" w:leftChars="257" w:hanging="540"/>
              <w:rPr>
                <w:rFonts w:ascii="仿宋" w:hAnsi="仿宋" w:eastAsia="仿宋" w:cs="仿宋"/>
                <w:color w:val="auto"/>
                <w:sz w:val="24"/>
              </w:rPr>
            </w:pPr>
          </w:p>
        </w:tc>
        <w:tc>
          <w:tcPr>
            <w:tcW w:w="2040" w:type="dxa"/>
          </w:tcPr>
          <w:p>
            <w:pPr>
              <w:pStyle w:val="17"/>
              <w:spacing w:line="240" w:lineRule="atLeast"/>
              <w:ind w:left="1080" w:leftChars="257" w:hanging="540"/>
              <w:rPr>
                <w:rFonts w:ascii="仿宋" w:hAnsi="仿宋" w:eastAsia="仿宋" w:cs="仿宋"/>
                <w:color w:val="auto"/>
                <w:sz w:val="24"/>
              </w:rPr>
            </w:pPr>
          </w:p>
        </w:tc>
        <w:tc>
          <w:tcPr>
            <w:tcW w:w="2520" w:type="dxa"/>
          </w:tcPr>
          <w:p>
            <w:pPr>
              <w:pStyle w:val="17"/>
              <w:spacing w:line="240" w:lineRule="atLeast"/>
              <w:ind w:left="1080" w:leftChars="257" w:hanging="540"/>
              <w:rPr>
                <w:rFonts w:ascii="仿宋" w:hAnsi="仿宋" w:eastAsia="仿宋" w:cs="仿宋"/>
                <w:color w:val="auto"/>
                <w:sz w:val="24"/>
              </w:rPr>
            </w:pPr>
          </w:p>
        </w:tc>
        <w:tc>
          <w:tcPr>
            <w:tcW w:w="2520" w:type="dxa"/>
          </w:tcPr>
          <w:p>
            <w:pPr>
              <w:pStyle w:val="17"/>
              <w:spacing w:line="240" w:lineRule="atLeast"/>
              <w:ind w:left="1080" w:leftChars="257" w:hanging="540"/>
              <w:rPr>
                <w:rFonts w:ascii="仿宋" w:hAnsi="仿宋" w:eastAsia="仿宋" w:cs="仿宋"/>
                <w:color w:val="auto"/>
                <w:sz w:val="24"/>
              </w:rPr>
            </w:pPr>
          </w:p>
        </w:tc>
        <w:tc>
          <w:tcPr>
            <w:tcW w:w="900" w:type="dxa"/>
          </w:tcPr>
          <w:p>
            <w:pPr>
              <w:pStyle w:val="17"/>
              <w:spacing w:line="240" w:lineRule="atLeast"/>
              <w:ind w:left="1080" w:leftChars="257" w:hanging="54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7"/>
              <w:spacing w:line="240" w:lineRule="atLeast"/>
              <w:ind w:left="1080" w:leftChars="257" w:hanging="540"/>
              <w:rPr>
                <w:rFonts w:ascii="仿宋" w:hAnsi="仿宋" w:eastAsia="仿宋" w:cs="仿宋"/>
                <w:color w:val="auto"/>
                <w:sz w:val="24"/>
              </w:rPr>
            </w:pPr>
          </w:p>
        </w:tc>
        <w:tc>
          <w:tcPr>
            <w:tcW w:w="2040" w:type="dxa"/>
          </w:tcPr>
          <w:p>
            <w:pPr>
              <w:pStyle w:val="17"/>
              <w:spacing w:line="240" w:lineRule="atLeast"/>
              <w:ind w:left="1080" w:leftChars="257" w:hanging="540"/>
              <w:rPr>
                <w:rFonts w:ascii="仿宋" w:hAnsi="仿宋" w:eastAsia="仿宋" w:cs="仿宋"/>
                <w:color w:val="auto"/>
                <w:sz w:val="24"/>
              </w:rPr>
            </w:pPr>
          </w:p>
        </w:tc>
        <w:tc>
          <w:tcPr>
            <w:tcW w:w="2520" w:type="dxa"/>
          </w:tcPr>
          <w:p>
            <w:pPr>
              <w:pStyle w:val="17"/>
              <w:spacing w:line="240" w:lineRule="atLeast"/>
              <w:ind w:left="1080" w:leftChars="257" w:hanging="540"/>
              <w:rPr>
                <w:rFonts w:ascii="仿宋" w:hAnsi="仿宋" w:eastAsia="仿宋" w:cs="仿宋"/>
                <w:color w:val="auto"/>
                <w:sz w:val="24"/>
              </w:rPr>
            </w:pPr>
          </w:p>
        </w:tc>
        <w:tc>
          <w:tcPr>
            <w:tcW w:w="2520" w:type="dxa"/>
          </w:tcPr>
          <w:p>
            <w:pPr>
              <w:pStyle w:val="17"/>
              <w:spacing w:line="240" w:lineRule="atLeast"/>
              <w:ind w:left="1080" w:leftChars="257" w:hanging="540"/>
              <w:rPr>
                <w:rFonts w:ascii="仿宋" w:hAnsi="仿宋" w:eastAsia="仿宋" w:cs="仿宋"/>
                <w:color w:val="auto"/>
                <w:sz w:val="24"/>
              </w:rPr>
            </w:pPr>
          </w:p>
        </w:tc>
        <w:tc>
          <w:tcPr>
            <w:tcW w:w="900" w:type="dxa"/>
          </w:tcPr>
          <w:p>
            <w:pPr>
              <w:pStyle w:val="17"/>
              <w:spacing w:line="240" w:lineRule="atLeast"/>
              <w:ind w:left="1080" w:leftChars="257" w:hanging="54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7"/>
              <w:spacing w:line="240" w:lineRule="atLeast"/>
              <w:ind w:left="1080" w:leftChars="257" w:hanging="540"/>
              <w:rPr>
                <w:rFonts w:ascii="仿宋" w:hAnsi="仿宋" w:eastAsia="仿宋" w:cs="仿宋"/>
                <w:color w:val="auto"/>
                <w:sz w:val="24"/>
              </w:rPr>
            </w:pPr>
          </w:p>
        </w:tc>
        <w:tc>
          <w:tcPr>
            <w:tcW w:w="2040" w:type="dxa"/>
          </w:tcPr>
          <w:p>
            <w:pPr>
              <w:pStyle w:val="17"/>
              <w:spacing w:line="240" w:lineRule="atLeast"/>
              <w:ind w:left="1080" w:leftChars="257" w:hanging="540"/>
              <w:rPr>
                <w:rFonts w:ascii="仿宋" w:hAnsi="仿宋" w:eastAsia="仿宋" w:cs="仿宋"/>
                <w:color w:val="auto"/>
                <w:sz w:val="24"/>
              </w:rPr>
            </w:pPr>
          </w:p>
        </w:tc>
        <w:tc>
          <w:tcPr>
            <w:tcW w:w="2520" w:type="dxa"/>
          </w:tcPr>
          <w:p>
            <w:pPr>
              <w:pStyle w:val="17"/>
              <w:spacing w:line="240" w:lineRule="atLeast"/>
              <w:ind w:left="1080" w:leftChars="257" w:hanging="540"/>
              <w:rPr>
                <w:rFonts w:ascii="仿宋" w:hAnsi="仿宋" w:eastAsia="仿宋" w:cs="仿宋"/>
                <w:color w:val="auto"/>
                <w:sz w:val="24"/>
              </w:rPr>
            </w:pPr>
          </w:p>
        </w:tc>
        <w:tc>
          <w:tcPr>
            <w:tcW w:w="2520" w:type="dxa"/>
          </w:tcPr>
          <w:p>
            <w:pPr>
              <w:pStyle w:val="17"/>
              <w:spacing w:line="240" w:lineRule="atLeast"/>
              <w:ind w:left="1080" w:leftChars="257" w:hanging="540"/>
              <w:rPr>
                <w:rFonts w:ascii="仿宋" w:hAnsi="仿宋" w:eastAsia="仿宋" w:cs="仿宋"/>
                <w:color w:val="auto"/>
                <w:sz w:val="24"/>
              </w:rPr>
            </w:pPr>
          </w:p>
        </w:tc>
        <w:tc>
          <w:tcPr>
            <w:tcW w:w="900" w:type="dxa"/>
          </w:tcPr>
          <w:p>
            <w:pPr>
              <w:pStyle w:val="17"/>
              <w:spacing w:line="240" w:lineRule="atLeast"/>
              <w:ind w:left="1080" w:leftChars="257" w:hanging="54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7"/>
              <w:spacing w:line="240" w:lineRule="atLeast"/>
              <w:ind w:left="1080" w:leftChars="257" w:hanging="540"/>
              <w:rPr>
                <w:rFonts w:ascii="仿宋" w:hAnsi="仿宋" w:eastAsia="仿宋" w:cs="仿宋"/>
                <w:color w:val="auto"/>
                <w:sz w:val="24"/>
              </w:rPr>
            </w:pPr>
          </w:p>
        </w:tc>
        <w:tc>
          <w:tcPr>
            <w:tcW w:w="2040" w:type="dxa"/>
          </w:tcPr>
          <w:p>
            <w:pPr>
              <w:pStyle w:val="17"/>
              <w:spacing w:line="240" w:lineRule="atLeast"/>
              <w:ind w:left="1080" w:leftChars="257" w:hanging="540"/>
              <w:rPr>
                <w:rFonts w:ascii="仿宋" w:hAnsi="仿宋" w:eastAsia="仿宋" w:cs="仿宋"/>
                <w:color w:val="auto"/>
                <w:sz w:val="24"/>
              </w:rPr>
            </w:pPr>
          </w:p>
        </w:tc>
        <w:tc>
          <w:tcPr>
            <w:tcW w:w="2520" w:type="dxa"/>
          </w:tcPr>
          <w:p>
            <w:pPr>
              <w:pStyle w:val="17"/>
              <w:spacing w:line="240" w:lineRule="atLeast"/>
              <w:ind w:left="1080" w:leftChars="257" w:hanging="540"/>
              <w:rPr>
                <w:rFonts w:ascii="仿宋" w:hAnsi="仿宋" w:eastAsia="仿宋" w:cs="仿宋"/>
                <w:color w:val="auto"/>
                <w:sz w:val="24"/>
              </w:rPr>
            </w:pPr>
          </w:p>
        </w:tc>
        <w:tc>
          <w:tcPr>
            <w:tcW w:w="2520" w:type="dxa"/>
          </w:tcPr>
          <w:p>
            <w:pPr>
              <w:pStyle w:val="17"/>
              <w:spacing w:line="240" w:lineRule="atLeast"/>
              <w:ind w:left="1080" w:leftChars="257" w:hanging="540"/>
              <w:rPr>
                <w:rFonts w:ascii="仿宋" w:hAnsi="仿宋" w:eastAsia="仿宋" w:cs="仿宋"/>
                <w:color w:val="auto"/>
                <w:sz w:val="24"/>
              </w:rPr>
            </w:pPr>
          </w:p>
        </w:tc>
        <w:tc>
          <w:tcPr>
            <w:tcW w:w="900" w:type="dxa"/>
          </w:tcPr>
          <w:p>
            <w:pPr>
              <w:pStyle w:val="17"/>
              <w:spacing w:line="240" w:lineRule="atLeast"/>
              <w:ind w:left="1080" w:leftChars="257" w:hanging="54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7"/>
              <w:spacing w:line="240" w:lineRule="atLeast"/>
              <w:ind w:left="1080" w:leftChars="257" w:hanging="540"/>
              <w:rPr>
                <w:rFonts w:ascii="仿宋" w:hAnsi="仿宋" w:eastAsia="仿宋" w:cs="仿宋"/>
                <w:color w:val="auto"/>
                <w:sz w:val="24"/>
              </w:rPr>
            </w:pPr>
          </w:p>
        </w:tc>
        <w:tc>
          <w:tcPr>
            <w:tcW w:w="2040" w:type="dxa"/>
          </w:tcPr>
          <w:p>
            <w:pPr>
              <w:pStyle w:val="17"/>
              <w:spacing w:line="240" w:lineRule="atLeast"/>
              <w:ind w:left="1080" w:leftChars="257" w:hanging="540"/>
              <w:rPr>
                <w:rFonts w:ascii="仿宋" w:hAnsi="仿宋" w:eastAsia="仿宋" w:cs="仿宋"/>
                <w:color w:val="auto"/>
                <w:sz w:val="24"/>
              </w:rPr>
            </w:pPr>
          </w:p>
        </w:tc>
        <w:tc>
          <w:tcPr>
            <w:tcW w:w="2520" w:type="dxa"/>
          </w:tcPr>
          <w:p>
            <w:pPr>
              <w:pStyle w:val="17"/>
              <w:spacing w:line="240" w:lineRule="atLeast"/>
              <w:ind w:left="1080" w:leftChars="257" w:hanging="540"/>
              <w:rPr>
                <w:rFonts w:ascii="仿宋" w:hAnsi="仿宋" w:eastAsia="仿宋" w:cs="仿宋"/>
                <w:color w:val="auto"/>
                <w:sz w:val="24"/>
              </w:rPr>
            </w:pPr>
          </w:p>
        </w:tc>
        <w:tc>
          <w:tcPr>
            <w:tcW w:w="2520" w:type="dxa"/>
          </w:tcPr>
          <w:p>
            <w:pPr>
              <w:pStyle w:val="17"/>
              <w:spacing w:line="240" w:lineRule="atLeast"/>
              <w:ind w:left="1080" w:leftChars="257" w:hanging="540"/>
              <w:rPr>
                <w:rFonts w:ascii="仿宋" w:hAnsi="仿宋" w:eastAsia="仿宋" w:cs="仿宋"/>
                <w:color w:val="auto"/>
                <w:sz w:val="24"/>
              </w:rPr>
            </w:pPr>
          </w:p>
        </w:tc>
        <w:tc>
          <w:tcPr>
            <w:tcW w:w="900" w:type="dxa"/>
          </w:tcPr>
          <w:p>
            <w:pPr>
              <w:pStyle w:val="17"/>
              <w:spacing w:line="240" w:lineRule="atLeast"/>
              <w:ind w:left="1080" w:leftChars="257" w:hanging="54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7"/>
              <w:spacing w:line="240" w:lineRule="atLeast"/>
              <w:ind w:left="1080" w:leftChars="257" w:hanging="540"/>
              <w:rPr>
                <w:rFonts w:ascii="仿宋" w:hAnsi="仿宋" w:eastAsia="仿宋" w:cs="仿宋"/>
                <w:color w:val="auto"/>
                <w:sz w:val="24"/>
              </w:rPr>
            </w:pPr>
          </w:p>
        </w:tc>
        <w:tc>
          <w:tcPr>
            <w:tcW w:w="2040" w:type="dxa"/>
          </w:tcPr>
          <w:p>
            <w:pPr>
              <w:pStyle w:val="17"/>
              <w:spacing w:line="240" w:lineRule="atLeast"/>
              <w:ind w:left="1080" w:leftChars="257" w:hanging="540"/>
              <w:rPr>
                <w:rFonts w:ascii="仿宋" w:hAnsi="仿宋" w:eastAsia="仿宋" w:cs="仿宋"/>
                <w:color w:val="auto"/>
                <w:sz w:val="24"/>
              </w:rPr>
            </w:pPr>
          </w:p>
        </w:tc>
        <w:tc>
          <w:tcPr>
            <w:tcW w:w="2520" w:type="dxa"/>
          </w:tcPr>
          <w:p>
            <w:pPr>
              <w:pStyle w:val="17"/>
              <w:spacing w:line="240" w:lineRule="atLeast"/>
              <w:ind w:left="1080" w:leftChars="257" w:hanging="540"/>
              <w:rPr>
                <w:rFonts w:ascii="仿宋" w:hAnsi="仿宋" w:eastAsia="仿宋" w:cs="仿宋"/>
                <w:color w:val="auto"/>
                <w:sz w:val="24"/>
              </w:rPr>
            </w:pPr>
          </w:p>
        </w:tc>
        <w:tc>
          <w:tcPr>
            <w:tcW w:w="2520" w:type="dxa"/>
          </w:tcPr>
          <w:p>
            <w:pPr>
              <w:pStyle w:val="17"/>
              <w:spacing w:line="240" w:lineRule="atLeast"/>
              <w:ind w:left="1080" w:leftChars="257" w:hanging="540"/>
              <w:rPr>
                <w:rFonts w:ascii="仿宋" w:hAnsi="仿宋" w:eastAsia="仿宋" w:cs="仿宋"/>
                <w:color w:val="auto"/>
                <w:sz w:val="24"/>
              </w:rPr>
            </w:pPr>
          </w:p>
        </w:tc>
        <w:tc>
          <w:tcPr>
            <w:tcW w:w="900" w:type="dxa"/>
          </w:tcPr>
          <w:p>
            <w:pPr>
              <w:pStyle w:val="17"/>
              <w:spacing w:line="240" w:lineRule="atLeast"/>
              <w:ind w:left="1080" w:leftChars="257" w:hanging="54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7"/>
              <w:spacing w:line="240" w:lineRule="atLeast"/>
              <w:ind w:left="1080" w:leftChars="257" w:hanging="540"/>
              <w:rPr>
                <w:rFonts w:ascii="仿宋" w:hAnsi="仿宋" w:eastAsia="仿宋" w:cs="仿宋"/>
                <w:color w:val="auto"/>
                <w:sz w:val="24"/>
              </w:rPr>
            </w:pPr>
          </w:p>
        </w:tc>
        <w:tc>
          <w:tcPr>
            <w:tcW w:w="2040" w:type="dxa"/>
          </w:tcPr>
          <w:p>
            <w:pPr>
              <w:pStyle w:val="17"/>
              <w:spacing w:line="240" w:lineRule="atLeast"/>
              <w:ind w:left="1080" w:leftChars="257" w:hanging="540"/>
              <w:rPr>
                <w:rFonts w:ascii="仿宋" w:hAnsi="仿宋" w:eastAsia="仿宋" w:cs="仿宋"/>
                <w:color w:val="auto"/>
                <w:sz w:val="24"/>
              </w:rPr>
            </w:pPr>
          </w:p>
        </w:tc>
        <w:tc>
          <w:tcPr>
            <w:tcW w:w="2520" w:type="dxa"/>
          </w:tcPr>
          <w:p>
            <w:pPr>
              <w:pStyle w:val="17"/>
              <w:spacing w:line="240" w:lineRule="atLeast"/>
              <w:ind w:left="1080" w:leftChars="257" w:hanging="540"/>
              <w:rPr>
                <w:rFonts w:ascii="仿宋" w:hAnsi="仿宋" w:eastAsia="仿宋" w:cs="仿宋"/>
                <w:color w:val="auto"/>
                <w:sz w:val="24"/>
              </w:rPr>
            </w:pPr>
          </w:p>
        </w:tc>
        <w:tc>
          <w:tcPr>
            <w:tcW w:w="2520" w:type="dxa"/>
          </w:tcPr>
          <w:p>
            <w:pPr>
              <w:pStyle w:val="17"/>
              <w:spacing w:line="240" w:lineRule="atLeast"/>
              <w:ind w:left="1080" w:leftChars="257" w:hanging="540"/>
              <w:rPr>
                <w:rFonts w:ascii="仿宋" w:hAnsi="仿宋" w:eastAsia="仿宋" w:cs="仿宋"/>
                <w:color w:val="auto"/>
                <w:sz w:val="24"/>
              </w:rPr>
            </w:pPr>
          </w:p>
        </w:tc>
        <w:tc>
          <w:tcPr>
            <w:tcW w:w="900" w:type="dxa"/>
          </w:tcPr>
          <w:p>
            <w:pPr>
              <w:pStyle w:val="17"/>
              <w:spacing w:line="240" w:lineRule="atLeast"/>
              <w:ind w:left="1080" w:leftChars="257" w:hanging="54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7"/>
              <w:spacing w:line="240" w:lineRule="atLeast"/>
              <w:ind w:left="1080" w:leftChars="257" w:hanging="540"/>
              <w:rPr>
                <w:rFonts w:ascii="仿宋" w:hAnsi="仿宋" w:eastAsia="仿宋" w:cs="仿宋"/>
                <w:color w:val="auto"/>
                <w:sz w:val="24"/>
              </w:rPr>
            </w:pPr>
          </w:p>
        </w:tc>
        <w:tc>
          <w:tcPr>
            <w:tcW w:w="2040" w:type="dxa"/>
          </w:tcPr>
          <w:p>
            <w:pPr>
              <w:pStyle w:val="17"/>
              <w:spacing w:line="240" w:lineRule="atLeast"/>
              <w:ind w:left="1080" w:leftChars="257" w:hanging="540"/>
              <w:rPr>
                <w:rFonts w:ascii="仿宋" w:hAnsi="仿宋" w:eastAsia="仿宋" w:cs="仿宋"/>
                <w:color w:val="auto"/>
                <w:sz w:val="24"/>
              </w:rPr>
            </w:pPr>
          </w:p>
        </w:tc>
        <w:tc>
          <w:tcPr>
            <w:tcW w:w="2520" w:type="dxa"/>
          </w:tcPr>
          <w:p>
            <w:pPr>
              <w:pStyle w:val="17"/>
              <w:spacing w:line="240" w:lineRule="atLeast"/>
              <w:ind w:left="1080" w:leftChars="257" w:hanging="540"/>
              <w:rPr>
                <w:rFonts w:ascii="仿宋" w:hAnsi="仿宋" w:eastAsia="仿宋" w:cs="仿宋"/>
                <w:color w:val="auto"/>
                <w:sz w:val="24"/>
              </w:rPr>
            </w:pPr>
          </w:p>
        </w:tc>
        <w:tc>
          <w:tcPr>
            <w:tcW w:w="2520" w:type="dxa"/>
          </w:tcPr>
          <w:p>
            <w:pPr>
              <w:pStyle w:val="17"/>
              <w:spacing w:line="240" w:lineRule="atLeast"/>
              <w:ind w:left="1080" w:leftChars="257" w:hanging="540"/>
              <w:rPr>
                <w:rFonts w:ascii="仿宋" w:hAnsi="仿宋" w:eastAsia="仿宋" w:cs="仿宋"/>
                <w:color w:val="auto"/>
                <w:sz w:val="24"/>
              </w:rPr>
            </w:pPr>
          </w:p>
        </w:tc>
        <w:tc>
          <w:tcPr>
            <w:tcW w:w="900" w:type="dxa"/>
          </w:tcPr>
          <w:p>
            <w:pPr>
              <w:pStyle w:val="17"/>
              <w:spacing w:line="240" w:lineRule="atLeast"/>
              <w:ind w:left="1080" w:leftChars="257" w:hanging="54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7"/>
              <w:spacing w:line="240" w:lineRule="atLeast"/>
              <w:ind w:left="1080" w:leftChars="257" w:hanging="540"/>
              <w:rPr>
                <w:rFonts w:ascii="仿宋" w:hAnsi="仿宋" w:eastAsia="仿宋" w:cs="仿宋"/>
                <w:color w:val="auto"/>
                <w:sz w:val="24"/>
              </w:rPr>
            </w:pPr>
          </w:p>
        </w:tc>
        <w:tc>
          <w:tcPr>
            <w:tcW w:w="2040" w:type="dxa"/>
          </w:tcPr>
          <w:p>
            <w:pPr>
              <w:pStyle w:val="17"/>
              <w:spacing w:line="240" w:lineRule="atLeast"/>
              <w:ind w:left="1080" w:leftChars="257" w:hanging="540"/>
              <w:rPr>
                <w:rFonts w:ascii="仿宋" w:hAnsi="仿宋" w:eastAsia="仿宋" w:cs="仿宋"/>
                <w:color w:val="auto"/>
                <w:sz w:val="24"/>
              </w:rPr>
            </w:pPr>
          </w:p>
        </w:tc>
        <w:tc>
          <w:tcPr>
            <w:tcW w:w="2520" w:type="dxa"/>
          </w:tcPr>
          <w:p>
            <w:pPr>
              <w:pStyle w:val="17"/>
              <w:spacing w:line="240" w:lineRule="atLeast"/>
              <w:ind w:left="1080" w:leftChars="257" w:hanging="540"/>
              <w:rPr>
                <w:rFonts w:ascii="仿宋" w:hAnsi="仿宋" w:eastAsia="仿宋" w:cs="仿宋"/>
                <w:color w:val="auto"/>
                <w:sz w:val="24"/>
              </w:rPr>
            </w:pPr>
          </w:p>
        </w:tc>
        <w:tc>
          <w:tcPr>
            <w:tcW w:w="2520" w:type="dxa"/>
          </w:tcPr>
          <w:p>
            <w:pPr>
              <w:pStyle w:val="17"/>
              <w:spacing w:line="240" w:lineRule="atLeast"/>
              <w:ind w:left="1080" w:leftChars="257" w:hanging="540"/>
              <w:rPr>
                <w:rFonts w:ascii="仿宋" w:hAnsi="仿宋" w:eastAsia="仿宋" w:cs="仿宋"/>
                <w:color w:val="auto"/>
                <w:sz w:val="24"/>
              </w:rPr>
            </w:pPr>
          </w:p>
        </w:tc>
        <w:tc>
          <w:tcPr>
            <w:tcW w:w="900" w:type="dxa"/>
          </w:tcPr>
          <w:p>
            <w:pPr>
              <w:pStyle w:val="17"/>
              <w:spacing w:line="240" w:lineRule="atLeast"/>
              <w:ind w:left="1080" w:leftChars="257" w:hanging="54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7"/>
              <w:spacing w:line="240" w:lineRule="atLeast"/>
              <w:ind w:left="1080" w:leftChars="257" w:hanging="540"/>
              <w:rPr>
                <w:rFonts w:ascii="仿宋" w:hAnsi="仿宋" w:eastAsia="仿宋" w:cs="仿宋"/>
                <w:color w:val="auto"/>
                <w:sz w:val="24"/>
              </w:rPr>
            </w:pPr>
          </w:p>
        </w:tc>
        <w:tc>
          <w:tcPr>
            <w:tcW w:w="2040" w:type="dxa"/>
          </w:tcPr>
          <w:p>
            <w:pPr>
              <w:pStyle w:val="17"/>
              <w:spacing w:line="240" w:lineRule="atLeast"/>
              <w:ind w:left="1080" w:leftChars="257" w:hanging="540"/>
              <w:rPr>
                <w:rFonts w:ascii="仿宋" w:hAnsi="仿宋" w:eastAsia="仿宋" w:cs="仿宋"/>
                <w:color w:val="auto"/>
                <w:sz w:val="24"/>
              </w:rPr>
            </w:pPr>
          </w:p>
        </w:tc>
        <w:tc>
          <w:tcPr>
            <w:tcW w:w="2520" w:type="dxa"/>
          </w:tcPr>
          <w:p>
            <w:pPr>
              <w:pStyle w:val="17"/>
              <w:spacing w:line="240" w:lineRule="atLeast"/>
              <w:ind w:left="1080" w:leftChars="257" w:hanging="540"/>
              <w:rPr>
                <w:rFonts w:ascii="仿宋" w:hAnsi="仿宋" w:eastAsia="仿宋" w:cs="仿宋"/>
                <w:color w:val="auto"/>
                <w:sz w:val="24"/>
              </w:rPr>
            </w:pPr>
          </w:p>
        </w:tc>
        <w:tc>
          <w:tcPr>
            <w:tcW w:w="2520" w:type="dxa"/>
          </w:tcPr>
          <w:p>
            <w:pPr>
              <w:pStyle w:val="17"/>
              <w:spacing w:line="240" w:lineRule="atLeast"/>
              <w:ind w:left="1080" w:leftChars="257" w:hanging="540"/>
              <w:rPr>
                <w:rFonts w:ascii="仿宋" w:hAnsi="仿宋" w:eastAsia="仿宋" w:cs="仿宋"/>
                <w:color w:val="auto"/>
                <w:sz w:val="24"/>
              </w:rPr>
            </w:pPr>
          </w:p>
        </w:tc>
        <w:tc>
          <w:tcPr>
            <w:tcW w:w="900" w:type="dxa"/>
          </w:tcPr>
          <w:p>
            <w:pPr>
              <w:pStyle w:val="17"/>
              <w:spacing w:line="240" w:lineRule="atLeast"/>
              <w:ind w:left="1080" w:leftChars="257" w:hanging="54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7"/>
              <w:spacing w:line="240" w:lineRule="atLeast"/>
              <w:ind w:left="1080" w:leftChars="257" w:hanging="540"/>
              <w:rPr>
                <w:rFonts w:ascii="仿宋" w:hAnsi="仿宋" w:eastAsia="仿宋" w:cs="仿宋"/>
                <w:color w:val="auto"/>
                <w:sz w:val="24"/>
              </w:rPr>
            </w:pPr>
          </w:p>
        </w:tc>
        <w:tc>
          <w:tcPr>
            <w:tcW w:w="2040" w:type="dxa"/>
          </w:tcPr>
          <w:p>
            <w:pPr>
              <w:pStyle w:val="17"/>
              <w:spacing w:line="240" w:lineRule="atLeast"/>
              <w:ind w:left="1080" w:leftChars="257" w:hanging="540"/>
              <w:rPr>
                <w:rFonts w:ascii="仿宋" w:hAnsi="仿宋" w:eastAsia="仿宋" w:cs="仿宋"/>
                <w:color w:val="auto"/>
                <w:sz w:val="24"/>
              </w:rPr>
            </w:pPr>
          </w:p>
        </w:tc>
        <w:tc>
          <w:tcPr>
            <w:tcW w:w="2520" w:type="dxa"/>
          </w:tcPr>
          <w:p>
            <w:pPr>
              <w:pStyle w:val="17"/>
              <w:spacing w:line="240" w:lineRule="atLeast"/>
              <w:ind w:left="1080" w:leftChars="257" w:hanging="540"/>
              <w:rPr>
                <w:rFonts w:ascii="仿宋" w:hAnsi="仿宋" w:eastAsia="仿宋" w:cs="仿宋"/>
                <w:color w:val="auto"/>
                <w:sz w:val="24"/>
              </w:rPr>
            </w:pPr>
          </w:p>
        </w:tc>
        <w:tc>
          <w:tcPr>
            <w:tcW w:w="2520" w:type="dxa"/>
          </w:tcPr>
          <w:p>
            <w:pPr>
              <w:pStyle w:val="17"/>
              <w:spacing w:line="240" w:lineRule="atLeast"/>
              <w:ind w:left="1080" w:leftChars="257" w:hanging="540"/>
              <w:rPr>
                <w:rFonts w:ascii="仿宋" w:hAnsi="仿宋" w:eastAsia="仿宋" w:cs="仿宋"/>
                <w:color w:val="auto"/>
                <w:sz w:val="24"/>
              </w:rPr>
            </w:pPr>
          </w:p>
        </w:tc>
        <w:tc>
          <w:tcPr>
            <w:tcW w:w="900" w:type="dxa"/>
          </w:tcPr>
          <w:p>
            <w:pPr>
              <w:pStyle w:val="17"/>
              <w:spacing w:line="240" w:lineRule="atLeast"/>
              <w:ind w:left="1080" w:leftChars="257" w:hanging="54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7"/>
              <w:spacing w:line="240" w:lineRule="atLeast"/>
              <w:ind w:left="1080" w:leftChars="257" w:hanging="540"/>
              <w:rPr>
                <w:rFonts w:ascii="仿宋" w:hAnsi="仿宋" w:eastAsia="仿宋" w:cs="仿宋"/>
                <w:color w:val="auto"/>
                <w:sz w:val="24"/>
              </w:rPr>
            </w:pPr>
          </w:p>
        </w:tc>
        <w:tc>
          <w:tcPr>
            <w:tcW w:w="2040" w:type="dxa"/>
          </w:tcPr>
          <w:p>
            <w:pPr>
              <w:pStyle w:val="17"/>
              <w:spacing w:line="240" w:lineRule="atLeast"/>
              <w:ind w:left="1080" w:leftChars="257" w:hanging="540"/>
              <w:rPr>
                <w:rFonts w:ascii="仿宋" w:hAnsi="仿宋" w:eastAsia="仿宋" w:cs="仿宋"/>
                <w:color w:val="auto"/>
                <w:sz w:val="24"/>
              </w:rPr>
            </w:pPr>
          </w:p>
        </w:tc>
        <w:tc>
          <w:tcPr>
            <w:tcW w:w="2520" w:type="dxa"/>
          </w:tcPr>
          <w:p>
            <w:pPr>
              <w:pStyle w:val="17"/>
              <w:spacing w:line="240" w:lineRule="atLeast"/>
              <w:ind w:left="1080" w:leftChars="257" w:hanging="540"/>
              <w:rPr>
                <w:rFonts w:ascii="仿宋" w:hAnsi="仿宋" w:eastAsia="仿宋" w:cs="仿宋"/>
                <w:color w:val="auto"/>
                <w:sz w:val="24"/>
              </w:rPr>
            </w:pPr>
          </w:p>
        </w:tc>
        <w:tc>
          <w:tcPr>
            <w:tcW w:w="2520" w:type="dxa"/>
          </w:tcPr>
          <w:p>
            <w:pPr>
              <w:pStyle w:val="17"/>
              <w:spacing w:line="240" w:lineRule="atLeast"/>
              <w:ind w:left="1080" w:leftChars="257" w:hanging="540"/>
              <w:rPr>
                <w:rFonts w:ascii="仿宋" w:hAnsi="仿宋" w:eastAsia="仿宋" w:cs="仿宋"/>
                <w:color w:val="auto"/>
                <w:sz w:val="24"/>
              </w:rPr>
            </w:pPr>
          </w:p>
        </w:tc>
        <w:tc>
          <w:tcPr>
            <w:tcW w:w="900" w:type="dxa"/>
          </w:tcPr>
          <w:p>
            <w:pPr>
              <w:pStyle w:val="17"/>
              <w:spacing w:line="240" w:lineRule="atLeast"/>
              <w:ind w:left="1080" w:leftChars="257" w:hanging="540"/>
              <w:rPr>
                <w:rFonts w:ascii="仿宋" w:hAnsi="仿宋" w:eastAsia="仿宋" w:cs="仿宋"/>
                <w:color w:val="auto"/>
                <w:sz w:val="24"/>
              </w:rPr>
            </w:pPr>
          </w:p>
        </w:tc>
      </w:tr>
    </w:tbl>
    <w:p>
      <w:pPr>
        <w:pStyle w:val="17"/>
        <w:spacing w:line="240" w:lineRule="atLeast"/>
        <w:ind w:left="1080" w:leftChars="257" w:hanging="540"/>
        <w:rPr>
          <w:rFonts w:ascii="仿宋" w:hAnsi="仿宋" w:eastAsia="仿宋" w:cs="仿宋"/>
          <w:color w:val="auto"/>
          <w:sz w:val="24"/>
        </w:rPr>
      </w:pPr>
    </w:p>
    <w:p>
      <w:pPr>
        <w:pStyle w:val="17"/>
        <w:spacing w:line="240" w:lineRule="atLeast"/>
        <w:ind w:left="1080" w:leftChars="257" w:hanging="540"/>
        <w:rPr>
          <w:rFonts w:ascii="仿宋" w:hAnsi="仿宋" w:eastAsia="仿宋" w:cs="仿宋"/>
          <w:color w:val="auto"/>
          <w:sz w:val="24"/>
        </w:rPr>
      </w:pPr>
    </w:p>
    <w:p>
      <w:pPr>
        <w:pStyle w:val="17"/>
        <w:keepNext w:val="0"/>
        <w:keepLines w:val="0"/>
        <w:pageBreakBefore w:val="0"/>
        <w:widowControl w:val="0"/>
        <w:kinsoku/>
        <w:wordWrap/>
        <w:overflowPunct/>
        <w:topLinePunct w:val="0"/>
        <w:autoSpaceDE/>
        <w:autoSpaceDN/>
        <w:bidi w:val="0"/>
        <w:adjustRightInd/>
        <w:snapToGrid/>
        <w:spacing w:line="560" w:lineRule="exact"/>
        <w:ind w:left="1079" w:leftChars="257" w:hanging="539"/>
        <w:textAlignment w:val="auto"/>
        <w:rPr>
          <w:rFonts w:ascii="仿宋" w:hAnsi="仿宋" w:eastAsia="仿宋" w:cs="仿宋"/>
          <w:color w:val="auto"/>
          <w:sz w:val="24"/>
        </w:rPr>
      </w:pPr>
      <w:r>
        <w:rPr>
          <w:rFonts w:hint="eastAsia" w:ascii="仿宋" w:hAnsi="仿宋" w:eastAsia="仿宋" w:cs="仿宋"/>
          <w:color w:val="auto"/>
          <w:sz w:val="24"/>
        </w:rPr>
        <w:t>法定代表人或其委托代理人签字:</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rPr>
        <w:tab/>
      </w:r>
      <w:r>
        <w:rPr>
          <w:rFonts w:hint="eastAsia" w:ascii="仿宋" w:hAnsi="仿宋" w:eastAsia="仿宋" w:cs="仿宋"/>
          <w:color w:val="auto"/>
          <w:sz w:val="24"/>
          <w:u w:val="single"/>
        </w:rPr>
        <w:t xml:space="preserve">                 </w:t>
      </w:r>
    </w:p>
    <w:p>
      <w:pPr>
        <w:pStyle w:val="17"/>
        <w:keepNext w:val="0"/>
        <w:keepLines w:val="0"/>
        <w:pageBreakBefore w:val="0"/>
        <w:widowControl w:val="0"/>
        <w:tabs>
          <w:tab w:val="left" w:pos="5370"/>
        </w:tabs>
        <w:kinsoku/>
        <w:wordWrap/>
        <w:overflowPunct/>
        <w:topLinePunct w:val="0"/>
        <w:autoSpaceDE/>
        <w:autoSpaceDN/>
        <w:bidi w:val="0"/>
        <w:adjustRightInd/>
        <w:snapToGrid/>
        <w:spacing w:line="560" w:lineRule="exact"/>
        <w:ind w:left="1079" w:leftChars="257" w:hanging="539"/>
        <w:textAlignment w:val="auto"/>
        <w:rPr>
          <w:rFonts w:ascii="仿宋" w:hAnsi="仿宋" w:eastAsia="仿宋" w:cs="仿宋"/>
          <w:color w:val="auto"/>
          <w:sz w:val="24"/>
          <w:u w:val="single"/>
        </w:rPr>
      </w:pPr>
      <w:r>
        <w:rPr>
          <w:rFonts w:hint="eastAsia" w:ascii="仿宋" w:hAnsi="仿宋" w:eastAsia="仿宋" w:cs="仿宋"/>
          <w:color w:val="auto"/>
          <w:sz w:val="24"/>
        </w:rPr>
        <w:t>供应商(盖单位章):</w:t>
      </w:r>
      <w:r>
        <w:rPr>
          <w:rFonts w:hint="eastAsia" w:ascii="仿宋" w:hAnsi="仿宋" w:eastAsia="仿宋" w:cs="仿宋"/>
          <w:color w:val="auto"/>
          <w:sz w:val="24"/>
          <w:u w:val="single"/>
        </w:rPr>
        <w:tab/>
      </w:r>
    </w:p>
    <w:p>
      <w:pPr>
        <w:pStyle w:val="17"/>
        <w:spacing w:line="240" w:lineRule="atLeast"/>
        <w:rPr>
          <w:rFonts w:ascii="仿宋" w:hAnsi="仿宋" w:eastAsia="仿宋" w:cs="仿宋"/>
          <w:color w:val="auto"/>
          <w:sz w:val="24"/>
        </w:rPr>
      </w:pPr>
    </w:p>
    <w:p>
      <w:pPr>
        <w:pStyle w:val="17"/>
        <w:spacing w:line="240" w:lineRule="atLeast"/>
        <w:rPr>
          <w:rFonts w:ascii="仿宋" w:hAnsi="仿宋" w:eastAsia="仿宋" w:cs="仿宋"/>
          <w:color w:val="auto"/>
          <w:sz w:val="24"/>
        </w:rPr>
      </w:pPr>
    </w:p>
    <w:p>
      <w:pPr>
        <w:pStyle w:val="17"/>
        <w:spacing w:line="240" w:lineRule="atLeast"/>
        <w:rPr>
          <w:rFonts w:ascii="仿宋" w:hAnsi="仿宋" w:eastAsia="仿宋" w:cs="仿宋"/>
          <w:color w:val="auto"/>
          <w:sz w:val="24"/>
        </w:rPr>
      </w:pPr>
    </w:p>
    <w:p>
      <w:pPr>
        <w:pStyle w:val="17"/>
        <w:spacing w:line="240" w:lineRule="atLeast"/>
        <w:rPr>
          <w:rFonts w:ascii="仿宋" w:hAnsi="仿宋" w:eastAsia="仿宋" w:cs="仿宋"/>
          <w:color w:val="auto"/>
          <w:sz w:val="24"/>
        </w:rPr>
      </w:pPr>
    </w:p>
    <w:p>
      <w:pPr>
        <w:ind w:firstLine="6600" w:firstLineChars="2750"/>
        <w:rPr>
          <w:rFonts w:ascii="仿宋" w:hAnsi="仿宋" w:eastAsia="仿宋" w:cs="仿宋"/>
          <w:color w:val="auto"/>
          <w:sz w:val="24"/>
        </w:rPr>
      </w:pPr>
      <w:bookmarkStart w:id="247" w:name="_Hlt520350918"/>
      <w:bookmarkEnd w:id="247"/>
      <w:bookmarkStart w:id="248" w:name="_Hlt520273973"/>
      <w:bookmarkEnd w:id="248"/>
      <w:bookmarkStart w:id="249" w:name="_Hlt520274393"/>
      <w:bookmarkEnd w:id="249"/>
      <w:bookmarkStart w:id="250" w:name="_Hlt520274065"/>
      <w:bookmarkEnd w:id="250"/>
      <w:bookmarkStart w:id="251" w:name="_Hlt520274407"/>
      <w:bookmarkEnd w:id="251"/>
      <w:bookmarkStart w:id="252" w:name="_Hlt520350957"/>
      <w:bookmarkEnd w:id="252"/>
      <w:bookmarkStart w:id="253" w:name="_Hlt520274911"/>
      <w:bookmarkEnd w:id="253"/>
      <w:bookmarkStart w:id="254" w:name="_Hlt520271212"/>
      <w:bookmarkEnd w:id="254"/>
      <w:bookmarkStart w:id="255" w:name="_Hlt520343392"/>
      <w:bookmarkEnd w:id="255"/>
      <w:bookmarkStart w:id="256" w:name="_Hlt520343000"/>
      <w:bookmarkEnd w:id="256"/>
      <w:bookmarkStart w:id="257" w:name="_Hlt520273711"/>
      <w:bookmarkEnd w:id="257"/>
      <w:r>
        <w:rPr>
          <w:rFonts w:hint="eastAsia" w:ascii="仿宋" w:hAnsi="仿宋" w:eastAsia="仿宋" w:cs="仿宋"/>
          <w:color w:val="auto"/>
          <w:sz w:val="24"/>
        </w:rPr>
        <w:t xml:space="preserve">  </w:t>
      </w:r>
    </w:p>
    <w:p>
      <w:pPr>
        <w:rPr>
          <w:color w:val="auto"/>
        </w:rPr>
      </w:pPr>
      <w:bookmarkStart w:id="258" w:name="_Toc518923120"/>
      <w:bookmarkStart w:id="259" w:name="_Toc480"/>
    </w:p>
    <w:p>
      <w:pPr>
        <w:pStyle w:val="8"/>
        <w:spacing w:before="0" w:line="240" w:lineRule="atLeast"/>
        <w:jc w:val="center"/>
        <w:rPr>
          <w:rFonts w:ascii="仿宋" w:hAnsi="仿宋" w:eastAsia="仿宋" w:cs="仿宋"/>
          <w:b w:val="0"/>
          <w:color w:val="auto"/>
          <w:sz w:val="24"/>
        </w:rPr>
      </w:pPr>
      <w:bookmarkStart w:id="260" w:name="_Toc8774"/>
      <w:bookmarkStart w:id="261" w:name="_Toc5603"/>
      <w:r>
        <w:rPr>
          <w:rFonts w:hint="eastAsia" w:ascii="仿宋" w:hAnsi="仿宋" w:eastAsia="仿宋" w:cs="仿宋"/>
          <w:color w:val="auto"/>
          <w:sz w:val="24"/>
        </w:rPr>
        <w:t xml:space="preserve">5-1 </w:t>
      </w:r>
      <w:r>
        <w:rPr>
          <w:rFonts w:hint="eastAsia" w:ascii="仿宋" w:hAnsi="仿宋" w:eastAsia="仿宋" w:cs="仿宋"/>
          <w:b w:val="0"/>
          <w:color w:val="auto"/>
          <w:sz w:val="24"/>
        </w:rPr>
        <w:t xml:space="preserve"> </w:t>
      </w:r>
      <w:r>
        <w:rPr>
          <w:rFonts w:hint="eastAsia" w:ascii="仿宋" w:hAnsi="仿宋" w:eastAsia="仿宋" w:cs="仿宋"/>
          <w:color w:val="auto"/>
          <w:sz w:val="24"/>
        </w:rPr>
        <w:t>供应商企业（单位）类型声明函（投标文件格式</w:t>
      </w:r>
      <w:r>
        <w:rPr>
          <w:rFonts w:hint="eastAsia" w:ascii="仿宋" w:hAnsi="仿宋" w:eastAsia="仿宋" w:cs="仿宋"/>
          <w:color w:val="auto"/>
          <w:sz w:val="24"/>
          <w:lang w:val="en-US" w:eastAsia="zh-CN"/>
        </w:rPr>
        <w:t>五</w:t>
      </w:r>
      <w:r>
        <w:rPr>
          <w:rFonts w:hint="eastAsia" w:ascii="仿宋" w:hAnsi="仿宋" w:eastAsia="仿宋" w:cs="仿宋"/>
          <w:color w:val="auto"/>
          <w:sz w:val="24"/>
        </w:rPr>
        <w:t>）</w:t>
      </w:r>
      <w:bookmarkEnd w:id="258"/>
      <w:bookmarkEnd w:id="259"/>
      <w:bookmarkEnd w:id="260"/>
      <w:bookmarkEnd w:id="261"/>
    </w:p>
    <w:p>
      <w:pPr>
        <w:spacing w:line="240" w:lineRule="atLeast"/>
        <w:ind w:left="1080" w:leftChars="257" w:hanging="540"/>
        <w:jc w:val="center"/>
        <w:rPr>
          <w:rFonts w:ascii="仿宋" w:hAnsi="仿宋" w:eastAsia="仿宋" w:cs="仿宋"/>
          <w:b/>
          <w:color w:val="auto"/>
          <w:kern w:val="0"/>
          <w:sz w:val="24"/>
          <w:szCs w:val="20"/>
        </w:rPr>
      </w:pPr>
    </w:p>
    <w:p>
      <w:pPr>
        <w:widowControl/>
        <w:spacing w:before="100" w:beforeAutospacing="1" w:after="100" w:afterAutospacing="1" w:line="330" w:lineRule="atLeast"/>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本企业（单位）郑重声明下列事项（按照实际情况勾选或填空）：</w:t>
      </w:r>
    </w:p>
    <w:p>
      <w:pPr>
        <w:widowControl/>
        <w:spacing w:before="100" w:beforeAutospacing="1" w:after="100" w:afterAutospacing="1" w:line="330" w:lineRule="atLeast"/>
        <w:ind w:firstLine="420"/>
        <w:jc w:val="left"/>
        <w:rPr>
          <w:rFonts w:ascii="仿宋" w:hAnsi="仿宋" w:eastAsia="仿宋" w:cs="仿宋"/>
          <w:color w:val="auto"/>
          <w:kern w:val="0"/>
          <w:sz w:val="24"/>
        </w:rPr>
      </w:pPr>
      <w:r>
        <w:rPr>
          <w:rFonts w:hint="eastAsia" w:ascii="仿宋" w:hAnsi="仿宋" w:eastAsia="仿宋" w:cs="仿宋"/>
          <w:color w:val="auto"/>
          <w:kern w:val="0"/>
          <w:sz w:val="24"/>
        </w:rPr>
        <w:t>1.□本企业（单位）为直接供应商，提供本企业（单位）服务。</w:t>
      </w:r>
    </w:p>
    <w:p>
      <w:pPr>
        <w:widowControl/>
        <w:spacing w:before="100" w:beforeAutospacing="1" w:after="100" w:afterAutospacing="1" w:line="330" w:lineRule="atLeast"/>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1）根据《工业和信息化部、国家统计局、国家发展和改革委员会、财政部关于印发中小企业划型标准规定的通知》（工信部联企业[2011]300号）规定的划分标准，本企业为______（请填写：中型、小型、微型）企业。</w:t>
      </w:r>
    </w:p>
    <w:p>
      <w:pPr>
        <w:widowControl/>
        <w:spacing w:before="100" w:beforeAutospacing="1" w:after="100" w:afterAutospacing="1" w:line="330" w:lineRule="atLeast"/>
        <w:ind w:firstLine="420"/>
        <w:jc w:val="left"/>
        <w:rPr>
          <w:rFonts w:ascii="仿宋" w:hAnsi="仿宋" w:eastAsia="仿宋" w:cs="仿宋"/>
          <w:color w:val="auto"/>
          <w:kern w:val="0"/>
          <w:sz w:val="24"/>
        </w:rPr>
      </w:pPr>
      <w:r>
        <w:rPr>
          <w:rFonts w:hint="eastAsia" w:ascii="仿宋" w:hAnsi="仿宋" w:eastAsia="仿宋" w:cs="仿宋"/>
          <w:color w:val="auto"/>
          <w:kern w:val="0"/>
          <w:sz w:val="24"/>
        </w:rPr>
        <w:t>（2）本企业</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（请填写：是、不是）监狱企业。后附省级以上监狱管理局、戒毒管理局（含新疆生产建设兵团）出具的属于监狱企业的证明文件。</w:t>
      </w:r>
    </w:p>
    <w:p>
      <w:pPr>
        <w:widowControl/>
        <w:spacing w:before="100" w:beforeAutospacing="1" w:after="100" w:afterAutospacing="1" w:line="330" w:lineRule="atLeast"/>
        <w:ind w:firstLine="420"/>
        <w:jc w:val="left"/>
        <w:rPr>
          <w:rFonts w:ascii="仿宋" w:hAnsi="仿宋" w:eastAsia="仿宋" w:cs="仿宋"/>
          <w:color w:val="auto"/>
          <w:kern w:val="0"/>
          <w:sz w:val="24"/>
        </w:rPr>
      </w:pPr>
      <w:r>
        <w:rPr>
          <w:rFonts w:hint="eastAsia" w:ascii="仿宋" w:hAnsi="仿宋" w:eastAsia="仿宋" w:cs="仿宋"/>
          <w:color w:val="auto"/>
          <w:kern w:val="0"/>
          <w:sz w:val="24"/>
        </w:rPr>
        <w:t>（3）根据《关于促进残疾人就业政府采购政策的通知》（财库〔2017〕141号）。本单位</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（请填写：是、不是）残疾人福利性单位。</w:t>
      </w:r>
    </w:p>
    <w:p>
      <w:pPr>
        <w:widowControl/>
        <w:spacing w:before="100" w:beforeAutospacing="1" w:after="100" w:afterAutospacing="1" w:line="330" w:lineRule="atLeast"/>
        <w:ind w:firstLine="420"/>
        <w:jc w:val="left"/>
        <w:rPr>
          <w:rFonts w:ascii="仿宋" w:hAnsi="仿宋" w:eastAsia="仿宋" w:cs="仿宋"/>
          <w:color w:val="auto"/>
          <w:kern w:val="0"/>
          <w:sz w:val="24"/>
        </w:rPr>
      </w:pPr>
      <w:r>
        <w:rPr>
          <w:rFonts w:hint="eastAsia" w:ascii="仿宋" w:hAnsi="仿宋" w:eastAsia="仿宋" w:cs="仿宋"/>
          <w:color w:val="auto"/>
          <w:kern w:val="0"/>
          <w:sz w:val="24"/>
        </w:rPr>
        <w:t>2.□本项目提供伴随货物，由其他______（请填写：中型、小型、微型）企业、监狱企业或残疾人福利性单位制造。本条所称货物不包括使用大型企业注册商标的货物。（后附制造商企业（单位）类型声明函）</w:t>
      </w:r>
    </w:p>
    <w:p>
      <w:pPr>
        <w:widowControl/>
        <w:spacing w:before="100" w:beforeAutospacing="1" w:after="100" w:afterAutospacing="1" w:line="330" w:lineRule="atLeast"/>
        <w:ind w:firstLine="420"/>
        <w:jc w:val="left"/>
        <w:rPr>
          <w:rFonts w:ascii="仿宋" w:hAnsi="仿宋" w:eastAsia="仿宋" w:cs="仿宋"/>
          <w:color w:val="auto"/>
          <w:kern w:val="0"/>
          <w:sz w:val="24"/>
        </w:rPr>
      </w:pPr>
      <w:r>
        <w:rPr>
          <w:rFonts w:hint="eastAsia" w:ascii="仿宋" w:hAnsi="仿宋" w:eastAsia="仿宋" w:cs="仿宋"/>
          <w:color w:val="auto"/>
          <w:kern w:val="0"/>
          <w:sz w:val="24"/>
        </w:rPr>
        <w:t>3.□本企业（单位）为联合体一方，提供本企业（单位）制造的货物，由本企业（单位）承担工程、提供服务。本企业（单位）提供协议合同金额占到共同投标协议合同总金额的比例为</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w:t>
      </w:r>
    </w:p>
    <w:p>
      <w:pPr>
        <w:widowControl/>
        <w:spacing w:before="100" w:beforeAutospacing="1" w:after="100" w:afterAutospacing="1" w:line="330" w:lineRule="atLeast"/>
        <w:jc w:val="left"/>
        <w:rPr>
          <w:rFonts w:ascii="仿宋" w:hAnsi="仿宋" w:eastAsia="仿宋" w:cs="仿宋"/>
          <w:color w:val="auto"/>
          <w:kern w:val="0"/>
          <w:sz w:val="24"/>
        </w:rPr>
      </w:pPr>
      <w:r>
        <w:rPr>
          <w:rFonts w:hint="eastAsia" w:ascii="仿宋" w:hAnsi="仿宋" w:eastAsia="仿宋" w:cs="仿宋"/>
          <w:color w:val="auto"/>
          <w:kern w:val="0"/>
          <w:sz w:val="24"/>
        </w:rPr>
        <w:t>本企业（单位）对上述声明的真实性负责。如有虚假，将依法承担相应责任。</w:t>
      </w:r>
    </w:p>
    <w:p>
      <w:pPr>
        <w:pStyle w:val="4"/>
        <w:ind w:firstLine="480"/>
        <w:rPr>
          <w:rFonts w:ascii="仿宋" w:hAnsi="仿宋" w:eastAsia="仿宋" w:cs="仿宋"/>
          <w:color w:val="auto"/>
          <w:kern w:val="0"/>
        </w:rPr>
      </w:pPr>
      <w:r>
        <w:rPr>
          <w:rFonts w:hint="eastAsia" w:ascii="仿宋" w:hAnsi="仿宋" w:eastAsia="仿宋" w:cs="仿宋"/>
          <w:color w:val="auto"/>
          <w:kern w:val="0"/>
        </w:rPr>
        <w:t>注:小微企业须提供以下证明材料</w:t>
      </w:r>
    </w:p>
    <w:p>
      <w:pPr>
        <w:pStyle w:val="4"/>
        <w:ind w:firstLine="480"/>
        <w:rPr>
          <w:rFonts w:ascii="仿宋" w:hAnsi="仿宋" w:eastAsia="仿宋" w:cs="仿宋"/>
          <w:color w:val="auto"/>
          <w:kern w:val="0"/>
        </w:rPr>
      </w:pPr>
      <w:r>
        <w:rPr>
          <w:rFonts w:hint="eastAsia" w:ascii="仿宋" w:hAnsi="仿宋" w:eastAsia="仿宋" w:cs="仿宋"/>
          <w:color w:val="auto"/>
          <w:kern w:val="0"/>
        </w:rPr>
        <w:t>1.中小企业声明函</w:t>
      </w:r>
    </w:p>
    <w:p>
      <w:pPr>
        <w:pStyle w:val="4"/>
        <w:ind w:firstLine="480"/>
        <w:rPr>
          <w:rFonts w:ascii="仿宋" w:hAnsi="仿宋" w:eastAsia="仿宋" w:cs="仿宋"/>
          <w:color w:val="auto"/>
          <w:kern w:val="0"/>
        </w:rPr>
      </w:pPr>
      <w:r>
        <w:rPr>
          <w:rFonts w:hint="eastAsia" w:ascii="仿宋" w:hAnsi="仿宋" w:eastAsia="仿宋" w:cs="仿宋"/>
          <w:color w:val="auto"/>
          <w:kern w:val="0"/>
        </w:rPr>
        <w:t>2.各行业主管部门出具的小微企业证明材料或政府网站“小微企业名录”查询截图。</w:t>
      </w:r>
    </w:p>
    <w:p>
      <w:pPr>
        <w:pStyle w:val="4"/>
        <w:ind w:firstLine="480"/>
        <w:rPr>
          <w:rFonts w:ascii="仿宋" w:hAnsi="仿宋" w:eastAsia="仿宋" w:cs="仿宋"/>
          <w:color w:val="auto"/>
          <w:kern w:val="0"/>
        </w:rPr>
      </w:pPr>
      <w:r>
        <w:rPr>
          <w:rFonts w:hint="eastAsia" w:ascii="仿宋" w:hAnsi="仿宋" w:eastAsia="仿宋" w:cs="仿宋"/>
          <w:color w:val="auto"/>
          <w:kern w:val="0"/>
        </w:rPr>
        <w:t>3.投标货物是小微企业自身或其它小微企业生产的证明材料。</w:t>
      </w:r>
    </w:p>
    <w:p>
      <w:pPr>
        <w:widowControl/>
        <w:spacing w:before="100" w:beforeAutospacing="1" w:after="100" w:afterAutospacing="1" w:line="330" w:lineRule="atLeast"/>
        <w:jc w:val="left"/>
        <w:rPr>
          <w:rFonts w:ascii="仿宋" w:hAnsi="仿宋" w:eastAsia="仿宋" w:cs="仿宋"/>
          <w:color w:val="auto"/>
          <w:kern w:val="0"/>
          <w:sz w:val="24"/>
        </w:rPr>
      </w:pPr>
      <w:r>
        <w:rPr>
          <w:rFonts w:hint="eastAsia" w:ascii="仿宋" w:hAnsi="仿宋" w:eastAsia="仿宋" w:cs="仿宋"/>
          <w:color w:val="auto"/>
          <w:kern w:val="0"/>
          <w:sz w:val="24"/>
        </w:rPr>
        <w:t>　　</w:t>
      </w:r>
    </w:p>
    <w:p>
      <w:pPr>
        <w:spacing w:line="240" w:lineRule="atLeast"/>
        <w:ind w:left="1080" w:leftChars="257" w:hanging="540"/>
        <w:jc w:val="center"/>
        <w:rPr>
          <w:rFonts w:ascii="仿宋" w:hAnsi="仿宋" w:eastAsia="仿宋" w:cs="仿宋"/>
          <w:b/>
          <w:color w:val="auto"/>
          <w:kern w:val="0"/>
          <w:sz w:val="24"/>
          <w:szCs w:val="20"/>
        </w:rPr>
      </w:pPr>
      <w:r>
        <w:rPr>
          <w:rFonts w:hint="eastAsia" w:ascii="仿宋" w:hAnsi="仿宋" w:eastAsia="仿宋" w:cs="仿宋"/>
          <w:b/>
          <w:color w:val="auto"/>
          <w:kern w:val="0"/>
          <w:sz w:val="24"/>
          <w:szCs w:val="20"/>
        </w:rPr>
        <w:t>　</w:t>
      </w:r>
    </w:p>
    <w:p>
      <w:pPr>
        <w:widowControl/>
        <w:spacing w:before="100" w:beforeAutospacing="1" w:after="100" w:afterAutospacing="1" w:line="330" w:lineRule="atLeast"/>
        <w:ind w:firstLine="3960" w:firstLineChars="1650"/>
        <w:jc w:val="left"/>
        <w:rPr>
          <w:rFonts w:ascii="仿宋" w:hAnsi="仿宋" w:eastAsia="仿宋" w:cs="仿宋"/>
          <w:color w:val="auto"/>
          <w:kern w:val="0"/>
          <w:sz w:val="24"/>
        </w:rPr>
      </w:pPr>
      <w:r>
        <w:rPr>
          <w:rFonts w:hint="eastAsia" w:ascii="仿宋" w:hAnsi="仿宋" w:eastAsia="仿宋" w:cs="仿宋"/>
          <w:color w:val="auto"/>
          <w:kern w:val="0"/>
          <w:sz w:val="24"/>
        </w:rPr>
        <w:t>供应商名称（盖单位章）：</w:t>
      </w:r>
      <w:r>
        <w:rPr>
          <w:rFonts w:hint="eastAsia" w:ascii="仿宋" w:hAnsi="仿宋" w:eastAsia="仿宋" w:cs="仿宋"/>
          <w:color w:val="auto"/>
          <w:kern w:val="0"/>
          <w:sz w:val="24"/>
          <w:u w:val="single"/>
        </w:rPr>
        <w:t xml:space="preserve">             </w:t>
      </w:r>
    </w:p>
    <w:p>
      <w:pPr>
        <w:widowControl/>
        <w:spacing w:before="100" w:beforeAutospacing="1" w:after="100" w:afterAutospacing="1" w:line="330" w:lineRule="atLeast"/>
        <w:ind w:firstLine="3720" w:firstLineChars="1550"/>
        <w:jc w:val="left"/>
        <w:rPr>
          <w:rFonts w:ascii="仿宋" w:hAnsi="仿宋" w:eastAsia="仿宋" w:cs="仿宋"/>
          <w:color w:val="auto"/>
          <w:kern w:val="0"/>
          <w:sz w:val="24"/>
          <w:u w:val="single"/>
        </w:rPr>
      </w:pPr>
      <w:r>
        <w:rPr>
          <w:rFonts w:hint="eastAsia" w:ascii="仿宋" w:hAnsi="仿宋" w:eastAsia="仿宋" w:cs="仿宋"/>
          <w:color w:val="auto"/>
          <w:kern w:val="0"/>
          <w:sz w:val="24"/>
        </w:rPr>
        <w:t>　日　期：</w:t>
      </w:r>
      <w:r>
        <w:rPr>
          <w:rFonts w:hint="eastAsia" w:ascii="仿宋" w:hAnsi="仿宋" w:eastAsia="仿宋" w:cs="仿宋"/>
          <w:color w:val="auto"/>
          <w:kern w:val="0"/>
          <w:sz w:val="24"/>
          <w:u w:val="single"/>
        </w:rPr>
        <w:t xml:space="preserve">             </w:t>
      </w:r>
    </w:p>
    <w:p>
      <w:pPr>
        <w:widowControl/>
        <w:spacing w:before="100" w:beforeAutospacing="1" w:after="100" w:afterAutospacing="1" w:line="330" w:lineRule="atLeast"/>
        <w:ind w:firstLine="3720" w:firstLineChars="1550"/>
        <w:jc w:val="left"/>
        <w:rPr>
          <w:rFonts w:ascii="仿宋" w:hAnsi="仿宋" w:eastAsia="仿宋" w:cs="仿宋"/>
          <w:color w:val="auto"/>
          <w:kern w:val="0"/>
          <w:sz w:val="24"/>
          <w:u w:val="single"/>
        </w:rPr>
      </w:pPr>
      <w:r>
        <w:rPr>
          <w:rFonts w:hint="eastAsia" w:ascii="仿宋" w:hAnsi="仿宋" w:eastAsia="仿宋" w:cs="仿宋"/>
          <w:color w:val="auto"/>
          <w:kern w:val="0"/>
          <w:sz w:val="24"/>
          <w:u w:val="single"/>
        </w:rPr>
        <w:br w:type="page"/>
      </w:r>
    </w:p>
    <w:p>
      <w:pPr>
        <w:pStyle w:val="17"/>
        <w:ind w:left="311" w:leftChars="148" w:firstLine="228"/>
        <w:rPr>
          <w:rFonts w:ascii="仿宋" w:hAnsi="仿宋" w:eastAsia="仿宋" w:cs="仿宋"/>
          <w:b/>
          <w:bCs/>
          <w:color w:val="auto"/>
          <w:kern w:val="0"/>
          <w:sz w:val="24"/>
        </w:rPr>
      </w:pPr>
      <w:bookmarkStart w:id="262" w:name="_Toc515647825"/>
      <w:bookmarkStart w:id="263" w:name="_Toc23068"/>
      <w:bookmarkStart w:id="264" w:name="_Toc19284"/>
      <w:bookmarkStart w:id="265" w:name="_Toc27742"/>
      <w:bookmarkStart w:id="266" w:name="OLE_LINK14"/>
      <w:bookmarkStart w:id="267" w:name="OLE_LINK13"/>
      <w:bookmarkStart w:id="268" w:name="_Toc6238"/>
      <w:bookmarkStart w:id="269" w:name="_Toc518923122"/>
    </w:p>
    <w:p>
      <w:pPr>
        <w:pStyle w:val="17"/>
        <w:keepNext w:val="0"/>
        <w:keepLines w:val="0"/>
        <w:pageBreakBefore w:val="0"/>
        <w:widowControl w:val="0"/>
        <w:kinsoku/>
        <w:wordWrap/>
        <w:overflowPunct/>
        <w:topLinePunct w:val="0"/>
        <w:autoSpaceDE/>
        <w:autoSpaceDN/>
        <w:bidi w:val="0"/>
        <w:adjustRightInd/>
        <w:snapToGrid/>
        <w:jc w:val="center"/>
        <w:textAlignment w:val="auto"/>
        <w:outlineLvl w:val="1"/>
        <w:rPr>
          <w:rFonts w:ascii="仿宋" w:hAnsi="仿宋" w:eastAsia="仿宋" w:cs="仿宋"/>
          <w:b/>
          <w:bCs/>
          <w:color w:val="auto"/>
          <w:kern w:val="0"/>
          <w:sz w:val="24"/>
        </w:rPr>
      </w:pPr>
      <w:bookmarkStart w:id="270" w:name="_Toc6247"/>
      <w:bookmarkStart w:id="271" w:name="_Toc32363"/>
      <w:r>
        <w:rPr>
          <w:rFonts w:hint="eastAsia" w:ascii="仿宋" w:hAnsi="仿宋" w:eastAsia="仿宋" w:cs="仿宋"/>
          <w:b/>
          <w:bCs/>
          <w:color w:val="auto"/>
          <w:kern w:val="0"/>
          <w:sz w:val="24"/>
        </w:rPr>
        <w:t>5-2   残疾人福利性单位声明函</w:t>
      </w:r>
      <w:bookmarkEnd w:id="262"/>
      <w:bookmarkEnd w:id="263"/>
      <w:bookmarkEnd w:id="264"/>
      <w:bookmarkEnd w:id="265"/>
      <w:r>
        <w:rPr>
          <w:rFonts w:hint="eastAsia" w:ascii="仿宋" w:hAnsi="仿宋" w:eastAsia="仿宋" w:cs="仿宋"/>
          <w:b/>
          <w:bCs/>
          <w:color w:val="auto"/>
          <w:kern w:val="0"/>
          <w:sz w:val="24"/>
        </w:rPr>
        <w:t>（投标文件格式</w:t>
      </w:r>
      <w:r>
        <w:rPr>
          <w:rFonts w:hint="eastAsia" w:ascii="仿宋" w:hAnsi="仿宋" w:eastAsia="仿宋" w:cs="仿宋"/>
          <w:b/>
          <w:bCs/>
          <w:color w:val="auto"/>
          <w:kern w:val="0"/>
          <w:sz w:val="24"/>
          <w:lang w:val="en-US" w:eastAsia="zh-CN"/>
        </w:rPr>
        <w:t>六</w:t>
      </w:r>
      <w:r>
        <w:rPr>
          <w:rFonts w:hint="eastAsia" w:ascii="仿宋" w:hAnsi="仿宋" w:eastAsia="仿宋" w:cs="仿宋"/>
          <w:b/>
          <w:bCs/>
          <w:color w:val="auto"/>
          <w:kern w:val="0"/>
          <w:sz w:val="24"/>
        </w:rPr>
        <w:t>）</w:t>
      </w:r>
      <w:bookmarkEnd w:id="270"/>
      <w:bookmarkEnd w:id="271"/>
    </w:p>
    <w:p>
      <w:pPr>
        <w:rPr>
          <w:color w:val="auto"/>
        </w:rPr>
      </w:pPr>
    </w:p>
    <w:bookmarkEnd w:id="266"/>
    <w:bookmarkEnd w:id="267"/>
    <w:p>
      <w:pPr>
        <w:spacing w:line="240" w:lineRule="atLeast"/>
        <w:ind w:left="1080" w:leftChars="257" w:hanging="540"/>
        <w:jc w:val="center"/>
        <w:rPr>
          <w:rFonts w:ascii="仿宋_GB2312" w:hAnsi="Arial" w:eastAsia="仿宋_GB2312"/>
          <w:color w:val="auto"/>
          <w:kern w:val="0"/>
          <w:sz w:val="24"/>
          <w:szCs w:val="20"/>
        </w:rPr>
      </w:pPr>
    </w:p>
    <w:p>
      <w:pPr>
        <w:keepNext w:val="0"/>
        <w:keepLines w:val="0"/>
        <w:pageBreakBefore w:val="0"/>
        <w:widowControl w:val="0"/>
        <w:kinsoku/>
        <w:wordWrap/>
        <w:overflowPunct/>
        <w:topLinePunct w:val="0"/>
        <w:autoSpaceDE/>
        <w:autoSpaceDN/>
        <w:bidi w:val="0"/>
        <w:adjustRightInd/>
        <w:snapToGrid/>
        <w:spacing w:line="560" w:lineRule="exact"/>
        <w:ind w:firstLine="567"/>
        <w:textAlignment w:val="auto"/>
        <w:rPr>
          <w:rFonts w:ascii="仿宋" w:hAnsi="仿宋" w:eastAsia="仿宋" w:cs="仿宋"/>
          <w:color w:val="auto"/>
          <w:kern w:val="0"/>
          <w:sz w:val="24"/>
          <w:szCs w:val="20"/>
        </w:rPr>
      </w:pPr>
      <w:r>
        <w:rPr>
          <w:rFonts w:hint="eastAsia" w:ascii="仿宋" w:hAnsi="仿宋" w:eastAsia="仿宋" w:cs="仿宋"/>
          <w:color w:val="auto"/>
          <w:kern w:val="0"/>
          <w:sz w:val="24"/>
          <w:szCs w:val="20"/>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spacing w:line="560" w:lineRule="exact"/>
        <w:ind w:left="1080" w:leftChars="257" w:hanging="540"/>
        <w:textAlignment w:val="auto"/>
        <w:rPr>
          <w:rFonts w:ascii="仿宋" w:hAnsi="仿宋" w:eastAsia="仿宋" w:cs="仿宋"/>
          <w:color w:val="auto"/>
          <w:kern w:val="0"/>
          <w:sz w:val="24"/>
          <w:szCs w:val="20"/>
        </w:rPr>
      </w:pPr>
      <w:r>
        <w:rPr>
          <w:rFonts w:hint="eastAsia" w:ascii="仿宋" w:hAnsi="仿宋" w:eastAsia="仿宋" w:cs="仿宋"/>
          <w:color w:val="auto"/>
          <w:kern w:val="0"/>
          <w:sz w:val="24"/>
          <w:szCs w:val="20"/>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560" w:lineRule="exact"/>
        <w:ind w:left="1080" w:leftChars="257" w:hanging="540"/>
        <w:jc w:val="center"/>
        <w:textAlignment w:val="auto"/>
        <w:rPr>
          <w:rFonts w:ascii="仿宋" w:hAnsi="仿宋" w:eastAsia="仿宋" w:cs="仿宋"/>
          <w:color w:val="auto"/>
          <w:kern w:val="0"/>
          <w:sz w:val="24"/>
          <w:szCs w:val="20"/>
        </w:rPr>
      </w:pPr>
    </w:p>
    <w:p>
      <w:pPr>
        <w:keepNext w:val="0"/>
        <w:keepLines w:val="0"/>
        <w:pageBreakBefore w:val="0"/>
        <w:widowControl w:val="0"/>
        <w:kinsoku/>
        <w:wordWrap/>
        <w:overflowPunct/>
        <w:topLinePunct w:val="0"/>
        <w:autoSpaceDE/>
        <w:autoSpaceDN/>
        <w:bidi w:val="0"/>
        <w:adjustRightInd/>
        <w:snapToGrid/>
        <w:spacing w:line="560" w:lineRule="exact"/>
        <w:ind w:left="1080" w:leftChars="257" w:hanging="540"/>
        <w:jc w:val="center"/>
        <w:textAlignment w:val="auto"/>
        <w:rPr>
          <w:rFonts w:ascii="仿宋" w:hAnsi="仿宋" w:eastAsia="仿宋" w:cs="仿宋"/>
          <w:color w:val="auto"/>
          <w:kern w:val="0"/>
          <w:sz w:val="24"/>
          <w:szCs w:val="20"/>
        </w:rPr>
      </w:pPr>
    </w:p>
    <w:p>
      <w:pPr>
        <w:keepNext w:val="0"/>
        <w:keepLines w:val="0"/>
        <w:pageBreakBefore w:val="0"/>
        <w:widowControl w:val="0"/>
        <w:kinsoku/>
        <w:wordWrap/>
        <w:overflowPunct/>
        <w:topLinePunct w:val="0"/>
        <w:autoSpaceDE/>
        <w:autoSpaceDN/>
        <w:bidi w:val="0"/>
        <w:adjustRightInd/>
        <w:snapToGrid/>
        <w:spacing w:line="560" w:lineRule="exact"/>
        <w:ind w:left="1080" w:leftChars="257" w:hanging="540"/>
        <w:jc w:val="center"/>
        <w:textAlignment w:val="auto"/>
        <w:rPr>
          <w:rFonts w:ascii="仿宋" w:hAnsi="仿宋" w:eastAsia="仿宋" w:cs="仿宋"/>
          <w:color w:val="auto"/>
          <w:kern w:val="0"/>
          <w:sz w:val="24"/>
          <w:szCs w:val="20"/>
        </w:rPr>
      </w:pPr>
      <w:r>
        <w:rPr>
          <w:rFonts w:hint="eastAsia" w:ascii="仿宋" w:hAnsi="仿宋" w:eastAsia="仿宋" w:cs="仿宋"/>
          <w:color w:val="auto"/>
          <w:kern w:val="0"/>
          <w:sz w:val="24"/>
          <w:szCs w:val="20"/>
        </w:rPr>
        <w:t xml:space="preserve">              残疾人福利性单位名称（盖单位章）：______________</w:t>
      </w:r>
    </w:p>
    <w:p>
      <w:pPr>
        <w:keepNext w:val="0"/>
        <w:keepLines w:val="0"/>
        <w:pageBreakBefore w:val="0"/>
        <w:widowControl w:val="0"/>
        <w:kinsoku/>
        <w:wordWrap/>
        <w:overflowPunct/>
        <w:topLinePunct w:val="0"/>
        <w:autoSpaceDE/>
        <w:autoSpaceDN/>
        <w:bidi w:val="0"/>
        <w:adjustRightInd/>
        <w:snapToGrid/>
        <w:spacing w:line="560" w:lineRule="exact"/>
        <w:ind w:left="1080" w:leftChars="257" w:hanging="540"/>
        <w:jc w:val="center"/>
        <w:textAlignment w:val="auto"/>
        <w:rPr>
          <w:rFonts w:ascii="仿宋" w:hAnsi="仿宋" w:eastAsia="仿宋" w:cs="仿宋"/>
          <w:color w:val="auto"/>
          <w:kern w:val="0"/>
          <w:sz w:val="24"/>
          <w:szCs w:val="20"/>
        </w:rPr>
      </w:pPr>
      <w:r>
        <w:rPr>
          <w:rFonts w:hint="eastAsia" w:ascii="仿宋" w:hAnsi="仿宋" w:eastAsia="仿宋" w:cs="仿宋"/>
          <w:color w:val="auto"/>
          <w:kern w:val="0"/>
          <w:sz w:val="24"/>
          <w:szCs w:val="20"/>
        </w:rPr>
        <w:t xml:space="preserve">  </w:t>
      </w:r>
      <w:r>
        <w:rPr>
          <w:rFonts w:hint="eastAsia" w:ascii="仿宋" w:hAnsi="仿宋" w:eastAsia="仿宋" w:cs="仿宋"/>
          <w:color w:val="auto"/>
          <w:kern w:val="0"/>
          <w:sz w:val="24"/>
          <w:szCs w:val="20"/>
          <w:u w:val="single" w:color="FFFFFF"/>
        </w:rPr>
        <w:t xml:space="preserve">       </w:t>
      </w:r>
      <w:r>
        <w:rPr>
          <w:rFonts w:hint="eastAsia" w:ascii="仿宋" w:hAnsi="仿宋" w:eastAsia="仿宋" w:cs="仿宋"/>
          <w:color w:val="auto"/>
          <w:kern w:val="0"/>
          <w:sz w:val="24"/>
          <w:szCs w:val="20"/>
        </w:rPr>
        <w:t>日  期：_______________________________</w:t>
      </w:r>
    </w:p>
    <w:p>
      <w:pPr>
        <w:pStyle w:val="11"/>
        <w:ind w:firstLine="964" w:firstLineChars="400"/>
        <w:rPr>
          <w:rFonts w:ascii="仿宋" w:hAnsi="仿宋" w:eastAsia="仿宋" w:cs="仿宋"/>
          <w:b/>
          <w:bCs/>
          <w:color w:val="auto"/>
        </w:rPr>
      </w:pPr>
    </w:p>
    <w:p>
      <w:pPr>
        <w:rPr>
          <w:rFonts w:hint="eastAsia"/>
          <w:color w:val="auto"/>
          <w:highlight w:val="none"/>
          <w:u w:val="none"/>
          <w:lang w:val="en-US" w:eastAsia="zh-CN"/>
        </w:rPr>
      </w:pPr>
      <w:r>
        <w:rPr>
          <w:rFonts w:hint="eastAsia"/>
          <w:color w:val="auto"/>
          <w:highlight w:val="none"/>
          <w:u w:val="none"/>
          <w:lang w:val="en-US" w:eastAsia="zh-CN"/>
        </w:rPr>
        <w:br w:type="page"/>
      </w:r>
    </w:p>
    <w:p>
      <w:pPr>
        <w:pStyle w:val="9"/>
        <w:bidi w:val="0"/>
        <w:jc w:val="center"/>
        <w:rPr>
          <w:color w:val="auto"/>
          <w:highlight w:val="none"/>
          <w:u w:val="none"/>
        </w:rPr>
      </w:pPr>
      <w:r>
        <w:rPr>
          <w:rFonts w:hint="eastAsia"/>
          <w:color w:val="auto"/>
          <w:highlight w:val="none"/>
          <w:u w:val="none"/>
          <w:lang w:val="en-US" w:eastAsia="zh-CN"/>
        </w:rPr>
        <w:t>5</w:t>
      </w:r>
      <w:r>
        <w:rPr>
          <w:rFonts w:hint="eastAsia"/>
          <w:color w:val="auto"/>
          <w:highlight w:val="none"/>
          <w:u w:val="none"/>
        </w:rPr>
        <w:t>-</w:t>
      </w:r>
      <w:r>
        <w:rPr>
          <w:rFonts w:hint="eastAsia"/>
          <w:color w:val="auto"/>
          <w:highlight w:val="none"/>
          <w:u w:val="none"/>
          <w:lang w:val="en-US" w:eastAsia="zh-CN"/>
        </w:rPr>
        <w:t>3</w:t>
      </w:r>
      <w:r>
        <w:rPr>
          <w:rFonts w:hint="eastAsia"/>
          <w:color w:val="auto"/>
          <w:highlight w:val="none"/>
          <w:u w:val="none"/>
        </w:rPr>
        <w:t xml:space="preserve"> </w:t>
      </w:r>
      <w:r>
        <w:rPr>
          <w:rFonts w:hint="eastAsia"/>
          <w:color w:val="auto"/>
          <w:highlight w:val="none"/>
          <w:u w:val="none"/>
          <w:lang w:val="en-US" w:eastAsia="zh-CN"/>
        </w:rPr>
        <w:t>中小企业声明函</w:t>
      </w:r>
      <w:r>
        <w:rPr>
          <w:rFonts w:hint="eastAsia"/>
          <w:color w:val="auto"/>
          <w:highlight w:val="none"/>
          <w:u w:val="none"/>
        </w:rPr>
        <w:t>（投标文件格式</w:t>
      </w:r>
      <w:r>
        <w:rPr>
          <w:rFonts w:hint="eastAsia"/>
          <w:color w:val="auto"/>
          <w:highlight w:val="none"/>
          <w:u w:val="none"/>
          <w:lang w:val="en-US" w:eastAsia="zh-CN"/>
        </w:rPr>
        <w:t>七</w:t>
      </w:r>
      <w:r>
        <w:rPr>
          <w:rFonts w:hint="eastAsia"/>
          <w:color w:val="auto"/>
          <w:highlight w:val="none"/>
          <w:u w:val="none"/>
        </w:rPr>
        <w:t>）</w:t>
      </w:r>
    </w:p>
    <w:p>
      <w:pPr>
        <w:spacing w:line="240" w:lineRule="atLeast"/>
        <w:ind w:left="1080" w:leftChars="257" w:hanging="540"/>
        <w:jc w:val="center"/>
        <w:rPr>
          <w:rFonts w:ascii="仿宋" w:hAnsi="仿宋" w:eastAsia="仿宋" w:cs="仿宋"/>
          <w:b/>
          <w:color w:val="auto"/>
          <w:kern w:val="0"/>
          <w:sz w:val="24"/>
          <w:szCs w:val="20"/>
          <w:highlight w:val="none"/>
        </w:rPr>
      </w:pPr>
    </w:p>
    <w:p>
      <w:pPr>
        <w:spacing w:before="153" w:line="219" w:lineRule="auto"/>
        <w:jc w:val="center"/>
        <w:rPr>
          <w:rFonts w:ascii="宋体" w:hAnsi="宋体" w:eastAsia="宋体" w:cs="宋体"/>
          <w:color w:val="auto"/>
          <w:sz w:val="40"/>
          <w:szCs w:val="40"/>
        </w:rPr>
      </w:pPr>
      <w:r>
        <w:rPr>
          <w:rFonts w:ascii="宋体" w:hAnsi="宋体" w:eastAsia="宋体" w:cs="宋体"/>
          <w:color w:val="auto"/>
          <w:spacing w:val="-5"/>
          <w:sz w:val="40"/>
          <w:szCs w:val="40"/>
        </w:rPr>
        <w:t>中小企业声明函(工程、服务)</w:t>
      </w:r>
    </w:p>
    <w:p>
      <w:pPr>
        <w:spacing w:line="435" w:lineRule="auto"/>
        <w:rPr>
          <w:rFonts w:ascii="Arial"/>
          <w:color w:val="auto"/>
          <w:sz w:val="21"/>
        </w:rPr>
      </w:pPr>
    </w:p>
    <w:p>
      <w:pPr>
        <w:keepNext w:val="0"/>
        <w:keepLines w:val="0"/>
        <w:pageBreakBefore w:val="0"/>
        <w:widowControl w:val="0"/>
        <w:kinsoku/>
        <w:wordWrap/>
        <w:overflowPunct/>
        <w:topLinePunct w:val="0"/>
        <w:autoSpaceDE/>
        <w:autoSpaceDN/>
        <w:bidi w:val="0"/>
        <w:adjustRightInd/>
        <w:snapToGrid/>
        <w:spacing w:line="560" w:lineRule="exact"/>
        <w:ind w:firstLine="567"/>
        <w:textAlignment w:val="auto"/>
        <w:rPr>
          <w:rFonts w:hint="eastAsia" w:ascii="仿宋" w:hAnsi="仿宋" w:eastAsia="仿宋" w:cs="仿宋"/>
          <w:color w:val="auto"/>
          <w:kern w:val="0"/>
          <w:sz w:val="24"/>
          <w:szCs w:val="20"/>
        </w:rPr>
      </w:pPr>
      <w:r>
        <w:rPr>
          <w:rFonts w:hint="eastAsia" w:ascii="仿宋" w:hAnsi="仿宋" w:eastAsia="仿宋" w:cs="仿宋"/>
          <w:color w:val="auto"/>
          <w:kern w:val="0"/>
          <w:sz w:val="24"/>
          <w:szCs w:val="20"/>
        </w:rPr>
        <w:t>本公司(联合体)郑重声明,根据《政府采购促进中小企业发展管理办法》(财库</w:t>
      </w:r>
      <w:r>
        <w:rPr>
          <w:rFonts w:hint="eastAsia" w:ascii="仿宋" w:hAnsi="仿宋" w:eastAsia="仿宋" w:cs="仿宋"/>
          <w:color w:val="auto"/>
          <w:kern w:val="0"/>
          <w:sz w:val="24"/>
          <w:szCs w:val="20"/>
          <w:lang w:val="en-US" w:eastAsia="zh-CN"/>
        </w:rPr>
        <w:t>[</w:t>
      </w:r>
      <w:r>
        <w:rPr>
          <w:rFonts w:hint="eastAsia" w:ascii="仿宋" w:hAnsi="仿宋" w:eastAsia="仿宋" w:cs="仿宋"/>
          <w:color w:val="auto"/>
          <w:kern w:val="0"/>
          <w:sz w:val="24"/>
          <w:szCs w:val="20"/>
        </w:rPr>
        <w:t>2020]46号)的规定,本公司(联合体)参加</w:t>
      </w:r>
      <w:r>
        <w:rPr>
          <w:rFonts w:hint="eastAsia" w:ascii="仿宋" w:hAnsi="仿宋" w:eastAsia="仿宋" w:cs="仿宋"/>
          <w:color w:val="auto"/>
          <w:kern w:val="0"/>
          <w:sz w:val="24"/>
          <w:szCs w:val="20"/>
          <w:lang w:val="en-US" w:eastAsia="zh-CN"/>
        </w:rPr>
        <w:t xml:space="preserve"> </w:t>
      </w:r>
      <w:r>
        <w:rPr>
          <w:rFonts w:hint="eastAsia" w:ascii="仿宋" w:hAnsi="仿宋" w:eastAsia="仿宋" w:cs="仿宋"/>
          <w:color w:val="auto"/>
          <w:kern w:val="0"/>
          <w:sz w:val="24"/>
          <w:szCs w:val="20"/>
        </w:rPr>
        <w:t>(单位名称)</w:t>
      </w:r>
      <w:r>
        <w:rPr>
          <w:rFonts w:hint="eastAsia" w:ascii="仿宋" w:hAnsi="仿宋" w:eastAsia="仿宋" w:cs="仿宋"/>
          <w:color w:val="auto"/>
          <w:kern w:val="0"/>
          <w:sz w:val="24"/>
          <w:szCs w:val="20"/>
          <w:lang w:val="en-US" w:eastAsia="zh-CN"/>
        </w:rPr>
        <w:t xml:space="preserve"> </w:t>
      </w:r>
      <w:r>
        <w:rPr>
          <w:rFonts w:hint="eastAsia" w:ascii="仿宋" w:hAnsi="仿宋" w:eastAsia="仿宋" w:cs="仿宋"/>
          <w:color w:val="auto"/>
          <w:kern w:val="0"/>
          <w:sz w:val="24"/>
          <w:szCs w:val="20"/>
        </w:rPr>
        <w:t>的</w:t>
      </w:r>
      <w:r>
        <w:rPr>
          <w:rFonts w:hint="eastAsia" w:ascii="仿宋" w:hAnsi="仿宋" w:eastAsia="仿宋" w:cs="仿宋"/>
          <w:color w:val="auto"/>
          <w:kern w:val="0"/>
          <w:sz w:val="24"/>
          <w:szCs w:val="20"/>
          <w:lang w:val="en-US" w:eastAsia="zh-CN"/>
        </w:rPr>
        <w:t xml:space="preserve"> </w:t>
      </w:r>
      <w:r>
        <w:rPr>
          <w:rFonts w:hint="eastAsia" w:ascii="仿宋" w:hAnsi="仿宋" w:eastAsia="仿宋" w:cs="仿宋"/>
          <w:color w:val="auto"/>
          <w:kern w:val="0"/>
          <w:sz w:val="24"/>
          <w:szCs w:val="20"/>
        </w:rPr>
        <w:t>(项目名称)</w:t>
      </w:r>
      <w:r>
        <w:rPr>
          <w:rFonts w:hint="eastAsia" w:ascii="仿宋" w:hAnsi="仿宋" w:eastAsia="仿宋" w:cs="仿宋"/>
          <w:color w:val="auto"/>
          <w:kern w:val="0"/>
          <w:sz w:val="24"/>
          <w:szCs w:val="20"/>
          <w:lang w:val="en-US" w:eastAsia="zh-CN"/>
        </w:rPr>
        <w:t xml:space="preserve"> </w:t>
      </w:r>
      <w:r>
        <w:rPr>
          <w:rFonts w:hint="eastAsia" w:ascii="仿宋" w:hAnsi="仿宋" w:eastAsia="仿宋" w:cs="仿宋"/>
          <w:color w:val="auto"/>
          <w:kern w:val="0"/>
          <w:sz w:val="24"/>
          <w:szCs w:val="20"/>
        </w:rPr>
        <w:t>采购活动,工程的施工单位全部为符合政策要求的中小企业(或者:服务全部由符政策要求的中小企业承接)</w:t>
      </w:r>
      <w:r>
        <w:rPr>
          <w:rFonts w:hint="eastAsia" w:ascii="仿宋" w:hAnsi="仿宋" w:eastAsia="仿宋" w:cs="仿宋"/>
          <w:color w:val="auto"/>
          <w:kern w:val="0"/>
          <w:sz w:val="24"/>
          <w:szCs w:val="20"/>
          <w:lang w:eastAsia="zh-CN"/>
        </w:rPr>
        <w:t>。</w:t>
      </w:r>
      <w:r>
        <w:rPr>
          <w:rFonts w:hint="eastAsia" w:ascii="仿宋" w:hAnsi="仿宋" w:eastAsia="仿宋" w:cs="仿宋"/>
          <w:color w:val="auto"/>
          <w:kern w:val="0"/>
          <w:sz w:val="24"/>
          <w:szCs w:val="20"/>
        </w:rPr>
        <w:t>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snapToGrid/>
        <w:spacing w:line="560" w:lineRule="exact"/>
        <w:ind w:firstLine="567"/>
        <w:textAlignment w:val="auto"/>
        <w:rPr>
          <w:rFonts w:hint="eastAsia" w:ascii="仿宋" w:hAnsi="仿宋" w:eastAsia="仿宋" w:cs="仿宋"/>
          <w:color w:val="auto"/>
          <w:kern w:val="0"/>
          <w:sz w:val="24"/>
          <w:szCs w:val="20"/>
        </w:rPr>
      </w:pPr>
      <w:r>
        <w:rPr>
          <w:rFonts w:hint="eastAsia" w:ascii="仿宋" w:hAnsi="仿宋" w:eastAsia="仿宋" w:cs="仿宋"/>
          <w:color w:val="auto"/>
          <w:kern w:val="0"/>
          <w:sz w:val="24"/>
          <w:szCs w:val="20"/>
        </w:rPr>
        <w:t>1.  (标的名称)</w:t>
      </w:r>
      <w:r>
        <w:rPr>
          <w:rFonts w:hint="eastAsia" w:ascii="仿宋" w:hAnsi="仿宋" w:eastAsia="仿宋" w:cs="仿宋"/>
          <w:color w:val="auto"/>
          <w:kern w:val="0"/>
          <w:sz w:val="24"/>
          <w:szCs w:val="20"/>
          <w:lang w:val="en-US" w:eastAsia="zh-CN"/>
        </w:rPr>
        <w:t xml:space="preserve"> </w:t>
      </w:r>
      <w:r>
        <w:rPr>
          <w:rFonts w:hint="eastAsia" w:ascii="仿宋" w:hAnsi="仿宋" w:eastAsia="仿宋" w:cs="仿宋"/>
          <w:color w:val="auto"/>
          <w:kern w:val="0"/>
          <w:sz w:val="24"/>
          <w:szCs w:val="20"/>
        </w:rPr>
        <w:t>, 属于(采购文件中明确的所属行业);承建(承接)企业为(企业名称), 从业人员</w:t>
      </w:r>
      <w:r>
        <w:rPr>
          <w:rFonts w:hint="eastAsia" w:ascii="仿宋" w:hAnsi="仿宋" w:eastAsia="仿宋" w:cs="仿宋"/>
          <w:color w:val="auto"/>
          <w:kern w:val="0"/>
          <w:sz w:val="24"/>
          <w:szCs w:val="20"/>
          <w:lang w:val="en-US" w:eastAsia="zh-CN"/>
        </w:rPr>
        <w:t xml:space="preserve">   </w:t>
      </w:r>
      <w:r>
        <w:rPr>
          <w:rFonts w:hint="eastAsia" w:ascii="仿宋" w:hAnsi="仿宋" w:eastAsia="仿宋" w:cs="仿宋"/>
          <w:color w:val="auto"/>
          <w:kern w:val="0"/>
          <w:sz w:val="24"/>
          <w:szCs w:val="20"/>
        </w:rPr>
        <w:t>人 ,营业收入为</w:t>
      </w:r>
      <w:r>
        <w:rPr>
          <w:rFonts w:hint="eastAsia" w:ascii="仿宋" w:hAnsi="仿宋" w:eastAsia="仿宋" w:cs="仿宋"/>
          <w:color w:val="auto"/>
          <w:kern w:val="0"/>
          <w:sz w:val="24"/>
          <w:szCs w:val="20"/>
          <w:lang w:val="en-US" w:eastAsia="zh-CN"/>
        </w:rPr>
        <w:t xml:space="preserve">    </w:t>
      </w:r>
      <w:r>
        <w:rPr>
          <w:rFonts w:hint="eastAsia" w:ascii="仿宋" w:hAnsi="仿宋" w:eastAsia="仿宋" w:cs="仿宋"/>
          <w:color w:val="auto"/>
          <w:kern w:val="0"/>
          <w:sz w:val="24"/>
          <w:szCs w:val="20"/>
        </w:rPr>
        <w:t>万元,资产总额为</w:t>
      </w:r>
      <w:r>
        <w:rPr>
          <w:rFonts w:hint="eastAsia" w:ascii="仿宋" w:hAnsi="仿宋" w:eastAsia="仿宋" w:cs="仿宋"/>
          <w:color w:val="auto"/>
          <w:kern w:val="0"/>
          <w:sz w:val="24"/>
          <w:szCs w:val="20"/>
          <w:lang w:val="en-US" w:eastAsia="zh-CN"/>
        </w:rPr>
        <w:t xml:space="preserve">   </w:t>
      </w:r>
      <w:r>
        <w:rPr>
          <w:rFonts w:hint="eastAsia" w:ascii="仿宋" w:hAnsi="仿宋" w:eastAsia="仿宋" w:cs="仿宋"/>
          <w:color w:val="auto"/>
          <w:kern w:val="0"/>
          <w:sz w:val="24"/>
          <w:szCs w:val="20"/>
        </w:rPr>
        <w:t>万元</w:t>
      </w:r>
      <w:r>
        <w:rPr>
          <w:rFonts w:hint="eastAsia" w:ascii="仿宋" w:hAnsi="仿宋" w:eastAsia="仿宋" w:cs="仿宋"/>
          <w:color w:val="auto"/>
          <w:kern w:val="0"/>
          <w:sz w:val="24"/>
          <w:szCs w:val="20"/>
          <w:lang w:val="en-US" w:eastAsia="zh-CN"/>
        </w:rPr>
        <w:t>2</w:t>
      </w:r>
      <w:r>
        <w:rPr>
          <w:rFonts w:hint="eastAsia" w:ascii="仿宋" w:hAnsi="仿宋" w:eastAsia="仿宋" w:cs="仿宋"/>
          <w:color w:val="auto"/>
          <w:kern w:val="0"/>
          <w:sz w:val="24"/>
          <w:szCs w:val="20"/>
        </w:rPr>
        <w:t>,属于(中型企业、小型企业、微型企业);</w:t>
      </w:r>
    </w:p>
    <w:p>
      <w:pPr>
        <w:keepNext w:val="0"/>
        <w:keepLines w:val="0"/>
        <w:pageBreakBefore w:val="0"/>
        <w:widowControl w:val="0"/>
        <w:kinsoku/>
        <w:wordWrap/>
        <w:overflowPunct/>
        <w:topLinePunct w:val="0"/>
        <w:autoSpaceDE/>
        <w:autoSpaceDN/>
        <w:bidi w:val="0"/>
        <w:adjustRightInd/>
        <w:snapToGrid/>
        <w:spacing w:line="560" w:lineRule="exact"/>
        <w:ind w:firstLine="567"/>
        <w:textAlignment w:val="auto"/>
        <w:rPr>
          <w:rFonts w:hint="eastAsia" w:ascii="仿宋" w:hAnsi="仿宋" w:eastAsia="仿宋" w:cs="仿宋"/>
          <w:color w:val="auto"/>
          <w:kern w:val="0"/>
          <w:sz w:val="24"/>
          <w:szCs w:val="20"/>
        </w:rPr>
      </w:pPr>
      <w:r>
        <w:rPr>
          <w:rFonts w:hint="eastAsia" w:ascii="仿宋" w:hAnsi="仿宋" w:eastAsia="仿宋" w:cs="仿宋"/>
          <w:color w:val="auto"/>
          <w:kern w:val="0"/>
          <w:sz w:val="24"/>
          <w:szCs w:val="20"/>
        </w:rPr>
        <w:t>2.  (标的名称)</w:t>
      </w:r>
      <w:r>
        <w:rPr>
          <w:rFonts w:hint="eastAsia" w:ascii="仿宋" w:hAnsi="仿宋" w:eastAsia="仿宋" w:cs="仿宋"/>
          <w:color w:val="auto"/>
          <w:kern w:val="0"/>
          <w:sz w:val="24"/>
          <w:szCs w:val="20"/>
          <w:lang w:val="en-US" w:eastAsia="zh-CN"/>
        </w:rPr>
        <w:t xml:space="preserve"> </w:t>
      </w:r>
      <w:r>
        <w:rPr>
          <w:rFonts w:hint="eastAsia" w:ascii="仿宋" w:hAnsi="仿宋" w:eastAsia="仿宋" w:cs="仿宋"/>
          <w:color w:val="auto"/>
          <w:kern w:val="0"/>
          <w:sz w:val="24"/>
          <w:szCs w:val="20"/>
        </w:rPr>
        <w:t>, 属于(采购文件中明确的所属行业); 承建(承接)企业 为(企业名称)</w:t>
      </w:r>
      <w:r>
        <w:rPr>
          <w:rFonts w:hint="eastAsia" w:ascii="仿宋" w:hAnsi="仿宋" w:eastAsia="仿宋" w:cs="仿宋"/>
          <w:color w:val="auto"/>
          <w:kern w:val="0"/>
          <w:sz w:val="24"/>
          <w:szCs w:val="20"/>
          <w:lang w:val="en-US" w:eastAsia="zh-CN"/>
        </w:rPr>
        <w:t xml:space="preserve"> </w:t>
      </w:r>
      <w:r>
        <w:rPr>
          <w:rFonts w:hint="eastAsia" w:ascii="仿宋" w:hAnsi="仿宋" w:eastAsia="仿宋" w:cs="仿宋"/>
          <w:color w:val="auto"/>
          <w:kern w:val="0"/>
          <w:sz w:val="24"/>
          <w:szCs w:val="20"/>
        </w:rPr>
        <w:t>,从业人员  人,营业收入为</w:t>
      </w:r>
      <w:r>
        <w:rPr>
          <w:rFonts w:hint="eastAsia" w:ascii="仿宋" w:hAnsi="仿宋" w:eastAsia="仿宋" w:cs="仿宋"/>
          <w:color w:val="auto"/>
          <w:kern w:val="0"/>
          <w:sz w:val="24"/>
          <w:szCs w:val="20"/>
          <w:lang w:val="en-US" w:eastAsia="zh-CN"/>
        </w:rPr>
        <w:t xml:space="preserve">  </w:t>
      </w:r>
      <w:r>
        <w:rPr>
          <w:rFonts w:hint="eastAsia" w:ascii="仿宋" w:hAnsi="仿宋" w:eastAsia="仿宋" w:cs="仿宋"/>
          <w:color w:val="auto"/>
          <w:kern w:val="0"/>
          <w:sz w:val="24"/>
          <w:szCs w:val="20"/>
        </w:rPr>
        <w:t>万元,资产总额为</w:t>
      </w:r>
      <w:r>
        <w:rPr>
          <w:rFonts w:hint="eastAsia" w:ascii="仿宋" w:hAnsi="仿宋" w:eastAsia="仿宋" w:cs="仿宋"/>
          <w:color w:val="auto"/>
          <w:kern w:val="0"/>
          <w:sz w:val="24"/>
          <w:szCs w:val="20"/>
          <w:lang w:val="en-US" w:eastAsia="zh-CN"/>
        </w:rPr>
        <w:t xml:space="preserve">   </w:t>
      </w:r>
      <w:r>
        <w:rPr>
          <w:rFonts w:hint="eastAsia" w:ascii="仿宋" w:hAnsi="仿宋" w:eastAsia="仿宋" w:cs="仿宋"/>
          <w:color w:val="auto"/>
          <w:kern w:val="0"/>
          <w:sz w:val="24"/>
          <w:szCs w:val="20"/>
        </w:rPr>
        <w:t>万元</w:t>
      </w:r>
      <w:r>
        <w:rPr>
          <w:rFonts w:hint="eastAsia" w:ascii="仿宋" w:hAnsi="仿宋" w:eastAsia="仿宋" w:cs="仿宋"/>
          <w:color w:val="auto"/>
          <w:kern w:val="0"/>
          <w:sz w:val="24"/>
          <w:szCs w:val="20"/>
          <w:lang w:val="en-US" w:eastAsia="zh-CN"/>
        </w:rPr>
        <w:t>2</w:t>
      </w:r>
      <w:r>
        <w:rPr>
          <w:rFonts w:hint="eastAsia" w:ascii="仿宋" w:hAnsi="仿宋" w:eastAsia="仿宋" w:cs="仿宋"/>
          <w:color w:val="auto"/>
          <w:kern w:val="0"/>
          <w:sz w:val="24"/>
          <w:szCs w:val="20"/>
        </w:rPr>
        <w:t>,属于(中型企业、小型企业、微型 企业);</w:t>
      </w:r>
    </w:p>
    <w:p>
      <w:pPr>
        <w:keepNext w:val="0"/>
        <w:keepLines w:val="0"/>
        <w:pageBreakBefore w:val="0"/>
        <w:widowControl w:val="0"/>
        <w:kinsoku/>
        <w:wordWrap/>
        <w:overflowPunct/>
        <w:topLinePunct w:val="0"/>
        <w:autoSpaceDE/>
        <w:autoSpaceDN/>
        <w:bidi w:val="0"/>
        <w:adjustRightInd/>
        <w:snapToGrid/>
        <w:spacing w:line="560" w:lineRule="exact"/>
        <w:ind w:firstLine="567"/>
        <w:textAlignment w:val="auto"/>
        <w:rPr>
          <w:rFonts w:hint="eastAsia" w:ascii="仿宋" w:hAnsi="仿宋" w:eastAsia="仿宋" w:cs="仿宋"/>
          <w:color w:val="auto"/>
          <w:kern w:val="0"/>
          <w:sz w:val="24"/>
          <w:szCs w:val="20"/>
        </w:rPr>
      </w:pPr>
    </w:p>
    <w:p>
      <w:pPr>
        <w:keepNext w:val="0"/>
        <w:keepLines w:val="0"/>
        <w:pageBreakBefore w:val="0"/>
        <w:widowControl w:val="0"/>
        <w:kinsoku/>
        <w:wordWrap/>
        <w:overflowPunct/>
        <w:topLinePunct w:val="0"/>
        <w:autoSpaceDE/>
        <w:autoSpaceDN/>
        <w:bidi w:val="0"/>
        <w:adjustRightInd/>
        <w:snapToGrid/>
        <w:spacing w:line="560" w:lineRule="exact"/>
        <w:ind w:firstLine="567"/>
        <w:textAlignment w:val="auto"/>
        <w:rPr>
          <w:rFonts w:hint="eastAsia" w:ascii="仿宋" w:hAnsi="仿宋" w:eastAsia="仿宋" w:cs="仿宋"/>
          <w:color w:val="auto"/>
          <w:kern w:val="0"/>
          <w:sz w:val="24"/>
          <w:szCs w:val="20"/>
        </w:rPr>
      </w:pPr>
      <w:r>
        <w:rPr>
          <w:rFonts w:hint="eastAsia" w:ascii="仿宋" w:hAnsi="仿宋" w:eastAsia="仿宋" w:cs="仿宋"/>
          <w:color w:val="auto"/>
          <w:kern w:val="0"/>
          <w:sz w:val="24"/>
          <w:szCs w:val="20"/>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560" w:lineRule="exact"/>
        <w:ind w:firstLine="567"/>
        <w:textAlignment w:val="auto"/>
        <w:rPr>
          <w:rFonts w:hint="eastAsia" w:ascii="仿宋" w:hAnsi="仿宋" w:eastAsia="仿宋" w:cs="仿宋"/>
          <w:color w:val="auto"/>
          <w:kern w:val="0"/>
          <w:sz w:val="24"/>
          <w:szCs w:val="20"/>
        </w:rPr>
      </w:pPr>
      <w:r>
        <w:rPr>
          <w:rFonts w:hint="eastAsia" w:ascii="仿宋" w:hAnsi="仿宋" w:eastAsia="仿宋" w:cs="仿宋"/>
          <w:color w:val="auto"/>
          <w:kern w:val="0"/>
          <w:sz w:val="24"/>
          <w:szCs w:val="20"/>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560" w:lineRule="exact"/>
        <w:ind w:firstLine="567"/>
        <w:textAlignment w:val="auto"/>
        <w:rPr>
          <w:rFonts w:hint="eastAsia" w:ascii="仿宋" w:hAnsi="仿宋" w:eastAsia="仿宋" w:cs="仿宋"/>
          <w:color w:val="auto"/>
          <w:kern w:val="0"/>
          <w:sz w:val="24"/>
          <w:szCs w:val="20"/>
        </w:rPr>
      </w:pPr>
    </w:p>
    <w:p>
      <w:pPr>
        <w:keepNext w:val="0"/>
        <w:keepLines w:val="0"/>
        <w:pageBreakBefore w:val="0"/>
        <w:widowControl w:val="0"/>
        <w:kinsoku/>
        <w:wordWrap/>
        <w:overflowPunct/>
        <w:topLinePunct w:val="0"/>
        <w:autoSpaceDE/>
        <w:autoSpaceDN/>
        <w:bidi w:val="0"/>
        <w:adjustRightInd/>
        <w:snapToGrid/>
        <w:spacing w:line="560" w:lineRule="exact"/>
        <w:ind w:firstLine="5923" w:firstLineChars="2468"/>
        <w:textAlignment w:val="auto"/>
        <w:rPr>
          <w:rFonts w:hint="eastAsia" w:ascii="仿宋" w:hAnsi="仿宋" w:eastAsia="仿宋" w:cs="仿宋"/>
          <w:color w:val="auto"/>
          <w:kern w:val="0"/>
          <w:sz w:val="24"/>
          <w:szCs w:val="20"/>
        </w:rPr>
      </w:pPr>
      <w:r>
        <w:rPr>
          <w:rFonts w:hint="eastAsia" w:ascii="仿宋" w:hAnsi="仿宋" w:eastAsia="仿宋" w:cs="仿宋"/>
          <w:color w:val="auto"/>
          <w:kern w:val="0"/>
          <w:sz w:val="24"/>
          <w:szCs w:val="20"/>
        </w:rPr>
        <w:t>企业名称(盖章):</w:t>
      </w:r>
    </w:p>
    <w:p>
      <w:pPr>
        <w:keepNext w:val="0"/>
        <w:keepLines w:val="0"/>
        <w:pageBreakBefore w:val="0"/>
        <w:widowControl w:val="0"/>
        <w:kinsoku/>
        <w:wordWrap/>
        <w:overflowPunct/>
        <w:topLinePunct w:val="0"/>
        <w:autoSpaceDE/>
        <w:autoSpaceDN/>
        <w:bidi w:val="0"/>
        <w:adjustRightInd/>
        <w:snapToGrid/>
        <w:spacing w:line="560" w:lineRule="exact"/>
        <w:ind w:firstLine="5923" w:firstLineChars="2468"/>
        <w:textAlignment w:val="auto"/>
        <w:rPr>
          <w:rFonts w:hint="eastAsia" w:ascii="仿宋" w:hAnsi="仿宋" w:eastAsia="仿宋" w:cs="仿宋"/>
          <w:color w:val="auto"/>
          <w:kern w:val="0"/>
          <w:sz w:val="24"/>
          <w:szCs w:val="20"/>
        </w:rPr>
      </w:pPr>
      <w:r>
        <w:rPr>
          <w:rFonts w:hint="eastAsia" w:ascii="仿宋" w:hAnsi="仿宋" w:eastAsia="仿宋" w:cs="仿宋"/>
          <w:color w:val="auto"/>
          <w:kern w:val="0"/>
          <w:sz w:val="24"/>
          <w:szCs w:val="20"/>
        </w:rPr>
        <w:t>日期:</w:t>
      </w:r>
    </w:p>
    <w:p>
      <w:pPr>
        <w:pStyle w:val="11"/>
        <w:ind w:firstLine="964" w:firstLineChars="400"/>
        <w:rPr>
          <w:rFonts w:ascii="仿宋" w:hAnsi="仿宋" w:eastAsia="仿宋" w:cs="仿宋"/>
          <w:b/>
          <w:bCs/>
          <w:color w:val="auto"/>
        </w:rPr>
      </w:pPr>
    </w:p>
    <w:p>
      <w:pPr>
        <w:rPr>
          <w:rFonts w:ascii="仿宋" w:hAnsi="仿宋" w:eastAsia="仿宋" w:cs="仿宋"/>
          <w:b/>
          <w:bCs/>
          <w:color w:val="auto"/>
        </w:rPr>
      </w:pPr>
    </w:p>
    <w:p>
      <w:pPr>
        <w:pStyle w:val="44"/>
        <w:rPr>
          <w:color w:val="auto"/>
        </w:rPr>
      </w:pPr>
    </w:p>
    <w:p>
      <w:pPr>
        <w:rPr>
          <w:rFonts w:hint="eastAsia" w:ascii="仿宋" w:hAnsi="仿宋" w:eastAsia="仿宋" w:cs="仿宋"/>
          <w:b/>
          <w:bCs/>
          <w:color w:val="auto"/>
        </w:rPr>
      </w:pPr>
      <w:bookmarkStart w:id="272" w:name="_Toc13125"/>
      <w:r>
        <w:rPr>
          <w:rFonts w:hint="eastAsia" w:ascii="仿宋" w:hAnsi="仿宋" w:eastAsia="仿宋" w:cs="仿宋"/>
          <w:b/>
          <w:bCs/>
          <w:color w:val="auto"/>
        </w:rPr>
        <w:br w:type="page"/>
      </w:r>
    </w:p>
    <w:p>
      <w:pPr>
        <w:pStyle w:val="11"/>
        <w:keepNext w:val="0"/>
        <w:keepLines w:val="0"/>
        <w:pageBreakBefore w:val="0"/>
        <w:widowControl w:val="0"/>
        <w:kinsoku/>
        <w:wordWrap/>
        <w:overflowPunct/>
        <w:topLinePunct w:val="0"/>
        <w:autoSpaceDE w:val="0"/>
        <w:autoSpaceDN w:val="0"/>
        <w:bidi w:val="0"/>
        <w:adjustRightInd w:val="0"/>
        <w:snapToGrid/>
        <w:ind w:firstLine="420"/>
        <w:jc w:val="center"/>
        <w:textAlignment w:val="auto"/>
        <w:outlineLvl w:val="1"/>
        <w:rPr>
          <w:rFonts w:ascii="仿宋" w:hAnsi="仿宋" w:eastAsia="仿宋" w:cs="仿宋"/>
          <w:b/>
          <w:bCs/>
          <w:color w:val="auto"/>
        </w:rPr>
      </w:pPr>
      <w:bookmarkStart w:id="273" w:name="_Toc27000"/>
      <w:r>
        <w:rPr>
          <w:rFonts w:hint="eastAsia" w:ascii="仿宋" w:hAnsi="仿宋" w:eastAsia="仿宋" w:cs="仿宋"/>
          <w:b/>
          <w:bCs/>
          <w:color w:val="auto"/>
        </w:rPr>
        <w:t>6   供应商关联单位的说明</w:t>
      </w:r>
      <w:bookmarkEnd w:id="268"/>
      <w:bookmarkEnd w:id="269"/>
      <w:bookmarkEnd w:id="272"/>
      <w:bookmarkEnd w:id="273"/>
    </w:p>
    <w:p>
      <w:pPr>
        <w:pStyle w:val="11"/>
        <w:ind w:firstLine="480" w:firstLineChars="200"/>
        <w:rPr>
          <w:rFonts w:ascii="仿宋" w:hAnsi="仿宋" w:eastAsia="仿宋" w:cs="仿宋"/>
          <w:color w:val="auto"/>
        </w:rPr>
      </w:pPr>
    </w:p>
    <w:p>
      <w:pPr>
        <w:pStyle w:val="11"/>
        <w:ind w:firstLine="480" w:firstLineChars="200"/>
        <w:rPr>
          <w:rFonts w:ascii="仿宋" w:hAnsi="仿宋" w:eastAsia="仿宋" w:cs="仿宋"/>
          <w:color w:val="auto"/>
        </w:rPr>
      </w:pPr>
    </w:p>
    <w:p>
      <w:pPr>
        <w:pStyle w:val="11"/>
        <w:keepNext w:val="0"/>
        <w:keepLines w:val="0"/>
        <w:pageBreakBefore w:val="0"/>
        <w:widowControl w:val="0"/>
        <w:kinsoku/>
        <w:wordWrap/>
        <w:overflowPunct/>
        <w:topLinePunct w:val="0"/>
        <w:autoSpaceDE w:val="0"/>
        <w:autoSpaceDN w:val="0"/>
        <w:bidi w:val="0"/>
        <w:adjustRightInd w:val="0"/>
        <w:snapToGrid/>
        <w:spacing w:line="560" w:lineRule="exact"/>
        <w:ind w:firstLine="480" w:firstLineChars="200"/>
        <w:textAlignment w:val="auto"/>
        <w:rPr>
          <w:rFonts w:ascii="仿宋" w:hAnsi="仿宋" w:eastAsia="仿宋" w:cs="仿宋"/>
          <w:color w:val="auto"/>
        </w:rPr>
      </w:pPr>
      <w:r>
        <w:rPr>
          <w:rFonts w:hint="eastAsia" w:ascii="仿宋" w:hAnsi="仿宋" w:eastAsia="仿宋" w:cs="仿宋"/>
          <w:color w:val="auto"/>
        </w:rPr>
        <w:t>说明：供应商应当如实披露与本单位存在下列关联关系的单位名称：</w:t>
      </w:r>
    </w:p>
    <w:p>
      <w:pPr>
        <w:pStyle w:val="11"/>
        <w:keepNext w:val="0"/>
        <w:keepLines w:val="0"/>
        <w:pageBreakBefore w:val="0"/>
        <w:widowControl w:val="0"/>
        <w:kinsoku/>
        <w:wordWrap/>
        <w:overflowPunct/>
        <w:topLinePunct w:val="0"/>
        <w:autoSpaceDE w:val="0"/>
        <w:autoSpaceDN w:val="0"/>
        <w:bidi w:val="0"/>
        <w:adjustRightInd w:val="0"/>
        <w:snapToGrid/>
        <w:spacing w:line="560" w:lineRule="exact"/>
        <w:ind w:firstLine="480" w:firstLineChars="200"/>
        <w:textAlignment w:val="auto"/>
        <w:rPr>
          <w:rFonts w:ascii="仿宋" w:hAnsi="仿宋" w:eastAsia="仿宋" w:cs="仿宋"/>
          <w:color w:val="auto"/>
        </w:rPr>
      </w:pPr>
      <w:r>
        <w:rPr>
          <w:rFonts w:hint="eastAsia" w:ascii="仿宋" w:hAnsi="仿宋" w:eastAsia="仿宋" w:cs="仿宋"/>
          <w:color w:val="auto"/>
        </w:rPr>
        <w:t>（1）与供应商单位负责人为同一人的其他单位；</w:t>
      </w:r>
    </w:p>
    <w:p>
      <w:pPr>
        <w:pStyle w:val="11"/>
        <w:keepNext w:val="0"/>
        <w:keepLines w:val="0"/>
        <w:pageBreakBefore w:val="0"/>
        <w:widowControl w:val="0"/>
        <w:kinsoku/>
        <w:wordWrap/>
        <w:overflowPunct/>
        <w:topLinePunct w:val="0"/>
        <w:autoSpaceDE w:val="0"/>
        <w:autoSpaceDN w:val="0"/>
        <w:bidi w:val="0"/>
        <w:adjustRightInd w:val="0"/>
        <w:snapToGrid/>
        <w:spacing w:line="560" w:lineRule="exact"/>
        <w:ind w:firstLine="480" w:firstLineChars="200"/>
        <w:textAlignment w:val="auto"/>
        <w:rPr>
          <w:rFonts w:ascii="仿宋" w:hAnsi="仿宋" w:eastAsia="仿宋" w:cs="仿宋"/>
          <w:color w:val="auto"/>
        </w:rPr>
      </w:pPr>
      <w:r>
        <w:rPr>
          <w:rFonts w:hint="eastAsia" w:ascii="仿宋" w:hAnsi="仿宋" w:eastAsia="仿宋" w:cs="仿宋"/>
          <w:color w:val="auto"/>
        </w:rPr>
        <w:t>（2）与供应商存在直接控股、管理关系的其他单位。</w:t>
      </w:r>
    </w:p>
    <w:p>
      <w:pPr>
        <w:pStyle w:val="11"/>
        <w:jc w:val="center"/>
        <w:rPr>
          <w:rFonts w:ascii="仿宋" w:hAnsi="仿宋" w:eastAsia="仿宋" w:cs="仿宋"/>
          <w:color w:val="auto"/>
        </w:rPr>
      </w:pPr>
    </w:p>
    <w:p>
      <w:pPr>
        <w:pStyle w:val="22"/>
        <w:tabs>
          <w:tab w:val="center" w:pos="4140"/>
          <w:tab w:val="right" w:pos="8300"/>
          <w:tab w:val="clear" w:pos="4153"/>
          <w:tab w:val="clear" w:pos="8306"/>
        </w:tabs>
        <w:spacing w:line="440" w:lineRule="exact"/>
        <w:jc w:val="center"/>
        <w:outlineLvl w:val="1"/>
        <w:rPr>
          <w:rFonts w:ascii="仿宋" w:hAnsi="仿宋" w:eastAsia="仿宋" w:cs="仿宋"/>
          <w:b/>
          <w:color w:val="auto"/>
          <w:sz w:val="24"/>
        </w:rPr>
      </w:pPr>
      <w:r>
        <w:rPr>
          <w:rFonts w:hint="eastAsia" w:ascii="仿宋" w:hAnsi="仿宋" w:eastAsia="仿宋" w:cs="仿宋"/>
          <w:b/>
          <w:bCs/>
          <w:color w:val="auto"/>
        </w:rPr>
        <w:br w:type="page"/>
      </w:r>
      <w:bookmarkStart w:id="274" w:name="_Toc29846"/>
      <w:bookmarkStart w:id="275" w:name="_Toc16598"/>
      <w:r>
        <w:rPr>
          <w:rFonts w:hint="eastAsia" w:ascii="仿宋" w:hAnsi="仿宋" w:eastAsia="仿宋" w:cs="仿宋"/>
          <w:b/>
          <w:color w:val="auto"/>
          <w:sz w:val="24"/>
        </w:rPr>
        <w:t>第四部分  技术投标方案</w:t>
      </w:r>
      <w:bookmarkEnd w:id="274"/>
      <w:bookmarkEnd w:id="275"/>
    </w:p>
    <w:p>
      <w:pPr>
        <w:pStyle w:val="22"/>
        <w:tabs>
          <w:tab w:val="center" w:pos="4140"/>
          <w:tab w:val="right" w:pos="8300"/>
          <w:tab w:val="clear" w:pos="4153"/>
          <w:tab w:val="clear" w:pos="8306"/>
        </w:tabs>
        <w:spacing w:line="440" w:lineRule="exact"/>
        <w:ind w:firstLine="480" w:firstLineChars="200"/>
        <w:jc w:val="both"/>
        <w:rPr>
          <w:rFonts w:ascii="仿宋" w:hAnsi="仿宋" w:eastAsia="仿宋" w:cs="仿宋"/>
          <w:color w:val="auto"/>
          <w:sz w:val="24"/>
          <w:lang w:val="zh-CN"/>
        </w:rPr>
      </w:pPr>
      <w:bookmarkStart w:id="276" w:name="_Toc375218897"/>
      <w:r>
        <w:rPr>
          <w:rFonts w:hint="eastAsia" w:ascii="仿宋" w:hAnsi="仿宋" w:eastAsia="仿宋" w:cs="仿宋"/>
          <w:color w:val="auto"/>
          <w:sz w:val="24"/>
          <w:lang w:val="zh-CN"/>
        </w:rPr>
        <w:t>供应商应根据采购文件的要求，参照项目的具体情况及评分标准</w:t>
      </w:r>
      <w:bookmarkStart w:id="277" w:name="_Toc375218899"/>
      <w:r>
        <w:rPr>
          <w:rFonts w:hint="eastAsia" w:ascii="仿宋" w:hAnsi="仿宋" w:eastAsia="仿宋" w:cs="仿宋"/>
          <w:color w:val="auto"/>
          <w:sz w:val="24"/>
          <w:lang w:val="zh-CN"/>
        </w:rPr>
        <w:t>技术</w:t>
      </w:r>
      <w:r>
        <w:rPr>
          <w:rFonts w:hint="eastAsia" w:ascii="仿宋" w:hAnsi="仿宋" w:eastAsia="仿宋" w:cs="仿宋"/>
          <w:color w:val="auto"/>
          <w:sz w:val="24"/>
        </w:rPr>
        <w:t>表</w:t>
      </w:r>
      <w:r>
        <w:rPr>
          <w:rFonts w:hint="eastAsia" w:ascii="仿宋" w:hAnsi="仿宋" w:eastAsia="仿宋" w:cs="仿宋"/>
          <w:color w:val="auto"/>
          <w:sz w:val="24"/>
          <w:lang w:val="zh-CN"/>
        </w:rPr>
        <w:t>内容</w:t>
      </w:r>
      <w:r>
        <w:rPr>
          <w:rFonts w:hint="eastAsia" w:ascii="仿宋" w:hAnsi="仿宋" w:eastAsia="仿宋" w:cs="仿宋"/>
          <w:color w:val="auto"/>
          <w:sz w:val="24"/>
        </w:rPr>
        <w:t>编制技术投标方案</w:t>
      </w:r>
      <w:r>
        <w:rPr>
          <w:rFonts w:hint="eastAsia" w:ascii="仿宋" w:hAnsi="仿宋" w:eastAsia="仿宋" w:cs="仿宋"/>
          <w:color w:val="auto"/>
          <w:sz w:val="24"/>
          <w:lang w:val="zh-CN"/>
        </w:rPr>
        <w:t>。</w:t>
      </w:r>
      <w:bookmarkEnd w:id="276"/>
      <w:bookmarkEnd w:id="277"/>
    </w:p>
    <w:p>
      <w:pPr>
        <w:pStyle w:val="22"/>
        <w:tabs>
          <w:tab w:val="center" w:pos="4140"/>
          <w:tab w:val="right" w:pos="8300"/>
          <w:tab w:val="clear" w:pos="4153"/>
          <w:tab w:val="clear" w:pos="8306"/>
        </w:tabs>
        <w:spacing w:line="440" w:lineRule="exact"/>
        <w:ind w:firstLine="480" w:firstLineChars="200"/>
        <w:jc w:val="both"/>
        <w:rPr>
          <w:rFonts w:hint="eastAsia" w:ascii="仿宋" w:hAnsi="仿宋" w:eastAsia="仿宋" w:cs="仿宋"/>
          <w:color w:val="auto"/>
          <w:sz w:val="24"/>
          <w:lang w:val="zh-CN"/>
        </w:rPr>
      </w:pPr>
      <w:r>
        <w:rPr>
          <w:rFonts w:hint="eastAsia" w:ascii="仿宋" w:hAnsi="仿宋" w:eastAsia="仿宋" w:cs="仿宋"/>
          <w:color w:val="auto"/>
          <w:sz w:val="24"/>
          <w:lang w:val="en-US" w:eastAsia="zh-CN"/>
        </w:rPr>
        <w:t>标项一、二：</w:t>
      </w:r>
      <w:r>
        <w:rPr>
          <w:rFonts w:hint="eastAsia" w:ascii="仿宋" w:hAnsi="仿宋" w:eastAsia="仿宋" w:cs="仿宋"/>
          <w:color w:val="auto"/>
          <w:sz w:val="24"/>
        </w:rPr>
        <w:t>技术投标文件</w:t>
      </w:r>
      <w:r>
        <w:rPr>
          <w:rFonts w:hint="eastAsia" w:ascii="仿宋" w:hAnsi="仿宋" w:eastAsia="仿宋" w:cs="仿宋"/>
          <w:color w:val="auto"/>
          <w:sz w:val="24"/>
          <w:lang w:val="zh-CN"/>
        </w:rPr>
        <w:t>将从与采购文件的响应性，依据充足，目标任务明确，调查区自然地理、地质、社会经济等方面的资料齐全性，工作思路、工作部署、工程量布置、进度安排明确清晰程度，工作方法手段得当、适宜，技术要求明确性，预期成果，主要设备配置，质量、进度、安全的保障体系，主要措施，</w:t>
      </w:r>
      <w:r>
        <w:rPr>
          <w:rFonts w:hint="eastAsia" w:ascii="仿宋" w:hAnsi="仿宋" w:eastAsia="仿宋" w:cs="仿宋"/>
          <w:color w:val="auto"/>
          <w:sz w:val="24"/>
        </w:rPr>
        <w:t>投入本项目的主要设备和仪器等方面进行评审</w:t>
      </w:r>
      <w:r>
        <w:rPr>
          <w:rFonts w:hint="eastAsia" w:ascii="仿宋" w:hAnsi="仿宋" w:eastAsia="仿宋" w:cs="仿宋"/>
          <w:color w:val="auto"/>
          <w:sz w:val="24"/>
          <w:lang w:val="zh-CN"/>
        </w:rPr>
        <w:t>。</w:t>
      </w:r>
    </w:p>
    <w:p>
      <w:pPr>
        <w:pStyle w:val="22"/>
        <w:tabs>
          <w:tab w:val="center" w:pos="4140"/>
          <w:tab w:val="right" w:pos="8300"/>
          <w:tab w:val="clear" w:pos="4153"/>
          <w:tab w:val="clear" w:pos="8306"/>
        </w:tabs>
        <w:spacing w:line="440" w:lineRule="exact"/>
        <w:ind w:firstLine="480" w:firstLineChars="200"/>
        <w:jc w:val="both"/>
        <w:rPr>
          <w:rFonts w:hint="eastAsia" w:ascii="仿宋" w:hAnsi="仿宋" w:eastAsia="仿宋" w:cs="仿宋"/>
          <w:color w:val="auto"/>
          <w:sz w:val="24"/>
          <w:lang w:eastAsia="zh-CN"/>
        </w:rPr>
      </w:pPr>
      <w:r>
        <w:rPr>
          <w:rFonts w:hint="eastAsia" w:ascii="仿宋" w:hAnsi="仿宋" w:eastAsia="仿宋" w:cs="仿宋"/>
          <w:color w:val="auto"/>
          <w:sz w:val="24"/>
          <w:lang w:eastAsia="zh-CN"/>
        </w:rPr>
        <w:t>标项三、四：</w:t>
      </w:r>
      <w:r>
        <w:rPr>
          <w:rFonts w:hint="eastAsia" w:ascii="仿宋" w:hAnsi="仿宋" w:eastAsia="仿宋" w:cs="仿宋"/>
          <w:color w:val="auto"/>
          <w:sz w:val="24"/>
        </w:rPr>
        <w:t>技术投标文件</w:t>
      </w:r>
      <w:r>
        <w:rPr>
          <w:rFonts w:hint="eastAsia" w:ascii="仿宋" w:hAnsi="仿宋" w:eastAsia="仿宋" w:cs="仿宋"/>
          <w:color w:val="auto"/>
          <w:sz w:val="24"/>
          <w:lang w:val="zh-CN"/>
        </w:rPr>
        <w:t>将从</w:t>
      </w:r>
      <w:r>
        <w:rPr>
          <w:rFonts w:hint="eastAsia" w:ascii="仿宋" w:hAnsi="仿宋" w:eastAsia="仿宋" w:cs="仿宋"/>
          <w:color w:val="auto"/>
          <w:sz w:val="24"/>
        </w:rPr>
        <w:t>标书的完整性及与采购文件的响应性</w:t>
      </w:r>
      <w:r>
        <w:rPr>
          <w:rFonts w:hint="eastAsia" w:ascii="仿宋" w:hAnsi="仿宋" w:eastAsia="仿宋" w:cs="仿宋"/>
          <w:color w:val="auto"/>
          <w:sz w:val="24"/>
          <w:lang w:eastAsia="zh-CN"/>
        </w:rPr>
        <w:t>、</w:t>
      </w:r>
      <w:r>
        <w:rPr>
          <w:rFonts w:hint="eastAsia" w:ascii="仿宋" w:hAnsi="仿宋" w:eastAsia="仿宋" w:cs="仿宋"/>
          <w:color w:val="auto"/>
          <w:sz w:val="24"/>
        </w:rPr>
        <w:t>施工设计目标任务、工作内容、工程布置、施工方案、工程量、进度安排的明确清晰程度及合理性；工作方法的可行性、技术要求的明确程度</w:t>
      </w:r>
      <w:r>
        <w:rPr>
          <w:rFonts w:hint="eastAsia" w:ascii="仿宋" w:hAnsi="仿宋" w:eastAsia="仿宋" w:cs="仿宋"/>
          <w:color w:val="auto"/>
          <w:sz w:val="24"/>
          <w:lang w:eastAsia="zh-CN"/>
        </w:rPr>
        <w:t>、</w:t>
      </w:r>
      <w:r>
        <w:rPr>
          <w:rFonts w:hint="eastAsia" w:ascii="仿宋" w:hAnsi="仿宋" w:eastAsia="仿宋" w:cs="仿宋"/>
          <w:color w:val="auto"/>
          <w:sz w:val="24"/>
        </w:rPr>
        <w:t>施工设计图内容是否齐全</w:t>
      </w:r>
      <w:r>
        <w:rPr>
          <w:rFonts w:hint="eastAsia" w:ascii="仿宋" w:hAnsi="仿宋" w:eastAsia="仿宋" w:cs="仿宋"/>
          <w:color w:val="auto"/>
          <w:sz w:val="24"/>
          <w:lang w:eastAsia="zh-CN"/>
        </w:rPr>
        <w:t>、</w:t>
      </w:r>
      <w:r>
        <w:rPr>
          <w:rFonts w:hint="eastAsia" w:ascii="仿宋" w:hAnsi="仿宋" w:eastAsia="仿宋" w:cs="仿宋"/>
          <w:color w:val="auto"/>
          <w:sz w:val="24"/>
        </w:rPr>
        <w:t>设计图规范、图面美观</w:t>
      </w:r>
      <w:r>
        <w:rPr>
          <w:rFonts w:hint="eastAsia" w:ascii="仿宋" w:hAnsi="仿宋" w:eastAsia="仿宋" w:cs="仿宋"/>
          <w:color w:val="auto"/>
          <w:sz w:val="24"/>
          <w:lang w:eastAsia="zh-CN"/>
        </w:rPr>
        <w:t>、</w:t>
      </w:r>
      <w:r>
        <w:rPr>
          <w:rFonts w:hint="eastAsia" w:ascii="仿宋" w:hAnsi="仿宋" w:eastAsia="仿宋" w:cs="仿宋"/>
          <w:color w:val="auto"/>
          <w:sz w:val="24"/>
        </w:rPr>
        <w:t>设计参数标注是否齐全完整</w:t>
      </w:r>
      <w:r>
        <w:rPr>
          <w:rFonts w:hint="eastAsia" w:ascii="仿宋" w:hAnsi="仿宋" w:eastAsia="仿宋" w:cs="仿宋"/>
          <w:color w:val="auto"/>
          <w:sz w:val="24"/>
          <w:lang w:eastAsia="zh-CN"/>
        </w:rPr>
        <w:t>、</w:t>
      </w:r>
      <w:r>
        <w:rPr>
          <w:rFonts w:hint="eastAsia" w:ascii="仿宋" w:hAnsi="仿宋" w:eastAsia="仿宋" w:cs="仿宋"/>
          <w:color w:val="auto"/>
          <w:sz w:val="24"/>
        </w:rPr>
        <w:t>施工组织设计内容是否齐全完整</w:t>
      </w:r>
      <w:r>
        <w:rPr>
          <w:rFonts w:hint="eastAsia" w:ascii="仿宋" w:hAnsi="仿宋" w:eastAsia="仿宋" w:cs="仿宋"/>
          <w:color w:val="auto"/>
          <w:sz w:val="24"/>
          <w:lang w:eastAsia="zh-CN"/>
        </w:rPr>
        <w:t>、</w:t>
      </w:r>
      <w:r>
        <w:rPr>
          <w:rFonts w:hint="eastAsia" w:ascii="仿宋" w:hAnsi="仿宋" w:eastAsia="仿宋" w:cs="仿宋"/>
          <w:color w:val="auto"/>
          <w:sz w:val="24"/>
        </w:rPr>
        <w:t>工作方法应与施工图设计相衔接，技术要求应符合当地实际</w:t>
      </w:r>
      <w:r>
        <w:rPr>
          <w:rFonts w:hint="eastAsia" w:ascii="仿宋" w:hAnsi="仿宋" w:eastAsia="仿宋" w:cs="仿宋"/>
          <w:color w:val="auto"/>
          <w:sz w:val="24"/>
          <w:lang w:eastAsia="zh-CN"/>
        </w:rPr>
        <w:t>，</w:t>
      </w:r>
      <w:r>
        <w:rPr>
          <w:rFonts w:hint="eastAsia" w:ascii="仿宋" w:hAnsi="仿宋" w:eastAsia="仿宋" w:cs="仿宋"/>
          <w:color w:val="auto"/>
          <w:sz w:val="24"/>
        </w:rPr>
        <w:t>满足相关标准、规范，施工组织严密，附施工平面图</w:t>
      </w:r>
      <w:r>
        <w:rPr>
          <w:rFonts w:hint="eastAsia" w:ascii="仿宋" w:hAnsi="仿宋" w:eastAsia="仿宋" w:cs="仿宋"/>
          <w:color w:val="auto"/>
          <w:sz w:val="24"/>
          <w:lang w:eastAsia="zh-CN"/>
        </w:rPr>
        <w:t>、</w:t>
      </w:r>
      <w:r>
        <w:rPr>
          <w:rFonts w:hint="eastAsia" w:ascii="仿宋" w:hAnsi="仿宋" w:eastAsia="仿宋" w:cs="仿宋"/>
          <w:color w:val="auto"/>
          <w:sz w:val="24"/>
        </w:rPr>
        <w:t>预期成果的全面程度</w:t>
      </w:r>
      <w:r>
        <w:rPr>
          <w:rFonts w:hint="eastAsia" w:ascii="仿宋" w:hAnsi="仿宋" w:eastAsia="仿宋" w:cs="仿宋"/>
          <w:color w:val="auto"/>
          <w:sz w:val="24"/>
          <w:lang w:eastAsia="zh-CN"/>
        </w:rPr>
        <w:t>、</w:t>
      </w:r>
      <w:r>
        <w:rPr>
          <w:rFonts w:hint="eastAsia" w:ascii="仿宋" w:hAnsi="仿宋" w:eastAsia="仿宋" w:cs="仿宋"/>
          <w:color w:val="auto"/>
          <w:sz w:val="24"/>
        </w:rPr>
        <w:t>组织管理、质量、进度、安全、环境的保障体系及主要措施</w:t>
      </w:r>
      <w:r>
        <w:rPr>
          <w:rFonts w:hint="eastAsia" w:ascii="仿宋" w:hAnsi="仿宋" w:eastAsia="仿宋" w:cs="仿宋"/>
          <w:color w:val="auto"/>
          <w:sz w:val="24"/>
          <w:lang w:eastAsia="zh-CN"/>
        </w:rPr>
        <w:t>等方面进行评审。</w:t>
      </w:r>
    </w:p>
    <w:p>
      <w:pPr>
        <w:pStyle w:val="22"/>
        <w:tabs>
          <w:tab w:val="center" w:pos="4140"/>
          <w:tab w:val="right" w:pos="8300"/>
          <w:tab w:val="clear" w:pos="4153"/>
          <w:tab w:val="clear" w:pos="8306"/>
        </w:tabs>
        <w:spacing w:line="440" w:lineRule="exact"/>
        <w:ind w:firstLine="480" w:firstLineChars="200"/>
        <w:jc w:val="both"/>
        <w:rPr>
          <w:rFonts w:ascii="仿宋" w:hAnsi="仿宋" w:eastAsia="仿宋" w:cs="仿宋"/>
          <w:color w:val="auto"/>
          <w:sz w:val="24"/>
        </w:rPr>
      </w:pPr>
      <w:r>
        <w:rPr>
          <w:rFonts w:hint="eastAsia" w:ascii="仿宋" w:hAnsi="仿宋" w:eastAsia="仿宋" w:cs="仿宋"/>
          <w:color w:val="auto"/>
          <w:sz w:val="24"/>
        </w:rPr>
        <w:t>标项</w:t>
      </w:r>
      <w:r>
        <w:rPr>
          <w:rFonts w:hint="eastAsia" w:ascii="仿宋" w:hAnsi="仿宋" w:eastAsia="仿宋" w:cs="仿宋"/>
          <w:color w:val="auto"/>
          <w:sz w:val="24"/>
          <w:lang w:val="en-US" w:eastAsia="zh-CN"/>
        </w:rPr>
        <w:t>五</w:t>
      </w:r>
      <w:r>
        <w:rPr>
          <w:rFonts w:hint="eastAsia" w:ascii="仿宋" w:hAnsi="仿宋" w:eastAsia="仿宋" w:cs="仿宋"/>
          <w:color w:val="auto"/>
          <w:sz w:val="24"/>
        </w:rPr>
        <w:t>：技术投标文件</w:t>
      </w:r>
      <w:r>
        <w:rPr>
          <w:rFonts w:hint="eastAsia" w:ascii="仿宋" w:hAnsi="仿宋" w:eastAsia="仿宋" w:cs="仿宋"/>
          <w:color w:val="auto"/>
          <w:sz w:val="24"/>
          <w:lang w:val="zh-CN"/>
        </w:rPr>
        <w:t>将从与采购文件的响应性，编制依据、目标任务，技术方案，供应设备的技术条款、技术参数、技术指标、设备质保及其他指标，基础施工、设备安装及设备管理，设备安装，绩效目标，预期成果，组织管理机构、主要技术人员配备，设备配置应齐备，工程实施计划、培训计划、售后服务计划 ，质量、进度、安全的保障体系等</w:t>
      </w:r>
      <w:r>
        <w:rPr>
          <w:rFonts w:hint="eastAsia" w:ascii="仿宋" w:hAnsi="仿宋" w:eastAsia="仿宋" w:cs="仿宋"/>
          <w:color w:val="auto"/>
          <w:sz w:val="24"/>
        </w:rPr>
        <w:t>方面进行评审。</w:t>
      </w:r>
    </w:p>
    <w:p>
      <w:pPr>
        <w:pStyle w:val="22"/>
        <w:tabs>
          <w:tab w:val="center" w:pos="4140"/>
          <w:tab w:val="right" w:pos="8300"/>
          <w:tab w:val="clear" w:pos="4153"/>
          <w:tab w:val="clear" w:pos="8306"/>
        </w:tabs>
        <w:spacing w:line="440" w:lineRule="exact"/>
        <w:ind w:firstLine="480" w:firstLineChars="200"/>
        <w:jc w:val="both"/>
        <w:rPr>
          <w:rFonts w:ascii="仿宋" w:hAnsi="仿宋" w:eastAsia="仿宋" w:cs="仿宋"/>
          <w:color w:val="auto"/>
          <w:sz w:val="24"/>
        </w:rPr>
      </w:pPr>
      <w:r>
        <w:rPr>
          <w:rFonts w:hint="eastAsia" w:ascii="仿宋" w:hAnsi="仿宋" w:eastAsia="仿宋" w:cs="仿宋"/>
          <w:color w:val="auto"/>
          <w:sz w:val="24"/>
          <w:lang w:val="en-US" w:eastAsia="zh-CN"/>
        </w:rPr>
        <w:t>标项六：</w:t>
      </w:r>
      <w:r>
        <w:rPr>
          <w:rFonts w:hint="eastAsia" w:ascii="仿宋" w:hAnsi="仿宋" w:eastAsia="仿宋" w:cs="仿宋"/>
          <w:color w:val="auto"/>
          <w:sz w:val="24"/>
          <w:lang w:val="zh-CN"/>
        </w:rPr>
        <w:t>技术标将从标书与</w:t>
      </w:r>
      <w:r>
        <w:rPr>
          <w:rFonts w:hint="eastAsia" w:ascii="仿宋" w:hAnsi="仿宋" w:eastAsia="仿宋" w:cs="仿宋"/>
          <w:color w:val="auto"/>
          <w:sz w:val="24"/>
        </w:rPr>
        <w:t>采购</w:t>
      </w:r>
      <w:r>
        <w:rPr>
          <w:rFonts w:hint="eastAsia" w:ascii="仿宋" w:hAnsi="仿宋" w:eastAsia="仿宋" w:cs="仿宋"/>
          <w:color w:val="auto"/>
          <w:sz w:val="24"/>
          <w:lang w:val="zh-CN"/>
        </w:rPr>
        <w:t>文件的响应性或完整性、监理工作范围、内容、目标及依据、监理机构和组织形式健全、监理工作程序的合理性，技术要求的可行性、技术要求及措施的合理性、预期成果应包括、监理工作总结、质量评估报告、人员配置等方面进行评价。</w:t>
      </w:r>
    </w:p>
    <w:p>
      <w:pPr>
        <w:shd w:val="clear" w:color="auto" w:fill="FFFFFF"/>
        <w:spacing w:line="400" w:lineRule="exact"/>
        <w:ind w:firstLine="484" w:firstLineChars="202"/>
        <w:rPr>
          <w:rFonts w:ascii="仿宋" w:hAnsi="仿宋" w:eastAsia="仿宋" w:cs="仿宋"/>
          <w:color w:val="auto"/>
          <w:sz w:val="24"/>
          <w:lang w:val="zh-CN"/>
        </w:rPr>
      </w:pPr>
      <w:r>
        <w:rPr>
          <w:rFonts w:hint="eastAsia" w:ascii="仿宋" w:hAnsi="仿宋" w:eastAsia="仿宋" w:cs="仿宋"/>
          <w:color w:val="auto"/>
          <w:sz w:val="24"/>
          <w:lang w:val="zh-CN"/>
        </w:rPr>
        <w:t>为了便于查找，请</w:t>
      </w:r>
      <w:r>
        <w:rPr>
          <w:rFonts w:hint="eastAsia" w:ascii="仿宋" w:hAnsi="仿宋" w:eastAsia="仿宋" w:cs="仿宋"/>
          <w:color w:val="auto"/>
          <w:sz w:val="24"/>
        </w:rPr>
        <w:t>编制目录</w:t>
      </w:r>
      <w:r>
        <w:rPr>
          <w:rFonts w:hint="eastAsia" w:ascii="仿宋" w:hAnsi="仿宋" w:eastAsia="仿宋" w:cs="仿宋"/>
          <w:color w:val="auto"/>
          <w:sz w:val="24"/>
          <w:lang w:val="zh-CN"/>
        </w:rPr>
        <w:t>，并在目录中注明每项内容的页码。</w:t>
      </w:r>
    </w:p>
    <w:p>
      <w:pPr>
        <w:rPr>
          <w:color w:val="auto"/>
        </w:rPr>
      </w:pPr>
    </w:p>
    <w:p>
      <w:pPr>
        <w:pStyle w:val="11"/>
        <w:ind w:firstLine="723" w:firstLineChars="300"/>
        <w:rPr>
          <w:rFonts w:ascii="仿宋" w:hAnsi="仿宋" w:eastAsia="仿宋" w:cs="仿宋"/>
          <w:b/>
          <w:bCs/>
          <w:color w:val="auto"/>
        </w:rPr>
      </w:pPr>
    </w:p>
    <w:p>
      <w:pPr>
        <w:rPr>
          <w:color w:val="auto"/>
        </w:rPr>
      </w:pPr>
      <w:r>
        <w:rPr>
          <w:rFonts w:hint="eastAsia"/>
          <w:color w:val="auto"/>
        </w:rPr>
        <w:br w:type="page"/>
      </w:r>
    </w:p>
    <w:p>
      <w:pPr>
        <w:spacing w:line="240" w:lineRule="atLeast"/>
        <w:ind w:left="1080" w:leftChars="257" w:hanging="540"/>
        <w:jc w:val="center"/>
        <w:rPr>
          <w:rFonts w:ascii="仿宋" w:hAnsi="仿宋" w:eastAsia="仿宋" w:cs="仿宋"/>
          <w:color w:val="auto"/>
          <w:sz w:val="24"/>
        </w:rPr>
      </w:pPr>
    </w:p>
    <w:p>
      <w:pPr>
        <w:pStyle w:val="7"/>
        <w:tabs>
          <w:tab w:val="left" w:pos="0"/>
        </w:tabs>
        <w:spacing w:before="0" w:after="0" w:line="240" w:lineRule="atLeast"/>
        <w:rPr>
          <w:rFonts w:ascii="仿宋" w:hAnsi="仿宋" w:eastAsia="仿宋" w:cs="仿宋"/>
          <w:color w:val="auto"/>
        </w:rPr>
      </w:pPr>
      <w:bookmarkStart w:id="278" w:name="_Toc518923126"/>
      <w:bookmarkStart w:id="279" w:name="_Toc219175638"/>
      <w:bookmarkStart w:id="280" w:name="_Toc216582825"/>
      <w:bookmarkStart w:id="281" w:name="_Toc507399906"/>
      <w:bookmarkStart w:id="282" w:name="_Toc218935354"/>
      <w:bookmarkStart w:id="283" w:name="_Toc27701"/>
      <w:bookmarkStart w:id="284" w:name="_Toc20348"/>
      <w:bookmarkStart w:id="285" w:name="_Toc219175635"/>
      <w:bookmarkStart w:id="286" w:name="_Toc218935351"/>
      <w:bookmarkStart w:id="287" w:name="_Toc216513787"/>
      <w:bookmarkStart w:id="288" w:name="_Toc216582811"/>
      <w:r>
        <w:rPr>
          <w:rFonts w:hint="eastAsia" w:ascii="仿宋" w:hAnsi="仿宋" w:eastAsia="仿宋" w:cs="仿宋"/>
          <w:color w:val="auto"/>
        </w:rPr>
        <w:t xml:space="preserve">第5章   </w:t>
      </w:r>
      <w:bookmarkEnd w:id="278"/>
      <w:bookmarkEnd w:id="279"/>
      <w:bookmarkEnd w:id="280"/>
      <w:bookmarkEnd w:id="281"/>
      <w:bookmarkEnd w:id="282"/>
      <w:r>
        <w:rPr>
          <w:rFonts w:hint="eastAsia" w:ascii="仿宋" w:hAnsi="仿宋" w:eastAsia="仿宋" w:cs="仿宋"/>
          <w:color w:val="auto"/>
        </w:rPr>
        <w:t>采购需求</w:t>
      </w:r>
      <w:bookmarkEnd w:id="283"/>
      <w:bookmarkEnd w:id="284"/>
    </w:p>
    <w:p>
      <w:pPr>
        <w:rPr>
          <w:color w:val="auto"/>
        </w:rPr>
      </w:pPr>
    </w:p>
    <w:p>
      <w:pPr>
        <w:spacing w:line="440" w:lineRule="exact"/>
        <w:ind w:left="363"/>
        <w:jc w:val="center"/>
        <w:outlineLvl w:val="1"/>
        <w:rPr>
          <w:rFonts w:hint="eastAsia" w:ascii="仿宋" w:hAnsi="仿宋" w:eastAsia="仿宋" w:cs="仿宋"/>
          <w:b/>
          <w:bCs/>
          <w:color w:val="auto"/>
          <w:kern w:val="0"/>
          <w:sz w:val="32"/>
          <w:szCs w:val="22"/>
        </w:rPr>
      </w:pPr>
      <w:bookmarkStart w:id="289" w:name="_Toc25120"/>
      <w:bookmarkStart w:id="290" w:name="_Toc26350"/>
      <w:r>
        <w:rPr>
          <w:rFonts w:hint="eastAsia" w:ascii="仿宋" w:hAnsi="仿宋" w:eastAsia="仿宋" w:cs="仿宋"/>
          <w:b/>
          <w:bCs/>
          <w:color w:val="auto"/>
          <w:kern w:val="0"/>
          <w:sz w:val="32"/>
          <w:szCs w:val="22"/>
        </w:rPr>
        <w:t>标项一：新疆</w:t>
      </w:r>
      <w:r>
        <w:rPr>
          <w:rFonts w:hint="eastAsia" w:ascii="仿宋" w:hAnsi="仿宋" w:eastAsia="仿宋" w:cs="仿宋"/>
          <w:b/>
          <w:bCs/>
          <w:color w:val="auto"/>
          <w:kern w:val="0"/>
          <w:sz w:val="32"/>
          <w:szCs w:val="22"/>
          <w:lang w:eastAsia="zh-CN"/>
        </w:rPr>
        <w:t>阿克陶县</w:t>
      </w:r>
      <w:r>
        <w:rPr>
          <w:rFonts w:hint="eastAsia" w:ascii="仿宋" w:hAnsi="仿宋" w:eastAsia="仿宋" w:cs="仿宋"/>
          <w:b/>
          <w:bCs/>
          <w:color w:val="auto"/>
          <w:kern w:val="0"/>
          <w:sz w:val="32"/>
          <w:szCs w:val="22"/>
        </w:rPr>
        <w:t>地质灾害风险调查评价</w:t>
      </w:r>
      <w:bookmarkEnd w:id="289"/>
      <w:bookmarkEnd w:id="290"/>
    </w:p>
    <w:p>
      <w:pPr>
        <w:spacing w:line="560" w:lineRule="exact"/>
        <w:ind w:firstLine="480" w:firstLineChars="200"/>
        <w:rPr>
          <w:rStyle w:val="73"/>
          <w:rFonts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1"/>
        <w:rPr>
          <w:rStyle w:val="73"/>
          <w:rFonts w:hint="eastAsia" w:ascii="仿宋" w:hAnsi="仿宋" w:eastAsia="仿宋" w:cs="仿宋"/>
          <w:color w:val="auto"/>
          <w:sz w:val="24"/>
          <w:szCs w:val="24"/>
        </w:rPr>
      </w:pPr>
      <w:bookmarkStart w:id="291" w:name="_Toc13050"/>
      <w:r>
        <w:rPr>
          <w:rStyle w:val="73"/>
          <w:rFonts w:hint="eastAsia" w:ascii="仿宋" w:hAnsi="仿宋" w:eastAsia="仿宋" w:cs="仿宋"/>
          <w:color w:val="auto"/>
          <w:sz w:val="24"/>
          <w:szCs w:val="24"/>
        </w:rPr>
        <w:t>一、项目名称、编号和经费</w:t>
      </w:r>
      <w:bookmarkEnd w:id="291"/>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rPr>
        <w:t>项目名称：新疆</w:t>
      </w:r>
      <w:r>
        <w:rPr>
          <w:rStyle w:val="73"/>
          <w:rFonts w:hint="eastAsia" w:ascii="仿宋" w:hAnsi="仿宋" w:eastAsia="仿宋" w:cs="仿宋"/>
          <w:color w:val="auto"/>
          <w:sz w:val="24"/>
          <w:szCs w:val="24"/>
          <w:lang w:eastAsia="zh-CN"/>
        </w:rPr>
        <w:t>阿克陶县</w:t>
      </w:r>
      <w:r>
        <w:rPr>
          <w:rStyle w:val="73"/>
          <w:rFonts w:hint="eastAsia" w:ascii="仿宋" w:hAnsi="仿宋" w:eastAsia="仿宋" w:cs="仿宋"/>
          <w:color w:val="auto"/>
          <w:sz w:val="24"/>
          <w:szCs w:val="24"/>
        </w:rPr>
        <w:t>地质灾害风险调查评价</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default" w:ascii="仿宋" w:hAnsi="仿宋" w:eastAsia="仿宋" w:cs="仿宋"/>
          <w:color w:val="auto"/>
          <w:sz w:val="24"/>
          <w:szCs w:val="24"/>
          <w:lang w:val="en-US" w:eastAsia="zh-CN"/>
        </w:rPr>
      </w:pPr>
      <w:r>
        <w:rPr>
          <w:rStyle w:val="73"/>
          <w:rFonts w:hint="eastAsia" w:ascii="仿宋" w:hAnsi="仿宋" w:eastAsia="仿宋" w:cs="仿宋"/>
          <w:color w:val="auto"/>
          <w:sz w:val="24"/>
          <w:szCs w:val="24"/>
        </w:rPr>
        <w:t>项目编号：</w:t>
      </w:r>
      <w:r>
        <w:rPr>
          <w:rStyle w:val="73"/>
          <w:rFonts w:ascii="仿宋" w:hAnsi="仿宋" w:eastAsia="仿宋" w:cs="仿宋"/>
          <w:color w:val="auto"/>
          <w:sz w:val="24"/>
          <w:szCs w:val="24"/>
          <w:lang w:eastAsia="zh-CN"/>
        </w:rPr>
        <w:t>GYZB-KZDZFZ2023</w:t>
      </w:r>
      <w:r>
        <w:rPr>
          <w:rStyle w:val="73"/>
          <w:rFonts w:ascii="仿宋" w:hAnsi="仿宋" w:eastAsia="仿宋" w:cs="仿宋"/>
          <w:color w:val="auto"/>
          <w:sz w:val="24"/>
          <w:szCs w:val="24"/>
        </w:rPr>
        <w:t>-0</w:t>
      </w:r>
      <w:r>
        <w:rPr>
          <w:rStyle w:val="73"/>
          <w:rFonts w:hint="eastAsia" w:ascii="仿宋" w:hAnsi="仿宋" w:eastAsia="仿宋" w:cs="仿宋"/>
          <w:color w:val="auto"/>
          <w:sz w:val="24"/>
          <w:szCs w:val="24"/>
          <w:lang w:val="en-US" w:eastAsia="zh-CN"/>
        </w:rPr>
        <w:t>1-01</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default" w:ascii="仿宋" w:hAnsi="仿宋" w:eastAsia="仿宋" w:cs="仿宋"/>
          <w:color w:val="auto"/>
          <w:sz w:val="24"/>
          <w:szCs w:val="24"/>
          <w:lang w:val="en-US" w:eastAsia="zh-CN"/>
        </w:rPr>
      </w:pPr>
      <w:r>
        <w:rPr>
          <w:rStyle w:val="73"/>
          <w:rFonts w:hint="eastAsia" w:ascii="仿宋" w:hAnsi="仿宋" w:eastAsia="仿宋" w:cs="仿宋"/>
          <w:color w:val="auto"/>
          <w:sz w:val="24"/>
          <w:szCs w:val="24"/>
        </w:rPr>
        <w:t>项目费用</w:t>
      </w:r>
      <w:r>
        <w:rPr>
          <w:rStyle w:val="73"/>
          <w:rFonts w:hint="eastAsia" w:ascii="仿宋" w:hAnsi="仿宋" w:eastAsia="仿宋" w:cs="仿宋"/>
          <w:color w:val="auto"/>
          <w:sz w:val="24"/>
          <w:szCs w:val="24"/>
          <w:lang w:val="en-US" w:eastAsia="zh-CN"/>
        </w:rPr>
        <w:t>人民币</w:t>
      </w:r>
      <w:r>
        <w:rPr>
          <w:rStyle w:val="73"/>
          <w:rFonts w:hint="eastAsia" w:ascii="仿宋" w:hAnsi="仿宋" w:eastAsia="仿宋" w:cs="仿宋"/>
          <w:color w:val="auto"/>
          <w:sz w:val="24"/>
          <w:szCs w:val="24"/>
        </w:rPr>
        <w:t>：1</w:t>
      </w:r>
      <w:r>
        <w:rPr>
          <w:rStyle w:val="73"/>
          <w:rFonts w:hint="eastAsia" w:ascii="仿宋" w:hAnsi="仿宋" w:eastAsia="仿宋" w:cs="仿宋"/>
          <w:color w:val="auto"/>
          <w:sz w:val="24"/>
          <w:szCs w:val="24"/>
          <w:lang w:val="en-US" w:eastAsia="zh-CN"/>
        </w:rPr>
        <w:t>3</w:t>
      </w:r>
      <w:r>
        <w:rPr>
          <w:rStyle w:val="73"/>
          <w:rFonts w:hint="eastAsia" w:ascii="仿宋" w:hAnsi="仿宋" w:eastAsia="仿宋" w:cs="仿宋"/>
          <w:color w:val="auto"/>
          <w:sz w:val="24"/>
          <w:szCs w:val="24"/>
        </w:rPr>
        <w:t>0万元</w:t>
      </w:r>
      <w:r>
        <w:rPr>
          <w:rStyle w:val="73"/>
          <w:rFonts w:hint="eastAsia" w:ascii="仿宋" w:hAnsi="仿宋" w:eastAsia="仿宋" w:cs="仿宋"/>
          <w:color w:val="auto"/>
          <w:sz w:val="24"/>
          <w:szCs w:val="24"/>
          <w:lang w:eastAsia="zh-CN"/>
        </w:rPr>
        <w:t>（</w:t>
      </w:r>
      <w:r>
        <w:rPr>
          <w:rStyle w:val="73"/>
          <w:rFonts w:hint="eastAsia" w:ascii="仿宋" w:hAnsi="仿宋" w:eastAsia="仿宋" w:cs="仿宋"/>
          <w:color w:val="auto"/>
          <w:sz w:val="24"/>
          <w:szCs w:val="24"/>
          <w:lang w:val="en-US" w:eastAsia="zh-CN"/>
        </w:rPr>
        <w:t>壹佰叁拾万元整）</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1"/>
        <w:rPr>
          <w:rStyle w:val="73"/>
          <w:rFonts w:hint="eastAsia" w:ascii="仿宋" w:hAnsi="仿宋" w:eastAsia="仿宋" w:cs="仿宋"/>
          <w:color w:val="auto"/>
          <w:sz w:val="24"/>
          <w:szCs w:val="24"/>
        </w:rPr>
      </w:pPr>
      <w:bookmarkStart w:id="292" w:name="_Toc6282"/>
      <w:r>
        <w:rPr>
          <w:rStyle w:val="73"/>
          <w:rFonts w:hint="eastAsia" w:ascii="仿宋" w:hAnsi="仿宋" w:eastAsia="仿宋" w:cs="仿宋"/>
          <w:color w:val="auto"/>
          <w:sz w:val="24"/>
          <w:szCs w:val="24"/>
        </w:rPr>
        <w:t>二、工作范围和面积</w:t>
      </w:r>
      <w:bookmarkEnd w:id="292"/>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rPr>
        <w:t>本次工作区范围为</w:t>
      </w:r>
      <w:r>
        <w:rPr>
          <w:rStyle w:val="73"/>
          <w:rFonts w:hint="eastAsia" w:ascii="仿宋" w:hAnsi="仿宋" w:eastAsia="仿宋" w:cs="仿宋"/>
          <w:color w:val="auto"/>
          <w:sz w:val="24"/>
          <w:szCs w:val="24"/>
          <w:lang w:eastAsia="zh-CN"/>
        </w:rPr>
        <w:t>阿克陶县</w:t>
      </w:r>
      <w:r>
        <w:rPr>
          <w:rStyle w:val="73"/>
          <w:rFonts w:hint="eastAsia" w:ascii="仿宋" w:hAnsi="仿宋" w:eastAsia="仿宋" w:cs="仿宋"/>
          <w:color w:val="auto"/>
          <w:sz w:val="24"/>
          <w:szCs w:val="24"/>
        </w:rPr>
        <w:t>行政区范围，总面积约25062.16平方千米（以三调成果数据为准）。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1"/>
        <w:rPr>
          <w:rStyle w:val="73"/>
          <w:rFonts w:hint="eastAsia" w:ascii="仿宋" w:hAnsi="仿宋" w:eastAsia="仿宋" w:cs="仿宋"/>
          <w:color w:val="auto"/>
          <w:sz w:val="24"/>
          <w:szCs w:val="24"/>
        </w:rPr>
      </w:pPr>
      <w:bookmarkStart w:id="293" w:name="_Toc20398"/>
      <w:r>
        <w:rPr>
          <w:rStyle w:val="73"/>
          <w:rFonts w:hint="eastAsia" w:ascii="仿宋" w:hAnsi="仿宋" w:eastAsia="仿宋" w:cs="仿宋"/>
          <w:color w:val="auto"/>
          <w:sz w:val="24"/>
          <w:szCs w:val="24"/>
        </w:rPr>
        <w:t>三、自然经济地理</w:t>
      </w:r>
      <w:bookmarkEnd w:id="293"/>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lang w:eastAsia="zh-CN"/>
        </w:rPr>
        <w:t>阿克陶县</w:t>
      </w:r>
      <w:bookmarkStart w:id="294" w:name="_Hlk120181828"/>
      <w:r>
        <w:rPr>
          <w:rStyle w:val="73"/>
          <w:rFonts w:hint="eastAsia" w:ascii="仿宋" w:hAnsi="仿宋" w:eastAsia="仿宋" w:cs="仿宋"/>
          <w:color w:val="auto"/>
          <w:sz w:val="24"/>
          <w:szCs w:val="24"/>
          <w:lang w:eastAsia="zh-CN"/>
        </w:rPr>
        <w:t>位于新疆西南部，帕米尔高原东部，塔里木盆地西南缘。</w:t>
      </w:r>
      <w:bookmarkEnd w:id="294"/>
      <w:r>
        <w:rPr>
          <w:rStyle w:val="73"/>
          <w:rFonts w:hint="eastAsia" w:ascii="仿宋" w:hAnsi="仿宋" w:eastAsia="仿宋" w:cs="仿宋"/>
          <w:color w:val="auto"/>
          <w:sz w:val="24"/>
          <w:szCs w:val="24"/>
          <w:lang w:eastAsia="zh-CN"/>
        </w:rPr>
        <w:t>东与英吉沙县、莎车县相连，北与乌恰县、疏附县、疏勒县为邻，南与塔什库尔干塔吉克自治县相接，西与塔吉克斯坦、吉尔吉斯斯坦接壤。地理</w:t>
      </w:r>
      <w:r>
        <w:rPr>
          <w:rStyle w:val="73"/>
          <w:rFonts w:hint="eastAsia" w:ascii="仿宋" w:hAnsi="仿宋" w:eastAsia="仿宋" w:cs="仿宋"/>
          <w:color w:val="auto"/>
          <w:sz w:val="24"/>
          <w:szCs w:val="24"/>
          <w:lang w:val="en-US" w:eastAsia="zh-CN"/>
        </w:rPr>
        <w:t>坐标：</w:t>
      </w:r>
      <w:r>
        <w:rPr>
          <w:rStyle w:val="73"/>
          <w:rFonts w:hint="eastAsia" w:ascii="仿宋" w:hAnsi="仿宋" w:eastAsia="仿宋" w:cs="仿宋"/>
          <w:color w:val="auto"/>
          <w:sz w:val="24"/>
          <w:szCs w:val="24"/>
          <w:lang w:eastAsia="zh-CN"/>
        </w:rPr>
        <w:t>东经73°26′05〃</w:t>
      </w:r>
      <w:r>
        <w:rPr>
          <w:rStyle w:val="73"/>
          <w:rFonts w:hint="eastAsia" w:ascii="仿宋" w:hAnsi="仿宋" w:eastAsia="仿宋" w:cs="仿宋"/>
          <w:color w:val="auto"/>
          <w:sz w:val="24"/>
          <w:szCs w:val="24"/>
          <w:lang w:val="en-US" w:eastAsia="zh-CN"/>
        </w:rPr>
        <w:t>-</w:t>
      </w:r>
      <w:r>
        <w:rPr>
          <w:rStyle w:val="73"/>
          <w:rFonts w:hint="eastAsia" w:ascii="仿宋" w:hAnsi="仿宋" w:eastAsia="仿宋" w:cs="仿宋"/>
          <w:color w:val="auto"/>
          <w:sz w:val="24"/>
          <w:szCs w:val="24"/>
          <w:lang w:eastAsia="zh-CN"/>
        </w:rPr>
        <w:t>76°43′31〃、北纬37°41′28〃</w:t>
      </w:r>
      <w:r>
        <w:rPr>
          <w:rStyle w:val="73"/>
          <w:rFonts w:hint="eastAsia" w:ascii="仿宋" w:hAnsi="仿宋" w:eastAsia="仿宋" w:cs="仿宋"/>
          <w:color w:val="auto"/>
          <w:sz w:val="24"/>
          <w:szCs w:val="24"/>
          <w:lang w:val="en-US" w:eastAsia="zh-CN"/>
        </w:rPr>
        <w:t>-</w:t>
      </w:r>
      <w:r>
        <w:rPr>
          <w:rStyle w:val="73"/>
          <w:rFonts w:hint="eastAsia" w:ascii="仿宋" w:hAnsi="仿宋" w:eastAsia="仿宋" w:cs="仿宋"/>
          <w:color w:val="auto"/>
          <w:sz w:val="24"/>
          <w:szCs w:val="24"/>
          <w:lang w:eastAsia="zh-CN"/>
        </w:rPr>
        <w:t>39°29′55〃之间，东西长283.2</w:t>
      </w:r>
      <w:r>
        <w:rPr>
          <w:rStyle w:val="73"/>
          <w:rFonts w:hint="eastAsia" w:ascii="仿宋" w:hAnsi="仿宋" w:eastAsia="仿宋" w:cs="仿宋"/>
          <w:color w:val="auto"/>
          <w:sz w:val="24"/>
          <w:szCs w:val="24"/>
          <w:lang w:val="en-US" w:eastAsia="zh-CN"/>
        </w:rPr>
        <w:t>千米</w:t>
      </w:r>
      <w:r>
        <w:rPr>
          <w:rStyle w:val="73"/>
          <w:rFonts w:hint="eastAsia" w:ascii="仿宋" w:hAnsi="仿宋" w:eastAsia="仿宋" w:cs="仿宋"/>
          <w:color w:val="auto"/>
          <w:sz w:val="24"/>
          <w:szCs w:val="24"/>
          <w:lang w:eastAsia="zh-CN"/>
        </w:rPr>
        <w:t>，南北宽216</w:t>
      </w:r>
      <w:r>
        <w:rPr>
          <w:rStyle w:val="73"/>
          <w:rFonts w:hint="eastAsia" w:ascii="仿宋" w:hAnsi="仿宋" w:eastAsia="仿宋" w:cs="仿宋"/>
          <w:color w:val="auto"/>
          <w:sz w:val="24"/>
          <w:szCs w:val="24"/>
          <w:lang w:val="en-US" w:eastAsia="zh-CN"/>
        </w:rPr>
        <w:t>千米</w:t>
      </w:r>
      <w:r>
        <w:rPr>
          <w:rStyle w:val="73"/>
          <w:rFonts w:hint="eastAsia" w:ascii="仿宋" w:hAnsi="仿宋" w:eastAsia="仿宋" w:cs="仿宋"/>
          <w:color w:val="auto"/>
          <w:sz w:val="24"/>
          <w:szCs w:val="24"/>
          <w:lang w:eastAsia="zh-CN"/>
        </w:rPr>
        <w:t>，面积约25062.16</w:t>
      </w:r>
      <w:r>
        <w:rPr>
          <w:rStyle w:val="73"/>
          <w:rFonts w:hint="eastAsia" w:ascii="仿宋" w:hAnsi="仿宋" w:eastAsia="仿宋" w:cs="仿宋"/>
          <w:color w:val="auto"/>
          <w:sz w:val="24"/>
          <w:szCs w:val="24"/>
        </w:rPr>
        <w:t>平方千米。</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lang w:eastAsia="zh-CN"/>
        </w:rPr>
        <w:t>阿克陶县</w:t>
      </w:r>
      <w:r>
        <w:rPr>
          <w:rStyle w:val="73"/>
          <w:rFonts w:hint="eastAsia" w:ascii="仿宋" w:hAnsi="仿宋" w:eastAsia="仿宋" w:cs="仿宋"/>
          <w:color w:val="auto"/>
          <w:sz w:val="24"/>
          <w:szCs w:val="24"/>
        </w:rPr>
        <w:t>属暖温带极干旱气候区，四季分明，光照充足，昼夜温差大，无霜期长；海拔1500米以上的广大山区，属寒温带高原寒带干旱气候区，无明显的四季之分，仅有寒暖两季之别。年平均气温为0.08℃，年平均气温最低-2.0℃，最高1.9℃，极端最高气温为39.4℃，极端最低气温为-27.4℃；多年平均降水量约为10.21</w:t>
      </w:r>
      <w:r>
        <w:rPr>
          <w:rStyle w:val="73"/>
          <w:rFonts w:hint="eastAsia" w:ascii="仿宋" w:hAnsi="仿宋" w:eastAsia="仿宋" w:cs="仿宋"/>
          <w:color w:val="auto"/>
          <w:sz w:val="24"/>
          <w:szCs w:val="24"/>
          <w:lang w:val="en-US" w:eastAsia="zh-CN"/>
        </w:rPr>
        <w:t>毫米</w:t>
      </w:r>
      <w:r>
        <w:rPr>
          <w:rStyle w:val="73"/>
          <w:rFonts w:hint="eastAsia" w:ascii="仿宋" w:hAnsi="仿宋" w:eastAsia="仿宋" w:cs="仿宋"/>
          <w:color w:val="auto"/>
          <w:sz w:val="24"/>
          <w:szCs w:val="24"/>
        </w:rPr>
        <w:t>，年最大降水量17.3</w:t>
      </w:r>
      <w:r>
        <w:rPr>
          <w:rStyle w:val="73"/>
          <w:rFonts w:hint="eastAsia" w:ascii="仿宋" w:hAnsi="仿宋" w:eastAsia="仿宋" w:cs="仿宋"/>
          <w:color w:val="auto"/>
          <w:sz w:val="24"/>
          <w:szCs w:val="24"/>
          <w:lang w:val="en-US" w:eastAsia="zh-CN"/>
        </w:rPr>
        <w:t>毫米</w:t>
      </w:r>
      <w:r>
        <w:rPr>
          <w:rStyle w:val="73"/>
          <w:rFonts w:hint="eastAsia" w:ascii="仿宋" w:hAnsi="仿宋" w:eastAsia="仿宋" w:cs="仿宋"/>
          <w:color w:val="auto"/>
          <w:sz w:val="24"/>
          <w:szCs w:val="24"/>
        </w:rPr>
        <w:t>，年最少降水量5.3</w:t>
      </w:r>
      <w:r>
        <w:rPr>
          <w:rStyle w:val="73"/>
          <w:rFonts w:hint="eastAsia" w:ascii="仿宋" w:hAnsi="仿宋" w:eastAsia="仿宋" w:cs="仿宋"/>
          <w:color w:val="auto"/>
          <w:sz w:val="24"/>
          <w:szCs w:val="24"/>
          <w:lang w:val="en-US" w:eastAsia="zh-CN"/>
        </w:rPr>
        <w:t>毫米</w:t>
      </w:r>
      <w:r>
        <w:rPr>
          <w:rStyle w:val="73"/>
          <w:rFonts w:hint="eastAsia" w:ascii="仿宋" w:hAnsi="仿宋" w:eastAsia="仿宋" w:cs="仿宋"/>
          <w:color w:val="auto"/>
          <w:sz w:val="24"/>
          <w:szCs w:val="24"/>
        </w:rPr>
        <w:t>；多年平均日照时长约为224.91</w:t>
      </w:r>
      <w:r>
        <w:rPr>
          <w:rStyle w:val="73"/>
          <w:rFonts w:hint="eastAsia" w:ascii="仿宋" w:hAnsi="仿宋" w:eastAsia="仿宋" w:cs="仿宋"/>
          <w:color w:val="auto"/>
          <w:sz w:val="24"/>
          <w:szCs w:val="24"/>
          <w:lang w:val="en-US" w:eastAsia="zh-CN"/>
        </w:rPr>
        <w:t>时</w:t>
      </w:r>
      <w:r>
        <w:rPr>
          <w:rStyle w:val="73"/>
          <w:rFonts w:hint="eastAsia" w:ascii="仿宋" w:hAnsi="仿宋" w:eastAsia="仿宋" w:cs="仿宋"/>
          <w:color w:val="auto"/>
          <w:sz w:val="24"/>
          <w:szCs w:val="24"/>
        </w:rPr>
        <w:t>，每年的无霜期约为163天，大风日数11.9天，雷暴日数15.0天，浮尘日数41.7天。</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lang w:eastAsia="zh-CN"/>
        </w:rPr>
        <w:t>阿克陶县</w:t>
      </w:r>
      <w:r>
        <w:rPr>
          <w:rStyle w:val="73"/>
          <w:rFonts w:hint="eastAsia" w:ascii="仿宋" w:hAnsi="仿宋" w:eastAsia="仿宋" w:cs="仿宋"/>
          <w:color w:val="auto"/>
          <w:sz w:val="24"/>
          <w:szCs w:val="24"/>
        </w:rPr>
        <w:t>目前辖4镇、8乡、2个农牧场：阿克陶镇、奥依塔克镇、玉麦乡、皮拉勒乡、巴仁乡、加马铁力克乡、喀热开其克乡、克孜勒陶镇、布伦口乡、木吉乡、恰尔隆镇、塔尔乡、托塔依农场和阿克塔拉牧场。阿克陶县境内是一个多民族地区，有柯尔克孜族、维吾尔族、汉族、塔吉克族等10个常住民族，2019年末全县总人口230340人。2019年，全县实现生产总值（GDP）44.6108亿元，2018年同比增长5.6%。全县人均生产总值（GDP）19209.5元。</w:t>
      </w:r>
      <w:r>
        <w:rPr>
          <w:rStyle w:val="73"/>
          <w:rFonts w:hint="eastAsia" w:ascii="仿宋" w:hAnsi="仿宋" w:eastAsia="仿宋" w:cs="仿宋"/>
          <w:color w:val="auto"/>
          <w:sz w:val="24"/>
          <w:szCs w:val="24"/>
          <w:lang w:val="en-US" w:eastAsia="zh-CN"/>
        </w:rPr>
        <w:t>2</w:t>
      </w:r>
      <w:r>
        <w:rPr>
          <w:rStyle w:val="73"/>
          <w:rFonts w:hint="eastAsia" w:ascii="仿宋" w:hAnsi="仿宋" w:eastAsia="仿宋" w:cs="仿宋"/>
          <w:color w:val="auto"/>
          <w:sz w:val="24"/>
          <w:szCs w:val="24"/>
        </w:rPr>
        <w:t>019年，阿克陶县第一产业增加值72141万元，同比增长5%。第二产业增加值133285万元，同比增长2.2%。第三产业增加值240682万元，同比增长7.4%。一般公共预算收入40761万元，一般公共预算支出585037万元。2020年11月，阿克陶县脱贫摘帽、退出贫困县。</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1"/>
        <w:rPr>
          <w:rFonts w:hint="eastAsia" w:ascii="仿宋" w:hAnsi="仿宋" w:eastAsia="仿宋" w:cs="仿宋"/>
          <w:color w:val="auto"/>
          <w:sz w:val="24"/>
          <w:szCs w:val="24"/>
        </w:rPr>
      </w:pPr>
      <w:bookmarkStart w:id="295" w:name="_Toc25139"/>
      <w:r>
        <w:rPr>
          <w:rStyle w:val="73"/>
          <w:rFonts w:hint="eastAsia" w:ascii="仿宋" w:hAnsi="仿宋" w:eastAsia="仿宋" w:cs="仿宋"/>
          <w:color w:val="auto"/>
          <w:sz w:val="24"/>
          <w:szCs w:val="24"/>
        </w:rPr>
        <w:t>四、地质环境概况</w:t>
      </w:r>
      <w:bookmarkEnd w:id="295"/>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lang w:eastAsia="zh-CN"/>
        </w:rPr>
        <w:t>（</w:t>
      </w:r>
      <w:r>
        <w:rPr>
          <w:rStyle w:val="73"/>
          <w:rFonts w:hint="eastAsia" w:ascii="仿宋" w:hAnsi="仿宋" w:eastAsia="仿宋" w:cs="仿宋"/>
          <w:color w:val="auto"/>
          <w:sz w:val="24"/>
          <w:szCs w:val="24"/>
          <w:lang w:val="en-US" w:eastAsia="zh-CN"/>
        </w:rPr>
        <w:t>一</w:t>
      </w:r>
      <w:r>
        <w:rPr>
          <w:rStyle w:val="73"/>
          <w:rFonts w:hint="eastAsia" w:ascii="仿宋" w:hAnsi="仿宋" w:eastAsia="仿宋" w:cs="仿宋"/>
          <w:color w:val="auto"/>
          <w:sz w:val="24"/>
          <w:szCs w:val="24"/>
          <w:lang w:eastAsia="zh-CN"/>
        </w:rPr>
        <w:t>）</w:t>
      </w:r>
      <w:r>
        <w:rPr>
          <w:rStyle w:val="73"/>
          <w:rFonts w:hint="eastAsia" w:ascii="仿宋" w:hAnsi="仿宋" w:eastAsia="仿宋" w:cs="仿宋"/>
          <w:color w:val="auto"/>
          <w:sz w:val="24"/>
          <w:szCs w:val="24"/>
        </w:rPr>
        <w:t>地形地貌与人类工程活动</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color w:val="auto"/>
          <w:sz w:val="24"/>
          <w:szCs w:val="24"/>
        </w:rPr>
      </w:pPr>
      <w:r>
        <w:rPr>
          <w:rStyle w:val="73"/>
          <w:rFonts w:hint="eastAsia" w:ascii="仿宋" w:hAnsi="仿宋" w:eastAsia="仿宋" w:cs="仿宋"/>
          <w:color w:val="auto"/>
          <w:sz w:val="24"/>
          <w:szCs w:val="24"/>
        </w:rPr>
        <w:t>阿克陶县海拔1180～7719</w:t>
      </w:r>
      <w:r>
        <w:rPr>
          <w:rStyle w:val="73"/>
          <w:rFonts w:hint="eastAsia" w:ascii="仿宋" w:hAnsi="仿宋" w:eastAsia="仿宋" w:cs="仿宋"/>
          <w:color w:val="auto"/>
          <w:sz w:val="24"/>
          <w:szCs w:val="24"/>
          <w:lang w:val="en-US" w:eastAsia="zh-CN"/>
        </w:rPr>
        <w:t>米</w:t>
      </w:r>
      <w:r>
        <w:rPr>
          <w:rStyle w:val="73"/>
          <w:rFonts w:hint="eastAsia" w:ascii="仿宋" w:hAnsi="仿宋" w:eastAsia="仿宋" w:cs="仿宋"/>
          <w:color w:val="auto"/>
          <w:sz w:val="24"/>
          <w:szCs w:val="24"/>
        </w:rPr>
        <w:t>，总的地形特点是山地多，平原少，西南高而东北低。山地面积占总面积的96.4％，平原区则占总面积的1.68％，少量的戈壁、荒漠占总面积的1.92％。东北部为绿洲平原，多为农田、林带、植被等覆盖，海拔在1180～1500</w:t>
      </w:r>
      <w:r>
        <w:rPr>
          <w:rStyle w:val="73"/>
          <w:rFonts w:hint="eastAsia" w:ascii="仿宋" w:hAnsi="仿宋" w:eastAsia="仿宋" w:cs="仿宋"/>
          <w:color w:val="auto"/>
          <w:sz w:val="24"/>
          <w:szCs w:val="24"/>
          <w:lang w:val="en-US" w:eastAsia="zh-CN"/>
        </w:rPr>
        <w:t>米</w:t>
      </w:r>
      <w:r>
        <w:rPr>
          <w:rStyle w:val="73"/>
          <w:rFonts w:hint="eastAsia" w:ascii="仿宋" w:hAnsi="仿宋" w:eastAsia="仿宋" w:cs="仿宋"/>
          <w:color w:val="auto"/>
          <w:sz w:val="24"/>
          <w:szCs w:val="24"/>
        </w:rPr>
        <w:t>之间。工作区绝大部分为山区，由东帕米尔高原和少部分的西昆仑山脉组成，海拔一般在4000～5000</w:t>
      </w:r>
      <w:r>
        <w:rPr>
          <w:rStyle w:val="73"/>
          <w:rFonts w:hint="eastAsia" w:ascii="仿宋" w:hAnsi="仿宋" w:eastAsia="仿宋" w:cs="仿宋"/>
          <w:color w:val="auto"/>
          <w:sz w:val="24"/>
          <w:szCs w:val="24"/>
          <w:lang w:val="en-US" w:eastAsia="zh-CN"/>
        </w:rPr>
        <w:t>米</w:t>
      </w:r>
      <w:r>
        <w:rPr>
          <w:rStyle w:val="73"/>
          <w:rFonts w:hint="eastAsia" w:ascii="仿宋" w:hAnsi="仿宋" w:eastAsia="仿宋" w:cs="仿宋"/>
          <w:color w:val="auto"/>
          <w:sz w:val="24"/>
          <w:szCs w:val="24"/>
        </w:rPr>
        <w:t>之间。西北部为昆盖山脉，海拔一般在5000～5800</w:t>
      </w:r>
      <w:r>
        <w:rPr>
          <w:rStyle w:val="73"/>
          <w:rFonts w:hint="eastAsia" w:ascii="仿宋" w:hAnsi="仿宋" w:eastAsia="仿宋" w:cs="仿宋"/>
          <w:color w:val="auto"/>
          <w:sz w:val="24"/>
          <w:szCs w:val="24"/>
          <w:lang w:val="en-US" w:eastAsia="zh-CN"/>
        </w:rPr>
        <w:t>米</w:t>
      </w:r>
      <w:r>
        <w:rPr>
          <w:rStyle w:val="73"/>
          <w:rFonts w:hint="eastAsia" w:ascii="仿宋" w:hAnsi="仿宋" w:eastAsia="仿宋" w:cs="仿宋"/>
          <w:color w:val="auto"/>
          <w:sz w:val="24"/>
          <w:szCs w:val="24"/>
        </w:rPr>
        <w:t>，西南部是萨雷阔勒岭，海拔多在4500</w:t>
      </w:r>
      <w:r>
        <w:rPr>
          <w:rStyle w:val="73"/>
          <w:rFonts w:hint="eastAsia" w:ascii="仿宋" w:hAnsi="仿宋" w:eastAsia="仿宋" w:cs="仿宋"/>
          <w:color w:val="auto"/>
          <w:sz w:val="24"/>
          <w:szCs w:val="24"/>
          <w:lang w:val="en-US" w:eastAsia="zh-CN"/>
        </w:rPr>
        <w:t>米</w:t>
      </w:r>
      <w:r>
        <w:rPr>
          <w:rStyle w:val="73"/>
          <w:rFonts w:hint="eastAsia" w:ascii="仿宋" w:hAnsi="仿宋" w:eastAsia="仿宋" w:cs="仿宋"/>
          <w:color w:val="auto"/>
          <w:sz w:val="24"/>
          <w:szCs w:val="24"/>
        </w:rPr>
        <w:t>以上；中部有著名的山脉：公格尔山，海拔7719</w:t>
      </w:r>
      <w:r>
        <w:rPr>
          <w:rStyle w:val="73"/>
          <w:rFonts w:hint="eastAsia" w:ascii="仿宋" w:hAnsi="仿宋" w:eastAsia="仿宋" w:cs="仿宋"/>
          <w:color w:val="auto"/>
          <w:sz w:val="24"/>
          <w:szCs w:val="24"/>
          <w:lang w:val="en-US" w:eastAsia="zh-CN"/>
        </w:rPr>
        <w:t>米</w:t>
      </w:r>
      <w:r>
        <w:rPr>
          <w:rStyle w:val="73"/>
          <w:rFonts w:hint="eastAsia" w:ascii="仿宋" w:hAnsi="仿宋" w:eastAsia="仿宋" w:cs="仿宋"/>
          <w:color w:val="auto"/>
          <w:sz w:val="24"/>
          <w:szCs w:val="24"/>
        </w:rPr>
        <w:t>，公格尔九别峰海拔7530</w:t>
      </w:r>
      <w:r>
        <w:rPr>
          <w:rStyle w:val="73"/>
          <w:rFonts w:hint="eastAsia" w:ascii="仿宋" w:hAnsi="仿宋" w:eastAsia="仿宋" w:cs="仿宋"/>
          <w:color w:val="auto"/>
          <w:sz w:val="24"/>
          <w:szCs w:val="24"/>
          <w:lang w:val="en-US" w:eastAsia="zh-CN"/>
        </w:rPr>
        <w:t>米</w:t>
      </w:r>
      <w:r>
        <w:rPr>
          <w:rStyle w:val="73"/>
          <w:rFonts w:hint="eastAsia" w:ascii="仿宋" w:hAnsi="仿宋" w:eastAsia="仿宋" w:cs="仿宋"/>
          <w:color w:val="auto"/>
          <w:sz w:val="24"/>
          <w:szCs w:val="24"/>
        </w:rPr>
        <w:t>，慕士塔格峰海拔7546</w:t>
      </w:r>
      <w:r>
        <w:rPr>
          <w:rStyle w:val="73"/>
          <w:rFonts w:hint="eastAsia" w:ascii="仿宋" w:hAnsi="仿宋" w:eastAsia="仿宋" w:cs="仿宋"/>
          <w:color w:val="auto"/>
          <w:sz w:val="24"/>
          <w:szCs w:val="24"/>
          <w:lang w:val="en-US" w:eastAsia="zh-CN"/>
        </w:rPr>
        <w:t>米</w:t>
      </w:r>
      <w:r>
        <w:rPr>
          <w:rStyle w:val="73"/>
          <w:rFonts w:hint="eastAsia" w:ascii="仿宋" w:hAnsi="仿宋" w:eastAsia="仿宋" w:cs="仿宋"/>
          <w:color w:val="auto"/>
          <w:sz w:val="24"/>
          <w:szCs w:val="24"/>
        </w:rPr>
        <w:t>。根据内外营力作用及地貌特征、地形的绝对和相对高度，将阿克陶县的地貌类型划分为侵蚀、剥蚀构造山地，构造剥蚀低山丘陵和堆积平原3个一级地貌单元；依据阿克陶县地貌形态成因，可划分为5个二级地貌单元：高山、极高山区、中山区、低山丘陵区、细土平原区、高山谷盆区。</w:t>
      </w:r>
      <w:r>
        <w:rPr>
          <w:rStyle w:val="73"/>
          <w:rFonts w:hint="eastAsia" w:ascii="仿宋" w:hAnsi="仿宋" w:eastAsia="仿宋" w:cs="仿宋"/>
          <w:color w:val="auto"/>
          <w:sz w:val="24"/>
          <w:szCs w:val="24"/>
          <w:lang w:val="en-US" w:eastAsia="zh-CN"/>
        </w:rPr>
        <w:t>阿克陶县</w:t>
      </w:r>
      <w:r>
        <w:rPr>
          <w:rStyle w:val="73"/>
          <w:rFonts w:hint="eastAsia" w:ascii="仿宋" w:hAnsi="仿宋" w:eastAsia="仿宋" w:cs="仿宋"/>
          <w:color w:val="auto"/>
          <w:sz w:val="24"/>
          <w:szCs w:val="24"/>
        </w:rPr>
        <w:t>所处地理位置与环境决定了人类活动特点</w:t>
      </w:r>
      <w:r>
        <w:rPr>
          <w:rStyle w:val="73"/>
          <w:rFonts w:hint="eastAsia" w:ascii="仿宋" w:hAnsi="仿宋" w:eastAsia="仿宋" w:cs="仿宋"/>
          <w:color w:val="auto"/>
          <w:sz w:val="24"/>
          <w:szCs w:val="24"/>
          <w:lang w:eastAsia="zh-CN"/>
        </w:rPr>
        <w:t>，属于半农半牧区，山区主要从事农牧养殖业，平原区则主要从事农业及手工业。因此，人类工程经济活动主要集中在县域东北部的平原区，而山区则以半游牧</w:t>
      </w:r>
      <w:r>
        <w:rPr>
          <w:rStyle w:val="73"/>
          <w:rFonts w:hint="eastAsia" w:ascii="仿宋" w:hAnsi="仿宋" w:eastAsia="仿宋" w:cs="仿宋"/>
          <w:color w:val="auto"/>
          <w:sz w:val="24"/>
          <w:szCs w:val="24"/>
          <w:lang w:val="en-US" w:eastAsia="zh-CN"/>
        </w:rPr>
        <w:t>活动</w:t>
      </w:r>
      <w:r>
        <w:rPr>
          <w:rStyle w:val="73"/>
          <w:rFonts w:hint="eastAsia" w:ascii="仿宋" w:hAnsi="仿宋" w:eastAsia="仿宋" w:cs="仿宋"/>
          <w:color w:val="auto"/>
          <w:sz w:val="24"/>
          <w:szCs w:val="24"/>
          <w:lang w:eastAsia="zh-CN"/>
        </w:rPr>
        <w:t>为主，其次为小型的矿山开采活动、小型的蓄水发电和沿交通干道车辆过往活动为主。</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color w:val="auto"/>
          <w:sz w:val="24"/>
          <w:szCs w:val="24"/>
        </w:rPr>
      </w:pPr>
      <w:r>
        <w:rPr>
          <w:rStyle w:val="73"/>
          <w:rFonts w:hint="eastAsia" w:ascii="仿宋" w:hAnsi="仿宋" w:eastAsia="仿宋" w:cs="仿宋"/>
          <w:color w:val="auto"/>
          <w:sz w:val="24"/>
          <w:szCs w:val="24"/>
          <w:lang w:eastAsia="zh-CN"/>
        </w:rPr>
        <w:t>（</w:t>
      </w:r>
      <w:r>
        <w:rPr>
          <w:rStyle w:val="73"/>
          <w:rFonts w:hint="eastAsia" w:ascii="仿宋" w:hAnsi="仿宋" w:eastAsia="仿宋" w:cs="仿宋"/>
          <w:color w:val="auto"/>
          <w:sz w:val="24"/>
          <w:szCs w:val="24"/>
          <w:lang w:val="en-US" w:eastAsia="zh-CN"/>
        </w:rPr>
        <w:t>二</w:t>
      </w:r>
      <w:r>
        <w:rPr>
          <w:rStyle w:val="73"/>
          <w:rFonts w:hint="eastAsia" w:ascii="仿宋" w:hAnsi="仿宋" w:eastAsia="仿宋" w:cs="仿宋"/>
          <w:color w:val="auto"/>
          <w:sz w:val="24"/>
          <w:szCs w:val="24"/>
          <w:lang w:eastAsia="zh-CN"/>
        </w:rPr>
        <w:t>）</w:t>
      </w:r>
      <w:r>
        <w:rPr>
          <w:rStyle w:val="73"/>
          <w:rFonts w:hint="eastAsia" w:ascii="仿宋" w:hAnsi="仿宋" w:eastAsia="仿宋" w:cs="仿宋"/>
          <w:color w:val="auto"/>
          <w:sz w:val="24"/>
          <w:szCs w:val="24"/>
        </w:rPr>
        <w:t>地质灾害类型与分布</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lang w:eastAsia="zh-CN"/>
        </w:rPr>
        <w:t>阿克陶县</w:t>
      </w:r>
      <w:r>
        <w:rPr>
          <w:rStyle w:val="73"/>
          <w:rFonts w:hint="eastAsia" w:ascii="仿宋" w:hAnsi="仿宋" w:eastAsia="仿宋" w:cs="仿宋"/>
          <w:color w:val="auto"/>
          <w:sz w:val="24"/>
          <w:szCs w:val="24"/>
        </w:rPr>
        <w:t>境内发育的地质灾害的类型以崩塌</w:t>
      </w:r>
      <w:r>
        <w:rPr>
          <w:rStyle w:val="73"/>
          <w:rFonts w:hint="eastAsia" w:ascii="仿宋" w:hAnsi="仿宋" w:eastAsia="仿宋" w:cs="仿宋"/>
          <w:color w:val="auto"/>
          <w:sz w:val="24"/>
          <w:szCs w:val="24"/>
          <w:lang w:eastAsia="zh-CN"/>
        </w:rPr>
        <w:t>、</w:t>
      </w:r>
      <w:r>
        <w:rPr>
          <w:rStyle w:val="73"/>
          <w:rFonts w:hint="eastAsia" w:ascii="仿宋" w:hAnsi="仿宋" w:eastAsia="仿宋" w:cs="仿宋"/>
          <w:color w:val="auto"/>
          <w:sz w:val="24"/>
          <w:szCs w:val="24"/>
          <w:lang w:val="en-US" w:eastAsia="zh-CN"/>
        </w:rPr>
        <w:t>泥石流</w:t>
      </w:r>
      <w:r>
        <w:rPr>
          <w:rStyle w:val="73"/>
          <w:rFonts w:hint="eastAsia" w:ascii="仿宋" w:hAnsi="仿宋" w:eastAsia="仿宋" w:cs="仿宋"/>
          <w:color w:val="auto"/>
          <w:sz w:val="24"/>
          <w:szCs w:val="24"/>
        </w:rPr>
        <w:t>为主，其余为少量</w:t>
      </w:r>
      <w:r>
        <w:rPr>
          <w:rStyle w:val="73"/>
          <w:rFonts w:hint="eastAsia" w:ascii="仿宋" w:hAnsi="仿宋" w:eastAsia="仿宋" w:cs="仿宋"/>
          <w:color w:val="auto"/>
          <w:sz w:val="24"/>
          <w:szCs w:val="24"/>
          <w:lang w:val="en-US" w:eastAsia="zh-CN"/>
        </w:rPr>
        <w:t>滑坡</w:t>
      </w:r>
      <w:r>
        <w:rPr>
          <w:rStyle w:val="73"/>
          <w:rFonts w:hint="eastAsia" w:ascii="仿宋" w:hAnsi="仿宋" w:eastAsia="仿宋" w:cs="仿宋"/>
          <w:color w:val="auto"/>
          <w:sz w:val="24"/>
          <w:szCs w:val="24"/>
        </w:rPr>
        <w:t>，</w:t>
      </w:r>
      <w:r>
        <w:rPr>
          <w:rStyle w:val="73"/>
          <w:rFonts w:hint="eastAsia" w:ascii="仿宋" w:hAnsi="仿宋" w:eastAsia="仿宋" w:cs="仿宋"/>
          <w:color w:val="auto"/>
          <w:sz w:val="24"/>
          <w:szCs w:val="24"/>
          <w:lang w:val="en-US" w:eastAsia="zh-CN"/>
        </w:rPr>
        <w:t>无地面塌陷、地裂缝和地面沉降</w:t>
      </w:r>
      <w:r>
        <w:rPr>
          <w:rStyle w:val="73"/>
          <w:rFonts w:hint="eastAsia" w:ascii="仿宋" w:hAnsi="仿宋" w:eastAsia="仿宋" w:cs="仿宋"/>
          <w:color w:val="auto"/>
          <w:sz w:val="24"/>
          <w:szCs w:val="24"/>
        </w:rPr>
        <w:t>灾害分布。地质灾害集中分布于314国道中巴公路进山口处—布伦口乡政府-苏巴什达坂公路沿线和地处西北部、中部、东南部山区的各乡（镇、场）辖区内以及克孜勒陶镇-阿克塔拉牧场-恰尔隆乡-老塔尔乡公路沿线等三处主要地段</w:t>
      </w:r>
      <w:r>
        <w:rPr>
          <w:rStyle w:val="73"/>
          <w:rFonts w:hint="eastAsia" w:ascii="仿宋" w:hAnsi="仿宋" w:eastAsia="仿宋" w:cs="仿宋"/>
          <w:color w:val="auto"/>
          <w:sz w:val="24"/>
          <w:szCs w:val="24"/>
          <w:lang w:eastAsia="zh-CN"/>
        </w:rPr>
        <w:t>。</w:t>
      </w:r>
      <w:bookmarkStart w:id="296" w:name="_Hlk124373752"/>
    </w:p>
    <w:bookmarkEnd w:id="296"/>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1"/>
        <w:rPr>
          <w:rStyle w:val="73"/>
          <w:rFonts w:hint="eastAsia" w:ascii="仿宋" w:hAnsi="仿宋" w:eastAsia="仿宋" w:cs="仿宋"/>
          <w:color w:val="auto"/>
          <w:sz w:val="24"/>
          <w:szCs w:val="24"/>
        </w:rPr>
      </w:pPr>
      <w:bookmarkStart w:id="297" w:name="_Toc29827"/>
      <w:r>
        <w:rPr>
          <w:rStyle w:val="73"/>
          <w:rFonts w:hint="eastAsia" w:ascii="仿宋" w:hAnsi="仿宋" w:eastAsia="仿宋" w:cs="仿宋"/>
          <w:color w:val="auto"/>
          <w:sz w:val="24"/>
          <w:szCs w:val="24"/>
        </w:rPr>
        <w:t>五、目标任务</w:t>
      </w:r>
      <w:bookmarkEnd w:id="297"/>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rPr>
        <w:t>（一）目标</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rPr>
        <w:t>以孕灾主控地质条件和地质灾害隐患判识为主开展</w:t>
      </w:r>
      <w:r>
        <w:rPr>
          <w:rStyle w:val="73"/>
          <w:rFonts w:hint="eastAsia" w:ascii="仿宋" w:hAnsi="仿宋" w:eastAsia="仿宋" w:cs="仿宋"/>
          <w:color w:val="auto"/>
          <w:sz w:val="24"/>
          <w:szCs w:val="24"/>
          <w:lang w:eastAsia="zh-CN"/>
        </w:rPr>
        <w:t>阿克陶县</w:t>
      </w:r>
      <w:r>
        <w:rPr>
          <w:rStyle w:val="73"/>
          <w:rFonts w:hint="eastAsia" w:ascii="仿宋" w:hAnsi="仿宋" w:eastAsia="仿宋" w:cs="仿宋"/>
          <w:color w:val="auto"/>
          <w:sz w:val="24"/>
          <w:szCs w:val="24"/>
        </w:rPr>
        <w:t>地质灾害风险调查评价，深化地质灾害早期识别、形成机理和规律认识，总结成灾模式，开展不同层次地质灾害风险区划，提出综合防治对策建议，为地质灾害防治管理提供基础依据。</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color w:val="auto"/>
          <w:sz w:val="24"/>
          <w:szCs w:val="24"/>
        </w:rPr>
      </w:pPr>
      <w:r>
        <w:rPr>
          <w:rStyle w:val="73"/>
          <w:rFonts w:hint="eastAsia" w:ascii="仿宋" w:hAnsi="仿宋" w:eastAsia="仿宋" w:cs="仿宋"/>
          <w:color w:val="auto"/>
          <w:sz w:val="24"/>
          <w:szCs w:val="24"/>
        </w:rPr>
        <w:t>（二）任务</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rPr>
        <w:t>1.开展地质灾害与孕灾地质条件、承灾体调查，判识地质灾害隐患，总结调查区地质灾害发育分布规律，分析地质灾害成灾模式。</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rPr>
        <w:t>2.开展地质灾害易发性、危险性和风险评价，编制地质灾害风险调查评价相关图件。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rPr>
        <w:t>3.建立地质灾害风险调查空间数据库。</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3"/>
          <w:rFonts w:hint="eastAsia" w:ascii="仿宋" w:hAnsi="仿宋" w:eastAsia="仿宋" w:cs="仿宋"/>
          <w:color w:val="auto"/>
          <w:sz w:val="24"/>
          <w:szCs w:val="24"/>
          <w:lang w:eastAsia="zh-CN"/>
        </w:rPr>
      </w:pPr>
      <w:r>
        <w:rPr>
          <w:rStyle w:val="73"/>
          <w:rFonts w:hint="eastAsia" w:ascii="仿宋" w:hAnsi="仿宋" w:eastAsia="仿宋" w:cs="仿宋"/>
          <w:color w:val="auto"/>
          <w:sz w:val="24"/>
          <w:szCs w:val="24"/>
        </w:rPr>
        <w:t>4.提出地质灾害风险管控对策建议，为防灾减灾管理、国土空间规划和用途管制等提供基础依据</w:t>
      </w:r>
      <w:r>
        <w:rPr>
          <w:rStyle w:val="73"/>
          <w:rFonts w:hint="eastAsia" w:ascii="仿宋" w:hAnsi="仿宋" w:eastAsia="仿宋" w:cs="仿宋"/>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1"/>
        <w:rPr>
          <w:rStyle w:val="73"/>
          <w:rFonts w:hint="eastAsia" w:ascii="仿宋" w:hAnsi="仿宋" w:eastAsia="仿宋" w:cs="仿宋"/>
          <w:color w:val="auto"/>
          <w:sz w:val="24"/>
          <w:szCs w:val="24"/>
        </w:rPr>
      </w:pPr>
      <w:bookmarkStart w:id="298" w:name="_Toc19176"/>
      <w:r>
        <w:rPr>
          <w:rStyle w:val="73"/>
          <w:rFonts w:hint="eastAsia" w:ascii="仿宋" w:hAnsi="仿宋" w:eastAsia="仿宋" w:cs="仿宋"/>
          <w:color w:val="auto"/>
          <w:sz w:val="24"/>
          <w:szCs w:val="24"/>
        </w:rPr>
        <w:t>六、工作方法和技术要求</w:t>
      </w:r>
      <w:bookmarkEnd w:id="298"/>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rPr>
        <w:t>（一）工作方法</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rPr>
        <w:t>分析研究</w:t>
      </w:r>
      <w:r>
        <w:rPr>
          <w:rStyle w:val="73"/>
          <w:rFonts w:hint="eastAsia" w:ascii="仿宋" w:hAnsi="仿宋" w:eastAsia="仿宋" w:cs="仿宋"/>
          <w:color w:val="auto"/>
          <w:sz w:val="24"/>
          <w:szCs w:val="24"/>
          <w:lang w:val="en-US" w:eastAsia="zh-CN"/>
        </w:rPr>
        <w:t>以往工作</w:t>
      </w:r>
      <w:r>
        <w:rPr>
          <w:rStyle w:val="73"/>
          <w:rFonts w:hint="eastAsia" w:ascii="仿宋" w:hAnsi="仿宋" w:eastAsia="仿宋" w:cs="仿宋"/>
          <w:color w:val="auto"/>
          <w:sz w:val="24"/>
          <w:szCs w:val="24"/>
        </w:rPr>
        <w:t>成果，收集当地地质灾害勘查、防治工程和重大工程勘查成果，开展遥感解译工作，进行孕灾地质条件调查、承灾体调查，核查调查地质灾害及其隐患，辅以工程地质钻探、地球物理勘探、山地工程、工程地质测绘等，加强高分辨率光学影像、无人机遥感、合成孔径雷达干涉测量（InSAR）、激光雷达测量（LiDAR）、地球物理勘探等技术方法综合应用。对典型地质灾害及其隐患进行测绘与勘查，开展室内综合研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color w:val="auto"/>
          <w:sz w:val="24"/>
          <w:szCs w:val="24"/>
        </w:rPr>
      </w:pPr>
      <w:r>
        <w:rPr>
          <w:rStyle w:val="73"/>
          <w:rFonts w:hint="eastAsia" w:ascii="仿宋" w:hAnsi="仿宋" w:eastAsia="仿宋" w:cs="仿宋"/>
          <w:color w:val="auto"/>
          <w:sz w:val="24"/>
          <w:szCs w:val="24"/>
        </w:rPr>
        <w:t>（二）技术要求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rPr>
        <w:t>主要执行的技术规范、技术要求和依据主要有：</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rPr>
        <w:t>1.《地质灾害风险调查评价技术要求（1:50000）》；</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rPr>
        <w:t>2.《地质灾害风险调查评价编图技术要求（试行）》；</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rPr>
        <w:t>3.《地质灾害风险调查评价成果信息化技术要求（试行）》；</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lang w:val="en-US" w:eastAsia="zh-CN"/>
        </w:rPr>
        <w:t>4</w:t>
      </w:r>
      <w:r>
        <w:rPr>
          <w:rStyle w:val="73"/>
          <w:rFonts w:hint="eastAsia" w:ascii="仿宋" w:hAnsi="仿宋" w:eastAsia="仿宋" w:cs="仿宋"/>
          <w:color w:val="auto"/>
          <w:sz w:val="24"/>
          <w:szCs w:val="24"/>
        </w:rPr>
        <w:t>.GB50021—2001（2009年版）岩土工程勘察规范；</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lang w:val="en-US" w:eastAsia="zh-CN"/>
        </w:rPr>
        <w:t>5</w:t>
      </w:r>
      <w:r>
        <w:rPr>
          <w:rStyle w:val="73"/>
          <w:rFonts w:hint="eastAsia" w:ascii="仿宋" w:hAnsi="仿宋" w:eastAsia="仿宋" w:cs="仿宋"/>
          <w:color w:val="auto"/>
          <w:sz w:val="24"/>
          <w:szCs w:val="24"/>
        </w:rPr>
        <w:t>.《中国地震动参数区划图》（GB18306-2015）；</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lang w:val="en-US" w:eastAsia="zh-CN"/>
        </w:rPr>
        <w:t>6</w:t>
      </w:r>
      <w:r>
        <w:rPr>
          <w:rStyle w:val="73"/>
          <w:rFonts w:hint="eastAsia" w:ascii="仿宋" w:hAnsi="仿宋" w:eastAsia="仿宋" w:cs="仿宋"/>
          <w:color w:val="auto"/>
          <w:sz w:val="24"/>
          <w:szCs w:val="24"/>
        </w:rPr>
        <w:t>.《遥感地质解译方法指南（1:50000、1:250000）》（DD2011-03）；</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lang w:val="en-US" w:eastAsia="zh-CN"/>
        </w:rPr>
        <w:t>7</w:t>
      </w:r>
      <w:r>
        <w:rPr>
          <w:rStyle w:val="73"/>
          <w:rFonts w:hint="eastAsia" w:ascii="仿宋" w:hAnsi="仿宋" w:eastAsia="仿宋" w:cs="仿宋"/>
          <w:color w:val="auto"/>
          <w:sz w:val="24"/>
          <w:szCs w:val="24"/>
        </w:rPr>
        <w:t>.《地质灾害遥感调查技术规定》（DD2015-01）；</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lang w:val="en-US" w:eastAsia="zh-CN"/>
        </w:rPr>
        <w:t>8</w:t>
      </w:r>
      <w:r>
        <w:rPr>
          <w:rStyle w:val="73"/>
          <w:rFonts w:hint="eastAsia" w:ascii="仿宋" w:hAnsi="仿宋" w:eastAsia="仿宋" w:cs="仿宋"/>
          <w:color w:val="auto"/>
          <w:sz w:val="24"/>
          <w:szCs w:val="24"/>
        </w:rPr>
        <w:t>.《倾斜数字航空摄影技术规程》（GB/T 39610-2020）；</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lang w:val="en-US" w:eastAsia="zh-CN"/>
        </w:rPr>
        <w:t>9</w:t>
      </w:r>
      <w:r>
        <w:rPr>
          <w:rStyle w:val="73"/>
          <w:rFonts w:hint="eastAsia" w:ascii="仿宋" w:hAnsi="仿宋" w:eastAsia="仿宋" w:cs="仿宋"/>
          <w:color w:val="auto"/>
          <w:sz w:val="24"/>
          <w:szCs w:val="24"/>
        </w:rPr>
        <w:t>.《地质调查项目预算标准（2021）》；</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lang w:val="en-US" w:eastAsia="zh-CN"/>
        </w:rPr>
        <w:t>10</w:t>
      </w:r>
      <w:r>
        <w:rPr>
          <w:rStyle w:val="73"/>
          <w:rFonts w:hint="eastAsia" w:ascii="仿宋" w:hAnsi="仿宋" w:eastAsia="仿宋" w:cs="仿宋"/>
          <w:color w:val="auto"/>
          <w:sz w:val="24"/>
          <w:szCs w:val="24"/>
        </w:rPr>
        <w:t>.《地质资料汇交规范》（DZ/T0273）。</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lang w:val="en-US" w:eastAsia="zh-CN"/>
        </w:rPr>
        <w:t>其它相关技术规范要求，</w:t>
      </w:r>
      <w:r>
        <w:rPr>
          <w:rStyle w:val="73"/>
          <w:rFonts w:hint="eastAsia" w:ascii="仿宋" w:hAnsi="仿宋" w:eastAsia="仿宋" w:cs="仿宋"/>
          <w:color w:val="auto"/>
          <w:sz w:val="24"/>
          <w:szCs w:val="24"/>
        </w:rPr>
        <w:t>执行的技术和规范应以项目实施时现行</w:t>
      </w:r>
      <w:r>
        <w:rPr>
          <w:rStyle w:val="73"/>
          <w:rFonts w:hint="eastAsia" w:ascii="仿宋" w:hAnsi="仿宋" w:eastAsia="仿宋" w:cs="仿宋"/>
          <w:color w:val="auto"/>
          <w:sz w:val="24"/>
          <w:szCs w:val="24"/>
          <w:lang w:val="en-US" w:eastAsia="zh-CN"/>
        </w:rPr>
        <w:t>最新技术</w:t>
      </w:r>
      <w:r>
        <w:rPr>
          <w:rStyle w:val="73"/>
          <w:rFonts w:hint="eastAsia" w:ascii="仿宋" w:hAnsi="仿宋" w:eastAsia="仿宋" w:cs="仿宋"/>
          <w:color w:val="auto"/>
          <w:sz w:val="24"/>
          <w:szCs w:val="24"/>
        </w:rPr>
        <w:t>标准和规范为准。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1"/>
        <w:rPr>
          <w:rStyle w:val="73"/>
          <w:rFonts w:hint="eastAsia" w:ascii="仿宋" w:hAnsi="仿宋" w:eastAsia="仿宋" w:cs="仿宋"/>
          <w:color w:val="auto"/>
          <w:sz w:val="24"/>
          <w:szCs w:val="24"/>
        </w:rPr>
      </w:pPr>
      <w:bookmarkStart w:id="299" w:name="_Toc7912"/>
      <w:r>
        <w:rPr>
          <w:rStyle w:val="73"/>
          <w:rFonts w:hint="eastAsia" w:ascii="仿宋" w:hAnsi="仿宋" w:eastAsia="仿宋" w:cs="仿宋"/>
          <w:color w:val="auto"/>
          <w:sz w:val="24"/>
          <w:szCs w:val="24"/>
        </w:rPr>
        <w:t>七、主要实物工作量</w:t>
      </w:r>
      <w:bookmarkEnd w:id="299"/>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color w:val="auto"/>
          <w:sz w:val="24"/>
          <w:szCs w:val="24"/>
        </w:rPr>
      </w:pPr>
      <w:r>
        <w:rPr>
          <w:rStyle w:val="73"/>
          <w:rFonts w:hint="eastAsia" w:ascii="仿宋" w:hAnsi="仿宋" w:eastAsia="仿宋" w:cs="仿宋"/>
          <w:color w:val="auto"/>
          <w:sz w:val="24"/>
          <w:szCs w:val="24"/>
        </w:rPr>
        <w:t>开展全域遥感解译工作，根据工作需要合理布置工程地质钻探、地球物理勘探、山地工程、工程地质测绘等，加强高分辨率光学影像、无人机遥感、合成孔径雷达干涉测量（InSAR）、激光雷达测量（LiDAR）、地球物理勘探等工作量，其中钻探、实测剖面、岩土样品满足规范要求，开展地质灾害防治知识培训和重要地质灾害隐患点防治演练工作。最终实物工作量以设计批复工作量为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1"/>
        <w:rPr>
          <w:rStyle w:val="73"/>
          <w:rFonts w:hint="eastAsia" w:ascii="仿宋" w:hAnsi="仿宋" w:eastAsia="仿宋" w:cs="仿宋"/>
          <w:color w:val="auto"/>
          <w:sz w:val="24"/>
          <w:szCs w:val="24"/>
        </w:rPr>
      </w:pPr>
      <w:bookmarkStart w:id="300" w:name="_Toc24528"/>
      <w:r>
        <w:rPr>
          <w:rStyle w:val="73"/>
          <w:rFonts w:hint="eastAsia" w:ascii="仿宋" w:hAnsi="仿宋" w:eastAsia="仿宋" w:cs="仿宋"/>
          <w:color w:val="auto"/>
          <w:sz w:val="24"/>
          <w:szCs w:val="24"/>
        </w:rPr>
        <w:t>八、预期提交成果</w:t>
      </w:r>
      <w:bookmarkEnd w:id="300"/>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rPr>
        <w:t>（一）原始资料</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rPr>
        <w:t>1.野外调查手图、遥感解译及验证成果分布图、实际材料图、工程地质条件图；</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3"/>
          <w:rFonts w:hint="eastAsia" w:ascii="仿宋" w:hAnsi="仿宋" w:eastAsia="仿宋" w:cs="仿宋"/>
          <w:color w:val="auto"/>
          <w:sz w:val="24"/>
          <w:szCs w:val="24"/>
          <w:lang w:eastAsia="zh-CN"/>
        </w:rPr>
      </w:pPr>
      <w:r>
        <w:rPr>
          <w:rStyle w:val="73"/>
          <w:rFonts w:hint="eastAsia" w:ascii="仿宋" w:hAnsi="仿宋" w:eastAsia="仿宋" w:cs="仿宋"/>
          <w:color w:val="auto"/>
          <w:sz w:val="24"/>
          <w:szCs w:val="24"/>
        </w:rPr>
        <w:t>2.各类原始记录卡片</w:t>
      </w:r>
      <w:r>
        <w:rPr>
          <w:rStyle w:val="73"/>
          <w:rFonts w:hint="eastAsia" w:ascii="仿宋" w:hAnsi="仿宋" w:eastAsia="仿宋" w:cs="仿宋"/>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rPr>
        <w:t>3.野外照</w:t>
      </w:r>
      <w:r>
        <w:rPr>
          <w:rStyle w:val="73"/>
          <w:rFonts w:hint="eastAsia" w:ascii="仿宋" w:hAnsi="仿宋" w:eastAsia="仿宋" w:cs="仿宋"/>
          <w:color w:val="auto"/>
          <w:sz w:val="24"/>
          <w:szCs w:val="24"/>
          <w:lang w:eastAsia="zh-CN"/>
        </w:rPr>
        <w:t>（</w:t>
      </w:r>
      <w:r>
        <w:rPr>
          <w:rStyle w:val="73"/>
          <w:rFonts w:hint="eastAsia" w:ascii="仿宋" w:hAnsi="仿宋" w:eastAsia="仿宋" w:cs="仿宋"/>
          <w:color w:val="auto"/>
          <w:sz w:val="24"/>
          <w:szCs w:val="24"/>
        </w:rPr>
        <w:t>摄</w:t>
      </w:r>
      <w:r>
        <w:rPr>
          <w:rStyle w:val="73"/>
          <w:rFonts w:hint="eastAsia" w:ascii="仿宋" w:hAnsi="仿宋" w:eastAsia="仿宋" w:cs="仿宋"/>
          <w:color w:val="auto"/>
          <w:sz w:val="24"/>
          <w:szCs w:val="24"/>
          <w:lang w:eastAsia="zh-CN"/>
        </w:rPr>
        <w:t>）</w:t>
      </w:r>
      <w:r>
        <w:rPr>
          <w:rStyle w:val="73"/>
          <w:rFonts w:hint="eastAsia" w:ascii="仿宋" w:hAnsi="仿宋" w:eastAsia="仿宋" w:cs="仿宋"/>
          <w:color w:val="auto"/>
          <w:sz w:val="24"/>
          <w:szCs w:val="24"/>
        </w:rPr>
        <w:t>像等影像资料；</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rPr>
        <w:t>4.测试与试验资料；</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rPr>
        <w:t>5.重要、典型地质灾害的工程地质剖面图、探井展示图，物探剖面图，槽探剖面图、低空遥感影像图、稳定性计算参数及计算结果表等。</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rPr>
        <w:t>（二）成果资料</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rPr>
        <w:t>1.报告</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rPr>
        <w:t>新疆</w:t>
      </w:r>
      <w:r>
        <w:rPr>
          <w:rStyle w:val="73"/>
          <w:rFonts w:hint="eastAsia" w:ascii="仿宋" w:hAnsi="仿宋" w:eastAsia="仿宋" w:cs="仿宋"/>
          <w:color w:val="auto"/>
          <w:sz w:val="24"/>
          <w:szCs w:val="24"/>
          <w:lang w:eastAsia="zh-CN"/>
        </w:rPr>
        <w:t>阿克陶县</w:t>
      </w:r>
      <w:r>
        <w:rPr>
          <w:rStyle w:val="73"/>
          <w:rFonts w:hint="eastAsia" w:ascii="仿宋" w:hAnsi="仿宋" w:eastAsia="仿宋" w:cs="仿宋"/>
          <w:color w:val="auto"/>
          <w:sz w:val="24"/>
          <w:szCs w:val="24"/>
        </w:rPr>
        <w:t>地质灾害风险调查评价报告。</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rPr>
        <w:t>2.附图</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rPr>
        <w:t>主要包括基础性图件、应用性图件和其他图件。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rPr>
        <w:t>3.附件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rPr>
        <w:t>附件主要包括：数据库建库报告；地质灾害风险调查数据库；照片集；专题报告；地质灾害勘查报告及图件。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3"/>
          <w:rFonts w:hint="eastAsia" w:ascii="仿宋" w:hAnsi="仿宋" w:eastAsia="仿宋" w:cs="仿宋"/>
          <w:color w:val="auto"/>
          <w:sz w:val="24"/>
          <w:szCs w:val="24"/>
          <w:lang w:val="en-US" w:eastAsia="zh-CN"/>
        </w:rPr>
      </w:pPr>
      <w:r>
        <w:rPr>
          <w:rStyle w:val="73"/>
          <w:rFonts w:hint="eastAsia" w:ascii="仿宋" w:hAnsi="仿宋" w:eastAsia="仿宋" w:cs="仿宋"/>
          <w:color w:val="auto"/>
          <w:sz w:val="24"/>
          <w:szCs w:val="24"/>
          <w:lang w:val="en-US" w:eastAsia="zh-CN"/>
        </w:rPr>
        <w:t>具体</w:t>
      </w:r>
      <w:r>
        <w:rPr>
          <w:rStyle w:val="73"/>
          <w:rFonts w:hint="eastAsia" w:ascii="仿宋" w:hAnsi="仿宋" w:eastAsia="仿宋" w:cs="仿宋"/>
          <w:color w:val="auto"/>
          <w:sz w:val="24"/>
          <w:szCs w:val="24"/>
        </w:rPr>
        <w:t>详见《地质灾害风险调查评价技术要求（1:50000）》</w:t>
      </w:r>
      <w:r>
        <w:rPr>
          <w:rStyle w:val="73"/>
          <w:rFonts w:hint="eastAsia" w:ascii="仿宋" w:hAnsi="仿宋" w:eastAsia="仿宋" w:cs="仿宋"/>
          <w:color w:val="auto"/>
          <w:sz w:val="24"/>
          <w:szCs w:val="24"/>
          <w:lang w:val="en-US" w:eastAsia="zh-CN"/>
        </w:rPr>
        <w:t>关于成果资料要求。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rPr>
        <w:t>项目成果资料整理归档严格按照《地质灾害风险调查评价技术要求（1:50000）》和《地质资料汇交规范》</w:t>
      </w:r>
      <w:r>
        <w:rPr>
          <w:rStyle w:val="73"/>
          <w:rFonts w:hint="eastAsia" w:ascii="仿宋" w:hAnsi="仿宋" w:eastAsia="仿宋" w:cs="仿宋"/>
          <w:color w:val="auto"/>
          <w:sz w:val="24"/>
          <w:szCs w:val="24"/>
          <w:lang w:eastAsia="zh-CN"/>
        </w:rPr>
        <w:t>（</w:t>
      </w:r>
      <w:r>
        <w:rPr>
          <w:rStyle w:val="73"/>
          <w:rFonts w:hint="eastAsia" w:ascii="仿宋" w:hAnsi="仿宋" w:eastAsia="仿宋" w:cs="仿宋"/>
          <w:color w:val="auto"/>
          <w:sz w:val="24"/>
          <w:szCs w:val="24"/>
        </w:rPr>
        <w:t>DZ/T0273</w:t>
      </w:r>
      <w:r>
        <w:rPr>
          <w:rStyle w:val="73"/>
          <w:rFonts w:hint="eastAsia" w:ascii="仿宋" w:hAnsi="仿宋" w:eastAsia="仿宋" w:cs="仿宋"/>
          <w:color w:val="auto"/>
          <w:sz w:val="24"/>
          <w:szCs w:val="24"/>
          <w:lang w:eastAsia="zh-CN"/>
        </w:rPr>
        <w:t>）</w:t>
      </w:r>
      <w:r>
        <w:rPr>
          <w:rStyle w:val="73"/>
          <w:rFonts w:hint="eastAsia" w:ascii="仿宋" w:hAnsi="仿宋" w:eastAsia="仿宋" w:cs="仿宋"/>
          <w:color w:val="auto"/>
          <w:sz w:val="24"/>
          <w:szCs w:val="24"/>
        </w:rPr>
        <w:t>地质资料汇交规范及相关管理办法</w:t>
      </w:r>
      <w:r>
        <w:rPr>
          <w:rStyle w:val="73"/>
          <w:rFonts w:hint="eastAsia" w:ascii="仿宋" w:hAnsi="仿宋" w:eastAsia="仿宋" w:cs="仿宋"/>
          <w:color w:val="auto"/>
          <w:sz w:val="24"/>
          <w:szCs w:val="24"/>
          <w:lang w:val="en-US" w:eastAsia="zh-CN"/>
        </w:rPr>
        <w:t>和《新疆维吾尔自治区地质灾害防治项目管理办法（试行）》及《新疆维吾尔自治区地质灾害防治项目验收细则》</w:t>
      </w:r>
      <w:r>
        <w:rPr>
          <w:rStyle w:val="73"/>
          <w:rFonts w:hint="eastAsia" w:ascii="仿宋" w:hAnsi="仿宋" w:eastAsia="仿宋" w:cs="仿宋"/>
          <w:color w:val="auto"/>
          <w:sz w:val="24"/>
          <w:szCs w:val="24"/>
        </w:rPr>
        <w:t>规定执行。最终成果资料应按地质资料汇交要求向新疆地质资料馆汇交，并向自治区自然资源厅、</w:t>
      </w:r>
      <w:r>
        <w:rPr>
          <w:rStyle w:val="73"/>
          <w:rFonts w:hint="eastAsia" w:ascii="仿宋" w:hAnsi="仿宋" w:eastAsia="仿宋" w:cs="仿宋"/>
          <w:color w:val="auto"/>
          <w:sz w:val="24"/>
          <w:szCs w:val="24"/>
          <w:lang w:eastAsia="zh-CN"/>
        </w:rPr>
        <w:t>克孜勒苏柯尔克孜自治州</w:t>
      </w:r>
      <w:r>
        <w:rPr>
          <w:rStyle w:val="73"/>
          <w:rFonts w:hint="eastAsia" w:ascii="仿宋" w:hAnsi="仿宋" w:eastAsia="仿宋" w:cs="仿宋"/>
          <w:color w:val="auto"/>
          <w:sz w:val="24"/>
          <w:szCs w:val="24"/>
        </w:rPr>
        <w:t>自然资源局和</w:t>
      </w:r>
      <w:r>
        <w:rPr>
          <w:rStyle w:val="73"/>
          <w:rFonts w:hint="eastAsia" w:ascii="仿宋" w:hAnsi="仿宋" w:eastAsia="仿宋" w:cs="仿宋"/>
          <w:color w:val="auto"/>
          <w:sz w:val="24"/>
          <w:szCs w:val="24"/>
          <w:lang w:eastAsia="zh-CN"/>
        </w:rPr>
        <w:t>阿克陶县</w:t>
      </w:r>
      <w:r>
        <w:rPr>
          <w:rStyle w:val="73"/>
          <w:rFonts w:hint="eastAsia" w:ascii="仿宋" w:hAnsi="仿宋" w:eastAsia="仿宋" w:cs="仿宋"/>
          <w:color w:val="auto"/>
          <w:sz w:val="24"/>
          <w:szCs w:val="24"/>
        </w:rPr>
        <w:t>自然资源局汇交纸介质和电子版各2套。</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1"/>
        <w:rPr>
          <w:rFonts w:hint="eastAsia" w:ascii="仿宋" w:hAnsi="仿宋" w:eastAsia="仿宋" w:cs="仿宋"/>
          <w:color w:val="auto"/>
          <w:sz w:val="24"/>
          <w:szCs w:val="24"/>
        </w:rPr>
      </w:pPr>
      <w:bookmarkStart w:id="301" w:name="_Toc24339"/>
      <w:r>
        <w:rPr>
          <w:rStyle w:val="73"/>
          <w:rFonts w:hint="eastAsia" w:ascii="仿宋" w:hAnsi="仿宋" w:eastAsia="仿宋" w:cs="仿宋"/>
          <w:color w:val="auto"/>
          <w:sz w:val="24"/>
          <w:szCs w:val="24"/>
        </w:rPr>
        <w:t>九、工作周期</w:t>
      </w:r>
      <w:bookmarkEnd w:id="301"/>
    </w:p>
    <w:p>
      <w:pPr>
        <w:spacing w:line="440" w:lineRule="exact"/>
        <w:ind w:firstLine="480" w:firstLineChars="200"/>
        <w:rPr>
          <w:rStyle w:val="73"/>
          <w:rFonts w:hint="default" w:ascii="仿宋" w:hAnsi="仿宋" w:eastAsia="仿宋" w:cs="仿宋"/>
          <w:color w:val="auto"/>
          <w:sz w:val="24"/>
          <w:szCs w:val="24"/>
        </w:rPr>
      </w:pPr>
      <w:r>
        <w:rPr>
          <w:rStyle w:val="73"/>
          <w:rFonts w:hint="eastAsia" w:ascii="仿宋" w:hAnsi="仿宋" w:eastAsia="仿宋" w:cs="仿宋"/>
          <w:color w:val="auto"/>
          <w:sz w:val="24"/>
          <w:szCs w:val="24"/>
        </w:rPr>
        <w:t>2023年3月-2024年1月。其中：2023年9月30日前完成野外调查工作；2023年10月30日前提交报告及数据库送审稿,2024年1月完成资料汇交。</w:t>
      </w:r>
    </w:p>
    <w:p>
      <w:pPr>
        <w:spacing w:line="440" w:lineRule="exact"/>
        <w:jc w:val="center"/>
        <w:outlineLvl w:val="1"/>
        <w:rPr>
          <w:rFonts w:ascii="仿宋" w:hAnsi="仿宋" w:eastAsia="仿宋"/>
          <w:b/>
          <w:bCs/>
          <w:color w:val="auto"/>
          <w:sz w:val="32"/>
          <w:szCs w:val="32"/>
        </w:rPr>
      </w:pPr>
      <w:r>
        <w:rPr>
          <w:rStyle w:val="73"/>
          <w:rFonts w:ascii="仿宋" w:hAnsi="仿宋" w:eastAsia="仿宋" w:cs="仿宋"/>
          <w:color w:val="auto"/>
          <w:sz w:val="24"/>
          <w:szCs w:val="24"/>
        </w:rPr>
        <w:br w:type="page"/>
      </w:r>
      <w:bookmarkStart w:id="302" w:name="_Toc28995"/>
      <w:bookmarkStart w:id="303" w:name="_Toc32307"/>
      <w:r>
        <w:rPr>
          <w:rFonts w:hint="eastAsia" w:ascii="仿宋" w:hAnsi="仿宋" w:eastAsia="仿宋" w:cs="Times New Roman"/>
          <w:b/>
          <w:bCs/>
          <w:color w:val="auto"/>
          <w:sz w:val="32"/>
          <w:szCs w:val="32"/>
        </w:rPr>
        <w:t>标项二：</w:t>
      </w:r>
      <w:r>
        <w:rPr>
          <w:rFonts w:hint="eastAsia" w:ascii="仿宋" w:hAnsi="仿宋" w:eastAsia="仿宋" w:cs="Times New Roman"/>
          <w:b/>
          <w:bCs/>
          <w:color w:val="auto"/>
          <w:sz w:val="32"/>
          <w:szCs w:val="32"/>
          <w:lang w:eastAsia="zh-CN"/>
        </w:rPr>
        <w:t>新疆乌恰县地质灾害风险调查评价</w:t>
      </w:r>
      <w:bookmarkEnd w:id="302"/>
      <w:bookmarkEnd w:id="303"/>
    </w:p>
    <w:p>
      <w:pPr>
        <w:keepNext w:val="0"/>
        <w:keepLines w:val="0"/>
        <w:pageBreakBefore w:val="0"/>
        <w:widowControl/>
        <w:kinsoku/>
        <w:wordWrap/>
        <w:overflowPunct/>
        <w:topLinePunct w:val="0"/>
        <w:autoSpaceDE/>
        <w:autoSpaceDN/>
        <w:bidi w:val="0"/>
        <w:spacing w:line="560" w:lineRule="exact"/>
        <w:jc w:val="left"/>
        <w:textAlignment w:val="auto"/>
        <w:outlineLvl w:val="1"/>
        <w:rPr>
          <w:rStyle w:val="73"/>
          <w:rFonts w:hint="eastAsia" w:ascii="仿宋" w:hAnsi="仿宋" w:eastAsia="仿宋" w:cs="仿宋"/>
          <w:color w:val="auto"/>
          <w:sz w:val="24"/>
          <w:szCs w:val="24"/>
        </w:rPr>
      </w:pPr>
      <w:bookmarkStart w:id="304" w:name="_Toc18678"/>
      <w:r>
        <w:rPr>
          <w:rStyle w:val="73"/>
          <w:rFonts w:hint="eastAsia" w:ascii="仿宋" w:hAnsi="仿宋" w:eastAsia="仿宋" w:cs="仿宋"/>
          <w:color w:val="auto"/>
          <w:sz w:val="24"/>
          <w:szCs w:val="24"/>
        </w:rPr>
        <w:t>一、项目名称、编号和经费</w:t>
      </w:r>
      <w:bookmarkEnd w:id="304"/>
    </w:p>
    <w:p>
      <w:pPr>
        <w:keepNext w:val="0"/>
        <w:keepLines w:val="0"/>
        <w:pageBreakBefore w:val="0"/>
        <w:kinsoku/>
        <w:wordWrap/>
        <w:overflowPunct/>
        <w:topLinePunct w:val="0"/>
        <w:autoSpaceDE/>
        <w:autoSpaceDN/>
        <w:bidi w:val="0"/>
        <w:spacing w:line="560" w:lineRule="exact"/>
        <w:ind w:firstLine="480" w:firstLineChars="200"/>
        <w:textAlignment w:val="auto"/>
        <w:outlineLvl w:val="9"/>
        <w:rPr>
          <w:rStyle w:val="73"/>
          <w:rFonts w:hint="eastAsia" w:ascii="仿宋" w:hAnsi="仿宋" w:eastAsia="仿宋" w:cs="仿宋"/>
          <w:color w:val="auto"/>
          <w:sz w:val="24"/>
          <w:szCs w:val="24"/>
          <w:lang w:eastAsia="zh-CN"/>
        </w:rPr>
      </w:pPr>
      <w:r>
        <w:rPr>
          <w:rStyle w:val="73"/>
          <w:rFonts w:hint="eastAsia" w:ascii="仿宋" w:hAnsi="仿宋" w:eastAsia="仿宋" w:cs="仿宋"/>
          <w:color w:val="auto"/>
          <w:sz w:val="24"/>
          <w:szCs w:val="24"/>
        </w:rPr>
        <w:t>项目名称：</w:t>
      </w:r>
      <w:r>
        <w:rPr>
          <w:rStyle w:val="73"/>
          <w:rFonts w:hint="eastAsia" w:ascii="仿宋" w:hAnsi="仿宋" w:eastAsia="仿宋" w:cs="仿宋"/>
          <w:color w:val="auto"/>
          <w:sz w:val="24"/>
          <w:szCs w:val="24"/>
          <w:lang w:eastAsia="zh-CN"/>
        </w:rPr>
        <w:t>新疆乌恰县地质灾害风险调查评价</w:t>
      </w:r>
    </w:p>
    <w:p>
      <w:pPr>
        <w:keepNext w:val="0"/>
        <w:keepLines w:val="0"/>
        <w:pageBreakBefore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color w:val="auto"/>
          <w:sz w:val="24"/>
          <w:szCs w:val="24"/>
          <w:lang w:val="en-US" w:eastAsia="zh-CN"/>
        </w:rPr>
      </w:pPr>
      <w:r>
        <w:rPr>
          <w:rStyle w:val="73"/>
          <w:rFonts w:hint="eastAsia" w:ascii="仿宋" w:hAnsi="仿宋" w:eastAsia="仿宋" w:cs="仿宋"/>
          <w:color w:val="auto"/>
          <w:sz w:val="24"/>
          <w:szCs w:val="24"/>
        </w:rPr>
        <w:t>项目编号：</w:t>
      </w:r>
      <w:r>
        <w:rPr>
          <w:rStyle w:val="73"/>
          <w:rFonts w:hint="eastAsia" w:ascii="仿宋" w:hAnsi="仿宋" w:eastAsia="仿宋" w:cs="仿宋"/>
          <w:color w:val="auto"/>
          <w:sz w:val="24"/>
          <w:szCs w:val="24"/>
          <w:lang w:eastAsia="zh-CN"/>
        </w:rPr>
        <w:t xml:space="preserve"> </w:t>
      </w:r>
      <w:r>
        <w:rPr>
          <w:rStyle w:val="73"/>
          <w:rFonts w:ascii="仿宋" w:hAnsi="仿宋" w:eastAsia="仿宋" w:cs="仿宋"/>
          <w:color w:val="auto"/>
          <w:sz w:val="24"/>
          <w:szCs w:val="24"/>
          <w:lang w:eastAsia="zh-CN"/>
        </w:rPr>
        <w:t>GYZB-KZDZFZ2023</w:t>
      </w:r>
      <w:r>
        <w:rPr>
          <w:rStyle w:val="73"/>
          <w:rFonts w:ascii="仿宋" w:hAnsi="仿宋" w:eastAsia="仿宋" w:cs="仿宋"/>
          <w:color w:val="auto"/>
          <w:sz w:val="24"/>
          <w:szCs w:val="24"/>
        </w:rPr>
        <w:t>-</w:t>
      </w:r>
      <w:r>
        <w:rPr>
          <w:rStyle w:val="73"/>
          <w:rFonts w:hint="eastAsia" w:ascii="仿宋" w:hAnsi="仿宋" w:eastAsia="仿宋" w:cs="仿宋"/>
          <w:color w:val="auto"/>
          <w:sz w:val="24"/>
          <w:szCs w:val="24"/>
          <w:lang w:val="en-US" w:eastAsia="zh-CN"/>
        </w:rPr>
        <w:t>01-</w:t>
      </w:r>
      <w:r>
        <w:rPr>
          <w:rStyle w:val="73"/>
          <w:rFonts w:ascii="仿宋" w:hAnsi="仿宋" w:eastAsia="仿宋" w:cs="仿宋"/>
          <w:color w:val="auto"/>
          <w:sz w:val="24"/>
          <w:szCs w:val="24"/>
        </w:rPr>
        <w:t>0</w:t>
      </w:r>
      <w:r>
        <w:rPr>
          <w:rStyle w:val="73"/>
          <w:rFonts w:hint="eastAsia" w:ascii="仿宋" w:hAnsi="仿宋" w:eastAsia="仿宋" w:cs="仿宋"/>
          <w:color w:val="auto"/>
          <w:sz w:val="24"/>
          <w:szCs w:val="24"/>
          <w:lang w:val="en-US" w:eastAsia="zh-CN"/>
        </w:rPr>
        <w:t>2</w:t>
      </w:r>
    </w:p>
    <w:p>
      <w:pPr>
        <w:keepNext w:val="0"/>
        <w:keepLines w:val="0"/>
        <w:pageBreakBefore w:val="0"/>
        <w:kinsoku/>
        <w:wordWrap/>
        <w:overflowPunct/>
        <w:topLinePunct w:val="0"/>
        <w:autoSpaceDE/>
        <w:autoSpaceDN/>
        <w:bidi w:val="0"/>
        <w:spacing w:line="560" w:lineRule="exact"/>
        <w:ind w:firstLine="480" w:firstLineChars="200"/>
        <w:textAlignment w:val="auto"/>
        <w:outlineLvl w:val="9"/>
        <w:rPr>
          <w:rFonts w:hint="default" w:ascii="仿宋" w:hAnsi="仿宋" w:eastAsia="仿宋" w:cs="仿宋"/>
          <w:color w:val="auto"/>
          <w:sz w:val="24"/>
          <w:szCs w:val="24"/>
          <w:lang w:val="en-US" w:eastAsia="zh-CN"/>
        </w:rPr>
      </w:pPr>
      <w:r>
        <w:rPr>
          <w:rStyle w:val="73"/>
          <w:rFonts w:hint="eastAsia" w:ascii="仿宋" w:hAnsi="仿宋" w:eastAsia="仿宋" w:cs="仿宋"/>
          <w:color w:val="auto"/>
          <w:sz w:val="24"/>
          <w:szCs w:val="24"/>
        </w:rPr>
        <w:t>项目费用</w:t>
      </w:r>
      <w:r>
        <w:rPr>
          <w:rStyle w:val="73"/>
          <w:rFonts w:hint="eastAsia" w:ascii="仿宋" w:hAnsi="仿宋" w:eastAsia="仿宋" w:cs="仿宋"/>
          <w:color w:val="auto"/>
          <w:sz w:val="24"/>
          <w:szCs w:val="24"/>
          <w:lang w:val="en-US" w:eastAsia="zh-CN"/>
        </w:rPr>
        <w:t>人民币</w:t>
      </w:r>
      <w:r>
        <w:rPr>
          <w:rStyle w:val="73"/>
          <w:rFonts w:hint="eastAsia" w:ascii="仿宋" w:hAnsi="仿宋" w:eastAsia="仿宋" w:cs="仿宋"/>
          <w:color w:val="auto"/>
          <w:sz w:val="24"/>
          <w:szCs w:val="24"/>
        </w:rPr>
        <w:t>：1</w:t>
      </w:r>
      <w:r>
        <w:rPr>
          <w:rStyle w:val="73"/>
          <w:rFonts w:hint="eastAsia" w:ascii="仿宋" w:hAnsi="仿宋" w:eastAsia="仿宋" w:cs="仿宋"/>
          <w:color w:val="auto"/>
          <w:sz w:val="24"/>
          <w:szCs w:val="24"/>
          <w:lang w:val="en-US" w:eastAsia="zh-CN"/>
        </w:rPr>
        <w:t>30</w:t>
      </w:r>
      <w:r>
        <w:rPr>
          <w:rStyle w:val="73"/>
          <w:rFonts w:hint="eastAsia" w:ascii="仿宋" w:hAnsi="仿宋" w:eastAsia="仿宋" w:cs="仿宋"/>
          <w:color w:val="auto"/>
          <w:sz w:val="24"/>
          <w:szCs w:val="24"/>
        </w:rPr>
        <w:t>万元</w:t>
      </w:r>
      <w:r>
        <w:rPr>
          <w:rStyle w:val="73"/>
          <w:rFonts w:hint="eastAsia" w:ascii="仿宋" w:hAnsi="仿宋" w:eastAsia="仿宋" w:cs="仿宋"/>
          <w:color w:val="auto"/>
          <w:sz w:val="24"/>
          <w:szCs w:val="24"/>
          <w:lang w:eastAsia="zh-CN"/>
        </w:rPr>
        <w:t>（</w:t>
      </w:r>
      <w:r>
        <w:rPr>
          <w:rStyle w:val="73"/>
          <w:rFonts w:hint="eastAsia" w:ascii="仿宋" w:hAnsi="仿宋" w:eastAsia="仿宋" w:cs="仿宋"/>
          <w:color w:val="auto"/>
          <w:sz w:val="24"/>
          <w:szCs w:val="24"/>
          <w:lang w:val="en-US" w:eastAsia="zh-CN"/>
        </w:rPr>
        <w:t>壹佰叁拾万元整）</w:t>
      </w:r>
    </w:p>
    <w:p>
      <w:pPr>
        <w:keepNext w:val="0"/>
        <w:keepLines w:val="0"/>
        <w:pageBreakBefore w:val="0"/>
        <w:kinsoku/>
        <w:wordWrap/>
        <w:overflowPunct/>
        <w:topLinePunct w:val="0"/>
        <w:autoSpaceDE/>
        <w:autoSpaceDN/>
        <w:bidi w:val="0"/>
        <w:spacing w:line="560" w:lineRule="exact"/>
        <w:ind w:firstLine="480" w:firstLineChars="200"/>
        <w:textAlignment w:val="auto"/>
        <w:outlineLvl w:val="1"/>
        <w:rPr>
          <w:rStyle w:val="73"/>
          <w:rFonts w:hint="eastAsia" w:ascii="仿宋" w:hAnsi="仿宋" w:eastAsia="仿宋" w:cs="仿宋"/>
          <w:color w:val="auto"/>
          <w:sz w:val="24"/>
          <w:szCs w:val="24"/>
        </w:rPr>
      </w:pPr>
      <w:bookmarkStart w:id="305" w:name="_Toc7303"/>
      <w:r>
        <w:rPr>
          <w:rStyle w:val="73"/>
          <w:rFonts w:hint="eastAsia" w:ascii="仿宋" w:hAnsi="仿宋" w:eastAsia="仿宋" w:cs="仿宋"/>
          <w:color w:val="auto"/>
          <w:sz w:val="24"/>
          <w:szCs w:val="24"/>
        </w:rPr>
        <w:t>二、工作范围和面积</w:t>
      </w:r>
      <w:bookmarkEnd w:id="305"/>
    </w:p>
    <w:p>
      <w:pPr>
        <w:keepNext w:val="0"/>
        <w:keepLines w:val="0"/>
        <w:pageBreakBefore w:val="0"/>
        <w:kinsoku/>
        <w:wordWrap/>
        <w:overflowPunct/>
        <w:topLinePunct w:val="0"/>
        <w:autoSpaceDE/>
        <w:autoSpaceDN/>
        <w:bidi w:val="0"/>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rPr>
        <w:t>本次工作区范围为</w:t>
      </w:r>
      <w:r>
        <w:rPr>
          <w:rStyle w:val="73"/>
          <w:rFonts w:hint="eastAsia" w:ascii="仿宋" w:hAnsi="仿宋" w:eastAsia="仿宋" w:cs="仿宋"/>
          <w:color w:val="auto"/>
          <w:sz w:val="24"/>
          <w:szCs w:val="24"/>
          <w:lang w:eastAsia="zh-CN"/>
        </w:rPr>
        <w:t>乌恰县</w:t>
      </w:r>
      <w:r>
        <w:rPr>
          <w:rStyle w:val="73"/>
          <w:rFonts w:hint="eastAsia" w:ascii="仿宋" w:hAnsi="仿宋" w:eastAsia="仿宋" w:cs="仿宋"/>
          <w:color w:val="auto"/>
          <w:sz w:val="24"/>
          <w:szCs w:val="24"/>
        </w:rPr>
        <w:t>行政区范围，总面积约</w:t>
      </w:r>
      <w:r>
        <w:rPr>
          <w:rStyle w:val="73"/>
          <w:rFonts w:hint="eastAsia" w:ascii="仿宋" w:hAnsi="仿宋" w:eastAsia="仿宋" w:cs="仿宋"/>
          <w:color w:val="auto"/>
          <w:sz w:val="24"/>
          <w:szCs w:val="24"/>
          <w:lang w:val="en-US" w:eastAsia="zh-CN"/>
        </w:rPr>
        <w:t>1.92万</w:t>
      </w:r>
      <w:r>
        <w:rPr>
          <w:rStyle w:val="73"/>
          <w:rFonts w:hint="eastAsia" w:ascii="仿宋" w:hAnsi="仿宋" w:eastAsia="仿宋" w:cs="仿宋"/>
          <w:color w:val="auto"/>
          <w:sz w:val="24"/>
          <w:szCs w:val="24"/>
        </w:rPr>
        <w:t>平方千米（以三调成果数据为准）。</w:t>
      </w:r>
    </w:p>
    <w:p>
      <w:pPr>
        <w:keepNext w:val="0"/>
        <w:keepLines w:val="0"/>
        <w:pageBreakBefore w:val="0"/>
        <w:kinsoku/>
        <w:wordWrap/>
        <w:overflowPunct/>
        <w:topLinePunct w:val="0"/>
        <w:autoSpaceDE/>
        <w:autoSpaceDN/>
        <w:bidi w:val="0"/>
        <w:spacing w:line="560" w:lineRule="exact"/>
        <w:ind w:firstLine="480" w:firstLineChars="200"/>
        <w:textAlignment w:val="auto"/>
        <w:outlineLvl w:val="1"/>
        <w:rPr>
          <w:rStyle w:val="73"/>
          <w:rFonts w:hint="eastAsia" w:ascii="仿宋" w:hAnsi="仿宋" w:eastAsia="仿宋" w:cs="仿宋"/>
          <w:color w:val="auto"/>
          <w:sz w:val="24"/>
          <w:szCs w:val="24"/>
        </w:rPr>
      </w:pPr>
      <w:bookmarkStart w:id="306" w:name="_Toc16779"/>
      <w:r>
        <w:rPr>
          <w:rStyle w:val="73"/>
          <w:rFonts w:hint="eastAsia" w:ascii="仿宋" w:hAnsi="仿宋" w:eastAsia="仿宋" w:cs="仿宋"/>
          <w:color w:val="auto"/>
          <w:sz w:val="24"/>
          <w:szCs w:val="24"/>
        </w:rPr>
        <w:t>三、自然经济地理</w:t>
      </w:r>
      <w:bookmarkEnd w:id="306"/>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color w:val="auto"/>
          <w:sz w:val="24"/>
          <w:szCs w:val="24"/>
        </w:rPr>
      </w:pPr>
      <w:r>
        <w:rPr>
          <w:rStyle w:val="73"/>
          <w:rFonts w:hint="eastAsia" w:ascii="仿宋" w:hAnsi="仿宋" w:eastAsia="仿宋" w:cs="仿宋"/>
          <w:color w:val="auto"/>
          <w:sz w:val="24"/>
          <w:szCs w:val="24"/>
          <w:lang w:eastAsia="zh-CN"/>
        </w:rPr>
        <w:t>乌恰县位于塔里木盆地西端、天山南脉与昆仑山两大山系的接合部，为帕米尔高原的一部分，是自治区的最西端，也是我国的西部边陲县。该县东与阿图什市、疏附县相邻，南与阿克陶县相依，西、北与吉尔吉斯斯坦共和国接壤，国境线长400多千米，是我国连接中亚、西亚的纽带和对外开放的桥头堡。乌恰县总面积19155.63平方千米。</w:t>
      </w:r>
      <w:r>
        <w:rPr>
          <w:rFonts w:hint="eastAsia" w:ascii="仿宋" w:hAnsi="仿宋" w:eastAsia="仿宋" w:cs="仿宋"/>
          <w:color w:val="auto"/>
          <w:sz w:val="24"/>
          <w:szCs w:val="24"/>
          <w:lang w:eastAsia="zh-CN"/>
        </w:rPr>
        <w:t>乌恰县境内有G3013线横贯东西，由东向西至伊尔克什坦口岸；S212线连接托帕口岸和吐尔尕特，S309线向东与314国道相接。乌恰县内交通以省道为主要骨架，县乡公路相配合的公路交通网连接全县每个乡镇。乌恰县城距喀什市和阿图什市分别为90千米和104千米，交通条件较为方便。</w:t>
      </w:r>
    </w:p>
    <w:p>
      <w:pPr>
        <w:keepNext w:val="0"/>
        <w:keepLines w:val="0"/>
        <w:pageBreakBefore w:val="0"/>
        <w:kinsoku/>
        <w:wordWrap/>
        <w:overflowPunct/>
        <w:topLinePunct w:val="0"/>
        <w:autoSpaceDE/>
        <w:autoSpaceDN/>
        <w:bidi w:val="0"/>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lang w:eastAsia="zh-CN"/>
        </w:rPr>
        <w:t>乌恰县辖区有2镇、9乡、1个牧场，43个行政村，10个社区。乡（镇、场）有：乌恰镇、康苏镇、乌鲁克恰提乡、吾合沙鲁乡、膘尔托阔依乡、黑孜苇乡、托云乡、铁列克乡、巴音库鲁提乡、波斯坦铁列克乡、吉根乡、兵团托云牧场等，县人民政府驻乌恰镇。据《2020年乌恰县国民经济和社会发展统计公报》：全年实现生产总值（GDP）360311万元，增长2.8%。其中，第一产业11944万元，增长2.6%；第二产业152694万元，下降0.8%;第三产业195673万元，增长5.3%。人均生产总值61662元，增长3.2%。三次产业的结构比例为3.3：42.4：54.3，对经济增长的贡献率为3.7%、-11.5%、107.9%。</w:t>
      </w:r>
      <w:r>
        <w:rPr>
          <w:rFonts w:hint="eastAsia" w:ascii="仿宋" w:hAnsi="仿宋" w:eastAsia="仿宋" w:cs="仿宋"/>
          <w:color w:val="auto"/>
          <w:sz w:val="24"/>
          <w:szCs w:val="24"/>
          <w:lang w:eastAsia="zh-CN"/>
        </w:rPr>
        <w:t>乌恰县是典型的高原牧业县，全县平均海拔2890米，县城所在地海拔2200米，其中山地、戈壁、荒滩占总面积的99.8%；荒漠草场总面积1600余万亩，耕地面积2.3万亩，人均耕地不足0.5亩。经济以牧业为主，畜种主要有绵羊、绒山羊、马、牛、牦牛等，牲畜存栏29.8万头(只)。农业适宜种植小麦、玉米、青稞、油菜、胡麻、苜蓿。</w:t>
      </w:r>
    </w:p>
    <w:p>
      <w:pPr>
        <w:keepNext w:val="0"/>
        <w:keepLines w:val="0"/>
        <w:pageBreakBefore w:val="0"/>
        <w:kinsoku/>
        <w:wordWrap/>
        <w:overflowPunct/>
        <w:topLinePunct w:val="0"/>
        <w:autoSpaceDE/>
        <w:autoSpaceDN/>
        <w:bidi w:val="0"/>
        <w:spacing w:line="560" w:lineRule="exact"/>
        <w:ind w:firstLine="480" w:firstLineChars="200"/>
        <w:textAlignment w:val="auto"/>
        <w:outlineLvl w:val="1"/>
        <w:rPr>
          <w:rFonts w:hint="eastAsia" w:ascii="仿宋" w:hAnsi="仿宋" w:eastAsia="仿宋" w:cs="仿宋"/>
          <w:color w:val="auto"/>
          <w:sz w:val="24"/>
          <w:szCs w:val="24"/>
        </w:rPr>
      </w:pPr>
      <w:bookmarkStart w:id="307" w:name="_Toc9289"/>
      <w:r>
        <w:rPr>
          <w:rStyle w:val="73"/>
          <w:rFonts w:hint="eastAsia" w:ascii="仿宋" w:hAnsi="仿宋" w:eastAsia="仿宋" w:cs="仿宋"/>
          <w:color w:val="auto"/>
          <w:sz w:val="24"/>
          <w:szCs w:val="24"/>
        </w:rPr>
        <w:t>四、地质环境概况</w:t>
      </w:r>
      <w:bookmarkEnd w:id="307"/>
    </w:p>
    <w:p>
      <w:pPr>
        <w:keepNext w:val="0"/>
        <w:keepLines w:val="0"/>
        <w:pageBreakBefore w:val="0"/>
        <w:kinsoku/>
        <w:wordWrap/>
        <w:overflowPunct/>
        <w:topLinePunct w:val="0"/>
        <w:autoSpaceDE/>
        <w:autoSpaceDN/>
        <w:bidi w:val="0"/>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lang w:eastAsia="zh-CN"/>
        </w:rPr>
        <w:t>（</w:t>
      </w:r>
      <w:r>
        <w:rPr>
          <w:rStyle w:val="73"/>
          <w:rFonts w:hint="eastAsia" w:ascii="仿宋" w:hAnsi="仿宋" w:eastAsia="仿宋" w:cs="仿宋"/>
          <w:color w:val="auto"/>
          <w:sz w:val="24"/>
          <w:szCs w:val="24"/>
          <w:lang w:val="en-US" w:eastAsia="zh-CN"/>
        </w:rPr>
        <w:t>一</w:t>
      </w:r>
      <w:r>
        <w:rPr>
          <w:rStyle w:val="73"/>
          <w:rFonts w:hint="eastAsia" w:ascii="仿宋" w:hAnsi="仿宋" w:eastAsia="仿宋" w:cs="仿宋"/>
          <w:color w:val="auto"/>
          <w:sz w:val="24"/>
          <w:szCs w:val="24"/>
          <w:lang w:eastAsia="zh-CN"/>
        </w:rPr>
        <w:t>）</w:t>
      </w:r>
      <w:r>
        <w:rPr>
          <w:rStyle w:val="73"/>
          <w:rFonts w:hint="eastAsia" w:ascii="仿宋" w:hAnsi="仿宋" w:eastAsia="仿宋" w:cs="仿宋"/>
          <w:color w:val="auto"/>
          <w:sz w:val="24"/>
          <w:szCs w:val="24"/>
        </w:rPr>
        <w:t>地形地貌与人类工程活动</w:t>
      </w:r>
    </w:p>
    <w:p>
      <w:pPr>
        <w:keepNext w:val="0"/>
        <w:keepLines w:val="0"/>
        <w:pageBreakBefore w:val="0"/>
        <w:widowControl w:val="0"/>
        <w:kinsoku/>
        <w:wordWrap/>
        <w:overflowPunct/>
        <w:topLinePunct w:val="0"/>
        <w:autoSpaceDE/>
        <w:autoSpaceDN/>
        <w:bidi w:val="0"/>
        <w:snapToGrid/>
        <w:spacing w:line="560" w:lineRule="exact"/>
        <w:ind w:firstLine="480" w:firstLineChars="200"/>
        <w:textAlignment w:val="auto"/>
        <w:outlineLvl w:val="9"/>
        <w:rPr>
          <w:rFonts w:hint="eastAsia" w:ascii="仿宋" w:hAnsi="仿宋" w:eastAsia="仿宋" w:cs="仿宋"/>
          <w:color w:val="auto"/>
          <w:sz w:val="24"/>
          <w:szCs w:val="24"/>
        </w:rPr>
      </w:pPr>
      <w:r>
        <w:rPr>
          <w:rStyle w:val="73"/>
          <w:rFonts w:hint="eastAsia" w:ascii="仿宋" w:hAnsi="仿宋" w:eastAsia="仿宋" w:cs="仿宋"/>
          <w:color w:val="auto"/>
          <w:sz w:val="24"/>
          <w:szCs w:val="24"/>
          <w:lang w:eastAsia="zh-CN"/>
        </w:rPr>
        <w:t>乌恰县地形大致以克孜勒苏河为界，北部为南天山（西段）山脉，南部为帕米尔高原，昆仑山脉，东面是喀什三角洲以西地段，县境处于这三者之间中部楔形地带，三面高山环绕，总地形趋势呈西北、西南高，东南低的马蹄形特征。县境内中高山、极高山面积占全县总面积的76%，河谷平川占24%，有名称的山峰168座，海拔3000米以上的高山19座，有名称的山口68处，山沟402条，戈壁8处，盆地1处，帕米尔冰川分布有4处。根据乌恰县地貌特征，按其构造作用和成因，可划分为侵蚀构造地貌、剥蚀构造地貌、剥蚀堆积地貌、堆积地貌</w:t>
      </w:r>
      <w:r>
        <w:rPr>
          <w:rStyle w:val="73"/>
          <w:rFonts w:hint="eastAsia" w:ascii="仿宋" w:hAnsi="仿宋" w:eastAsia="仿宋" w:cs="仿宋"/>
          <w:color w:val="auto"/>
          <w:sz w:val="24"/>
          <w:szCs w:val="24"/>
        </w:rPr>
        <w:t>。</w:t>
      </w:r>
      <w:r>
        <w:rPr>
          <w:rStyle w:val="73"/>
          <w:rFonts w:hint="eastAsia" w:ascii="仿宋" w:hAnsi="仿宋" w:eastAsia="仿宋" w:cs="仿宋"/>
          <w:color w:val="auto"/>
          <w:sz w:val="24"/>
          <w:szCs w:val="24"/>
          <w:lang w:val="en-US" w:eastAsia="zh-CN"/>
        </w:rPr>
        <w:t>乌恰县幅员辽阔，人口稀疏，是典型的高原牧业县，大部分边远山区无固定居民，分布有天然草场，为季节性牧业活动区域，人类经济活动方式主要以畜牧业为主，分布有牧民的夏草场，每年夏、秋季节牧民在此放牧，人类活动频度程度与强度在县境内相对较强，工矿企业较少。</w:t>
      </w:r>
    </w:p>
    <w:p>
      <w:pPr>
        <w:keepNext w:val="0"/>
        <w:keepLines w:val="0"/>
        <w:pageBreakBefore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color w:val="auto"/>
          <w:sz w:val="24"/>
          <w:szCs w:val="24"/>
        </w:rPr>
      </w:pPr>
      <w:r>
        <w:rPr>
          <w:rStyle w:val="73"/>
          <w:rFonts w:hint="eastAsia" w:ascii="仿宋" w:hAnsi="仿宋" w:eastAsia="仿宋" w:cs="仿宋"/>
          <w:color w:val="auto"/>
          <w:sz w:val="24"/>
          <w:szCs w:val="24"/>
          <w:lang w:eastAsia="zh-CN"/>
        </w:rPr>
        <w:t>（</w:t>
      </w:r>
      <w:r>
        <w:rPr>
          <w:rStyle w:val="73"/>
          <w:rFonts w:hint="eastAsia" w:ascii="仿宋" w:hAnsi="仿宋" w:eastAsia="仿宋" w:cs="仿宋"/>
          <w:color w:val="auto"/>
          <w:sz w:val="24"/>
          <w:szCs w:val="24"/>
          <w:lang w:val="en-US" w:eastAsia="zh-CN"/>
        </w:rPr>
        <w:t>二</w:t>
      </w:r>
      <w:r>
        <w:rPr>
          <w:rStyle w:val="73"/>
          <w:rFonts w:hint="eastAsia" w:ascii="仿宋" w:hAnsi="仿宋" w:eastAsia="仿宋" w:cs="仿宋"/>
          <w:color w:val="auto"/>
          <w:sz w:val="24"/>
          <w:szCs w:val="24"/>
          <w:lang w:eastAsia="zh-CN"/>
        </w:rPr>
        <w:t>）</w:t>
      </w:r>
      <w:r>
        <w:rPr>
          <w:rStyle w:val="73"/>
          <w:rFonts w:hint="eastAsia" w:ascii="仿宋" w:hAnsi="仿宋" w:eastAsia="仿宋" w:cs="仿宋"/>
          <w:color w:val="auto"/>
          <w:sz w:val="24"/>
          <w:szCs w:val="24"/>
        </w:rPr>
        <w:t>地质灾害类型与分布</w:t>
      </w:r>
    </w:p>
    <w:p>
      <w:pPr>
        <w:keepNext w:val="0"/>
        <w:keepLines w:val="0"/>
        <w:pageBreakBefore w:val="0"/>
        <w:kinsoku/>
        <w:wordWrap/>
        <w:overflowPunct/>
        <w:topLinePunct w:val="0"/>
        <w:autoSpaceDE/>
        <w:autoSpaceDN/>
        <w:bidi w:val="0"/>
        <w:adjustRightInd w:val="0"/>
        <w:snapToGrid w:val="0"/>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lang w:val="en-US" w:eastAsia="zh-CN"/>
        </w:rPr>
        <w:t>乌恰县发育的地质灾害类型以崩塌、泥石流、滑坡、地面塌陷、地裂缝为主，地面沉降灾害不发育。乌恰县辖区有2镇（乌恰镇、康苏镇）、9乡（乌鲁克恰提乡、吾合沙鲁乡、膘尔托阔依乡、黑孜苇乡、托云乡、铁列克乡、巴音库鲁提乡、波斯坦铁列克乡、吉根乡），按各乡（镇、场）内地质灾害点数量多少，从高到低排列依次为：乌鲁克恰提乡、托云乡、巴音库鲁提乡、铁列克乡、膘尔托阔依乡、黑孜苇乡、吉根乡、吾合沙鲁乡、波斯坦铁列克乡、康苏镇等。</w:t>
      </w:r>
      <w:r>
        <w:rPr>
          <w:rFonts w:hint="eastAsia" w:ascii="仿宋" w:hAnsi="仿宋" w:eastAsia="仿宋" w:cs="仿宋"/>
          <w:color w:val="auto"/>
          <w:sz w:val="24"/>
          <w:szCs w:val="24"/>
        </w:rPr>
        <w:t>中山区发育崩塌、泥石流、滑坡、地面塌陷、地裂缝灾害；高山、极高山区发育崩塌、泥石流、滑坡灾害；位于县境内东南部堆积平原区（冲洪积平原区及河谷平原区）地质灾害不发育。</w:t>
      </w:r>
    </w:p>
    <w:p>
      <w:pPr>
        <w:keepNext w:val="0"/>
        <w:keepLines w:val="0"/>
        <w:pageBreakBefore w:val="0"/>
        <w:kinsoku/>
        <w:wordWrap/>
        <w:overflowPunct/>
        <w:topLinePunct w:val="0"/>
        <w:autoSpaceDE/>
        <w:autoSpaceDN/>
        <w:bidi w:val="0"/>
        <w:spacing w:line="560" w:lineRule="exact"/>
        <w:ind w:firstLine="480" w:firstLineChars="200"/>
        <w:textAlignment w:val="auto"/>
        <w:outlineLvl w:val="1"/>
        <w:rPr>
          <w:rStyle w:val="73"/>
          <w:rFonts w:hint="eastAsia" w:ascii="仿宋" w:hAnsi="仿宋" w:eastAsia="仿宋" w:cs="仿宋"/>
          <w:color w:val="auto"/>
          <w:sz w:val="24"/>
          <w:szCs w:val="24"/>
        </w:rPr>
      </w:pPr>
      <w:bookmarkStart w:id="308" w:name="_Toc13283"/>
      <w:r>
        <w:rPr>
          <w:rStyle w:val="73"/>
          <w:rFonts w:hint="eastAsia" w:ascii="仿宋" w:hAnsi="仿宋" w:eastAsia="仿宋" w:cs="仿宋"/>
          <w:color w:val="auto"/>
          <w:sz w:val="24"/>
          <w:szCs w:val="24"/>
        </w:rPr>
        <w:t>五、目标任务</w:t>
      </w:r>
      <w:bookmarkEnd w:id="308"/>
    </w:p>
    <w:p>
      <w:pPr>
        <w:keepNext w:val="0"/>
        <w:keepLines w:val="0"/>
        <w:pageBreakBefore w:val="0"/>
        <w:kinsoku/>
        <w:wordWrap/>
        <w:overflowPunct/>
        <w:topLinePunct w:val="0"/>
        <w:autoSpaceDE/>
        <w:autoSpaceDN/>
        <w:bidi w:val="0"/>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rPr>
        <w:t>（一）目标</w:t>
      </w:r>
    </w:p>
    <w:p>
      <w:pPr>
        <w:keepNext w:val="0"/>
        <w:keepLines w:val="0"/>
        <w:pageBreakBefore w:val="0"/>
        <w:kinsoku/>
        <w:wordWrap/>
        <w:overflowPunct/>
        <w:topLinePunct w:val="0"/>
        <w:autoSpaceDE/>
        <w:autoSpaceDN/>
        <w:bidi w:val="0"/>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rPr>
        <w:t>以孕灾主控地质条件和地质灾害隐患判识为主开展</w:t>
      </w:r>
      <w:r>
        <w:rPr>
          <w:rStyle w:val="73"/>
          <w:rFonts w:hint="eastAsia" w:ascii="仿宋" w:hAnsi="仿宋" w:eastAsia="仿宋" w:cs="仿宋"/>
          <w:color w:val="auto"/>
          <w:sz w:val="24"/>
          <w:szCs w:val="24"/>
          <w:lang w:eastAsia="zh-CN"/>
        </w:rPr>
        <w:t>乌恰县</w:t>
      </w:r>
      <w:r>
        <w:rPr>
          <w:rStyle w:val="73"/>
          <w:rFonts w:hint="eastAsia" w:ascii="仿宋" w:hAnsi="仿宋" w:eastAsia="仿宋" w:cs="仿宋"/>
          <w:color w:val="auto"/>
          <w:sz w:val="24"/>
          <w:szCs w:val="24"/>
        </w:rPr>
        <w:t>地质灾害风险调查评价，深化地质灾害早期识别、形成机理和规律认识，总结成灾模式，开展不同层次地质灾害风险区划，提出综合防治对策建议，为地质灾害防治管理提供基础依据。</w:t>
      </w:r>
    </w:p>
    <w:p>
      <w:pPr>
        <w:keepNext w:val="0"/>
        <w:keepLines w:val="0"/>
        <w:pageBreakBefore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color w:val="auto"/>
          <w:sz w:val="24"/>
          <w:szCs w:val="24"/>
        </w:rPr>
      </w:pPr>
      <w:r>
        <w:rPr>
          <w:rStyle w:val="73"/>
          <w:rFonts w:hint="eastAsia" w:ascii="仿宋" w:hAnsi="仿宋" w:eastAsia="仿宋" w:cs="仿宋"/>
          <w:color w:val="auto"/>
          <w:sz w:val="24"/>
          <w:szCs w:val="24"/>
        </w:rPr>
        <w:t>（二）任务</w:t>
      </w:r>
    </w:p>
    <w:p>
      <w:pPr>
        <w:keepNext w:val="0"/>
        <w:keepLines w:val="0"/>
        <w:pageBreakBefore w:val="0"/>
        <w:kinsoku/>
        <w:wordWrap/>
        <w:overflowPunct/>
        <w:topLinePunct w:val="0"/>
        <w:autoSpaceDE/>
        <w:autoSpaceDN/>
        <w:bidi w:val="0"/>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rPr>
        <w:t>1.开展地质灾害与孕灾地质条件、承灾体调查，判识地质灾害隐患，总结调查区地质灾害发育分布规律，分析地质灾害成灾模式。</w:t>
      </w:r>
    </w:p>
    <w:p>
      <w:pPr>
        <w:keepNext w:val="0"/>
        <w:keepLines w:val="0"/>
        <w:pageBreakBefore w:val="0"/>
        <w:kinsoku/>
        <w:wordWrap/>
        <w:overflowPunct/>
        <w:topLinePunct w:val="0"/>
        <w:autoSpaceDE/>
        <w:autoSpaceDN/>
        <w:bidi w:val="0"/>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rPr>
        <w:t>2.开展地质灾害易发性、危险性和风险评价，编制地质灾害风险调查评价相关图件。</w:t>
      </w:r>
    </w:p>
    <w:p>
      <w:pPr>
        <w:keepNext w:val="0"/>
        <w:keepLines w:val="0"/>
        <w:pageBreakBefore w:val="0"/>
        <w:kinsoku/>
        <w:wordWrap/>
        <w:overflowPunct/>
        <w:topLinePunct w:val="0"/>
        <w:autoSpaceDE/>
        <w:autoSpaceDN/>
        <w:bidi w:val="0"/>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rPr>
        <w:t>3.建立地质灾害风险调查空间数据库。</w:t>
      </w:r>
    </w:p>
    <w:p>
      <w:pPr>
        <w:keepNext w:val="0"/>
        <w:keepLines w:val="0"/>
        <w:pageBreakBefore w:val="0"/>
        <w:kinsoku/>
        <w:wordWrap/>
        <w:overflowPunct/>
        <w:topLinePunct w:val="0"/>
        <w:autoSpaceDE/>
        <w:autoSpaceDN/>
        <w:bidi w:val="0"/>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rPr>
        <w:t>4.提出地质灾害风险管控对策建议，为防灾减灾管理、国土空间规划和用途管制等提供基础依据</w:t>
      </w:r>
    </w:p>
    <w:p>
      <w:pPr>
        <w:keepNext w:val="0"/>
        <w:keepLines w:val="0"/>
        <w:pageBreakBefore w:val="0"/>
        <w:kinsoku/>
        <w:wordWrap/>
        <w:overflowPunct/>
        <w:topLinePunct w:val="0"/>
        <w:autoSpaceDE/>
        <w:autoSpaceDN/>
        <w:bidi w:val="0"/>
        <w:spacing w:line="560" w:lineRule="exact"/>
        <w:ind w:firstLine="480" w:firstLineChars="200"/>
        <w:textAlignment w:val="auto"/>
        <w:outlineLvl w:val="1"/>
        <w:rPr>
          <w:rStyle w:val="73"/>
          <w:rFonts w:hint="eastAsia" w:ascii="仿宋" w:hAnsi="仿宋" w:eastAsia="仿宋" w:cs="仿宋"/>
          <w:color w:val="auto"/>
          <w:sz w:val="24"/>
          <w:szCs w:val="24"/>
        </w:rPr>
      </w:pPr>
      <w:bookmarkStart w:id="309" w:name="_Toc5642"/>
      <w:r>
        <w:rPr>
          <w:rStyle w:val="73"/>
          <w:rFonts w:hint="eastAsia" w:ascii="仿宋" w:hAnsi="仿宋" w:eastAsia="仿宋" w:cs="仿宋"/>
          <w:color w:val="auto"/>
          <w:sz w:val="24"/>
          <w:szCs w:val="24"/>
        </w:rPr>
        <w:t>六、工作方法和技术要求</w:t>
      </w:r>
      <w:bookmarkEnd w:id="309"/>
    </w:p>
    <w:p>
      <w:pPr>
        <w:keepNext w:val="0"/>
        <w:keepLines w:val="0"/>
        <w:pageBreakBefore w:val="0"/>
        <w:kinsoku/>
        <w:wordWrap/>
        <w:overflowPunct/>
        <w:topLinePunct w:val="0"/>
        <w:autoSpaceDE/>
        <w:autoSpaceDN/>
        <w:bidi w:val="0"/>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rPr>
        <w:t>（一）工作方法</w:t>
      </w:r>
    </w:p>
    <w:p>
      <w:pPr>
        <w:keepNext w:val="0"/>
        <w:keepLines w:val="0"/>
        <w:pageBreakBefore w:val="0"/>
        <w:kinsoku/>
        <w:wordWrap/>
        <w:overflowPunct/>
        <w:topLinePunct w:val="0"/>
        <w:autoSpaceDE/>
        <w:autoSpaceDN/>
        <w:bidi w:val="0"/>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rPr>
        <w:t>分析研究</w:t>
      </w:r>
      <w:r>
        <w:rPr>
          <w:rStyle w:val="73"/>
          <w:rFonts w:hint="eastAsia" w:ascii="仿宋" w:hAnsi="仿宋" w:eastAsia="仿宋" w:cs="仿宋"/>
          <w:color w:val="auto"/>
          <w:sz w:val="24"/>
          <w:szCs w:val="24"/>
          <w:lang w:val="en-US" w:eastAsia="zh-CN"/>
        </w:rPr>
        <w:t>以往工作</w:t>
      </w:r>
      <w:r>
        <w:rPr>
          <w:rStyle w:val="73"/>
          <w:rFonts w:hint="eastAsia" w:ascii="仿宋" w:hAnsi="仿宋" w:eastAsia="仿宋" w:cs="仿宋"/>
          <w:color w:val="auto"/>
          <w:sz w:val="24"/>
          <w:szCs w:val="24"/>
        </w:rPr>
        <w:t>成果，收集当地地质灾害勘查、防治工程和重大工程勘查成果，开展遥感解译工作，进行孕灾地质条件调查、承灾体调查，核查调查地质灾害及其隐患，辅以工程地质钻探、地球物理勘探、山地工程、工程地质测绘等，加强高分辨率光学影像、无人机遥感、合成孔径雷达干涉测量（InSAR）、激光雷达测量（LiDAR）、地球物理勘探等技术方法综合应用。对典型地质灾害及其隐患进行测绘与勘查，开展室内综合研究。</w:t>
      </w:r>
    </w:p>
    <w:p>
      <w:pPr>
        <w:keepNext w:val="0"/>
        <w:keepLines w:val="0"/>
        <w:pageBreakBefore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color w:val="auto"/>
          <w:sz w:val="24"/>
          <w:szCs w:val="24"/>
        </w:rPr>
      </w:pPr>
      <w:r>
        <w:rPr>
          <w:rStyle w:val="73"/>
          <w:rFonts w:hint="eastAsia" w:ascii="仿宋" w:hAnsi="仿宋" w:eastAsia="仿宋" w:cs="仿宋"/>
          <w:color w:val="auto"/>
          <w:sz w:val="24"/>
          <w:szCs w:val="24"/>
        </w:rPr>
        <w:t>（二）技术要求</w:t>
      </w:r>
    </w:p>
    <w:p>
      <w:pPr>
        <w:keepNext w:val="0"/>
        <w:keepLines w:val="0"/>
        <w:pageBreakBefore w:val="0"/>
        <w:kinsoku/>
        <w:wordWrap/>
        <w:overflowPunct/>
        <w:topLinePunct w:val="0"/>
        <w:autoSpaceDE/>
        <w:autoSpaceDN/>
        <w:bidi w:val="0"/>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rPr>
        <w:t>主要执行的技术规范、技术要求和依据主要有：</w:t>
      </w:r>
    </w:p>
    <w:p>
      <w:pPr>
        <w:keepNext w:val="0"/>
        <w:keepLines w:val="0"/>
        <w:pageBreakBefore w:val="0"/>
        <w:kinsoku/>
        <w:wordWrap/>
        <w:overflowPunct/>
        <w:topLinePunct w:val="0"/>
        <w:autoSpaceDE/>
        <w:autoSpaceDN/>
        <w:bidi w:val="0"/>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rPr>
        <w:t>1.《地质灾害风险调查评价技术要求（1:50000）》；</w:t>
      </w:r>
    </w:p>
    <w:p>
      <w:pPr>
        <w:keepNext w:val="0"/>
        <w:keepLines w:val="0"/>
        <w:pageBreakBefore w:val="0"/>
        <w:kinsoku/>
        <w:wordWrap/>
        <w:overflowPunct/>
        <w:topLinePunct w:val="0"/>
        <w:autoSpaceDE/>
        <w:autoSpaceDN/>
        <w:bidi w:val="0"/>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rPr>
        <w:t>2.《地质灾害风险调查评价编图技术要求（试行）》；</w:t>
      </w:r>
    </w:p>
    <w:p>
      <w:pPr>
        <w:keepNext w:val="0"/>
        <w:keepLines w:val="0"/>
        <w:pageBreakBefore w:val="0"/>
        <w:kinsoku/>
        <w:wordWrap/>
        <w:overflowPunct/>
        <w:topLinePunct w:val="0"/>
        <w:autoSpaceDE/>
        <w:autoSpaceDN/>
        <w:bidi w:val="0"/>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rPr>
        <w:t>3.《地质灾害风险调查评价成果信息化技术要求（试行）》；</w:t>
      </w:r>
    </w:p>
    <w:p>
      <w:pPr>
        <w:keepNext w:val="0"/>
        <w:keepLines w:val="0"/>
        <w:pageBreakBefore w:val="0"/>
        <w:kinsoku/>
        <w:wordWrap/>
        <w:overflowPunct/>
        <w:topLinePunct w:val="0"/>
        <w:autoSpaceDE/>
        <w:autoSpaceDN/>
        <w:bidi w:val="0"/>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lang w:val="en-US" w:eastAsia="zh-CN"/>
        </w:rPr>
        <w:t>4</w:t>
      </w:r>
      <w:r>
        <w:rPr>
          <w:rStyle w:val="73"/>
          <w:rFonts w:hint="eastAsia" w:ascii="仿宋" w:hAnsi="仿宋" w:eastAsia="仿宋" w:cs="仿宋"/>
          <w:color w:val="auto"/>
          <w:sz w:val="24"/>
          <w:szCs w:val="24"/>
        </w:rPr>
        <w:t>.GB50021—2001（2009年版）岩土工程勘察规范；</w:t>
      </w:r>
    </w:p>
    <w:p>
      <w:pPr>
        <w:keepNext w:val="0"/>
        <w:keepLines w:val="0"/>
        <w:pageBreakBefore w:val="0"/>
        <w:kinsoku/>
        <w:wordWrap/>
        <w:overflowPunct/>
        <w:topLinePunct w:val="0"/>
        <w:autoSpaceDE/>
        <w:autoSpaceDN/>
        <w:bidi w:val="0"/>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lang w:val="en-US" w:eastAsia="zh-CN"/>
        </w:rPr>
        <w:t>5</w:t>
      </w:r>
      <w:r>
        <w:rPr>
          <w:rStyle w:val="73"/>
          <w:rFonts w:hint="eastAsia" w:ascii="仿宋" w:hAnsi="仿宋" w:eastAsia="仿宋" w:cs="仿宋"/>
          <w:color w:val="auto"/>
          <w:sz w:val="24"/>
          <w:szCs w:val="24"/>
        </w:rPr>
        <w:t>.《中国地震动参数区划图》（GB18306-2015）；</w:t>
      </w:r>
    </w:p>
    <w:p>
      <w:pPr>
        <w:keepNext w:val="0"/>
        <w:keepLines w:val="0"/>
        <w:pageBreakBefore w:val="0"/>
        <w:kinsoku/>
        <w:wordWrap/>
        <w:overflowPunct/>
        <w:topLinePunct w:val="0"/>
        <w:autoSpaceDE/>
        <w:autoSpaceDN/>
        <w:bidi w:val="0"/>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lang w:val="en-US" w:eastAsia="zh-CN"/>
        </w:rPr>
        <w:t>6</w:t>
      </w:r>
      <w:r>
        <w:rPr>
          <w:rStyle w:val="73"/>
          <w:rFonts w:hint="eastAsia" w:ascii="仿宋" w:hAnsi="仿宋" w:eastAsia="仿宋" w:cs="仿宋"/>
          <w:color w:val="auto"/>
          <w:sz w:val="24"/>
          <w:szCs w:val="24"/>
        </w:rPr>
        <w:t>.《遥感地质解译方法指南（1:50000、1:250000）》（DD2011-03）；</w:t>
      </w:r>
    </w:p>
    <w:p>
      <w:pPr>
        <w:keepNext w:val="0"/>
        <w:keepLines w:val="0"/>
        <w:pageBreakBefore w:val="0"/>
        <w:kinsoku/>
        <w:wordWrap/>
        <w:overflowPunct/>
        <w:topLinePunct w:val="0"/>
        <w:autoSpaceDE/>
        <w:autoSpaceDN/>
        <w:bidi w:val="0"/>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lang w:val="en-US" w:eastAsia="zh-CN"/>
        </w:rPr>
        <w:t>7</w:t>
      </w:r>
      <w:r>
        <w:rPr>
          <w:rStyle w:val="73"/>
          <w:rFonts w:hint="eastAsia" w:ascii="仿宋" w:hAnsi="仿宋" w:eastAsia="仿宋" w:cs="仿宋"/>
          <w:color w:val="auto"/>
          <w:sz w:val="24"/>
          <w:szCs w:val="24"/>
        </w:rPr>
        <w:t>.《地质灾害遥感调查技术规定》（DD2015-01）；</w:t>
      </w:r>
    </w:p>
    <w:p>
      <w:pPr>
        <w:keepNext w:val="0"/>
        <w:keepLines w:val="0"/>
        <w:pageBreakBefore w:val="0"/>
        <w:kinsoku/>
        <w:wordWrap/>
        <w:overflowPunct/>
        <w:topLinePunct w:val="0"/>
        <w:autoSpaceDE/>
        <w:autoSpaceDN/>
        <w:bidi w:val="0"/>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lang w:val="en-US" w:eastAsia="zh-CN"/>
        </w:rPr>
        <w:t>8</w:t>
      </w:r>
      <w:r>
        <w:rPr>
          <w:rStyle w:val="73"/>
          <w:rFonts w:hint="eastAsia" w:ascii="仿宋" w:hAnsi="仿宋" w:eastAsia="仿宋" w:cs="仿宋"/>
          <w:color w:val="auto"/>
          <w:sz w:val="24"/>
          <w:szCs w:val="24"/>
        </w:rPr>
        <w:t>.《倾斜数字航空摄影技术规程》（GB/T 39610-2020）；</w:t>
      </w:r>
    </w:p>
    <w:p>
      <w:pPr>
        <w:keepNext w:val="0"/>
        <w:keepLines w:val="0"/>
        <w:pageBreakBefore w:val="0"/>
        <w:kinsoku/>
        <w:wordWrap/>
        <w:overflowPunct/>
        <w:topLinePunct w:val="0"/>
        <w:autoSpaceDE/>
        <w:autoSpaceDN/>
        <w:bidi w:val="0"/>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lang w:val="en-US" w:eastAsia="zh-CN"/>
        </w:rPr>
        <w:t>9</w:t>
      </w:r>
      <w:r>
        <w:rPr>
          <w:rStyle w:val="73"/>
          <w:rFonts w:hint="eastAsia" w:ascii="仿宋" w:hAnsi="仿宋" w:eastAsia="仿宋" w:cs="仿宋"/>
          <w:color w:val="auto"/>
          <w:sz w:val="24"/>
          <w:szCs w:val="24"/>
        </w:rPr>
        <w:t>.《地质调查项目预算标准（2021）》；</w:t>
      </w:r>
    </w:p>
    <w:p>
      <w:pPr>
        <w:keepNext w:val="0"/>
        <w:keepLines w:val="0"/>
        <w:pageBreakBefore w:val="0"/>
        <w:kinsoku/>
        <w:wordWrap/>
        <w:overflowPunct/>
        <w:topLinePunct w:val="0"/>
        <w:autoSpaceDE/>
        <w:autoSpaceDN/>
        <w:bidi w:val="0"/>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lang w:val="en-US" w:eastAsia="zh-CN"/>
        </w:rPr>
        <w:t>10</w:t>
      </w:r>
      <w:r>
        <w:rPr>
          <w:rStyle w:val="73"/>
          <w:rFonts w:hint="eastAsia" w:ascii="仿宋" w:hAnsi="仿宋" w:eastAsia="仿宋" w:cs="仿宋"/>
          <w:color w:val="auto"/>
          <w:sz w:val="24"/>
          <w:szCs w:val="24"/>
        </w:rPr>
        <w:t>.《地质资料汇交规范》（DZ/T0273）。</w:t>
      </w:r>
    </w:p>
    <w:p>
      <w:pPr>
        <w:keepNext w:val="0"/>
        <w:keepLines w:val="0"/>
        <w:pageBreakBefore w:val="0"/>
        <w:kinsoku/>
        <w:wordWrap/>
        <w:overflowPunct/>
        <w:topLinePunct w:val="0"/>
        <w:autoSpaceDE/>
        <w:autoSpaceDN/>
        <w:bidi w:val="0"/>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lang w:val="en-US" w:eastAsia="zh-CN"/>
        </w:rPr>
        <w:t>及其它相关技术规范要求，</w:t>
      </w:r>
      <w:r>
        <w:rPr>
          <w:rStyle w:val="73"/>
          <w:rFonts w:hint="eastAsia" w:ascii="仿宋" w:hAnsi="仿宋" w:eastAsia="仿宋" w:cs="仿宋"/>
          <w:color w:val="auto"/>
          <w:sz w:val="24"/>
          <w:szCs w:val="24"/>
        </w:rPr>
        <w:t>执行的技术和规范应以项目实施时现行</w:t>
      </w:r>
      <w:r>
        <w:rPr>
          <w:rStyle w:val="73"/>
          <w:rFonts w:hint="eastAsia" w:ascii="仿宋" w:hAnsi="仿宋" w:eastAsia="仿宋" w:cs="仿宋"/>
          <w:color w:val="auto"/>
          <w:sz w:val="24"/>
          <w:szCs w:val="24"/>
          <w:lang w:val="en-US" w:eastAsia="zh-CN"/>
        </w:rPr>
        <w:t>最新技术</w:t>
      </w:r>
      <w:r>
        <w:rPr>
          <w:rStyle w:val="73"/>
          <w:rFonts w:hint="eastAsia" w:ascii="仿宋" w:hAnsi="仿宋" w:eastAsia="仿宋" w:cs="仿宋"/>
          <w:color w:val="auto"/>
          <w:sz w:val="24"/>
          <w:szCs w:val="24"/>
        </w:rPr>
        <w:t>标准和规范为准。</w:t>
      </w:r>
    </w:p>
    <w:p>
      <w:pPr>
        <w:keepNext w:val="0"/>
        <w:keepLines w:val="0"/>
        <w:pageBreakBefore w:val="0"/>
        <w:kinsoku/>
        <w:wordWrap/>
        <w:overflowPunct/>
        <w:topLinePunct w:val="0"/>
        <w:autoSpaceDE/>
        <w:autoSpaceDN/>
        <w:bidi w:val="0"/>
        <w:spacing w:line="560" w:lineRule="exact"/>
        <w:ind w:firstLine="480" w:firstLineChars="200"/>
        <w:textAlignment w:val="auto"/>
        <w:outlineLvl w:val="1"/>
        <w:rPr>
          <w:rStyle w:val="73"/>
          <w:rFonts w:hint="eastAsia" w:ascii="仿宋" w:hAnsi="仿宋" w:eastAsia="仿宋" w:cs="仿宋"/>
          <w:color w:val="auto"/>
          <w:sz w:val="24"/>
          <w:szCs w:val="24"/>
        </w:rPr>
      </w:pPr>
      <w:bookmarkStart w:id="310" w:name="_Toc21345"/>
      <w:r>
        <w:rPr>
          <w:rStyle w:val="73"/>
          <w:rFonts w:hint="eastAsia" w:ascii="仿宋" w:hAnsi="仿宋" w:eastAsia="仿宋" w:cs="仿宋"/>
          <w:color w:val="auto"/>
          <w:sz w:val="24"/>
          <w:szCs w:val="24"/>
        </w:rPr>
        <w:t>七、主要实物工作量</w:t>
      </w:r>
      <w:bookmarkEnd w:id="310"/>
    </w:p>
    <w:p>
      <w:pPr>
        <w:keepNext w:val="0"/>
        <w:keepLines w:val="0"/>
        <w:pageBreakBefore w:val="0"/>
        <w:widowControl w:val="0"/>
        <w:kinsoku/>
        <w:wordWrap/>
        <w:overflowPunct/>
        <w:topLinePunct w:val="0"/>
        <w:autoSpaceDE/>
        <w:autoSpaceDN/>
        <w:bidi w:val="0"/>
        <w:snapToGrid/>
        <w:spacing w:line="560" w:lineRule="exact"/>
        <w:ind w:firstLine="480" w:firstLineChars="200"/>
        <w:textAlignment w:val="auto"/>
        <w:outlineLvl w:val="9"/>
        <w:rPr>
          <w:rFonts w:hint="eastAsia" w:ascii="仿宋" w:hAnsi="仿宋" w:eastAsia="仿宋" w:cs="仿宋"/>
          <w:color w:val="auto"/>
          <w:sz w:val="24"/>
          <w:szCs w:val="24"/>
        </w:rPr>
      </w:pPr>
      <w:r>
        <w:rPr>
          <w:rStyle w:val="73"/>
          <w:rFonts w:hint="eastAsia" w:ascii="仿宋" w:hAnsi="仿宋" w:eastAsia="仿宋" w:cs="仿宋"/>
          <w:color w:val="auto"/>
          <w:sz w:val="24"/>
          <w:szCs w:val="24"/>
        </w:rPr>
        <w:t>开展全域遥感解译工作，根据工作需要合理布置工程地质钻探、地球物理勘探、山地工程、工程地质测绘等，加强高分辨率光学影像、无人机遥感、合成孔径雷达干涉测量（InSAR）、激光雷达测量（LiDAR）、地球物理勘探等工作量，其中钻探、实测剖面、岩土样品满足规范要求，开展地质灾害防治知识培训和重要地质灾害隐患点防治演练工作。最终实物工作量以设计批复工作量为准。</w:t>
      </w:r>
    </w:p>
    <w:p>
      <w:pPr>
        <w:keepNext w:val="0"/>
        <w:keepLines w:val="0"/>
        <w:pageBreakBefore w:val="0"/>
        <w:kinsoku/>
        <w:wordWrap/>
        <w:overflowPunct/>
        <w:topLinePunct w:val="0"/>
        <w:autoSpaceDE/>
        <w:autoSpaceDN/>
        <w:bidi w:val="0"/>
        <w:spacing w:line="560" w:lineRule="exact"/>
        <w:ind w:firstLine="480" w:firstLineChars="200"/>
        <w:textAlignment w:val="auto"/>
        <w:outlineLvl w:val="1"/>
        <w:rPr>
          <w:rStyle w:val="73"/>
          <w:rFonts w:hint="eastAsia" w:ascii="仿宋" w:hAnsi="仿宋" w:eastAsia="仿宋" w:cs="仿宋"/>
          <w:color w:val="auto"/>
          <w:sz w:val="24"/>
          <w:szCs w:val="24"/>
        </w:rPr>
      </w:pPr>
      <w:bookmarkStart w:id="311" w:name="_Toc27618"/>
      <w:r>
        <w:rPr>
          <w:rStyle w:val="73"/>
          <w:rFonts w:hint="eastAsia" w:ascii="仿宋" w:hAnsi="仿宋" w:eastAsia="仿宋" w:cs="仿宋"/>
          <w:color w:val="auto"/>
          <w:sz w:val="24"/>
          <w:szCs w:val="24"/>
        </w:rPr>
        <w:t>八、预期提交成果</w:t>
      </w:r>
      <w:bookmarkEnd w:id="311"/>
    </w:p>
    <w:p>
      <w:pPr>
        <w:keepNext w:val="0"/>
        <w:keepLines w:val="0"/>
        <w:pageBreakBefore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color w:val="auto"/>
          <w:sz w:val="24"/>
          <w:szCs w:val="24"/>
        </w:rPr>
      </w:pPr>
      <w:r>
        <w:rPr>
          <w:rStyle w:val="73"/>
          <w:rFonts w:hint="eastAsia" w:ascii="仿宋" w:hAnsi="仿宋" w:eastAsia="仿宋" w:cs="仿宋"/>
          <w:color w:val="auto"/>
          <w:sz w:val="24"/>
          <w:szCs w:val="24"/>
        </w:rPr>
        <w:t>（一）原始资料</w:t>
      </w:r>
    </w:p>
    <w:p>
      <w:pPr>
        <w:keepNext w:val="0"/>
        <w:keepLines w:val="0"/>
        <w:pageBreakBefore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color w:val="auto"/>
          <w:sz w:val="24"/>
          <w:szCs w:val="24"/>
        </w:rPr>
      </w:pPr>
      <w:r>
        <w:rPr>
          <w:rStyle w:val="73"/>
          <w:rFonts w:hint="eastAsia" w:ascii="仿宋" w:hAnsi="仿宋" w:eastAsia="仿宋" w:cs="仿宋"/>
          <w:color w:val="auto"/>
          <w:sz w:val="24"/>
          <w:szCs w:val="24"/>
        </w:rPr>
        <w:t>1.野外调查手图、遥感解译及验证成果分布图、实际材料图、工程地质条件图；</w:t>
      </w:r>
    </w:p>
    <w:p>
      <w:pPr>
        <w:keepNext w:val="0"/>
        <w:keepLines w:val="0"/>
        <w:pageBreakBefore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color w:val="auto"/>
          <w:sz w:val="24"/>
          <w:szCs w:val="24"/>
        </w:rPr>
      </w:pPr>
      <w:r>
        <w:rPr>
          <w:rStyle w:val="73"/>
          <w:rFonts w:hint="eastAsia" w:ascii="仿宋" w:hAnsi="仿宋" w:eastAsia="仿宋" w:cs="仿宋"/>
          <w:color w:val="auto"/>
          <w:sz w:val="24"/>
          <w:szCs w:val="24"/>
        </w:rPr>
        <w:t>2.各类原始记录卡片</w:t>
      </w:r>
    </w:p>
    <w:p>
      <w:pPr>
        <w:keepNext w:val="0"/>
        <w:keepLines w:val="0"/>
        <w:pageBreakBefore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color w:val="auto"/>
          <w:sz w:val="24"/>
          <w:szCs w:val="24"/>
        </w:rPr>
      </w:pPr>
      <w:r>
        <w:rPr>
          <w:rStyle w:val="73"/>
          <w:rFonts w:hint="eastAsia" w:ascii="仿宋" w:hAnsi="仿宋" w:eastAsia="仿宋" w:cs="仿宋"/>
          <w:color w:val="auto"/>
          <w:sz w:val="24"/>
          <w:szCs w:val="24"/>
        </w:rPr>
        <w:t>3.野外照(摄)像等影像资料；</w:t>
      </w:r>
    </w:p>
    <w:p>
      <w:pPr>
        <w:keepNext w:val="0"/>
        <w:keepLines w:val="0"/>
        <w:pageBreakBefore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color w:val="auto"/>
          <w:sz w:val="24"/>
          <w:szCs w:val="24"/>
        </w:rPr>
      </w:pPr>
      <w:r>
        <w:rPr>
          <w:rStyle w:val="73"/>
          <w:rFonts w:hint="eastAsia" w:ascii="仿宋" w:hAnsi="仿宋" w:eastAsia="仿宋" w:cs="仿宋"/>
          <w:color w:val="auto"/>
          <w:sz w:val="24"/>
          <w:szCs w:val="24"/>
        </w:rPr>
        <w:t>4.测试与试验资料；</w:t>
      </w:r>
    </w:p>
    <w:p>
      <w:pPr>
        <w:keepNext w:val="0"/>
        <w:keepLines w:val="0"/>
        <w:pageBreakBefore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color w:val="auto"/>
          <w:sz w:val="24"/>
          <w:szCs w:val="24"/>
        </w:rPr>
      </w:pPr>
      <w:r>
        <w:rPr>
          <w:rStyle w:val="73"/>
          <w:rFonts w:hint="eastAsia" w:ascii="仿宋" w:hAnsi="仿宋" w:eastAsia="仿宋" w:cs="仿宋"/>
          <w:color w:val="auto"/>
          <w:sz w:val="24"/>
          <w:szCs w:val="24"/>
        </w:rPr>
        <w:t>5.重要、典型地质灾害的工程地质剖面图、探井展示图，物探剖面图，槽探剖面图、低空遥感影像图、稳定性计算参数及计算结果表等。</w:t>
      </w:r>
    </w:p>
    <w:p>
      <w:pPr>
        <w:keepNext w:val="0"/>
        <w:keepLines w:val="0"/>
        <w:pageBreakBefore w:val="0"/>
        <w:kinsoku/>
        <w:wordWrap/>
        <w:overflowPunct/>
        <w:topLinePunct w:val="0"/>
        <w:autoSpaceDE/>
        <w:autoSpaceDN/>
        <w:bidi w:val="0"/>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rPr>
        <w:t>（二）成果资料</w:t>
      </w:r>
    </w:p>
    <w:p>
      <w:pPr>
        <w:keepNext w:val="0"/>
        <w:keepLines w:val="0"/>
        <w:pageBreakBefore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color w:val="auto"/>
          <w:sz w:val="24"/>
          <w:szCs w:val="24"/>
        </w:rPr>
      </w:pPr>
      <w:r>
        <w:rPr>
          <w:rStyle w:val="73"/>
          <w:rFonts w:hint="eastAsia" w:ascii="仿宋" w:hAnsi="仿宋" w:eastAsia="仿宋" w:cs="仿宋"/>
          <w:color w:val="auto"/>
          <w:sz w:val="24"/>
          <w:szCs w:val="24"/>
        </w:rPr>
        <w:t>1.报告</w:t>
      </w:r>
    </w:p>
    <w:p>
      <w:pPr>
        <w:keepNext w:val="0"/>
        <w:keepLines w:val="0"/>
        <w:pageBreakBefore w:val="0"/>
        <w:kinsoku/>
        <w:wordWrap/>
        <w:overflowPunct/>
        <w:topLinePunct w:val="0"/>
        <w:autoSpaceDE/>
        <w:autoSpaceDN/>
        <w:bidi w:val="0"/>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lang w:eastAsia="zh-CN"/>
        </w:rPr>
        <w:t xml:space="preserve"> 新疆乌恰县地质灾害风险调查评价</w:t>
      </w:r>
      <w:r>
        <w:rPr>
          <w:rStyle w:val="73"/>
          <w:rFonts w:hint="eastAsia" w:ascii="仿宋" w:hAnsi="仿宋" w:eastAsia="仿宋" w:cs="仿宋"/>
          <w:color w:val="auto"/>
          <w:sz w:val="24"/>
          <w:szCs w:val="24"/>
        </w:rPr>
        <w:t>报告。</w:t>
      </w:r>
    </w:p>
    <w:p>
      <w:pPr>
        <w:keepNext w:val="0"/>
        <w:keepLines w:val="0"/>
        <w:pageBreakBefore w:val="0"/>
        <w:kinsoku/>
        <w:wordWrap/>
        <w:overflowPunct/>
        <w:topLinePunct w:val="0"/>
        <w:autoSpaceDE/>
        <w:autoSpaceDN/>
        <w:bidi w:val="0"/>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rPr>
        <w:t>2.附图</w:t>
      </w:r>
    </w:p>
    <w:p>
      <w:pPr>
        <w:keepNext w:val="0"/>
        <w:keepLines w:val="0"/>
        <w:pageBreakBefore w:val="0"/>
        <w:kinsoku/>
        <w:wordWrap/>
        <w:overflowPunct/>
        <w:topLinePunct w:val="0"/>
        <w:autoSpaceDE/>
        <w:autoSpaceDN/>
        <w:bidi w:val="0"/>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rPr>
        <w:t>主要包括基础性图件、应用性图件和其他图件。</w:t>
      </w:r>
    </w:p>
    <w:p>
      <w:pPr>
        <w:keepNext w:val="0"/>
        <w:keepLines w:val="0"/>
        <w:pageBreakBefore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color w:val="auto"/>
          <w:sz w:val="24"/>
          <w:szCs w:val="24"/>
        </w:rPr>
      </w:pPr>
      <w:r>
        <w:rPr>
          <w:rStyle w:val="73"/>
          <w:rFonts w:hint="eastAsia" w:ascii="仿宋" w:hAnsi="仿宋" w:eastAsia="仿宋" w:cs="仿宋"/>
          <w:color w:val="auto"/>
          <w:sz w:val="24"/>
          <w:szCs w:val="24"/>
        </w:rPr>
        <w:t>3.附件</w:t>
      </w:r>
    </w:p>
    <w:p>
      <w:pPr>
        <w:keepNext w:val="0"/>
        <w:keepLines w:val="0"/>
        <w:pageBreakBefore w:val="0"/>
        <w:kinsoku/>
        <w:wordWrap/>
        <w:overflowPunct/>
        <w:topLinePunct w:val="0"/>
        <w:autoSpaceDE/>
        <w:autoSpaceDN/>
        <w:bidi w:val="0"/>
        <w:spacing w:line="560" w:lineRule="exact"/>
        <w:ind w:firstLine="480" w:firstLineChars="200"/>
        <w:textAlignment w:val="auto"/>
        <w:outlineLvl w:val="9"/>
        <w:rPr>
          <w:rStyle w:val="73"/>
          <w:rFonts w:hint="eastAsia" w:ascii="仿宋" w:hAnsi="仿宋" w:eastAsia="仿宋" w:cs="仿宋"/>
          <w:color w:val="auto"/>
          <w:sz w:val="24"/>
          <w:szCs w:val="24"/>
        </w:rPr>
      </w:pPr>
      <w:r>
        <w:rPr>
          <w:rStyle w:val="73"/>
          <w:rFonts w:hint="eastAsia" w:ascii="仿宋" w:hAnsi="仿宋" w:eastAsia="仿宋" w:cs="仿宋"/>
          <w:color w:val="auto"/>
          <w:sz w:val="24"/>
          <w:szCs w:val="24"/>
        </w:rPr>
        <w:t>附件主要包括：数据库建库报告；地质灾害风险调查数据库；照片集；专题报告；地质灾害勘查报告及图件。</w:t>
      </w:r>
    </w:p>
    <w:p>
      <w:pPr>
        <w:keepNext w:val="0"/>
        <w:keepLines w:val="0"/>
        <w:pageBreakBefore w:val="0"/>
        <w:kinsoku/>
        <w:wordWrap/>
        <w:overflowPunct/>
        <w:topLinePunct w:val="0"/>
        <w:autoSpaceDE/>
        <w:autoSpaceDN/>
        <w:bidi w:val="0"/>
        <w:spacing w:line="560" w:lineRule="exact"/>
        <w:ind w:firstLine="480" w:firstLineChars="200"/>
        <w:textAlignment w:val="auto"/>
        <w:outlineLvl w:val="9"/>
        <w:rPr>
          <w:rStyle w:val="73"/>
          <w:rFonts w:hint="eastAsia" w:ascii="仿宋" w:hAnsi="仿宋" w:eastAsia="仿宋" w:cs="仿宋"/>
          <w:color w:val="auto"/>
          <w:sz w:val="24"/>
          <w:szCs w:val="24"/>
          <w:lang w:val="en-US" w:eastAsia="zh-CN"/>
        </w:rPr>
      </w:pPr>
      <w:r>
        <w:rPr>
          <w:rStyle w:val="73"/>
          <w:rFonts w:hint="eastAsia" w:ascii="仿宋" w:hAnsi="仿宋" w:eastAsia="仿宋" w:cs="仿宋"/>
          <w:color w:val="auto"/>
          <w:sz w:val="24"/>
          <w:szCs w:val="24"/>
          <w:lang w:val="en-US" w:eastAsia="zh-CN"/>
        </w:rPr>
        <w:t>具体</w:t>
      </w:r>
      <w:r>
        <w:rPr>
          <w:rStyle w:val="73"/>
          <w:rFonts w:hint="eastAsia" w:ascii="仿宋" w:hAnsi="仿宋" w:eastAsia="仿宋" w:cs="仿宋"/>
          <w:color w:val="auto"/>
          <w:sz w:val="24"/>
          <w:szCs w:val="24"/>
        </w:rPr>
        <w:t>详见《地质灾害风险调查评价技术要求（1:50000）》</w:t>
      </w:r>
      <w:r>
        <w:rPr>
          <w:rStyle w:val="73"/>
          <w:rFonts w:hint="eastAsia" w:ascii="仿宋" w:hAnsi="仿宋" w:eastAsia="仿宋" w:cs="仿宋"/>
          <w:color w:val="auto"/>
          <w:sz w:val="24"/>
          <w:szCs w:val="24"/>
          <w:lang w:val="en-US" w:eastAsia="zh-CN"/>
        </w:rPr>
        <w:t>关于成果资料要求。</w:t>
      </w:r>
    </w:p>
    <w:p>
      <w:pPr>
        <w:keepNext w:val="0"/>
        <w:keepLines w:val="0"/>
        <w:pageBreakBefore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color w:val="auto"/>
          <w:sz w:val="24"/>
          <w:szCs w:val="24"/>
        </w:rPr>
      </w:pPr>
      <w:r>
        <w:rPr>
          <w:rStyle w:val="73"/>
          <w:rFonts w:hint="eastAsia" w:ascii="仿宋" w:hAnsi="仿宋" w:eastAsia="仿宋" w:cs="仿宋"/>
          <w:color w:val="auto"/>
          <w:sz w:val="24"/>
          <w:szCs w:val="24"/>
        </w:rPr>
        <w:t>项目成果资料整理归档严格按照《地质灾害风险调查评价技术要求（1:50000）》和《地质资料汇交规范》</w:t>
      </w:r>
      <w:r>
        <w:rPr>
          <w:rStyle w:val="73"/>
          <w:rFonts w:hint="eastAsia" w:ascii="仿宋" w:hAnsi="仿宋" w:eastAsia="仿宋" w:cs="仿宋"/>
          <w:color w:val="auto"/>
          <w:sz w:val="24"/>
          <w:szCs w:val="24"/>
          <w:lang w:eastAsia="zh-CN"/>
        </w:rPr>
        <w:t>（</w:t>
      </w:r>
      <w:r>
        <w:rPr>
          <w:rStyle w:val="73"/>
          <w:rFonts w:hint="eastAsia" w:ascii="仿宋" w:hAnsi="仿宋" w:eastAsia="仿宋" w:cs="仿宋"/>
          <w:color w:val="auto"/>
          <w:sz w:val="24"/>
          <w:szCs w:val="24"/>
        </w:rPr>
        <w:t>DZ/T0273</w:t>
      </w:r>
      <w:r>
        <w:rPr>
          <w:rStyle w:val="73"/>
          <w:rFonts w:hint="eastAsia" w:ascii="仿宋" w:hAnsi="仿宋" w:eastAsia="仿宋" w:cs="仿宋"/>
          <w:color w:val="auto"/>
          <w:sz w:val="24"/>
          <w:szCs w:val="24"/>
          <w:lang w:eastAsia="zh-CN"/>
        </w:rPr>
        <w:t>）</w:t>
      </w:r>
      <w:r>
        <w:rPr>
          <w:rStyle w:val="73"/>
          <w:rFonts w:hint="eastAsia" w:ascii="仿宋" w:hAnsi="仿宋" w:eastAsia="仿宋" w:cs="仿宋"/>
          <w:color w:val="auto"/>
          <w:sz w:val="24"/>
          <w:szCs w:val="24"/>
        </w:rPr>
        <w:t>地质资料汇交规范及相关管理办法</w:t>
      </w:r>
      <w:r>
        <w:rPr>
          <w:rStyle w:val="73"/>
          <w:rFonts w:hint="eastAsia" w:ascii="仿宋" w:hAnsi="仿宋" w:eastAsia="仿宋" w:cs="仿宋"/>
          <w:color w:val="auto"/>
          <w:sz w:val="24"/>
          <w:szCs w:val="24"/>
          <w:lang w:val="en-US" w:eastAsia="zh-CN"/>
        </w:rPr>
        <w:t>和《新疆维吾尔自治区地质灾害防治项目管理办法（试行）》及《新疆维吾尔自治区地质灾害防治项目验收细则》</w:t>
      </w:r>
      <w:r>
        <w:rPr>
          <w:rStyle w:val="73"/>
          <w:rFonts w:hint="eastAsia" w:ascii="仿宋" w:hAnsi="仿宋" w:eastAsia="仿宋" w:cs="仿宋"/>
          <w:color w:val="auto"/>
          <w:sz w:val="24"/>
          <w:szCs w:val="24"/>
        </w:rPr>
        <w:t>规定执行。最终成果资料应按地质资料汇交要求向新疆地质资料馆汇交，并向自治区自然资源厅、</w:t>
      </w:r>
      <w:r>
        <w:rPr>
          <w:rStyle w:val="73"/>
          <w:rFonts w:hint="eastAsia" w:ascii="仿宋" w:hAnsi="仿宋" w:eastAsia="仿宋" w:cs="仿宋"/>
          <w:color w:val="auto"/>
          <w:sz w:val="24"/>
          <w:szCs w:val="24"/>
          <w:lang w:eastAsia="zh-CN"/>
        </w:rPr>
        <w:t>克孜勒苏柯尔克孜自治州自然资源局</w:t>
      </w:r>
      <w:r>
        <w:rPr>
          <w:rStyle w:val="73"/>
          <w:rFonts w:hint="eastAsia" w:ascii="仿宋" w:hAnsi="仿宋" w:eastAsia="仿宋" w:cs="仿宋"/>
          <w:color w:val="auto"/>
          <w:sz w:val="24"/>
          <w:szCs w:val="24"/>
        </w:rPr>
        <w:t>和</w:t>
      </w:r>
      <w:r>
        <w:rPr>
          <w:rStyle w:val="73"/>
          <w:rFonts w:hint="eastAsia" w:ascii="仿宋" w:hAnsi="仿宋" w:eastAsia="仿宋" w:cs="仿宋"/>
          <w:color w:val="auto"/>
          <w:sz w:val="24"/>
          <w:szCs w:val="24"/>
          <w:lang w:eastAsia="zh-CN"/>
        </w:rPr>
        <w:t>乌恰县</w:t>
      </w:r>
      <w:r>
        <w:rPr>
          <w:rStyle w:val="73"/>
          <w:rFonts w:hint="eastAsia" w:ascii="仿宋" w:hAnsi="仿宋" w:eastAsia="仿宋" w:cs="仿宋"/>
          <w:color w:val="auto"/>
          <w:sz w:val="24"/>
          <w:szCs w:val="24"/>
        </w:rPr>
        <w:t>自然资源局汇交纸介质和电子版各2套。</w:t>
      </w:r>
    </w:p>
    <w:p>
      <w:pPr>
        <w:keepNext w:val="0"/>
        <w:keepLines w:val="0"/>
        <w:pageBreakBefore w:val="0"/>
        <w:kinsoku/>
        <w:wordWrap/>
        <w:overflowPunct/>
        <w:topLinePunct w:val="0"/>
        <w:autoSpaceDE/>
        <w:autoSpaceDN/>
        <w:bidi w:val="0"/>
        <w:spacing w:line="560" w:lineRule="exact"/>
        <w:ind w:firstLine="480" w:firstLineChars="200"/>
        <w:textAlignment w:val="auto"/>
        <w:outlineLvl w:val="1"/>
        <w:rPr>
          <w:rFonts w:hint="eastAsia" w:ascii="仿宋" w:hAnsi="仿宋" w:eastAsia="仿宋" w:cs="仿宋"/>
          <w:color w:val="auto"/>
          <w:sz w:val="24"/>
          <w:szCs w:val="24"/>
        </w:rPr>
      </w:pPr>
      <w:bookmarkStart w:id="312" w:name="_Toc32000"/>
      <w:r>
        <w:rPr>
          <w:rStyle w:val="73"/>
          <w:rFonts w:hint="eastAsia" w:ascii="仿宋" w:hAnsi="仿宋" w:eastAsia="仿宋" w:cs="仿宋"/>
          <w:color w:val="auto"/>
          <w:sz w:val="24"/>
          <w:szCs w:val="24"/>
        </w:rPr>
        <w:t>九、工作周期</w:t>
      </w:r>
      <w:bookmarkEnd w:id="312"/>
    </w:p>
    <w:p>
      <w:pPr>
        <w:spacing w:line="560" w:lineRule="exact"/>
        <w:ind w:firstLine="480" w:firstLineChars="200"/>
        <w:jc w:val="center"/>
        <w:rPr>
          <w:rStyle w:val="73"/>
          <w:rFonts w:hint="default" w:ascii="仿宋" w:hAnsi="仿宋" w:eastAsia="仿宋" w:cs="仿宋"/>
          <w:color w:val="auto"/>
          <w:sz w:val="24"/>
          <w:szCs w:val="24"/>
        </w:rPr>
      </w:pPr>
      <w:r>
        <w:rPr>
          <w:rStyle w:val="73"/>
          <w:rFonts w:hint="eastAsia" w:ascii="仿宋" w:hAnsi="仿宋" w:eastAsia="仿宋" w:cs="仿宋"/>
          <w:color w:val="auto"/>
          <w:sz w:val="24"/>
          <w:szCs w:val="24"/>
        </w:rPr>
        <w:t>2023年3月-2024年1月。其中：2023年9月30日前完成野外调查工作；2023年10月30日前提交报告及数据库送审稿,2024年1月完成资料汇交。</w:t>
      </w:r>
    </w:p>
    <w:p>
      <w:pPr>
        <w:rPr>
          <w:rStyle w:val="73"/>
          <w:rFonts w:hint="default" w:ascii="仿宋" w:hAnsi="仿宋" w:eastAsia="仿宋" w:cs="仿宋"/>
          <w:color w:val="auto"/>
          <w:sz w:val="24"/>
          <w:szCs w:val="24"/>
        </w:rPr>
      </w:pPr>
      <w:r>
        <w:rPr>
          <w:rStyle w:val="73"/>
          <w:rFonts w:ascii="仿宋" w:hAnsi="仿宋" w:eastAsia="仿宋" w:cs="仿宋"/>
          <w:color w:val="auto"/>
          <w:sz w:val="24"/>
          <w:szCs w:val="24"/>
        </w:rPr>
        <w:br w:type="page"/>
      </w:r>
    </w:p>
    <w:p>
      <w:pPr>
        <w:spacing w:line="560" w:lineRule="exact"/>
        <w:jc w:val="both"/>
        <w:outlineLvl w:val="1"/>
        <w:rPr>
          <w:rFonts w:hint="eastAsia" w:ascii="仿宋" w:hAnsi="仿宋" w:eastAsia="仿宋" w:cs="Times New Roman"/>
          <w:b/>
          <w:bCs/>
          <w:color w:val="auto"/>
          <w:sz w:val="32"/>
          <w:szCs w:val="32"/>
        </w:rPr>
      </w:pPr>
      <w:bookmarkStart w:id="313" w:name="_Toc23162"/>
      <w:bookmarkStart w:id="314" w:name="_Toc5429"/>
      <w:r>
        <w:rPr>
          <w:rFonts w:hint="eastAsia" w:ascii="仿宋" w:hAnsi="仿宋" w:eastAsia="仿宋" w:cs="Times New Roman"/>
          <w:b/>
          <w:bCs/>
          <w:color w:val="auto"/>
          <w:sz w:val="32"/>
          <w:szCs w:val="32"/>
        </w:rPr>
        <w:t>标项三：</w:t>
      </w:r>
      <w:r>
        <w:rPr>
          <w:rFonts w:hint="eastAsia" w:ascii="仿宋" w:hAnsi="仿宋" w:eastAsia="仿宋" w:cs="Times New Roman"/>
          <w:b/>
          <w:bCs/>
          <w:color w:val="auto"/>
          <w:sz w:val="32"/>
          <w:szCs w:val="32"/>
          <w:lang w:eastAsia="zh-CN"/>
        </w:rPr>
        <w:t>新疆乌恰县吾合沙鲁乡政府、小学泥石流</w:t>
      </w:r>
      <w:r>
        <w:rPr>
          <w:rFonts w:hint="eastAsia" w:ascii="仿宋" w:hAnsi="仿宋" w:eastAsia="仿宋" w:cs="Times New Roman"/>
          <w:b/>
          <w:bCs/>
          <w:color w:val="auto"/>
          <w:sz w:val="32"/>
          <w:szCs w:val="32"/>
          <w:lang w:val="en-US" w:eastAsia="zh-CN"/>
        </w:rPr>
        <w:t>防治工程</w:t>
      </w:r>
      <w:bookmarkEnd w:id="313"/>
      <w:bookmarkEnd w:id="314"/>
    </w:p>
    <w:p>
      <w:pPr>
        <w:pStyle w:val="28"/>
        <w:spacing w:line="440" w:lineRule="exact"/>
        <w:rPr>
          <w:color w:val="auto"/>
        </w:rPr>
      </w:pPr>
    </w:p>
    <w:p>
      <w:pPr>
        <w:keepNext w:val="0"/>
        <w:keepLines w:val="0"/>
        <w:pageBreakBefore w:val="0"/>
        <w:widowControl w:val="0"/>
        <w:kinsoku/>
        <w:wordWrap/>
        <w:overflowPunct/>
        <w:topLinePunct w:val="0"/>
        <w:bidi w:val="0"/>
        <w:spacing w:line="560" w:lineRule="exact"/>
        <w:ind w:firstLine="480" w:firstLineChars="200"/>
        <w:textAlignment w:val="auto"/>
        <w:outlineLvl w:val="1"/>
        <w:rPr>
          <w:rFonts w:hint="eastAsia" w:ascii="仿宋" w:hAnsi="仿宋" w:eastAsia="仿宋" w:cs="仿宋"/>
          <w:b w:val="0"/>
          <w:bCs/>
          <w:color w:val="auto"/>
          <w:sz w:val="24"/>
          <w:szCs w:val="24"/>
        </w:rPr>
      </w:pPr>
      <w:bookmarkStart w:id="315" w:name="_Toc6040"/>
      <w:r>
        <w:rPr>
          <w:rFonts w:hint="eastAsia" w:ascii="仿宋" w:hAnsi="仿宋" w:eastAsia="仿宋" w:cs="仿宋"/>
          <w:b w:val="0"/>
          <w:bCs/>
          <w:color w:val="auto"/>
          <w:sz w:val="24"/>
          <w:szCs w:val="24"/>
        </w:rPr>
        <w:t>一、项目名称、编号及费用</w:t>
      </w:r>
      <w:bookmarkEnd w:id="315"/>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b w:val="0"/>
          <w:bCs/>
          <w:color w:val="auto"/>
          <w:kern w:val="0"/>
          <w:sz w:val="24"/>
          <w:szCs w:val="24"/>
          <w:lang w:val="en-US" w:eastAsia="zh-CN"/>
        </w:rPr>
      </w:pPr>
      <w:r>
        <w:rPr>
          <w:rFonts w:hint="eastAsia" w:ascii="仿宋" w:hAnsi="仿宋" w:eastAsia="仿宋" w:cs="仿宋"/>
          <w:b w:val="0"/>
          <w:bCs/>
          <w:color w:val="auto"/>
          <w:kern w:val="0"/>
          <w:sz w:val="24"/>
          <w:szCs w:val="24"/>
        </w:rPr>
        <w:t>项目名称：</w:t>
      </w:r>
      <w:r>
        <w:rPr>
          <w:rFonts w:hint="eastAsia" w:ascii="仿宋" w:hAnsi="仿宋" w:eastAsia="仿宋" w:cs="仿宋"/>
          <w:b w:val="0"/>
          <w:bCs/>
          <w:color w:val="auto"/>
          <w:kern w:val="0"/>
          <w:sz w:val="24"/>
          <w:szCs w:val="24"/>
          <w:lang w:eastAsia="zh-CN"/>
        </w:rPr>
        <w:t>新疆乌恰县吾合沙鲁乡政府、小学泥石流</w:t>
      </w:r>
      <w:r>
        <w:rPr>
          <w:rFonts w:hint="eastAsia" w:ascii="仿宋" w:hAnsi="仿宋" w:eastAsia="仿宋" w:cs="仿宋"/>
          <w:b w:val="0"/>
          <w:bCs/>
          <w:color w:val="auto"/>
          <w:kern w:val="0"/>
          <w:sz w:val="24"/>
          <w:szCs w:val="24"/>
          <w:lang w:val="en-US" w:eastAsia="zh-CN"/>
        </w:rPr>
        <w:t>防治工程</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b w:val="0"/>
          <w:bCs/>
          <w:color w:val="auto"/>
          <w:kern w:val="0"/>
          <w:sz w:val="24"/>
          <w:szCs w:val="24"/>
          <w:lang w:val="en-US" w:eastAsia="zh-CN"/>
        </w:rPr>
      </w:pPr>
      <w:r>
        <w:rPr>
          <w:rFonts w:hint="eastAsia" w:ascii="仿宋" w:hAnsi="仿宋" w:eastAsia="仿宋" w:cs="仿宋"/>
          <w:b w:val="0"/>
          <w:bCs/>
          <w:color w:val="auto"/>
          <w:kern w:val="0"/>
          <w:sz w:val="24"/>
          <w:szCs w:val="24"/>
        </w:rPr>
        <w:t>项目编号：</w:t>
      </w:r>
      <w:r>
        <w:rPr>
          <w:rStyle w:val="73"/>
          <w:rFonts w:ascii="仿宋" w:hAnsi="仿宋" w:eastAsia="仿宋" w:cs="仿宋"/>
          <w:b w:val="0"/>
          <w:bCs/>
          <w:color w:val="auto"/>
          <w:sz w:val="24"/>
          <w:szCs w:val="24"/>
          <w:lang w:eastAsia="zh-CN"/>
        </w:rPr>
        <w:t>GYZB-KZDZFZ2023</w:t>
      </w:r>
      <w:r>
        <w:rPr>
          <w:rStyle w:val="73"/>
          <w:rFonts w:hint="eastAsia" w:ascii="仿宋" w:hAnsi="仿宋" w:eastAsia="仿宋" w:cs="仿宋"/>
          <w:b w:val="0"/>
          <w:bCs/>
          <w:color w:val="auto"/>
          <w:sz w:val="24"/>
          <w:szCs w:val="24"/>
          <w:lang w:val="en-US" w:eastAsia="zh-CN"/>
        </w:rPr>
        <w:t>-01</w:t>
      </w:r>
      <w:r>
        <w:rPr>
          <w:rStyle w:val="73"/>
          <w:rFonts w:ascii="仿宋" w:hAnsi="仿宋" w:eastAsia="仿宋" w:cs="仿宋"/>
          <w:b w:val="0"/>
          <w:bCs/>
          <w:color w:val="auto"/>
          <w:sz w:val="24"/>
          <w:szCs w:val="24"/>
        </w:rPr>
        <w:t>-0</w:t>
      </w:r>
      <w:r>
        <w:rPr>
          <w:rStyle w:val="73"/>
          <w:rFonts w:hint="eastAsia" w:ascii="仿宋" w:hAnsi="仿宋" w:eastAsia="仿宋" w:cs="仿宋"/>
          <w:b w:val="0"/>
          <w:bCs/>
          <w:color w:val="auto"/>
          <w:sz w:val="24"/>
          <w:szCs w:val="24"/>
          <w:lang w:val="en-US" w:eastAsia="zh-CN"/>
        </w:rPr>
        <w:t>3</w:t>
      </w:r>
    </w:p>
    <w:p>
      <w:pPr>
        <w:keepNext w:val="0"/>
        <w:keepLines w:val="0"/>
        <w:pageBreakBefore w:val="0"/>
        <w:widowControl w:val="0"/>
        <w:kinsoku/>
        <w:wordWrap/>
        <w:overflowPunct/>
        <w:topLinePunct w:val="0"/>
        <w:bidi w:val="0"/>
        <w:spacing w:line="560" w:lineRule="exact"/>
        <w:ind w:firstLine="480" w:firstLineChars="200"/>
        <w:textAlignment w:val="auto"/>
        <w:outlineLvl w:val="9"/>
        <w:rPr>
          <w:rStyle w:val="73"/>
          <w:rFonts w:hint="default" w:ascii="仿宋" w:hAnsi="仿宋" w:eastAsia="仿宋" w:cs="仿宋"/>
          <w:b w:val="0"/>
          <w:bCs/>
          <w:color w:val="auto"/>
          <w:sz w:val="24"/>
          <w:szCs w:val="24"/>
          <w:lang w:val="en-US" w:eastAsia="zh-CN"/>
        </w:rPr>
      </w:pPr>
      <w:r>
        <w:rPr>
          <w:rStyle w:val="73"/>
          <w:rFonts w:hint="eastAsia" w:ascii="仿宋" w:hAnsi="仿宋" w:eastAsia="仿宋" w:cs="仿宋"/>
          <w:b w:val="0"/>
          <w:bCs/>
          <w:color w:val="auto"/>
          <w:sz w:val="24"/>
          <w:szCs w:val="24"/>
          <w:lang w:eastAsia="zh-CN"/>
        </w:rPr>
        <w:t>项目费用</w:t>
      </w:r>
      <w:r>
        <w:rPr>
          <w:rStyle w:val="73"/>
          <w:rFonts w:hint="eastAsia" w:ascii="仿宋" w:hAnsi="仿宋" w:eastAsia="仿宋" w:cs="仿宋"/>
          <w:b w:val="0"/>
          <w:bCs/>
          <w:color w:val="auto"/>
          <w:sz w:val="24"/>
          <w:szCs w:val="24"/>
          <w:lang w:val="en-US" w:eastAsia="zh-CN"/>
        </w:rPr>
        <w:t>人民币</w:t>
      </w:r>
      <w:r>
        <w:rPr>
          <w:rStyle w:val="73"/>
          <w:rFonts w:hint="eastAsia" w:ascii="仿宋" w:hAnsi="仿宋" w:eastAsia="仿宋" w:cs="仿宋"/>
          <w:b w:val="0"/>
          <w:bCs/>
          <w:color w:val="auto"/>
          <w:sz w:val="24"/>
          <w:szCs w:val="24"/>
          <w:lang w:eastAsia="zh-CN"/>
        </w:rPr>
        <w:t>：</w:t>
      </w:r>
      <w:r>
        <w:rPr>
          <w:rStyle w:val="73"/>
          <w:rFonts w:hint="eastAsia" w:ascii="仿宋" w:hAnsi="仿宋" w:eastAsia="仿宋" w:cs="仿宋"/>
          <w:b w:val="0"/>
          <w:bCs/>
          <w:color w:val="auto"/>
          <w:sz w:val="24"/>
          <w:szCs w:val="24"/>
          <w:lang w:val="en-US" w:eastAsia="zh-CN"/>
        </w:rPr>
        <w:t>444.7</w:t>
      </w:r>
      <w:r>
        <w:rPr>
          <w:rStyle w:val="73"/>
          <w:rFonts w:hint="eastAsia" w:ascii="仿宋" w:hAnsi="仿宋" w:eastAsia="仿宋" w:cs="仿宋"/>
          <w:b w:val="0"/>
          <w:bCs/>
          <w:color w:val="auto"/>
          <w:sz w:val="24"/>
          <w:szCs w:val="24"/>
          <w:lang w:eastAsia="zh-CN"/>
        </w:rPr>
        <w:t>万元（</w:t>
      </w:r>
      <w:r>
        <w:rPr>
          <w:rStyle w:val="73"/>
          <w:rFonts w:hint="eastAsia" w:ascii="仿宋" w:hAnsi="仿宋" w:eastAsia="仿宋" w:cs="仿宋"/>
          <w:b w:val="0"/>
          <w:bCs/>
          <w:color w:val="auto"/>
          <w:sz w:val="24"/>
          <w:szCs w:val="24"/>
          <w:lang w:val="en-US" w:eastAsia="zh-CN"/>
        </w:rPr>
        <w:t>肆佰肆拾肆万柒仟元整）</w:t>
      </w:r>
    </w:p>
    <w:p>
      <w:pPr>
        <w:keepNext w:val="0"/>
        <w:keepLines w:val="0"/>
        <w:pageBreakBefore w:val="0"/>
        <w:widowControl w:val="0"/>
        <w:kinsoku/>
        <w:wordWrap/>
        <w:overflowPunct/>
        <w:topLinePunct w:val="0"/>
        <w:bidi w:val="0"/>
        <w:spacing w:line="560" w:lineRule="exact"/>
        <w:ind w:firstLine="480" w:firstLineChars="200"/>
        <w:textAlignment w:val="auto"/>
        <w:outlineLvl w:val="1"/>
        <w:rPr>
          <w:rFonts w:hint="eastAsia" w:ascii="仿宋" w:hAnsi="仿宋" w:eastAsia="仿宋" w:cs="仿宋"/>
          <w:b w:val="0"/>
          <w:bCs/>
          <w:color w:val="auto"/>
          <w:sz w:val="24"/>
          <w:szCs w:val="24"/>
        </w:rPr>
      </w:pPr>
      <w:bookmarkStart w:id="316" w:name="_Toc26203"/>
      <w:r>
        <w:rPr>
          <w:rFonts w:hint="eastAsia" w:ascii="仿宋" w:hAnsi="仿宋" w:eastAsia="仿宋" w:cs="仿宋"/>
          <w:b w:val="0"/>
          <w:bCs/>
          <w:color w:val="auto"/>
          <w:sz w:val="24"/>
          <w:szCs w:val="24"/>
        </w:rPr>
        <w:t>二、工作范围</w:t>
      </w:r>
      <w:bookmarkEnd w:id="316"/>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480" w:firstLineChars="200"/>
        <w:textAlignment w:val="auto"/>
        <w:outlineLvl w:val="9"/>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rPr>
        <w:t>防治区位于乌恰县吾合沙鲁乡政府东北侧。吾合沙鲁乡政府东距乌恰县公路里程约56千米，距阿图什市公路里程约156千米，中心地理坐标：东经74°47′26.69″、北纬39°40′29.73″</w:t>
      </w:r>
      <w:r>
        <w:rPr>
          <w:rFonts w:hint="eastAsia" w:ascii="仿宋" w:hAnsi="仿宋" w:eastAsia="仿宋" w:cs="仿宋"/>
          <w:b w:val="0"/>
          <w:bCs/>
          <w:color w:val="auto"/>
          <w:sz w:val="24"/>
          <w:szCs w:val="24"/>
          <w:lang w:eastAsia="zh-CN"/>
        </w:rPr>
        <w:t>。</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b w:val="0"/>
          <w:bCs/>
          <w:color w:val="auto"/>
          <w:sz w:val="24"/>
          <w:szCs w:val="24"/>
          <w:u w:val="single"/>
        </w:rPr>
      </w:pPr>
      <w:r>
        <w:rPr>
          <w:rFonts w:hint="eastAsia" w:ascii="仿宋" w:hAnsi="仿宋" w:eastAsia="仿宋" w:cs="仿宋"/>
          <w:b w:val="0"/>
          <w:bCs/>
          <w:color w:val="auto"/>
          <w:sz w:val="24"/>
          <w:szCs w:val="24"/>
          <w:u w:val="single"/>
        </w:rPr>
        <w:t>最终防治工程区范围以投标单位现场踏勘并与当地自然资源部门充分沟通确定的为准。</w:t>
      </w:r>
    </w:p>
    <w:p>
      <w:pPr>
        <w:keepNext w:val="0"/>
        <w:keepLines w:val="0"/>
        <w:pageBreakBefore w:val="0"/>
        <w:widowControl w:val="0"/>
        <w:kinsoku/>
        <w:wordWrap/>
        <w:overflowPunct/>
        <w:topLinePunct w:val="0"/>
        <w:bidi w:val="0"/>
        <w:spacing w:line="560" w:lineRule="exact"/>
        <w:ind w:firstLine="480" w:firstLineChars="200"/>
        <w:textAlignment w:val="auto"/>
        <w:outlineLvl w:val="1"/>
        <w:rPr>
          <w:rFonts w:hint="eastAsia" w:ascii="仿宋" w:hAnsi="仿宋" w:eastAsia="仿宋" w:cs="仿宋"/>
          <w:b w:val="0"/>
          <w:bCs/>
          <w:color w:val="auto"/>
          <w:sz w:val="24"/>
          <w:szCs w:val="24"/>
        </w:rPr>
      </w:pPr>
      <w:bookmarkStart w:id="317" w:name="_Toc4989"/>
      <w:r>
        <w:rPr>
          <w:rFonts w:hint="eastAsia" w:ascii="仿宋" w:hAnsi="仿宋" w:eastAsia="仿宋" w:cs="仿宋"/>
          <w:b w:val="0"/>
          <w:bCs/>
          <w:color w:val="auto"/>
          <w:sz w:val="24"/>
          <w:szCs w:val="24"/>
        </w:rPr>
        <w:t>三、自然经济地理</w:t>
      </w:r>
      <w:bookmarkEnd w:id="317"/>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（一）交通位置</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480" w:firstLineChars="200"/>
        <w:textAlignment w:val="auto"/>
        <w:outlineLvl w:val="9"/>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防治区位于乌恰县吾合沙鲁乡政府东北侧。吾合沙鲁乡政府东距乌恰县公路里程约56千米，距阿图什市公路里程约156千米，中心地理坐标：东经74°47′26.69″、北纬39°40′29.73″，行政区划隶属吾合沙鲁乡管辖。工作区至乌恰县有X413县道与S309省道相连，乌恰县至阿图什市有G3013吐伊高速相连，交通便利。</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lang w:val="en-US" w:eastAsia="zh-CN"/>
        </w:rPr>
        <w:t>二</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社会经济概况</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lang w:eastAsia="zh-CN"/>
        </w:rPr>
        <w:t>吾合沙鲁乡</w:t>
      </w:r>
      <w:r>
        <w:rPr>
          <w:rFonts w:hint="eastAsia" w:ascii="仿宋" w:hAnsi="仿宋" w:eastAsia="仿宋" w:cs="仿宋"/>
          <w:b w:val="0"/>
          <w:bCs/>
          <w:color w:val="auto"/>
          <w:sz w:val="24"/>
          <w:szCs w:val="24"/>
        </w:rPr>
        <w:t>，隶属于新疆维吾尔自治区</w:t>
      </w:r>
      <w:r>
        <w:rPr>
          <w:rFonts w:hint="eastAsia" w:ascii="仿宋" w:hAnsi="仿宋" w:eastAsia="仿宋" w:cs="仿宋"/>
          <w:b w:val="0"/>
          <w:bCs/>
          <w:color w:val="auto"/>
          <w:sz w:val="24"/>
          <w:szCs w:val="24"/>
          <w:lang w:eastAsia="zh-CN"/>
        </w:rPr>
        <w:t>克孜勒苏柯尔克孜自治州乌恰县</w:t>
      </w:r>
      <w:r>
        <w:rPr>
          <w:rFonts w:hint="eastAsia" w:ascii="仿宋" w:hAnsi="仿宋" w:eastAsia="仿宋" w:cs="仿宋"/>
          <w:b w:val="0"/>
          <w:bCs/>
          <w:color w:val="auto"/>
          <w:sz w:val="24"/>
          <w:szCs w:val="24"/>
        </w:rPr>
        <w:t>，地处</w:t>
      </w:r>
      <w:r>
        <w:rPr>
          <w:rFonts w:hint="eastAsia" w:ascii="仿宋" w:hAnsi="仿宋" w:eastAsia="仿宋" w:cs="仿宋"/>
          <w:b w:val="0"/>
          <w:bCs/>
          <w:color w:val="auto"/>
          <w:sz w:val="24"/>
          <w:szCs w:val="24"/>
        </w:rPr>
        <w:fldChar w:fldCharType="begin"/>
      </w:r>
      <w:r>
        <w:rPr>
          <w:rFonts w:hint="eastAsia" w:ascii="仿宋" w:hAnsi="仿宋" w:eastAsia="仿宋" w:cs="仿宋"/>
          <w:b w:val="0"/>
          <w:bCs/>
          <w:color w:val="auto"/>
          <w:sz w:val="24"/>
          <w:szCs w:val="24"/>
        </w:rPr>
        <w:instrText xml:space="preserve"> HYPERLINK "https://baike.baidu.com/item/%E4%B9%8C%E6%81%B0%E5%8E%BF?fromModule=lemma_inlink" \t "https://baike.baidu.com/item/_blank" </w:instrText>
      </w:r>
      <w:r>
        <w:rPr>
          <w:rFonts w:hint="eastAsia" w:ascii="仿宋" w:hAnsi="仿宋" w:eastAsia="仿宋" w:cs="仿宋"/>
          <w:b w:val="0"/>
          <w:bCs/>
          <w:color w:val="auto"/>
          <w:sz w:val="24"/>
          <w:szCs w:val="24"/>
        </w:rPr>
        <w:fldChar w:fldCharType="separate"/>
      </w:r>
      <w:r>
        <w:rPr>
          <w:rFonts w:hint="eastAsia" w:ascii="仿宋" w:hAnsi="仿宋" w:eastAsia="仿宋" w:cs="仿宋"/>
          <w:b w:val="0"/>
          <w:bCs/>
          <w:color w:val="auto"/>
          <w:sz w:val="24"/>
          <w:szCs w:val="24"/>
        </w:rPr>
        <w:t>乌恰县</w:t>
      </w:r>
      <w:r>
        <w:rPr>
          <w:rFonts w:hint="eastAsia" w:ascii="仿宋" w:hAnsi="仿宋" w:eastAsia="仿宋" w:cs="仿宋"/>
          <w:b w:val="0"/>
          <w:bCs/>
          <w:color w:val="auto"/>
          <w:sz w:val="24"/>
          <w:szCs w:val="24"/>
        </w:rPr>
        <w:fldChar w:fldCharType="end"/>
      </w:r>
      <w:r>
        <w:rPr>
          <w:rFonts w:hint="eastAsia" w:ascii="仿宋" w:hAnsi="仿宋" w:eastAsia="仿宋" w:cs="仿宋"/>
          <w:b w:val="0"/>
          <w:bCs/>
          <w:color w:val="auto"/>
          <w:sz w:val="24"/>
          <w:szCs w:val="24"/>
        </w:rPr>
        <w:t>西部，东、北与</w:t>
      </w:r>
      <w:r>
        <w:rPr>
          <w:rFonts w:hint="eastAsia" w:ascii="仿宋" w:hAnsi="仿宋" w:eastAsia="仿宋" w:cs="仿宋"/>
          <w:b w:val="0"/>
          <w:bCs/>
          <w:color w:val="auto"/>
          <w:sz w:val="24"/>
          <w:szCs w:val="24"/>
        </w:rPr>
        <w:fldChar w:fldCharType="begin"/>
      </w:r>
      <w:r>
        <w:rPr>
          <w:rFonts w:hint="eastAsia" w:ascii="仿宋" w:hAnsi="仿宋" w:eastAsia="仿宋" w:cs="仿宋"/>
          <w:b w:val="0"/>
          <w:bCs/>
          <w:color w:val="auto"/>
          <w:sz w:val="24"/>
          <w:szCs w:val="24"/>
        </w:rPr>
        <w:instrText xml:space="preserve"> HYPERLINK "https://baike.baidu.com/item/%E9%BB%91%E5%AD%9C%E8%8B%87%E4%B9%A1/3757045?fromModule=lemma_inlink" \t "https://baike.baidu.com/item/_blank" </w:instrText>
      </w:r>
      <w:r>
        <w:rPr>
          <w:rFonts w:hint="eastAsia" w:ascii="仿宋" w:hAnsi="仿宋" w:eastAsia="仿宋" w:cs="仿宋"/>
          <w:b w:val="0"/>
          <w:bCs/>
          <w:color w:val="auto"/>
          <w:sz w:val="24"/>
          <w:szCs w:val="24"/>
        </w:rPr>
        <w:fldChar w:fldCharType="separate"/>
      </w:r>
      <w:r>
        <w:rPr>
          <w:rFonts w:hint="eastAsia" w:ascii="仿宋" w:hAnsi="仿宋" w:eastAsia="仿宋" w:cs="仿宋"/>
          <w:b w:val="0"/>
          <w:bCs/>
          <w:color w:val="auto"/>
          <w:sz w:val="24"/>
          <w:szCs w:val="24"/>
        </w:rPr>
        <w:t>黑孜苇乡</w:t>
      </w:r>
      <w:r>
        <w:rPr>
          <w:rFonts w:hint="eastAsia" w:ascii="仿宋" w:hAnsi="仿宋" w:eastAsia="仿宋" w:cs="仿宋"/>
          <w:b w:val="0"/>
          <w:bCs/>
          <w:color w:val="auto"/>
          <w:sz w:val="24"/>
          <w:szCs w:val="24"/>
        </w:rPr>
        <w:fldChar w:fldCharType="end"/>
      </w:r>
      <w:r>
        <w:rPr>
          <w:rFonts w:hint="eastAsia" w:ascii="仿宋" w:hAnsi="仿宋" w:eastAsia="仿宋" w:cs="仿宋"/>
          <w:b w:val="0"/>
          <w:bCs/>
          <w:color w:val="auto"/>
          <w:sz w:val="24"/>
          <w:szCs w:val="24"/>
        </w:rPr>
        <w:t>为界，南与</w:t>
      </w:r>
      <w:r>
        <w:rPr>
          <w:rFonts w:hint="eastAsia" w:ascii="仿宋" w:hAnsi="仿宋" w:eastAsia="仿宋" w:cs="仿宋"/>
          <w:b w:val="0"/>
          <w:bCs/>
          <w:color w:val="auto"/>
          <w:sz w:val="24"/>
          <w:szCs w:val="24"/>
        </w:rPr>
        <w:fldChar w:fldCharType="begin"/>
      </w:r>
      <w:r>
        <w:rPr>
          <w:rFonts w:hint="eastAsia" w:ascii="仿宋" w:hAnsi="仿宋" w:eastAsia="仿宋" w:cs="仿宋"/>
          <w:b w:val="0"/>
          <w:bCs/>
          <w:color w:val="auto"/>
          <w:sz w:val="24"/>
          <w:szCs w:val="24"/>
        </w:rPr>
        <w:instrText xml:space="preserve"> HYPERLINK "https://baike.baidu.com/item/%E8%86%98%E5%B0%94%E6%89%98%E9%98%94%E4%BE%9D%E4%B9%A1/8586464?fromModule=lemma_inlink" \t "https://baike.baidu.com/item/_blank" </w:instrText>
      </w:r>
      <w:r>
        <w:rPr>
          <w:rFonts w:hint="eastAsia" w:ascii="仿宋" w:hAnsi="仿宋" w:eastAsia="仿宋" w:cs="仿宋"/>
          <w:b w:val="0"/>
          <w:bCs/>
          <w:color w:val="auto"/>
          <w:sz w:val="24"/>
          <w:szCs w:val="24"/>
        </w:rPr>
        <w:fldChar w:fldCharType="separate"/>
      </w:r>
      <w:r>
        <w:rPr>
          <w:rFonts w:hint="eastAsia" w:ascii="仿宋" w:hAnsi="仿宋" w:eastAsia="仿宋" w:cs="仿宋"/>
          <w:b w:val="0"/>
          <w:bCs/>
          <w:color w:val="auto"/>
          <w:sz w:val="24"/>
          <w:szCs w:val="24"/>
        </w:rPr>
        <w:t>膘尔托阔依乡</w:t>
      </w:r>
      <w:r>
        <w:rPr>
          <w:rFonts w:hint="eastAsia" w:ascii="仿宋" w:hAnsi="仿宋" w:eastAsia="仿宋" w:cs="仿宋"/>
          <w:b w:val="0"/>
          <w:bCs/>
          <w:color w:val="auto"/>
          <w:sz w:val="24"/>
          <w:szCs w:val="24"/>
        </w:rPr>
        <w:fldChar w:fldCharType="end"/>
      </w:r>
      <w:r>
        <w:rPr>
          <w:rFonts w:hint="eastAsia" w:ascii="仿宋" w:hAnsi="仿宋" w:eastAsia="仿宋" w:cs="仿宋"/>
          <w:b w:val="0"/>
          <w:bCs/>
          <w:color w:val="auto"/>
          <w:sz w:val="24"/>
          <w:szCs w:val="24"/>
        </w:rPr>
        <w:t>为邻，西与</w:t>
      </w:r>
      <w:r>
        <w:rPr>
          <w:rFonts w:hint="eastAsia" w:ascii="仿宋" w:hAnsi="仿宋" w:eastAsia="仿宋" w:cs="仿宋"/>
          <w:b w:val="0"/>
          <w:bCs/>
          <w:color w:val="auto"/>
          <w:sz w:val="24"/>
          <w:szCs w:val="24"/>
        </w:rPr>
        <w:fldChar w:fldCharType="begin"/>
      </w:r>
      <w:r>
        <w:rPr>
          <w:rFonts w:hint="eastAsia" w:ascii="仿宋" w:hAnsi="仿宋" w:eastAsia="仿宋" w:cs="仿宋"/>
          <w:b w:val="0"/>
          <w:bCs/>
          <w:color w:val="auto"/>
          <w:sz w:val="24"/>
          <w:szCs w:val="24"/>
        </w:rPr>
        <w:instrText xml:space="preserve"> HYPERLINK "https://baike.baidu.com/item/%E5%90%89%E5%B0%94%E5%90%89%E6%96%AF%E6%96%AF%E5%9D%A6%E5%85%B1%E5%92%8C%E5%9B%BD/1720217?fromModule=lemma_inlink" \t "https://baike.baidu.com/item/_blank" </w:instrText>
      </w:r>
      <w:r>
        <w:rPr>
          <w:rFonts w:hint="eastAsia" w:ascii="仿宋" w:hAnsi="仿宋" w:eastAsia="仿宋" w:cs="仿宋"/>
          <w:b w:val="0"/>
          <w:bCs/>
          <w:color w:val="auto"/>
          <w:sz w:val="24"/>
          <w:szCs w:val="24"/>
        </w:rPr>
        <w:fldChar w:fldCharType="separate"/>
      </w:r>
      <w:r>
        <w:rPr>
          <w:rFonts w:hint="eastAsia" w:ascii="仿宋" w:hAnsi="仿宋" w:eastAsia="仿宋" w:cs="仿宋"/>
          <w:b w:val="0"/>
          <w:bCs/>
          <w:color w:val="auto"/>
          <w:sz w:val="24"/>
          <w:szCs w:val="24"/>
        </w:rPr>
        <w:t>吉尔吉斯斯坦共和国</w:t>
      </w:r>
      <w:r>
        <w:rPr>
          <w:rFonts w:hint="eastAsia" w:ascii="仿宋" w:hAnsi="仿宋" w:eastAsia="仿宋" w:cs="仿宋"/>
          <w:b w:val="0"/>
          <w:bCs/>
          <w:color w:val="auto"/>
          <w:sz w:val="24"/>
          <w:szCs w:val="24"/>
        </w:rPr>
        <w:fldChar w:fldCharType="end"/>
      </w:r>
      <w:r>
        <w:rPr>
          <w:rFonts w:hint="eastAsia" w:ascii="仿宋" w:hAnsi="仿宋" w:eastAsia="仿宋" w:cs="仿宋"/>
          <w:b w:val="0"/>
          <w:bCs/>
          <w:color w:val="auto"/>
          <w:sz w:val="24"/>
          <w:szCs w:val="24"/>
        </w:rPr>
        <w:t>接壤，北与</w:t>
      </w:r>
      <w:r>
        <w:rPr>
          <w:rFonts w:hint="eastAsia" w:ascii="仿宋" w:hAnsi="仿宋" w:eastAsia="仿宋" w:cs="仿宋"/>
          <w:b w:val="0"/>
          <w:bCs/>
          <w:color w:val="auto"/>
          <w:sz w:val="24"/>
          <w:szCs w:val="24"/>
        </w:rPr>
        <w:fldChar w:fldCharType="begin"/>
      </w:r>
      <w:r>
        <w:rPr>
          <w:rFonts w:hint="eastAsia" w:ascii="仿宋" w:hAnsi="仿宋" w:eastAsia="仿宋" w:cs="仿宋"/>
          <w:b w:val="0"/>
          <w:bCs/>
          <w:color w:val="auto"/>
          <w:sz w:val="24"/>
          <w:szCs w:val="24"/>
        </w:rPr>
        <w:instrText xml:space="preserve"> HYPERLINK "https://baike.baidu.com/item/%E4%B9%8C%E9%B2%81%E5%85%8B%E6%81%B0%E6%8F%90%E4%B9%A1/3756820?fromModule=lemma_inlink" \t "https://baike.baidu.com/item/_blank" </w:instrText>
      </w:r>
      <w:r>
        <w:rPr>
          <w:rFonts w:hint="eastAsia" w:ascii="仿宋" w:hAnsi="仿宋" w:eastAsia="仿宋" w:cs="仿宋"/>
          <w:b w:val="0"/>
          <w:bCs/>
          <w:color w:val="auto"/>
          <w:sz w:val="24"/>
          <w:szCs w:val="24"/>
        </w:rPr>
        <w:fldChar w:fldCharType="separate"/>
      </w:r>
      <w:r>
        <w:rPr>
          <w:rFonts w:hint="eastAsia" w:ascii="仿宋" w:hAnsi="仿宋" w:eastAsia="仿宋" w:cs="仿宋"/>
          <w:b w:val="0"/>
          <w:bCs/>
          <w:color w:val="auto"/>
          <w:sz w:val="24"/>
          <w:szCs w:val="24"/>
        </w:rPr>
        <w:t>乌鲁克恰提乡</w:t>
      </w:r>
      <w:r>
        <w:rPr>
          <w:rFonts w:hint="eastAsia" w:ascii="仿宋" w:hAnsi="仿宋" w:eastAsia="仿宋" w:cs="仿宋"/>
          <w:b w:val="0"/>
          <w:bCs/>
          <w:color w:val="auto"/>
          <w:sz w:val="24"/>
          <w:szCs w:val="24"/>
        </w:rPr>
        <w:fldChar w:fldCharType="end"/>
      </w:r>
      <w:r>
        <w:rPr>
          <w:rFonts w:hint="eastAsia" w:ascii="仿宋" w:hAnsi="仿宋" w:eastAsia="仿宋" w:cs="仿宋"/>
          <w:b w:val="0"/>
          <w:bCs/>
          <w:color w:val="auto"/>
          <w:sz w:val="24"/>
          <w:szCs w:val="24"/>
        </w:rPr>
        <w:t>、</w:t>
      </w:r>
      <w:r>
        <w:rPr>
          <w:rFonts w:hint="eastAsia" w:ascii="仿宋" w:hAnsi="仿宋" w:eastAsia="仿宋" w:cs="仿宋"/>
          <w:b w:val="0"/>
          <w:bCs/>
          <w:color w:val="auto"/>
          <w:sz w:val="24"/>
          <w:szCs w:val="24"/>
        </w:rPr>
        <w:fldChar w:fldCharType="begin"/>
      </w:r>
      <w:r>
        <w:rPr>
          <w:rFonts w:hint="eastAsia" w:ascii="仿宋" w:hAnsi="仿宋" w:eastAsia="仿宋" w:cs="仿宋"/>
          <w:b w:val="0"/>
          <w:bCs/>
          <w:color w:val="auto"/>
          <w:sz w:val="24"/>
          <w:szCs w:val="24"/>
        </w:rPr>
        <w:instrText xml:space="preserve"> HYPERLINK "https://baike.baidu.com/item/%E5%90%89%E6%A0%B9%E4%B9%A1/765712?fromModule=lemma_inlink" \t "https://baike.baidu.com/item/_blank" </w:instrText>
      </w:r>
      <w:r>
        <w:rPr>
          <w:rFonts w:hint="eastAsia" w:ascii="仿宋" w:hAnsi="仿宋" w:eastAsia="仿宋" w:cs="仿宋"/>
          <w:b w:val="0"/>
          <w:bCs/>
          <w:color w:val="auto"/>
          <w:sz w:val="24"/>
          <w:szCs w:val="24"/>
        </w:rPr>
        <w:fldChar w:fldCharType="separate"/>
      </w:r>
      <w:r>
        <w:rPr>
          <w:rFonts w:hint="eastAsia" w:ascii="仿宋" w:hAnsi="仿宋" w:eastAsia="仿宋" w:cs="仿宋"/>
          <w:b w:val="0"/>
          <w:bCs/>
          <w:color w:val="auto"/>
          <w:sz w:val="24"/>
          <w:szCs w:val="24"/>
        </w:rPr>
        <w:t>吉根乡</w:t>
      </w:r>
      <w:r>
        <w:rPr>
          <w:rFonts w:hint="eastAsia" w:ascii="仿宋" w:hAnsi="仿宋" w:eastAsia="仿宋" w:cs="仿宋"/>
          <w:b w:val="0"/>
          <w:bCs/>
          <w:color w:val="auto"/>
          <w:sz w:val="24"/>
          <w:szCs w:val="24"/>
        </w:rPr>
        <w:fldChar w:fldCharType="end"/>
      </w:r>
      <w:r>
        <w:rPr>
          <w:rFonts w:hint="eastAsia" w:ascii="仿宋" w:hAnsi="仿宋" w:eastAsia="仿宋" w:cs="仿宋"/>
          <w:b w:val="0"/>
          <w:bCs/>
          <w:color w:val="auto"/>
          <w:sz w:val="24"/>
          <w:szCs w:val="24"/>
        </w:rPr>
        <w:t>相连</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截至2019年</w:t>
      </w:r>
      <w:r>
        <w:rPr>
          <w:rFonts w:hint="eastAsia" w:ascii="仿宋" w:hAnsi="仿宋" w:eastAsia="仿宋" w:cs="仿宋"/>
          <w:b w:val="0"/>
          <w:bCs/>
          <w:color w:val="auto"/>
          <w:sz w:val="24"/>
          <w:szCs w:val="24"/>
          <w:lang w:val="en-US" w:eastAsia="zh-CN"/>
        </w:rPr>
        <w:t>末</w:t>
      </w:r>
      <w:r>
        <w:rPr>
          <w:rFonts w:hint="eastAsia" w:ascii="仿宋" w:hAnsi="仿宋" w:eastAsia="仿宋" w:cs="仿宋"/>
          <w:b w:val="0"/>
          <w:bCs/>
          <w:color w:val="auto"/>
          <w:sz w:val="24"/>
          <w:szCs w:val="24"/>
        </w:rPr>
        <w:t>，</w:t>
      </w:r>
      <w:r>
        <w:rPr>
          <w:rFonts w:hint="eastAsia" w:ascii="仿宋" w:hAnsi="仿宋" w:eastAsia="仿宋" w:cs="仿宋"/>
          <w:b w:val="0"/>
          <w:bCs/>
          <w:color w:val="auto"/>
          <w:sz w:val="24"/>
          <w:szCs w:val="24"/>
          <w:lang w:eastAsia="zh-CN"/>
        </w:rPr>
        <w:t>吾合沙鲁乡</w:t>
      </w:r>
      <w:r>
        <w:rPr>
          <w:rFonts w:hint="eastAsia" w:ascii="仿宋" w:hAnsi="仿宋" w:eastAsia="仿宋" w:cs="仿宋"/>
          <w:b w:val="0"/>
          <w:bCs/>
          <w:color w:val="auto"/>
          <w:sz w:val="24"/>
          <w:szCs w:val="24"/>
        </w:rPr>
        <w:t>下辖</w:t>
      </w:r>
      <w:r>
        <w:rPr>
          <w:rFonts w:hint="eastAsia" w:ascii="仿宋" w:hAnsi="仿宋" w:eastAsia="仿宋" w:cs="仿宋"/>
          <w:b w:val="0"/>
          <w:bCs/>
          <w:color w:val="auto"/>
          <w:sz w:val="24"/>
          <w:szCs w:val="24"/>
          <w:lang w:val="en-US" w:eastAsia="zh-CN"/>
        </w:rPr>
        <w:t>2</w:t>
      </w:r>
      <w:r>
        <w:rPr>
          <w:rFonts w:hint="eastAsia" w:ascii="仿宋" w:hAnsi="仿宋" w:eastAsia="仿宋" w:cs="仿宋"/>
          <w:b w:val="0"/>
          <w:bCs/>
          <w:color w:val="auto"/>
          <w:sz w:val="24"/>
          <w:szCs w:val="24"/>
        </w:rPr>
        <w:t>个行政村。吾合沙鲁乡畜牧业以饲养牛、羊、家禽为主。牲畜年末存栏11497头</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只</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，商品率58.6%，出栏6737头</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只</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累计退耕还林面积1704亩，林木覆盖率30%，水果种植面积1704亩，产量120吨，主要品种有杏、秋桃等。</w:t>
      </w:r>
      <w:r>
        <w:rPr>
          <w:rFonts w:hint="eastAsia" w:ascii="仿宋" w:hAnsi="仿宋" w:eastAsia="仿宋" w:cs="仿宋"/>
          <w:b w:val="0"/>
          <w:bCs/>
          <w:color w:val="auto"/>
          <w:sz w:val="24"/>
          <w:szCs w:val="24"/>
          <w:lang w:val="en-US" w:eastAsia="zh-CN"/>
        </w:rPr>
        <w:t>截至2018年末，吾合沙鲁乡户籍人口为1206人。</w:t>
      </w:r>
    </w:p>
    <w:p>
      <w:pPr>
        <w:keepNext w:val="0"/>
        <w:keepLines w:val="0"/>
        <w:pageBreakBefore w:val="0"/>
        <w:widowControl w:val="0"/>
        <w:kinsoku/>
        <w:wordWrap/>
        <w:overflowPunct/>
        <w:topLinePunct w:val="0"/>
        <w:bidi w:val="0"/>
        <w:spacing w:line="560" w:lineRule="exact"/>
        <w:ind w:firstLine="480" w:firstLineChars="200"/>
        <w:textAlignment w:val="auto"/>
        <w:outlineLvl w:val="1"/>
        <w:rPr>
          <w:rFonts w:hint="eastAsia" w:ascii="仿宋" w:hAnsi="仿宋" w:eastAsia="仿宋" w:cs="仿宋"/>
          <w:b w:val="0"/>
          <w:bCs/>
          <w:color w:val="auto"/>
          <w:sz w:val="24"/>
          <w:szCs w:val="24"/>
        </w:rPr>
      </w:pPr>
      <w:bookmarkStart w:id="318" w:name="_Toc11851"/>
      <w:r>
        <w:rPr>
          <w:rFonts w:hint="eastAsia" w:ascii="仿宋" w:hAnsi="仿宋" w:eastAsia="仿宋" w:cs="仿宋"/>
          <w:b w:val="0"/>
          <w:bCs/>
          <w:color w:val="auto"/>
          <w:sz w:val="24"/>
          <w:szCs w:val="24"/>
        </w:rPr>
        <w:t>四、地质环境条件和工作程度</w:t>
      </w:r>
      <w:bookmarkEnd w:id="318"/>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（一）地形地貌</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防治区位于乌恰县西部山区，克孜勒苏河左岸，地貌类型主要为剥蚀中山、河谷、河漫滩及河床等，中山区总体地势北高南低，西高东低，海拔高度2180</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2660米，相对高差480米；区内发育有3条泥石流于沟口处交汇，冲沟长度1200</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2000米，沟底宽1</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220米，切割深度0.5</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2米，冲沟两侧山体坡度在30-70°之间；河漫滩及河床呈南西</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东走向，海拔2130</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2215米，河漫滩宽约50</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350米。</w:t>
      </w:r>
    </w:p>
    <w:p>
      <w:pPr>
        <w:keepNext w:val="0"/>
        <w:keepLines w:val="0"/>
        <w:pageBreakBefore w:val="0"/>
        <w:widowControl w:val="0"/>
        <w:numPr>
          <w:ilvl w:val="0"/>
          <w:numId w:val="6"/>
        </w:numPr>
        <w:kinsoku/>
        <w:wordWrap/>
        <w:overflowPunct/>
        <w:topLinePunct w:val="0"/>
        <w:bidi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地层岩性</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项目区出露的地层主要有：</w:t>
      </w:r>
      <w:bookmarkStart w:id="319" w:name="OLE_LINK5"/>
      <w:r>
        <w:rPr>
          <w:rFonts w:hint="eastAsia" w:ascii="仿宋" w:hAnsi="仿宋" w:eastAsia="仿宋" w:cs="仿宋"/>
          <w:b w:val="0"/>
          <w:bCs/>
          <w:color w:val="auto"/>
          <w:sz w:val="24"/>
          <w:szCs w:val="24"/>
        </w:rPr>
        <w:t>新近系上新统（N</w:t>
      </w:r>
      <w:r>
        <w:rPr>
          <w:rFonts w:hint="eastAsia" w:ascii="仿宋" w:hAnsi="仿宋" w:eastAsia="仿宋" w:cs="仿宋"/>
          <w:b w:val="0"/>
          <w:bCs/>
          <w:color w:val="auto"/>
          <w:sz w:val="24"/>
          <w:szCs w:val="24"/>
          <w:vertAlign w:val="subscript"/>
        </w:rPr>
        <w:t>2</w:t>
      </w:r>
      <w:r>
        <w:rPr>
          <w:rFonts w:hint="eastAsia" w:ascii="仿宋" w:hAnsi="仿宋" w:eastAsia="仿宋" w:cs="仿宋"/>
          <w:b w:val="0"/>
          <w:bCs/>
          <w:color w:val="auto"/>
          <w:sz w:val="24"/>
          <w:szCs w:val="24"/>
        </w:rPr>
        <w:t>）</w:t>
      </w:r>
      <w:bookmarkEnd w:id="319"/>
      <w:r>
        <w:rPr>
          <w:rFonts w:hint="eastAsia" w:ascii="仿宋" w:hAnsi="仿宋" w:eastAsia="仿宋" w:cs="仿宋"/>
          <w:b w:val="0"/>
          <w:bCs/>
          <w:color w:val="auto"/>
          <w:sz w:val="24"/>
          <w:szCs w:val="24"/>
        </w:rPr>
        <w:t>、第四系上更新统（Q</w:t>
      </w:r>
      <w:r>
        <w:rPr>
          <w:rFonts w:hint="eastAsia" w:ascii="仿宋" w:hAnsi="仿宋" w:eastAsia="仿宋" w:cs="仿宋"/>
          <w:b w:val="0"/>
          <w:bCs/>
          <w:color w:val="auto"/>
          <w:sz w:val="24"/>
          <w:szCs w:val="24"/>
          <w:vertAlign w:val="subscript"/>
        </w:rPr>
        <w:t>3</w:t>
      </w:r>
      <w:r>
        <w:rPr>
          <w:rFonts w:hint="eastAsia" w:ascii="仿宋" w:hAnsi="仿宋" w:eastAsia="仿宋" w:cs="仿宋"/>
          <w:b w:val="0"/>
          <w:bCs/>
          <w:color w:val="auto"/>
          <w:sz w:val="24"/>
          <w:szCs w:val="24"/>
        </w:rPr>
        <w:t>）、第四系全新统（Q</w:t>
      </w:r>
      <w:r>
        <w:rPr>
          <w:rFonts w:hint="eastAsia" w:ascii="仿宋" w:hAnsi="仿宋" w:eastAsia="仿宋" w:cs="仿宋"/>
          <w:b w:val="0"/>
          <w:bCs/>
          <w:color w:val="auto"/>
          <w:sz w:val="24"/>
          <w:szCs w:val="24"/>
          <w:vertAlign w:val="subscript"/>
        </w:rPr>
        <w:t>4</w:t>
      </w:r>
      <w:r>
        <w:rPr>
          <w:rFonts w:hint="eastAsia" w:ascii="仿宋" w:hAnsi="仿宋" w:eastAsia="仿宋" w:cs="仿宋"/>
          <w:b w:val="0"/>
          <w:bCs/>
          <w:color w:val="auto"/>
          <w:sz w:val="24"/>
          <w:szCs w:val="24"/>
        </w:rPr>
        <w:t>），现将各地层的分布及其野外特征由老到新叙述如下：</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1</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新近系上新统（N</w:t>
      </w:r>
      <w:r>
        <w:rPr>
          <w:rFonts w:hint="eastAsia" w:ascii="仿宋" w:hAnsi="仿宋" w:eastAsia="仿宋" w:cs="仿宋"/>
          <w:b w:val="0"/>
          <w:bCs/>
          <w:color w:val="auto"/>
          <w:sz w:val="24"/>
          <w:szCs w:val="24"/>
          <w:vertAlign w:val="subscript"/>
        </w:rPr>
        <w:t>2</w:t>
      </w:r>
      <w:r>
        <w:rPr>
          <w:rFonts w:hint="eastAsia" w:ascii="仿宋" w:hAnsi="仿宋" w:eastAsia="仿宋" w:cs="仿宋"/>
          <w:b w:val="0"/>
          <w:bCs/>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主要分布在卡拉铁列克村沟谷两侧山体上，岩层倾向300°，倾角60-80°，呈近南北向条带状分布，岩性主要为灰黑色砂岩和褐色灰岩互层分布，砂岩岩层厚度在0.5</w:t>
      </w:r>
      <w:bookmarkStart w:id="320" w:name="OLE_LINK6"/>
      <w:r>
        <w:rPr>
          <w:rFonts w:hint="eastAsia" w:ascii="仿宋" w:hAnsi="仿宋" w:eastAsia="仿宋" w:cs="仿宋"/>
          <w:b w:val="0"/>
          <w:bCs/>
          <w:color w:val="auto"/>
          <w:sz w:val="24"/>
          <w:szCs w:val="24"/>
          <w:lang w:eastAsia="zh-CN"/>
        </w:rPr>
        <w:t>—</w:t>
      </w:r>
      <w:bookmarkEnd w:id="320"/>
      <w:r>
        <w:rPr>
          <w:rFonts w:hint="eastAsia" w:ascii="仿宋" w:hAnsi="仿宋" w:eastAsia="仿宋" w:cs="仿宋"/>
          <w:b w:val="0"/>
          <w:bCs/>
          <w:color w:val="auto"/>
          <w:sz w:val="24"/>
          <w:szCs w:val="24"/>
        </w:rPr>
        <w:t>1.5米之间，灰岩厚度在0.8</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4米之间。基岩受到风化、剥蚀等地质作用，表层岩体呈单斜犬牙状分布。</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2</w:t>
      </w:r>
      <w:r>
        <w:rPr>
          <w:rFonts w:hint="eastAsia" w:ascii="仿宋" w:hAnsi="仿宋" w:eastAsia="仿宋" w:cs="仿宋"/>
          <w:b w:val="0"/>
          <w:bCs/>
          <w:color w:val="auto"/>
          <w:sz w:val="24"/>
          <w:szCs w:val="24"/>
          <w:lang w:eastAsia="zh-CN"/>
        </w:rPr>
        <w:t>.上更新统冲积漂（卵）砾石层（Q</w:t>
      </w:r>
      <w:r>
        <w:rPr>
          <w:rFonts w:hint="eastAsia" w:ascii="仿宋" w:hAnsi="仿宋" w:eastAsia="仿宋" w:cs="仿宋"/>
          <w:b w:val="0"/>
          <w:bCs/>
          <w:color w:val="auto"/>
          <w:sz w:val="24"/>
          <w:szCs w:val="24"/>
          <w:vertAlign w:val="subscript"/>
          <w:lang w:eastAsia="zh-CN"/>
        </w:rPr>
        <w:t>3</w:t>
      </w:r>
      <w:r>
        <w:rPr>
          <w:rFonts w:hint="eastAsia" w:ascii="仿宋" w:hAnsi="仿宋" w:eastAsia="仿宋" w:cs="仿宋"/>
          <w:b w:val="0"/>
          <w:bCs/>
          <w:color w:val="auto"/>
          <w:sz w:val="24"/>
          <w:szCs w:val="24"/>
          <w:vertAlign w:val="superscript"/>
          <w:lang w:eastAsia="zh-CN"/>
        </w:rPr>
        <w:t>al</w:t>
      </w:r>
      <w:r>
        <w:rPr>
          <w:rFonts w:hint="eastAsia" w:ascii="仿宋" w:hAnsi="仿宋" w:eastAsia="仿宋" w:cs="仿宋"/>
          <w:b w:val="0"/>
          <w:bCs/>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主要分布在卡拉铁列克村沟谷山前，岩性为砂卵石层，成因类型为冲积</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洪积层。</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3</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第四系全新统冲洪积层（Q</w:t>
      </w:r>
      <w:r>
        <w:rPr>
          <w:rFonts w:hint="eastAsia" w:ascii="仿宋" w:hAnsi="仿宋" w:eastAsia="仿宋" w:cs="仿宋"/>
          <w:b w:val="0"/>
          <w:bCs/>
          <w:color w:val="auto"/>
          <w:sz w:val="24"/>
          <w:szCs w:val="24"/>
          <w:vertAlign w:val="subscript"/>
        </w:rPr>
        <w:t>4</w:t>
      </w:r>
      <w:r>
        <w:rPr>
          <w:rFonts w:hint="eastAsia" w:ascii="仿宋" w:hAnsi="仿宋" w:eastAsia="仿宋" w:cs="仿宋"/>
          <w:b w:val="0"/>
          <w:bCs/>
          <w:color w:val="auto"/>
          <w:sz w:val="24"/>
          <w:szCs w:val="24"/>
          <w:vertAlign w:val="superscript"/>
        </w:rPr>
        <w:t>apl</w:t>
      </w:r>
      <w:r>
        <w:rPr>
          <w:rFonts w:hint="eastAsia" w:ascii="仿宋" w:hAnsi="仿宋" w:eastAsia="仿宋" w:cs="仿宋"/>
          <w:b w:val="0"/>
          <w:bCs/>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主要分布于卡拉铁列克村沟谷现代河床及河漫滩处，岩性为漂（卵）砾石青灰色，多呈圆形</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椭圆形，磨圆度较好，分选性一般，粒径最大50厘米。</w:t>
      </w:r>
    </w:p>
    <w:p>
      <w:pPr>
        <w:keepNext w:val="0"/>
        <w:keepLines w:val="0"/>
        <w:pageBreakBefore w:val="0"/>
        <w:widowControl w:val="0"/>
        <w:numPr>
          <w:ilvl w:val="0"/>
          <w:numId w:val="6"/>
        </w:numPr>
        <w:kinsoku/>
        <w:wordWrap/>
        <w:overflowPunct/>
        <w:topLinePunct w:val="0"/>
        <w:bidi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水文地质条件</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480" w:firstLineChars="200"/>
        <w:textAlignment w:val="auto"/>
        <w:outlineLvl w:val="9"/>
        <w:rPr>
          <w:rFonts w:hint="eastAsia" w:ascii="仿宋" w:hAnsi="仿宋" w:eastAsia="仿宋" w:cs="仿宋"/>
          <w:b w:val="0"/>
          <w:bCs/>
          <w:color w:val="auto"/>
          <w:sz w:val="24"/>
          <w:szCs w:val="24"/>
        </w:rPr>
      </w:pPr>
      <w:bookmarkStart w:id="321" w:name="_Toc172353180"/>
      <w:bookmarkStart w:id="322" w:name="_Toc172356668"/>
      <w:bookmarkStart w:id="323" w:name="_Toc172355312"/>
      <w:r>
        <w:rPr>
          <w:rFonts w:hint="eastAsia" w:ascii="仿宋" w:hAnsi="仿宋" w:eastAsia="仿宋" w:cs="仿宋"/>
          <w:b w:val="0"/>
          <w:bCs/>
          <w:color w:val="auto"/>
          <w:sz w:val="24"/>
          <w:szCs w:val="24"/>
        </w:rPr>
        <w:t>防治区地下水类型主要为碎屑岩类孔隙裂隙水及第四系松散岩类孔隙潜水两类。</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1</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碎屑岩类孔隙裂隙水</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主要分布在防治区基岩山区</w:t>
      </w:r>
      <w:r>
        <w:rPr>
          <w:rFonts w:hint="eastAsia" w:ascii="仿宋" w:hAnsi="仿宋" w:eastAsia="仿宋" w:cs="仿宋"/>
          <w:b w:val="0"/>
          <w:bCs/>
          <w:color w:val="auto"/>
          <w:sz w:val="24"/>
          <w:szCs w:val="24"/>
          <w:lang w:val="en-US" w:eastAsia="zh-CN"/>
        </w:rPr>
        <w:t>裂隙内</w:t>
      </w:r>
      <w:r>
        <w:rPr>
          <w:rFonts w:hint="eastAsia" w:ascii="仿宋" w:hAnsi="仿宋" w:eastAsia="仿宋" w:cs="仿宋"/>
          <w:b w:val="0"/>
          <w:bCs/>
          <w:color w:val="auto"/>
          <w:sz w:val="24"/>
          <w:szCs w:val="24"/>
        </w:rPr>
        <w:t>，含水层岩性为</w:t>
      </w:r>
      <w:r>
        <w:rPr>
          <w:rFonts w:hint="eastAsia" w:ascii="仿宋" w:hAnsi="仿宋" w:eastAsia="仿宋" w:cs="仿宋"/>
          <w:b w:val="0"/>
          <w:bCs/>
          <w:color w:val="auto"/>
          <w:sz w:val="24"/>
          <w:szCs w:val="24"/>
          <w:lang w:val="en-US" w:eastAsia="zh-CN"/>
        </w:rPr>
        <w:t>新近系砂岩和</w:t>
      </w:r>
      <w:r>
        <w:rPr>
          <w:rFonts w:hint="eastAsia" w:ascii="仿宋" w:hAnsi="仿宋" w:eastAsia="仿宋" w:cs="仿宋"/>
          <w:b w:val="0"/>
          <w:bCs/>
          <w:color w:val="auto"/>
          <w:sz w:val="24"/>
          <w:szCs w:val="24"/>
        </w:rPr>
        <w:t>灰岩</w:t>
      </w:r>
      <w:r>
        <w:rPr>
          <w:rFonts w:hint="eastAsia" w:ascii="仿宋" w:hAnsi="仿宋" w:eastAsia="仿宋" w:cs="仿宋"/>
          <w:b w:val="0"/>
          <w:bCs/>
          <w:color w:val="auto"/>
          <w:sz w:val="24"/>
          <w:szCs w:val="24"/>
          <w:lang w:val="en-US" w:eastAsia="zh-CN"/>
        </w:rPr>
        <w:t>互层</w:t>
      </w:r>
      <w:r>
        <w:rPr>
          <w:rFonts w:hint="eastAsia" w:ascii="仿宋" w:hAnsi="仿宋" w:eastAsia="仿宋" w:cs="仿宋"/>
          <w:b w:val="0"/>
          <w:bCs/>
          <w:color w:val="auto"/>
          <w:sz w:val="24"/>
          <w:szCs w:val="24"/>
        </w:rPr>
        <w:t>。地下水主要接受冰雪融水和大气降水的补给。</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2</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第四系松散岩类孔隙潜水</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主要分布于河谷区一带，赋存于河床、河漫滩及级阶地中，含水层单一、为砂卵砾石层，水量较丰富。该区地下水补给来源主要接受大气降水、冰雪融水和侧向径流补给，总体由西向东径流，以向下游的径流形式排泄。</w:t>
      </w:r>
    </w:p>
    <w:p>
      <w:pPr>
        <w:keepNext w:val="0"/>
        <w:keepLines w:val="0"/>
        <w:pageBreakBefore w:val="0"/>
        <w:widowControl w:val="0"/>
        <w:numPr>
          <w:ilvl w:val="0"/>
          <w:numId w:val="6"/>
        </w:numPr>
        <w:kinsoku/>
        <w:wordWrap/>
        <w:overflowPunct/>
        <w:topLinePunct w:val="0"/>
        <w:bidi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工程地质条件</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根据</w:t>
      </w:r>
      <w:r>
        <w:rPr>
          <w:rFonts w:hint="eastAsia" w:ascii="仿宋" w:hAnsi="仿宋" w:eastAsia="仿宋" w:cs="仿宋"/>
          <w:b w:val="0"/>
          <w:bCs/>
          <w:color w:val="auto"/>
          <w:sz w:val="24"/>
          <w:szCs w:val="24"/>
          <w:lang w:val="en-US" w:eastAsia="zh-CN"/>
        </w:rPr>
        <w:t>项目</w:t>
      </w:r>
      <w:r>
        <w:rPr>
          <w:rFonts w:hint="eastAsia" w:ascii="仿宋" w:hAnsi="仿宋" w:eastAsia="仿宋" w:cs="仿宋"/>
          <w:b w:val="0"/>
          <w:bCs/>
          <w:color w:val="auto"/>
          <w:sz w:val="24"/>
          <w:szCs w:val="24"/>
        </w:rPr>
        <w:t>勘查成果，按照岩土体的组成岩性、结构类型、岩土强度等，可将防治区划分为二个工程地质岩组，即第四系单层土体、较坚硬</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坚硬碎屑岩组。</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1</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第四系单层土体</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主要分布于现代河床（河沟）、河漫滩和阶地上，岩性由卵石或圆砾组成，稍密</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中密，地基承载力经验值在250-300kPa，工程地质条件较好。</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2</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较坚硬</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坚硬碎屑岩组</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分布于沟谷两侧山体上，岩性为砂岩、灰岩岩体表层较破碎，山节理裂隙发育。</w:t>
      </w:r>
    </w:p>
    <w:bookmarkEnd w:id="321"/>
    <w:bookmarkEnd w:id="322"/>
    <w:bookmarkEnd w:id="323"/>
    <w:p>
      <w:pPr>
        <w:keepNext w:val="0"/>
        <w:keepLines w:val="0"/>
        <w:pageBreakBefore w:val="0"/>
        <w:widowControl w:val="0"/>
        <w:kinsoku/>
        <w:wordWrap/>
        <w:overflowPunct/>
        <w:topLinePunct w:val="0"/>
        <w:bidi w:val="0"/>
        <w:spacing w:line="560" w:lineRule="exact"/>
        <w:ind w:firstLine="480" w:firstLineChars="200"/>
        <w:textAlignment w:val="auto"/>
        <w:outlineLvl w:val="1"/>
        <w:rPr>
          <w:rFonts w:hint="eastAsia" w:ascii="仿宋" w:hAnsi="仿宋" w:eastAsia="仿宋" w:cs="仿宋"/>
          <w:b w:val="0"/>
          <w:bCs/>
          <w:color w:val="auto"/>
          <w:sz w:val="24"/>
          <w:szCs w:val="24"/>
        </w:rPr>
      </w:pPr>
      <w:bookmarkStart w:id="324" w:name="_Toc27632"/>
      <w:r>
        <w:rPr>
          <w:rFonts w:hint="eastAsia" w:ascii="仿宋" w:hAnsi="仿宋" w:eastAsia="仿宋" w:cs="仿宋"/>
          <w:b w:val="0"/>
          <w:bCs/>
          <w:color w:val="auto"/>
          <w:sz w:val="24"/>
          <w:szCs w:val="24"/>
        </w:rPr>
        <w:t>五、主要地质灾害</w:t>
      </w:r>
      <w:bookmarkEnd w:id="324"/>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本次防治的主要地质灾害为</w:t>
      </w:r>
      <w:r>
        <w:rPr>
          <w:rFonts w:hint="eastAsia" w:ascii="仿宋" w:hAnsi="仿宋" w:eastAsia="仿宋" w:cs="仿宋"/>
          <w:b w:val="0"/>
          <w:bCs/>
          <w:color w:val="auto"/>
          <w:sz w:val="24"/>
          <w:szCs w:val="24"/>
          <w:lang w:val="en-US" w:eastAsia="zh-CN"/>
        </w:rPr>
        <w:t>泥石流</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防治区地处山区，降水相对较为丰富，</w:t>
      </w:r>
      <w:r>
        <w:rPr>
          <w:rFonts w:hint="eastAsia" w:ascii="仿宋" w:hAnsi="仿宋" w:eastAsia="仿宋" w:cs="仿宋"/>
          <w:b w:val="0"/>
          <w:bCs/>
          <w:color w:val="auto"/>
          <w:sz w:val="24"/>
          <w:szCs w:val="24"/>
          <w:lang w:val="en-US" w:eastAsia="zh-CN"/>
        </w:rPr>
        <w:t>在春季融雪及夏季暴雨短时间汇集于主沟内形成具有强大的冲刷携带能力的洪流，洪流携带着沿途的松散固体向下游沟口运动从而形成泥石流。</w:t>
      </w:r>
      <w:r>
        <w:rPr>
          <w:rFonts w:hint="eastAsia" w:ascii="仿宋" w:hAnsi="仿宋" w:eastAsia="仿宋" w:cs="仿宋"/>
          <w:b w:val="0"/>
          <w:bCs/>
          <w:color w:val="auto"/>
          <w:sz w:val="24"/>
          <w:szCs w:val="24"/>
        </w:rPr>
        <w:t>对</w:t>
      </w:r>
      <w:r>
        <w:rPr>
          <w:rFonts w:hint="eastAsia" w:ascii="仿宋" w:hAnsi="仿宋" w:eastAsia="仿宋" w:cs="仿宋"/>
          <w:b w:val="0"/>
          <w:bCs/>
          <w:color w:val="auto"/>
          <w:sz w:val="24"/>
          <w:szCs w:val="24"/>
          <w:lang w:val="en-US" w:eastAsia="zh-CN"/>
        </w:rPr>
        <w:t>周围</w:t>
      </w:r>
      <w:r>
        <w:rPr>
          <w:rFonts w:hint="eastAsia" w:ascii="仿宋" w:hAnsi="仿宋" w:eastAsia="仿宋" w:cs="仿宋"/>
          <w:b w:val="0"/>
          <w:bCs/>
          <w:color w:val="auto"/>
          <w:sz w:val="24"/>
          <w:szCs w:val="24"/>
        </w:rPr>
        <w:t>群众房屋</w:t>
      </w:r>
      <w:r>
        <w:rPr>
          <w:rFonts w:hint="eastAsia" w:ascii="仿宋" w:hAnsi="仿宋" w:eastAsia="仿宋" w:cs="仿宋"/>
          <w:b w:val="0"/>
          <w:bCs/>
          <w:color w:val="auto"/>
          <w:sz w:val="24"/>
          <w:szCs w:val="24"/>
          <w:lang w:val="en-US" w:eastAsia="zh-CN"/>
        </w:rPr>
        <w:t>设施</w:t>
      </w:r>
      <w:r>
        <w:rPr>
          <w:rFonts w:hint="eastAsia" w:ascii="仿宋" w:hAnsi="仿宋" w:eastAsia="仿宋" w:cs="仿宋"/>
          <w:b w:val="0"/>
          <w:bCs/>
          <w:color w:val="auto"/>
          <w:sz w:val="24"/>
          <w:szCs w:val="24"/>
        </w:rPr>
        <w:t>造成</w:t>
      </w:r>
      <w:r>
        <w:rPr>
          <w:rFonts w:hint="eastAsia" w:ascii="仿宋" w:hAnsi="仿宋" w:eastAsia="仿宋" w:cs="仿宋"/>
          <w:b w:val="0"/>
          <w:bCs/>
          <w:color w:val="auto"/>
          <w:sz w:val="24"/>
          <w:szCs w:val="24"/>
          <w:lang w:val="en-US" w:eastAsia="zh-CN"/>
        </w:rPr>
        <w:t>较大威胁</w:t>
      </w:r>
      <w:r>
        <w:rPr>
          <w:rFonts w:hint="eastAsia" w:ascii="仿宋" w:hAnsi="仿宋" w:eastAsia="仿宋" w:cs="仿宋"/>
          <w:b w:val="0"/>
          <w:bCs/>
          <w:color w:val="auto"/>
          <w:sz w:val="24"/>
          <w:szCs w:val="24"/>
        </w:rPr>
        <w:t>。</w:t>
      </w:r>
      <w:r>
        <w:rPr>
          <w:rFonts w:hint="eastAsia" w:ascii="仿宋" w:hAnsi="仿宋" w:eastAsia="仿宋" w:cs="仿宋"/>
          <w:b w:val="0"/>
          <w:bCs/>
          <w:color w:val="auto"/>
          <w:sz w:val="24"/>
          <w:szCs w:val="24"/>
          <w:lang w:val="en-US" w:eastAsia="zh-CN"/>
        </w:rPr>
        <w:t>据项目勘查成果，防治区内发育1条泥石流主沟，发育5条泥石流支沟</w:t>
      </w:r>
      <w:r>
        <w:rPr>
          <w:rFonts w:hint="eastAsia" w:ascii="仿宋" w:hAnsi="仿宋" w:eastAsia="仿宋" w:cs="仿宋"/>
          <w:b w:val="0"/>
          <w:bCs/>
          <w:color w:val="auto"/>
          <w:sz w:val="24"/>
          <w:szCs w:val="24"/>
          <w:lang w:eastAsia="zh-CN"/>
        </w:rPr>
        <w:t>，泥石流物源的补给途径主要为沟底侵蚀再搬运</w:t>
      </w:r>
      <w:r>
        <w:rPr>
          <w:rFonts w:hint="eastAsia" w:ascii="仿宋" w:hAnsi="仿宋" w:eastAsia="仿宋" w:cs="仿宋"/>
          <w:b w:val="0"/>
          <w:bCs/>
          <w:color w:val="auto"/>
          <w:sz w:val="24"/>
          <w:szCs w:val="24"/>
          <w:lang w:val="en-US" w:eastAsia="zh-CN"/>
        </w:rPr>
        <w:t>，为河床冲刷性型泥石流；威胁沟口乡政府工作人员约55人、小学教职员工40人、小学学生72人，乡政府宿舍楼2栋、办公楼1栋、道路1.0千米、小学教学楼1栋、校舍、林带及乡垃圾填埋场等。</w:t>
      </w:r>
    </w:p>
    <w:p>
      <w:pPr>
        <w:keepNext w:val="0"/>
        <w:keepLines w:val="0"/>
        <w:pageBreakBefore w:val="0"/>
        <w:widowControl w:val="0"/>
        <w:kinsoku/>
        <w:wordWrap/>
        <w:overflowPunct/>
        <w:topLinePunct w:val="0"/>
        <w:bidi w:val="0"/>
        <w:spacing w:line="560" w:lineRule="exact"/>
        <w:ind w:firstLine="480" w:firstLineChars="200"/>
        <w:textAlignment w:val="auto"/>
        <w:outlineLvl w:val="1"/>
        <w:rPr>
          <w:rFonts w:hint="eastAsia" w:ascii="仿宋" w:hAnsi="仿宋" w:eastAsia="仿宋" w:cs="仿宋"/>
          <w:b w:val="0"/>
          <w:bCs/>
          <w:color w:val="auto"/>
          <w:sz w:val="24"/>
          <w:szCs w:val="24"/>
        </w:rPr>
      </w:pPr>
      <w:bookmarkStart w:id="325" w:name="_Toc27331"/>
      <w:r>
        <w:rPr>
          <w:rFonts w:hint="eastAsia" w:ascii="仿宋" w:hAnsi="仿宋" w:eastAsia="仿宋" w:cs="仿宋"/>
          <w:b w:val="0"/>
          <w:bCs/>
          <w:color w:val="auto"/>
          <w:sz w:val="24"/>
          <w:szCs w:val="24"/>
        </w:rPr>
        <w:t>六、目标任务</w:t>
      </w:r>
      <w:bookmarkEnd w:id="325"/>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（一）目标</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通过对</w:t>
      </w:r>
      <w:r>
        <w:rPr>
          <w:rFonts w:hint="eastAsia" w:ascii="仿宋" w:hAnsi="仿宋" w:eastAsia="仿宋" w:cs="仿宋"/>
          <w:b w:val="0"/>
          <w:bCs/>
          <w:color w:val="auto"/>
          <w:sz w:val="24"/>
          <w:szCs w:val="24"/>
          <w:lang w:eastAsia="zh-CN"/>
        </w:rPr>
        <w:t>新疆乌恰县吾合沙鲁乡政府、小学泥石流</w:t>
      </w:r>
      <w:r>
        <w:rPr>
          <w:rFonts w:hint="eastAsia" w:ascii="仿宋" w:hAnsi="仿宋" w:eastAsia="仿宋" w:cs="仿宋"/>
          <w:b w:val="0"/>
          <w:bCs/>
          <w:color w:val="auto"/>
          <w:sz w:val="24"/>
          <w:szCs w:val="24"/>
        </w:rPr>
        <w:t>防治工程的实施，减轻或消除当地牧民、居民遭受泥石流灾害的威胁，保障人民生命和财产安全。</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（二）任务</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480" w:firstLineChars="200"/>
        <w:textAlignment w:val="auto"/>
        <w:outlineLvl w:val="9"/>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rPr>
        <w:t>1.根据实地踏勘成果和勘查报告以及相关标准规范编制地质灾害防治工程设计和施工组织设计</w:t>
      </w:r>
      <w:r>
        <w:rPr>
          <w:rFonts w:hint="eastAsia" w:ascii="仿宋" w:hAnsi="仿宋" w:eastAsia="仿宋" w:cs="仿宋"/>
          <w:b w:val="0"/>
          <w:bCs/>
          <w:color w:val="auto"/>
          <w:sz w:val="24"/>
          <w:szCs w:val="24"/>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2.按照审批通过的防治工程设计，组织地质灾害防治工程施工。</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3.减轻或消除工作区及其周边居民遭受</w:t>
      </w:r>
      <w:r>
        <w:rPr>
          <w:rFonts w:hint="eastAsia" w:ascii="仿宋" w:hAnsi="仿宋" w:eastAsia="仿宋" w:cs="仿宋"/>
          <w:b w:val="0"/>
          <w:bCs/>
          <w:color w:val="auto"/>
          <w:sz w:val="24"/>
          <w:szCs w:val="24"/>
          <w:lang w:val="en-US" w:eastAsia="zh-CN"/>
        </w:rPr>
        <w:t>泥石流</w:t>
      </w:r>
      <w:r>
        <w:rPr>
          <w:rFonts w:hint="eastAsia" w:ascii="仿宋" w:hAnsi="仿宋" w:eastAsia="仿宋" w:cs="仿宋"/>
          <w:b w:val="0"/>
          <w:bCs/>
          <w:color w:val="auto"/>
          <w:sz w:val="24"/>
          <w:szCs w:val="24"/>
        </w:rPr>
        <w:t>灾害的威胁。</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4.防治工程完成后，制作永久性工程说明碑。</w:t>
      </w:r>
    </w:p>
    <w:p>
      <w:pPr>
        <w:keepNext w:val="0"/>
        <w:keepLines w:val="0"/>
        <w:pageBreakBefore w:val="0"/>
        <w:widowControl w:val="0"/>
        <w:kinsoku/>
        <w:wordWrap/>
        <w:overflowPunct/>
        <w:topLinePunct w:val="0"/>
        <w:bidi w:val="0"/>
        <w:spacing w:line="560" w:lineRule="exact"/>
        <w:ind w:firstLine="480" w:firstLineChars="200"/>
        <w:textAlignment w:val="auto"/>
        <w:outlineLvl w:val="1"/>
        <w:rPr>
          <w:rFonts w:hint="eastAsia" w:ascii="仿宋" w:hAnsi="仿宋" w:eastAsia="仿宋" w:cs="仿宋"/>
          <w:b w:val="0"/>
          <w:bCs/>
          <w:color w:val="auto"/>
          <w:sz w:val="24"/>
          <w:szCs w:val="24"/>
        </w:rPr>
      </w:pPr>
      <w:bookmarkStart w:id="326" w:name="_Toc24887"/>
      <w:r>
        <w:rPr>
          <w:rFonts w:hint="eastAsia" w:ascii="仿宋" w:hAnsi="仿宋" w:eastAsia="仿宋" w:cs="仿宋"/>
          <w:b w:val="0"/>
          <w:bCs/>
          <w:color w:val="auto"/>
          <w:sz w:val="24"/>
          <w:szCs w:val="24"/>
        </w:rPr>
        <w:t>七、主要技术要求</w:t>
      </w:r>
      <w:bookmarkEnd w:id="326"/>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b w:val="0"/>
          <w:bCs/>
          <w:color w:val="auto"/>
          <w:kern w:val="0"/>
          <w:sz w:val="24"/>
          <w:szCs w:val="24"/>
        </w:rPr>
      </w:pPr>
      <w:r>
        <w:rPr>
          <w:rFonts w:hint="eastAsia" w:ascii="仿宋" w:hAnsi="仿宋" w:eastAsia="仿宋" w:cs="仿宋"/>
          <w:b w:val="0"/>
          <w:bCs/>
          <w:color w:val="auto"/>
          <w:kern w:val="0"/>
          <w:sz w:val="24"/>
          <w:szCs w:val="24"/>
          <w:lang w:val="en-US" w:eastAsia="zh-CN"/>
        </w:rPr>
        <w:t>1</w:t>
      </w:r>
      <w:r>
        <w:rPr>
          <w:rFonts w:hint="eastAsia" w:ascii="仿宋" w:hAnsi="仿宋" w:eastAsia="仿宋" w:cs="仿宋"/>
          <w:b w:val="0"/>
          <w:bCs/>
          <w:color w:val="auto"/>
          <w:kern w:val="0"/>
          <w:sz w:val="24"/>
          <w:szCs w:val="24"/>
        </w:rPr>
        <w:t>.《泥石流防治工程设计规范》（试行）T-CAGHP 021-2018；</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b w:val="0"/>
          <w:bCs/>
          <w:color w:val="auto"/>
          <w:kern w:val="0"/>
          <w:sz w:val="24"/>
          <w:szCs w:val="24"/>
          <w:lang w:val="en-US" w:eastAsia="zh-CN"/>
        </w:rPr>
      </w:pPr>
      <w:r>
        <w:rPr>
          <w:rFonts w:hint="eastAsia" w:ascii="仿宋" w:hAnsi="仿宋" w:eastAsia="仿宋" w:cs="仿宋"/>
          <w:b w:val="0"/>
          <w:bCs/>
          <w:color w:val="auto"/>
          <w:kern w:val="0"/>
          <w:sz w:val="24"/>
          <w:szCs w:val="24"/>
          <w:lang w:val="en-US" w:eastAsia="zh-CN"/>
        </w:rPr>
        <w:t>2</w:t>
      </w:r>
      <w:r>
        <w:rPr>
          <w:rFonts w:hint="eastAsia" w:ascii="仿宋" w:hAnsi="仿宋" w:eastAsia="仿宋" w:cs="仿宋"/>
          <w:b w:val="0"/>
          <w:bCs/>
          <w:color w:val="auto"/>
          <w:kern w:val="0"/>
          <w:sz w:val="24"/>
          <w:szCs w:val="24"/>
        </w:rPr>
        <w:t>.</w:t>
      </w:r>
      <w:r>
        <w:rPr>
          <w:rFonts w:hint="eastAsia" w:ascii="仿宋" w:hAnsi="仿宋" w:eastAsia="仿宋" w:cs="仿宋"/>
          <w:b w:val="0"/>
          <w:bCs/>
          <w:color w:val="auto"/>
          <w:kern w:val="0"/>
          <w:sz w:val="24"/>
          <w:szCs w:val="24"/>
          <w:lang w:eastAsia="zh-CN"/>
        </w:rPr>
        <w:t>《</w:t>
      </w:r>
      <w:r>
        <w:rPr>
          <w:rFonts w:hint="eastAsia" w:ascii="仿宋" w:hAnsi="仿宋" w:eastAsia="仿宋" w:cs="仿宋"/>
          <w:b w:val="0"/>
          <w:bCs/>
          <w:color w:val="auto"/>
          <w:kern w:val="0"/>
          <w:sz w:val="24"/>
          <w:szCs w:val="24"/>
          <w:lang w:val="en-US" w:eastAsia="zh-CN"/>
        </w:rPr>
        <w:t>泥石流防治工程施工技术规范（试行）</w:t>
      </w:r>
      <w:r>
        <w:rPr>
          <w:rFonts w:hint="eastAsia" w:ascii="仿宋" w:hAnsi="仿宋" w:eastAsia="仿宋" w:cs="仿宋"/>
          <w:b w:val="0"/>
          <w:bCs/>
          <w:color w:val="auto"/>
          <w:kern w:val="0"/>
          <w:sz w:val="24"/>
          <w:szCs w:val="24"/>
          <w:lang w:eastAsia="zh-CN"/>
        </w:rPr>
        <w:t>》</w:t>
      </w:r>
      <w:r>
        <w:rPr>
          <w:rFonts w:hint="eastAsia" w:ascii="仿宋" w:hAnsi="仿宋" w:eastAsia="仿宋" w:cs="仿宋"/>
          <w:b w:val="0"/>
          <w:bCs/>
          <w:color w:val="auto"/>
          <w:kern w:val="0"/>
          <w:sz w:val="24"/>
          <w:szCs w:val="24"/>
          <w:lang w:val="en-US" w:eastAsia="zh-CN"/>
        </w:rPr>
        <w:t>（</w:t>
      </w:r>
      <w:r>
        <w:rPr>
          <w:rFonts w:hint="eastAsia" w:ascii="仿宋" w:hAnsi="仿宋" w:eastAsia="仿宋" w:cs="仿宋"/>
          <w:b w:val="0"/>
          <w:bCs/>
          <w:color w:val="auto"/>
          <w:kern w:val="0"/>
          <w:sz w:val="24"/>
          <w:szCs w:val="24"/>
        </w:rPr>
        <w:t>T/CAGHP 061—201</w:t>
      </w:r>
      <w:r>
        <w:rPr>
          <w:rFonts w:hint="eastAsia" w:ascii="仿宋" w:hAnsi="仿宋" w:eastAsia="仿宋" w:cs="仿宋"/>
          <w:b w:val="0"/>
          <w:bCs/>
          <w:color w:val="auto"/>
          <w:kern w:val="0"/>
          <w:sz w:val="24"/>
          <w:szCs w:val="24"/>
          <w:lang w:val="en-US" w:eastAsia="zh-CN"/>
        </w:rPr>
        <w:t>9）；</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b w:val="0"/>
          <w:bCs/>
          <w:color w:val="auto"/>
          <w:kern w:val="0"/>
          <w:sz w:val="24"/>
          <w:szCs w:val="24"/>
        </w:rPr>
      </w:pPr>
      <w:r>
        <w:rPr>
          <w:rFonts w:hint="eastAsia" w:ascii="仿宋" w:hAnsi="仿宋" w:eastAsia="仿宋" w:cs="仿宋"/>
          <w:b w:val="0"/>
          <w:bCs/>
          <w:color w:val="auto"/>
          <w:kern w:val="0"/>
          <w:sz w:val="24"/>
          <w:szCs w:val="24"/>
          <w:lang w:val="en-US" w:eastAsia="zh-CN"/>
        </w:rPr>
        <w:t>3</w:t>
      </w:r>
      <w:r>
        <w:rPr>
          <w:rFonts w:hint="eastAsia" w:ascii="仿宋" w:hAnsi="仿宋" w:eastAsia="仿宋" w:cs="仿宋"/>
          <w:b w:val="0"/>
          <w:bCs/>
          <w:color w:val="auto"/>
          <w:kern w:val="0"/>
          <w:sz w:val="24"/>
          <w:szCs w:val="24"/>
        </w:rPr>
        <w:t>.《崩塌·滑坡·泥石流监测规范》（DZ/T0221-2006）；</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b w:val="0"/>
          <w:bCs/>
          <w:color w:val="auto"/>
          <w:kern w:val="0"/>
          <w:sz w:val="24"/>
          <w:szCs w:val="24"/>
        </w:rPr>
      </w:pPr>
      <w:r>
        <w:rPr>
          <w:rFonts w:hint="eastAsia" w:ascii="仿宋" w:hAnsi="仿宋" w:eastAsia="仿宋" w:cs="仿宋"/>
          <w:b w:val="0"/>
          <w:bCs/>
          <w:color w:val="auto"/>
          <w:kern w:val="0"/>
          <w:sz w:val="24"/>
          <w:szCs w:val="24"/>
          <w:lang w:val="en-US" w:eastAsia="zh-CN"/>
        </w:rPr>
        <w:t>4</w:t>
      </w:r>
      <w:r>
        <w:rPr>
          <w:rFonts w:hint="eastAsia" w:ascii="仿宋" w:hAnsi="仿宋" w:eastAsia="仿宋" w:cs="仿宋"/>
          <w:b w:val="0"/>
          <w:bCs/>
          <w:color w:val="auto"/>
          <w:kern w:val="0"/>
          <w:sz w:val="24"/>
          <w:szCs w:val="24"/>
        </w:rPr>
        <w:t>.《建筑抗震设计规范》（GB50011-2010）；</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b w:val="0"/>
          <w:bCs/>
          <w:color w:val="auto"/>
          <w:kern w:val="0"/>
          <w:sz w:val="24"/>
          <w:szCs w:val="24"/>
        </w:rPr>
      </w:pPr>
      <w:r>
        <w:rPr>
          <w:rFonts w:hint="eastAsia" w:ascii="仿宋" w:hAnsi="仿宋" w:eastAsia="仿宋" w:cs="仿宋"/>
          <w:b w:val="0"/>
          <w:bCs/>
          <w:color w:val="auto"/>
          <w:kern w:val="0"/>
          <w:sz w:val="24"/>
          <w:szCs w:val="24"/>
          <w:lang w:val="en-US" w:eastAsia="zh-CN"/>
        </w:rPr>
        <w:t>5</w:t>
      </w:r>
      <w:r>
        <w:rPr>
          <w:rFonts w:hint="eastAsia" w:ascii="仿宋" w:hAnsi="仿宋" w:eastAsia="仿宋" w:cs="仿宋"/>
          <w:b w:val="0"/>
          <w:bCs/>
          <w:color w:val="auto"/>
          <w:kern w:val="0"/>
          <w:sz w:val="24"/>
          <w:szCs w:val="24"/>
        </w:rPr>
        <w:t>.《工业建筑防腐蚀设计规范》（GB50046-2008）；</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b w:val="0"/>
          <w:bCs/>
          <w:color w:val="auto"/>
          <w:kern w:val="0"/>
          <w:sz w:val="24"/>
          <w:szCs w:val="24"/>
        </w:rPr>
      </w:pPr>
      <w:r>
        <w:rPr>
          <w:rFonts w:hint="eastAsia" w:ascii="仿宋" w:hAnsi="仿宋" w:eastAsia="仿宋" w:cs="仿宋"/>
          <w:b w:val="0"/>
          <w:bCs/>
          <w:color w:val="auto"/>
          <w:kern w:val="0"/>
          <w:sz w:val="24"/>
          <w:szCs w:val="24"/>
          <w:lang w:val="en-US" w:eastAsia="zh-CN"/>
        </w:rPr>
        <w:t>6</w:t>
      </w:r>
      <w:r>
        <w:rPr>
          <w:rFonts w:hint="eastAsia" w:ascii="仿宋" w:hAnsi="仿宋" w:eastAsia="仿宋" w:cs="仿宋"/>
          <w:b w:val="0"/>
          <w:bCs/>
          <w:color w:val="auto"/>
          <w:kern w:val="0"/>
          <w:sz w:val="24"/>
          <w:szCs w:val="24"/>
        </w:rPr>
        <w:t>.《砌体结构设计规范》（GB50003-2011）；</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b w:val="0"/>
          <w:bCs/>
          <w:color w:val="auto"/>
          <w:kern w:val="0"/>
          <w:sz w:val="24"/>
          <w:szCs w:val="24"/>
        </w:rPr>
      </w:pPr>
      <w:r>
        <w:rPr>
          <w:rFonts w:hint="eastAsia" w:ascii="仿宋" w:hAnsi="仿宋" w:eastAsia="仿宋" w:cs="仿宋"/>
          <w:b w:val="0"/>
          <w:bCs/>
          <w:color w:val="auto"/>
          <w:kern w:val="0"/>
          <w:sz w:val="24"/>
          <w:szCs w:val="24"/>
          <w:lang w:val="en-US" w:eastAsia="zh-CN"/>
        </w:rPr>
        <w:t>7</w:t>
      </w:r>
      <w:r>
        <w:rPr>
          <w:rFonts w:hint="eastAsia" w:ascii="仿宋" w:hAnsi="仿宋" w:eastAsia="仿宋" w:cs="仿宋"/>
          <w:b w:val="0"/>
          <w:bCs/>
          <w:color w:val="auto"/>
          <w:kern w:val="0"/>
          <w:sz w:val="24"/>
          <w:szCs w:val="24"/>
        </w:rPr>
        <w:t>.《混凝土结构设计规范》（GB50010-2010）；</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b w:val="0"/>
          <w:bCs/>
          <w:color w:val="auto"/>
          <w:kern w:val="0"/>
          <w:sz w:val="24"/>
          <w:szCs w:val="24"/>
        </w:rPr>
      </w:pPr>
      <w:r>
        <w:rPr>
          <w:rFonts w:hint="eastAsia" w:ascii="仿宋" w:hAnsi="仿宋" w:eastAsia="仿宋" w:cs="仿宋"/>
          <w:b w:val="0"/>
          <w:bCs/>
          <w:color w:val="auto"/>
          <w:kern w:val="0"/>
          <w:sz w:val="24"/>
          <w:szCs w:val="24"/>
          <w:lang w:val="en-US" w:eastAsia="zh-CN"/>
        </w:rPr>
        <w:t>8</w:t>
      </w:r>
      <w:r>
        <w:rPr>
          <w:rFonts w:hint="eastAsia" w:ascii="仿宋" w:hAnsi="仿宋" w:eastAsia="仿宋" w:cs="仿宋"/>
          <w:b w:val="0"/>
          <w:bCs/>
          <w:color w:val="auto"/>
          <w:kern w:val="0"/>
          <w:sz w:val="24"/>
          <w:szCs w:val="24"/>
        </w:rPr>
        <w:t>.《建筑地基基础设计规范》（GB50007-2011）；</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b w:val="0"/>
          <w:bCs/>
          <w:color w:val="auto"/>
          <w:kern w:val="0"/>
          <w:sz w:val="24"/>
          <w:szCs w:val="24"/>
        </w:rPr>
      </w:pPr>
      <w:r>
        <w:rPr>
          <w:rFonts w:hint="eastAsia" w:ascii="仿宋" w:hAnsi="仿宋" w:eastAsia="仿宋" w:cs="仿宋"/>
          <w:b w:val="0"/>
          <w:bCs/>
          <w:color w:val="auto"/>
          <w:kern w:val="0"/>
          <w:sz w:val="24"/>
          <w:szCs w:val="24"/>
          <w:lang w:val="en-US" w:eastAsia="zh-CN"/>
        </w:rPr>
        <w:t>9</w:t>
      </w:r>
      <w:r>
        <w:rPr>
          <w:rFonts w:hint="eastAsia" w:ascii="仿宋" w:hAnsi="仿宋" w:eastAsia="仿宋" w:cs="仿宋"/>
          <w:b w:val="0"/>
          <w:bCs/>
          <w:color w:val="auto"/>
          <w:kern w:val="0"/>
          <w:sz w:val="24"/>
          <w:szCs w:val="24"/>
        </w:rPr>
        <w:t>.《建筑边坡工程技术规范》（GB50330-2013）；</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b w:val="0"/>
          <w:bCs/>
          <w:color w:val="auto"/>
          <w:kern w:val="0"/>
          <w:sz w:val="24"/>
          <w:szCs w:val="24"/>
        </w:rPr>
      </w:pPr>
      <w:r>
        <w:rPr>
          <w:rFonts w:hint="eastAsia" w:ascii="仿宋" w:hAnsi="仿宋" w:eastAsia="仿宋" w:cs="仿宋"/>
          <w:b w:val="0"/>
          <w:bCs/>
          <w:color w:val="auto"/>
          <w:kern w:val="0"/>
          <w:sz w:val="24"/>
          <w:szCs w:val="24"/>
        </w:rPr>
        <w:t>10.《工程测量规范》（GB50026-2007）；</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b w:val="0"/>
          <w:bCs/>
          <w:color w:val="auto"/>
          <w:kern w:val="0"/>
          <w:sz w:val="24"/>
          <w:szCs w:val="24"/>
        </w:rPr>
      </w:pPr>
      <w:r>
        <w:rPr>
          <w:rFonts w:hint="eastAsia" w:ascii="仿宋" w:hAnsi="仿宋" w:eastAsia="仿宋" w:cs="仿宋"/>
          <w:b w:val="0"/>
          <w:bCs/>
          <w:color w:val="auto"/>
          <w:kern w:val="0"/>
          <w:sz w:val="24"/>
          <w:szCs w:val="24"/>
        </w:rPr>
        <w:t>11.《全球定位系统（GPS）测量规范》（GB/T18314-2009）；</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b w:val="0"/>
          <w:bCs/>
          <w:color w:val="auto"/>
          <w:kern w:val="0"/>
          <w:sz w:val="24"/>
          <w:szCs w:val="24"/>
        </w:rPr>
      </w:pPr>
      <w:r>
        <w:rPr>
          <w:rFonts w:hint="eastAsia" w:ascii="仿宋" w:hAnsi="仿宋" w:eastAsia="仿宋" w:cs="仿宋"/>
          <w:b w:val="0"/>
          <w:bCs/>
          <w:color w:val="auto"/>
          <w:kern w:val="0"/>
          <w:sz w:val="24"/>
          <w:szCs w:val="24"/>
        </w:rPr>
        <w:t>12.《建设工程质量管理条例》；</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b w:val="0"/>
          <w:bCs/>
          <w:color w:val="auto"/>
          <w:kern w:val="0"/>
          <w:sz w:val="24"/>
          <w:szCs w:val="24"/>
        </w:rPr>
      </w:pPr>
      <w:r>
        <w:rPr>
          <w:rFonts w:hint="eastAsia" w:ascii="仿宋" w:hAnsi="仿宋" w:eastAsia="仿宋" w:cs="仿宋"/>
          <w:b w:val="0"/>
          <w:bCs/>
          <w:color w:val="auto"/>
          <w:kern w:val="0"/>
          <w:sz w:val="24"/>
          <w:szCs w:val="24"/>
        </w:rPr>
        <w:t>13.《建设工程安全生产管理条例》；</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b w:val="0"/>
          <w:bCs/>
          <w:color w:val="auto"/>
          <w:kern w:val="0"/>
          <w:sz w:val="24"/>
          <w:szCs w:val="24"/>
        </w:rPr>
      </w:pPr>
      <w:r>
        <w:rPr>
          <w:rFonts w:hint="eastAsia" w:ascii="仿宋" w:hAnsi="仿宋" w:eastAsia="仿宋" w:cs="仿宋"/>
          <w:b w:val="0"/>
          <w:bCs/>
          <w:color w:val="auto"/>
          <w:kern w:val="0"/>
          <w:sz w:val="24"/>
          <w:szCs w:val="24"/>
        </w:rPr>
        <w:t>14.《建设项目环境保护管理条例》；</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b w:val="0"/>
          <w:bCs/>
          <w:color w:val="auto"/>
          <w:kern w:val="0"/>
          <w:sz w:val="24"/>
          <w:szCs w:val="24"/>
        </w:rPr>
      </w:pPr>
      <w:r>
        <w:rPr>
          <w:rFonts w:hint="eastAsia" w:ascii="仿宋" w:hAnsi="仿宋" w:eastAsia="仿宋" w:cs="仿宋"/>
          <w:b w:val="0"/>
          <w:bCs/>
          <w:color w:val="auto"/>
          <w:kern w:val="0"/>
          <w:sz w:val="24"/>
          <w:szCs w:val="24"/>
        </w:rPr>
        <w:t>15.其他有关规范、规程和技术要求。</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同时满足招标文件、设计书及其审批意见书和有关规定的要求。</w:t>
      </w:r>
    </w:p>
    <w:p>
      <w:pPr>
        <w:keepNext w:val="0"/>
        <w:keepLines w:val="0"/>
        <w:pageBreakBefore w:val="0"/>
        <w:widowControl w:val="0"/>
        <w:kinsoku/>
        <w:wordWrap/>
        <w:overflowPunct/>
        <w:topLinePunct w:val="0"/>
        <w:bidi w:val="0"/>
        <w:spacing w:line="560" w:lineRule="exact"/>
        <w:ind w:firstLine="480" w:firstLineChars="200"/>
        <w:textAlignment w:val="auto"/>
        <w:outlineLvl w:val="1"/>
        <w:rPr>
          <w:rFonts w:hint="eastAsia" w:ascii="仿宋" w:hAnsi="仿宋" w:eastAsia="仿宋" w:cs="仿宋"/>
          <w:b w:val="0"/>
          <w:bCs/>
          <w:color w:val="auto"/>
          <w:sz w:val="24"/>
          <w:szCs w:val="24"/>
        </w:rPr>
      </w:pPr>
      <w:bookmarkStart w:id="327" w:name="_Toc5763"/>
      <w:r>
        <w:rPr>
          <w:rFonts w:hint="eastAsia" w:ascii="仿宋" w:hAnsi="仿宋" w:eastAsia="仿宋" w:cs="仿宋"/>
          <w:b w:val="0"/>
          <w:bCs/>
          <w:color w:val="auto"/>
          <w:sz w:val="24"/>
          <w:szCs w:val="24"/>
        </w:rPr>
        <w:t>八、主要实物工作量</w:t>
      </w:r>
      <w:bookmarkEnd w:id="327"/>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480" w:firstLineChars="200"/>
        <w:textAlignment w:val="auto"/>
        <w:outlineLvl w:val="9"/>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根据本项目的目标和任务，结合防治区泥石流灾害特征和环境现状，以基本消除或减轻地质灾害对当地居民的威胁为目的，本次泥石流灾害防治工程可以采用排导、拦挡、监测、安全警示牌等措施。</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投标单位在现场踏勘后提出投标设计方案。</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b w:val="0"/>
          <w:bCs/>
          <w:color w:val="auto"/>
          <w:sz w:val="24"/>
          <w:szCs w:val="24"/>
          <w:u w:val="single"/>
        </w:rPr>
      </w:pPr>
      <w:r>
        <w:rPr>
          <w:rFonts w:hint="eastAsia" w:ascii="仿宋" w:hAnsi="仿宋" w:eastAsia="仿宋" w:cs="仿宋"/>
          <w:b w:val="0"/>
          <w:bCs/>
          <w:color w:val="auto"/>
          <w:sz w:val="24"/>
          <w:szCs w:val="24"/>
          <w:u w:val="single"/>
        </w:rPr>
        <w:t>最终设计方案及工作量以审批后的防治工程项目设计书为准。</w:t>
      </w:r>
    </w:p>
    <w:p>
      <w:pPr>
        <w:keepNext w:val="0"/>
        <w:keepLines w:val="0"/>
        <w:pageBreakBefore w:val="0"/>
        <w:widowControl w:val="0"/>
        <w:kinsoku/>
        <w:wordWrap/>
        <w:overflowPunct/>
        <w:topLinePunct w:val="0"/>
        <w:bidi w:val="0"/>
        <w:spacing w:line="560" w:lineRule="exact"/>
        <w:ind w:firstLine="480" w:firstLineChars="200"/>
        <w:textAlignment w:val="auto"/>
        <w:outlineLvl w:val="1"/>
        <w:rPr>
          <w:rFonts w:hint="eastAsia" w:ascii="仿宋" w:hAnsi="仿宋" w:eastAsia="仿宋" w:cs="仿宋"/>
          <w:b w:val="0"/>
          <w:bCs/>
          <w:color w:val="auto"/>
          <w:sz w:val="24"/>
          <w:szCs w:val="24"/>
        </w:rPr>
      </w:pPr>
      <w:bookmarkStart w:id="328" w:name="_Toc6234"/>
      <w:r>
        <w:rPr>
          <w:rFonts w:hint="eastAsia" w:ascii="仿宋" w:hAnsi="仿宋" w:eastAsia="仿宋" w:cs="仿宋"/>
          <w:b w:val="0"/>
          <w:bCs/>
          <w:color w:val="auto"/>
          <w:sz w:val="24"/>
          <w:szCs w:val="24"/>
        </w:rPr>
        <w:t>九、预期提交成果</w:t>
      </w:r>
      <w:bookmarkEnd w:id="328"/>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（一）防治工程设计成果</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1.</w:t>
      </w:r>
      <w:r>
        <w:rPr>
          <w:rFonts w:hint="eastAsia" w:ascii="仿宋" w:hAnsi="仿宋" w:eastAsia="仿宋" w:cs="仿宋"/>
          <w:b w:val="0"/>
          <w:bCs/>
          <w:color w:val="auto"/>
          <w:sz w:val="24"/>
          <w:szCs w:val="24"/>
          <w:lang w:eastAsia="zh-CN"/>
        </w:rPr>
        <w:t>新疆乌恰县吾合沙鲁乡政府、小学泥石流</w:t>
      </w:r>
      <w:r>
        <w:rPr>
          <w:rFonts w:hint="eastAsia" w:ascii="仿宋" w:hAnsi="仿宋" w:eastAsia="仿宋" w:cs="仿宋"/>
          <w:b w:val="0"/>
          <w:bCs/>
          <w:color w:val="auto"/>
          <w:sz w:val="24"/>
          <w:szCs w:val="24"/>
        </w:rPr>
        <w:t>防治工程设计书（施工设计和施工组织设计）；</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480" w:firstLineChars="200"/>
        <w:textAlignment w:val="auto"/>
        <w:outlineLvl w:val="9"/>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rPr>
        <w:t>2.</w:t>
      </w:r>
      <w:r>
        <w:rPr>
          <w:rFonts w:hint="eastAsia" w:ascii="仿宋" w:hAnsi="仿宋" w:eastAsia="仿宋" w:cs="仿宋"/>
          <w:b w:val="0"/>
          <w:bCs/>
          <w:color w:val="auto"/>
          <w:sz w:val="24"/>
          <w:szCs w:val="24"/>
          <w:lang w:eastAsia="zh-CN"/>
        </w:rPr>
        <w:t>新疆乌恰县吾合沙鲁乡政府、小学泥石流</w:t>
      </w:r>
      <w:r>
        <w:rPr>
          <w:rFonts w:hint="eastAsia" w:ascii="仿宋" w:hAnsi="仿宋" w:eastAsia="仿宋" w:cs="仿宋"/>
          <w:b w:val="0"/>
          <w:bCs/>
          <w:color w:val="auto"/>
          <w:sz w:val="24"/>
          <w:szCs w:val="24"/>
        </w:rPr>
        <w:t>防治工程平面</w:t>
      </w:r>
      <w:r>
        <w:rPr>
          <w:rFonts w:hint="eastAsia" w:ascii="仿宋" w:hAnsi="仿宋" w:eastAsia="仿宋" w:cs="仿宋"/>
          <w:b w:val="0"/>
          <w:bCs/>
          <w:color w:val="auto"/>
          <w:sz w:val="24"/>
          <w:szCs w:val="24"/>
          <w:lang w:val="en-US" w:eastAsia="zh-CN"/>
        </w:rPr>
        <w:t>布置</w:t>
      </w:r>
      <w:r>
        <w:rPr>
          <w:rFonts w:hint="eastAsia" w:ascii="仿宋" w:hAnsi="仿宋" w:eastAsia="仿宋" w:cs="仿宋"/>
          <w:b w:val="0"/>
          <w:bCs/>
          <w:color w:val="auto"/>
          <w:sz w:val="24"/>
          <w:szCs w:val="24"/>
        </w:rPr>
        <w:t>图及各单项防治工程设计图</w:t>
      </w:r>
      <w:r>
        <w:rPr>
          <w:rFonts w:hint="eastAsia" w:ascii="仿宋" w:hAnsi="仿宋" w:eastAsia="仿宋" w:cs="仿宋"/>
          <w:b w:val="0"/>
          <w:bCs/>
          <w:color w:val="auto"/>
          <w:sz w:val="24"/>
          <w:szCs w:val="24"/>
          <w:lang w:eastAsia="zh-CN"/>
        </w:rPr>
        <w:t>。</w:t>
      </w:r>
    </w:p>
    <w:p>
      <w:pPr>
        <w:keepNext w:val="0"/>
        <w:keepLines w:val="0"/>
        <w:pageBreakBefore w:val="0"/>
        <w:widowControl w:val="0"/>
        <w:kinsoku/>
        <w:wordWrap/>
        <w:overflowPunct/>
        <w:topLinePunct w:val="0"/>
        <w:bidi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（二）防治工程施工成果</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防治工程施工成果和资料汇交应按《新疆维吾尔自治区地质灾害防治项目管理办法（试行）》及</w:t>
      </w:r>
      <w:r>
        <w:rPr>
          <w:rFonts w:hint="eastAsia" w:ascii="仿宋" w:hAnsi="仿宋" w:eastAsia="仿宋" w:cs="仿宋"/>
          <w:b w:val="0"/>
          <w:bCs/>
          <w:color w:val="auto"/>
          <w:sz w:val="24"/>
          <w:szCs w:val="24"/>
          <w:lang w:val="en-US" w:eastAsia="zh-CN"/>
        </w:rPr>
        <w:t>附件</w:t>
      </w:r>
      <w:r>
        <w:rPr>
          <w:rFonts w:hint="eastAsia" w:ascii="仿宋" w:hAnsi="仿宋" w:eastAsia="仿宋" w:cs="仿宋"/>
          <w:b w:val="0"/>
          <w:bCs/>
          <w:color w:val="auto"/>
          <w:sz w:val="24"/>
          <w:szCs w:val="24"/>
        </w:rPr>
        <w:t>《新疆维吾尔自治区地质灾害防治项目验收细则》要求执行。</w:t>
      </w:r>
    </w:p>
    <w:p>
      <w:pPr>
        <w:keepNext w:val="0"/>
        <w:keepLines w:val="0"/>
        <w:pageBreakBefore w:val="0"/>
        <w:widowControl w:val="0"/>
        <w:kinsoku/>
        <w:wordWrap/>
        <w:overflowPunct/>
        <w:topLinePunct w:val="0"/>
        <w:bidi w:val="0"/>
        <w:spacing w:line="560" w:lineRule="exact"/>
        <w:ind w:firstLine="480" w:firstLineChars="200"/>
        <w:textAlignment w:val="auto"/>
        <w:outlineLvl w:val="1"/>
        <w:rPr>
          <w:rFonts w:hint="eastAsia" w:ascii="仿宋" w:hAnsi="仿宋" w:eastAsia="仿宋" w:cs="仿宋"/>
          <w:b w:val="0"/>
          <w:bCs/>
          <w:color w:val="auto"/>
          <w:sz w:val="24"/>
          <w:szCs w:val="24"/>
        </w:rPr>
      </w:pPr>
      <w:bookmarkStart w:id="329" w:name="_Toc10901"/>
      <w:r>
        <w:rPr>
          <w:rFonts w:hint="eastAsia" w:ascii="仿宋" w:hAnsi="仿宋" w:eastAsia="仿宋" w:cs="仿宋"/>
          <w:b w:val="0"/>
          <w:bCs/>
          <w:color w:val="auto"/>
          <w:sz w:val="24"/>
          <w:szCs w:val="24"/>
        </w:rPr>
        <w:t>十、工作周期</w:t>
      </w:r>
      <w:bookmarkEnd w:id="329"/>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2023年</w:t>
      </w:r>
      <w:r>
        <w:rPr>
          <w:rFonts w:hint="eastAsia" w:ascii="仿宋" w:hAnsi="仿宋" w:eastAsia="仿宋" w:cs="仿宋"/>
          <w:b w:val="0"/>
          <w:bCs/>
          <w:color w:val="auto"/>
          <w:sz w:val="24"/>
          <w:szCs w:val="24"/>
          <w:lang w:val="en-US" w:eastAsia="zh-CN"/>
        </w:rPr>
        <w:t>3</w:t>
      </w:r>
      <w:r>
        <w:rPr>
          <w:rFonts w:hint="eastAsia" w:ascii="仿宋" w:hAnsi="仿宋" w:eastAsia="仿宋" w:cs="仿宋"/>
          <w:b w:val="0"/>
          <w:bCs/>
          <w:color w:val="auto"/>
          <w:sz w:val="24"/>
          <w:szCs w:val="24"/>
        </w:rPr>
        <w:t>月-202</w:t>
      </w:r>
      <w:r>
        <w:rPr>
          <w:rFonts w:hint="eastAsia" w:ascii="仿宋" w:hAnsi="仿宋" w:eastAsia="仿宋" w:cs="仿宋"/>
          <w:b w:val="0"/>
          <w:bCs/>
          <w:color w:val="auto"/>
          <w:sz w:val="24"/>
          <w:szCs w:val="24"/>
          <w:lang w:val="en-US" w:eastAsia="zh-CN"/>
        </w:rPr>
        <w:t>4</w:t>
      </w:r>
      <w:r>
        <w:rPr>
          <w:rFonts w:hint="eastAsia" w:ascii="仿宋" w:hAnsi="仿宋" w:eastAsia="仿宋" w:cs="仿宋"/>
          <w:b w:val="0"/>
          <w:bCs/>
          <w:color w:val="auto"/>
          <w:sz w:val="24"/>
          <w:szCs w:val="24"/>
        </w:rPr>
        <w:t>年</w:t>
      </w:r>
      <w:r>
        <w:rPr>
          <w:rFonts w:hint="eastAsia" w:ascii="仿宋" w:hAnsi="仿宋" w:eastAsia="仿宋" w:cs="仿宋"/>
          <w:b w:val="0"/>
          <w:bCs/>
          <w:color w:val="auto"/>
          <w:sz w:val="24"/>
          <w:szCs w:val="24"/>
          <w:lang w:val="en-US" w:eastAsia="zh-CN"/>
        </w:rPr>
        <w:t>10</w:t>
      </w:r>
      <w:r>
        <w:rPr>
          <w:rFonts w:hint="eastAsia" w:ascii="仿宋" w:hAnsi="仿宋" w:eastAsia="仿宋" w:cs="仿宋"/>
          <w:b w:val="0"/>
          <w:bCs/>
          <w:color w:val="auto"/>
          <w:sz w:val="24"/>
          <w:szCs w:val="24"/>
        </w:rPr>
        <w:t>月，2023年</w:t>
      </w:r>
      <w:r>
        <w:rPr>
          <w:rFonts w:hint="eastAsia" w:ascii="仿宋" w:hAnsi="仿宋" w:eastAsia="仿宋" w:cs="仿宋"/>
          <w:b w:val="0"/>
          <w:bCs/>
          <w:color w:val="auto"/>
          <w:sz w:val="24"/>
          <w:szCs w:val="24"/>
          <w:lang w:val="en-US" w:eastAsia="zh-CN"/>
        </w:rPr>
        <w:t>10</w:t>
      </w:r>
      <w:r>
        <w:rPr>
          <w:rFonts w:hint="eastAsia" w:ascii="仿宋" w:hAnsi="仿宋" w:eastAsia="仿宋" w:cs="仿宋"/>
          <w:b w:val="0"/>
          <w:bCs/>
          <w:color w:val="auto"/>
          <w:sz w:val="24"/>
          <w:szCs w:val="24"/>
        </w:rPr>
        <w:t>月31日前完成野外竣工验收，2023年11月30日前提交全套竣工资料，2024年</w:t>
      </w:r>
      <w:r>
        <w:rPr>
          <w:rFonts w:hint="eastAsia" w:ascii="仿宋" w:hAnsi="仿宋" w:eastAsia="仿宋" w:cs="仿宋"/>
          <w:b w:val="0"/>
          <w:bCs/>
          <w:color w:val="auto"/>
          <w:sz w:val="24"/>
          <w:szCs w:val="24"/>
          <w:lang w:val="en-US" w:eastAsia="zh-CN"/>
        </w:rPr>
        <w:t>10</w:t>
      </w:r>
      <w:r>
        <w:rPr>
          <w:rFonts w:hint="eastAsia" w:ascii="仿宋" w:hAnsi="仿宋" w:eastAsia="仿宋" w:cs="仿宋"/>
          <w:b w:val="0"/>
          <w:bCs/>
          <w:color w:val="auto"/>
          <w:sz w:val="24"/>
          <w:szCs w:val="24"/>
        </w:rPr>
        <w:t>月31日前完成工程复验。</w:t>
      </w:r>
    </w:p>
    <w:p>
      <w:pPr>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br w:type="page"/>
      </w:r>
    </w:p>
    <w:p>
      <w:pPr>
        <w:spacing w:line="560" w:lineRule="exact"/>
        <w:jc w:val="both"/>
        <w:outlineLvl w:val="1"/>
        <w:rPr>
          <w:rFonts w:hint="eastAsia" w:ascii="仿宋" w:hAnsi="仿宋" w:eastAsia="仿宋" w:cs="Times New Roman"/>
          <w:b/>
          <w:bCs/>
          <w:color w:val="auto"/>
          <w:sz w:val="32"/>
          <w:szCs w:val="32"/>
        </w:rPr>
      </w:pPr>
      <w:bookmarkStart w:id="330" w:name="_Toc30161"/>
      <w:bookmarkStart w:id="331" w:name="_Toc26545"/>
      <w:r>
        <w:rPr>
          <w:rFonts w:hint="eastAsia" w:ascii="仿宋" w:hAnsi="仿宋" w:eastAsia="仿宋" w:cs="Times New Roman"/>
          <w:b/>
          <w:bCs/>
          <w:color w:val="auto"/>
          <w:sz w:val="32"/>
          <w:szCs w:val="32"/>
        </w:rPr>
        <w:t>标项</w:t>
      </w:r>
      <w:r>
        <w:rPr>
          <w:rFonts w:hint="eastAsia" w:ascii="仿宋" w:hAnsi="仿宋" w:eastAsia="仿宋" w:cs="Times New Roman"/>
          <w:b/>
          <w:bCs/>
          <w:color w:val="auto"/>
          <w:sz w:val="32"/>
          <w:szCs w:val="32"/>
          <w:lang w:val="en-US" w:eastAsia="zh-CN"/>
        </w:rPr>
        <w:t>四</w:t>
      </w:r>
      <w:r>
        <w:rPr>
          <w:rFonts w:hint="eastAsia" w:ascii="仿宋" w:hAnsi="仿宋" w:eastAsia="仿宋" w:cs="Times New Roman"/>
          <w:b/>
          <w:bCs/>
          <w:color w:val="auto"/>
          <w:sz w:val="32"/>
          <w:szCs w:val="32"/>
        </w:rPr>
        <w:t>：</w:t>
      </w:r>
      <w:r>
        <w:rPr>
          <w:rFonts w:hint="eastAsia" w:ascii="仿宋" w:hAnsi="仿宋" w:eastAsia="仿宋" w:cs="Times New Roman"/>
          <w:b/>
          <w:bCs/>
          <w:color w:val="auto"/>
          <w:sz w:val="32"/>
          <w:szCs w:val="32"/>
          <w:lang w:eastAsia="zh-CN"/>
        </w:rPr>
        <w:t>新疆阿克陶县阿克塔拉牧场2村泥石流防治工程</w:t>
      </w:r>
      <w:bookmarkEnd w:id="330"/>
      <w:bookmarkEnd w:id="331"/>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sz w:val="24"/>
        </w:rPr>
      </w:pP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1"/>
        <w:rPr>
          <w:rFonts w:hint="eastAsia" w:ascii="仿宋" w:hAnsi="仿宋" w:eastAsia="仿宋" w:cs="仿宋"/>
          <w:b w:val="0"/>
          <w:bCs/>
          <w:color w:val="auto"/>
          <w:sz w:val="24"/>
          <w:szCs w:val="24"/>
        </w:rPr>
      </w:pPr>
      <w:bookmarkStart w:id="332" w:name="_Toc29379"/>
      <w:r>
        <w:rPr>
          <w:rFonts w:hint="eastAsia" w:ascii="仿宋" w:hAnsi="仿宋" w:eastAsia="仿宋" w:cs="仿宋"/>
          <w:b w:val="0"/>
          <w:bCs/>
          <w:color w:val="auto"/>
          <w:sz w:val="24"/>
          <w:szCs w:val="24"/>
        </w:rPr>
        <w:t>一、项目名称、编号及费用</w:t>
      </w:r>
      <w:bookmarkEnd w:id="332"/>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b w:val="0"/>
          <w:bCs/>
          <w:color w:val="auto"/>
          <w:kern w:val="0"/>
          <w:sz w:val="24"/>
          <w:szCs w:val="24"/>
          <w:lang w:val="en-US" w:eastAsia="zh-CN"/>
        </w:rPr>
      </w:pPr>
      <w:r>
        <w:rPr>
          <w:rFonts w:hint="eastAsia" w:ascii="仿宋" w:hAnsi="仿宋" w:eastAsia="仿宋" w:cs="仿宋"/>
          <w:b w:val="0"/>
          <w:bCs/>
          <w:color w:val="auto"/>
          <w:kern w:val="0"/>
          <w:sz w:val="24"/>
          <w:szCs w:val="24"/>
        </w:rPr>
        <w:t>项目名称：</w:t>
      </w:r>
      <w:r>
        <w:rPr>
          <w:rFonts w:hint="eastAsia" w:ascii="仿宋" w:hAnsi="仿宋" w:eastAsia="仿宋" w:cs="仿宋"/>
          <w:b w:val="0"/>
          <w:bCs/>
          <w:color w:val="auto"/>
          <w:kern w:val="0"/>
          <w:sz w:val="24"/>
          <w:szCs w:val="24"/>
          <w:lang w:eastAsia="zh-CN"/>
        </w:rPr>
        <w:t>新疆阿克陶县阿克塔拉牧场2村泥石流防治工程</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b w:val="0"/>
          <w:bCs/>
          <w:color w:val="auto"/>
          <w:kern w:val="0"/>
          <w:sz w:val="24"/>
          <w:szCs w:val="24"/>
          <w:lang w:eastAsia="zh-CN"/>
        </w:rPr>
      </w:pPr>
      <w:r>
        <w:rPr>
          <w:rFonts w:hint="eastAsia" w:ascii="仿宋" w:hAnsi="仿宋" w:eastAsia="仿宋" w:cs="仿宋"/>
          <w:b w:val="0"/>
          <w:bCs/>
          <w:color w:val="auto"/>
          <w:kern w:val="0"/>
          <w:sz w:val="24"/>
          <w:szCs w:val="24"/>
        </w:rPr>
        <w:t>项目编号：</w:t>
      </w:r>
      <w:r>
        <w:rPr>
          <w:rStyle w:val="73"/>
          <w:rFonts w:ascii="仿宋" w:hAnsi="仿宋" w:eastAsia="仿宋" w:cs="仿宋"/>
          <w:b w:val="0"/>
          <w:bCs/>
          <w:color w:val="auto"/>
          <w:sz w:val="24"/>
          <w:szCs w:val="24"/>
          <w:lang w:eastAsia="zh-CN"/>
        </w:rPr>
        <w:t>GYZB-KZDZFZ2023</w:t>
      </w:r>
      <w:r>
        <w:rPr>
          <w:rStyle w:val="73"/>
          <w:rFonts w:hint="eastAsia" w:ascii="仿宋" w:hAnsi="仿宋" w:eastAsia="仿宋" w:cs="仿宋"/>
          <w:b w:val="0"/>
          <w:bCs/>
          <w:color w:val="auto"/>
          <w:sz w:val="24"/>
          <w:szCs w:val="24"/>
          <w:lang w:val="en-US" w:eastAsia="zh-CN"/>
        </w:rPr>
        <w:t>-01</w:t>
      </w:r>
      <w:r>
        <w:rPr>
          <w:rStyle w:val="73"/>
          <w:rFonts w:ascii="仿宋" w:hAnsi="仿宋" w:eastAsia="仿宋" w:cs="仿宋"/>
          <w:b w:val="0"/>
          <w:bCs/>
          <w:color w:val="auto"/>
          <w:sz w:val="24"/>
          <w:szCs w:val="24"/>
        </w:rPr>
        <w:t>-0</w:t>
      </w:r>
      <w:r>
        <w:rPr>
          <w:rStyle w:val="73"/>
          <w:rFonts w:hint="eastAsia" w:ascii="仿宋" w:hAnsi="仿宋" w:eastAsia="仿宋" w:cs="仿宋"/>
          <w:b w:val="0"/>
          <w:bCs/>
          <w:color w:val="auto"/>
          <w:sz w:val="24"/>
          <w:szCs w:val="24"/>
          <w:lang w:val="en-US" w:eastAsia="zh-CN"/>
        </w:rPr>
        <w:t>4</w:t>
      </w:r>
      <w:r>
        <w:rPr>
          <w:rFonts w:hint="eastAsia" w:ascii="仿宋" w:hAnsi="仿宋" w:eastAsia="仿宋" w:cs="仿宋"/>
          <w:b w:val="0"/>
          <w:bCs/>
          <w:color w:val="auto"/>
          <w:kern w:val="0"/>
          <w:sz w:val="24"/>
          <w:szCs w:val="24"/>
          <w:lang w:eastAsia="zh-CN"/>
        </w:rPr>
        <w:t xml:space="preserve"> </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Style w:val="73"/>
          <w:rFonts w:hint="default" w:ascii="仿宋" w:hAnsi="仿宋" w:eastAsia="仿宋" w:cs="仿宋"/>
          <w:b w:val="0"/>
          <w:bCs/>
          <w:color w:val="auto"/>
          <w:sz w:val="24"/>
          <w:szCs w:val="24"/>
          <w:lang w:val="en-US" w:eastAsia="zh-CN"/>
        </w:rPr>
      </w:pPr>
      <w:r>
        <w:rPr>
          <w:rStyle w:val="73"/>
          <w:rFonts w:hint="eastAsia" w:ascii="仿宋" w:hAnsi="仿宋" w:eastAsia="仿宋" w:cs="仿宋"/>
          <w:b w:val="0"/>
          <w:bCs/>
          <w:color w:val="auto"/>
          <w:sz w:val="24"/>
          <w:szCs w:val="24"/>
          <w:lang w:eastAsia="zh-CN"/>
        </w:rPr>
        <w:t>项目费用</w:t>
      </w:r>
      <w:r>
        <w:rPr>
          <w:rStyle w:val="73"/>
          <w:rFonts w:hint="eastAsia" w:ascii="仿宋" w:hAnsi="仿宋" w:eastAsia="仿宋" w:cs="仿宋"/>
          <w:b w:val="0"/>
          <w:bCs/>
          <w:color w:val="auto"/>
          <w:sz w:val="24"/>
          <w:szCs w:val="24"/>
          <w:lang w:val="en-US" w:eastAsia="zh-CN"/>
        </w:rPr>
        <w:t>人民币</w:t>
      </w:r>
      <w:r>
        <w:rPr>
          <w:rStyle w:val="73"/>
          <w:rFonts w:hint="eastAsia" w:ascii="仿宋" w:hAnsi="仿宋" w:eastAsia="仿宋" w:cs="仿宋"/>
          <w:b w:val="0"/>
          <w:bCs/>
          <w:color w:val="auto"/>
          <w:sz w:val="24"/>
          <w:szCs w:val="24"/>
          <w:lang w:eastAsia="zh-CN"/>
        </w:rPr>
        <w:t>：</w:t>
      </w:r>
      <w:r>
        <w:rPr>
          <w:rStyle w:val="73"/>
          <w:rFonts w:hint="eastAsia" w:ascii="仿宋" w:hAnsi="仿宋" w:eastAsia="仿宋" w:cs="仿宋"/>
          <w:b w:val="0"/>
          <w:bCs/>
          <w:color w:val="auto"/>
          <w:sz w:val="24"/>
          <w:szCs w:val="24"/>
          <w:lang w:val="en-US" w:eastAsia="zh-CN"/>
        </w:rPr>
        <w:t>396.2</w:t>
      </w:r>
      <w:r>
        <w:rPr>
          <w:rStyle w:val="73"/>
          <w:rFonts w:hint="eastAsia" w:ascii="仿宋" w:hAnsi="仿宋" w:eastAsia="仿宋" w:cs="仿宋"/>
          <w:b w:val="0"/>
          <w:bCs/>
          <w:color w:val="auto"/>
          <w:sz w:val="24"/>
          <w:szCs w:val="24"/>
          <w:lang w:eastAsia="zh-CN"/>
        </w:rPr>
        <w:t>万元（</w:t>
      </w:r>
      <w:r>
        <w:rPr>
          <w:rStyle w:val="73"/>
          <w:rFonts w:hint="eastAsia" w:ascii="仿宋" w:hAnsi="仿宋" w:eastAsia="仿宋" w:cs="仿宋"/>
          <w:b w:val="0"/>
          <w:bCs/>
          <w:color w:val="auto"/>
          <w:sz w:val="24"/>
          <w:szCs w:val="24"/>
          <w:lang w:val="en-US" w:eastAsia="zh-CN"/>
        </w:rPr>
        <w:t>叁佰玖拾陆万贰仟元整）</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1"/>
        <w:rPr>
          <w:rFonts w:hint="eastAsia" w:ascii="仿宋" w:hAnsi="仿宋" w:eastAsia="仿宋" w:cs="仿宋"/>
          <w:b w:val="0"/>
          <w:bCs/>
          <w:color w:val="auto"/>
          <w:sz w:val="24"/>
          <w:szCs w:val="24"/>
        </w:rPr>
      </w:pPr>
      <w:bookmarkStart w:id="333" w:name="_Toc29358"/>
      <w:r>
        <w:rPr>
          <w:rFonts w:hint="eastAsia" w:ascii="仿宋" w:hAnsi="仿宋" w:eastAsia="仿宋" w:cs="仿宋"/>
          <w:b w:val="0"/>
          <w:bCs/>
          <w:color w:val="auto"/>
          <w:sz w:val="24"/>
          <w:szCs w:val="24"/>
        </w:rPr>
        <w:t>二、工作范围</w:t>
      </w:r>
      <w:bookmarkEnd w:id="333"/>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rPr>
        <w:t>防治区位于阿克陶县东南部山区，行政区划隶属于克孜勒苏柯尔克孜自治州阿克陶县克孜勒陶乡阿克达拉牧场2村管辖，防治区中心地理坐标为经度76°00′30.15″，纬度38°18′27.09″</w:t>
      </w:r>
      <w:r>
        <w:rPr>
          <w:rFonts w:hint="eastAsia" w:ascii="仿宋" w:hAnsi="仿宋" w:eastAsia="仿宋" w:cs="仿宋"/>
          <w:b w:val="0"/>
          <w:bCs/>
          <w:color w:val="auto"/>
          <w:sz w:val="24"/>
          <w:szCs w:val="24"/>
          <w:lang w:eastAsia="zh-CN"/>
        </w:rPr>
        <w:t>。</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b w:val="0"/>
          <w:bCs/>
          <w:color w:val="auto"/>
          <w:sz w:val="24"/>
          <w:szCs w:val="24"/>
          <w:u w:val="single"/>
        </w:rPr>
      </w:pPr>
      <w:r>
        <w:rPr>
          <w:rFonts w:hint="eastAsia" w:ascii="仿宋" w:hAnsi="仿宋" w:eastAsia="仿宋" w:cs="仿宋"/>
          <w:b w:val="0"/>
          <w:bCs/>
          <w:color w:val="auto"/>
          <w:sz w:val="24"/>
          <w:szCs w:val="24"/>
          <w:u w:val="single"/>
        </w:rPr>
        <w:t>最终防治工程区范围以投标单位现场踏勘并与当地自然资源部门充分沟通确定的为准。</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1"/>
        <w:rPr>
          <w:rFonts w:hint="eastAsia" w:ascii="仿宋" w:hAnsi="仿宋" w:eastAsia="仿宋" w:cs="仿宋"/>
          <w:b w:val="0"/>
          <w:bCs/>
          <w:color w:val="auto"/>
          <w:sz w:val="24"/>
          <w:szCs w:val="24"/>
        </w:rPr>
      </w:pPr>
      <w:bookmarkStart w:id="334" w:name="_Toc5784"/>
      <w:r>
        <w:rPr>
          <w:rFonts w:hint="eastAsia" w:ascii="仿宋" w:hAnsi="仿宋" w:eastAsia="仿宋" w:cs="仿宋"/>
          <w:b w:val="0"/>
          <w:bCs/>
          <w:color w:val="auto"/>
          <w:sz w:val="24"/>
          <w:szCs w:val="24"/>
        </w:rPr>
        <w:t>三、自然经济地理</w:t>
      </w:r>
      <w:bookmarkEnd w:id="334"/>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（一）交通位置</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auto"/>
        <w:outlineLvl w:val="9"/>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lang w:val="en-US" w:eastAsia="zh-CN"/>
        </w:rPr>
        <w:t>防治区距阿克陶县城中心105千米。从城区出发向东南行进38千米至英吉沙县继续行进21千米至克孜勒陶乡路口，自国道315转向乡道X467后行走22千米至依格孜牙乡县界检查站后进入阿克陶县克孜勒陶乡，沿X393乡道继续行走50千米，到达阿克达拉牧场2村防治区，共计131千米，交通条件较好。</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lang w:val="en-US" w:eastAsia="zh-CN"/>
        </w:rPr>
        <w:t>二</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社会经济概况</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防治区位于新疆维吾尔自治区阿克陶县阿克塔拉牧场境内，该牧场2018年管辖5个分场（4个牧业分场、1个农业分场），年末总人口811户2846人。全场有耕地面积103公顷，草场面积17150公顷。粮食播种面积96.74公顷（含复播），经济作物播种面积11.41公顷。境内有天然林91公顷；有雪鸡、黄羊、呱啦鸡、狐狸、狼、雪豹等野生动物；有石油、煤、铜、铅锌等矿产资源。2019年末人均纯收入8559元。阿克塔拉牧场2村（阿克陶县克孜勒陶乡乌尔多隆窝孜村）总人口393人。</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1"/>
        <w:rPr>
          <w:rFonts w:hint="eastAsia" w:ascii="仿宋" w:hAnsi="仿宋" w:eastAsia="仿宋" w:cs="仿宋"/>
          <w:b w:val="0"/>
          <w:bCs/>
          <w:color w:val="auto"/>
          <w:sz w:val="24"/>
          <w:szCs w:val="24"/>
        </w:rPr>
      </w:pPr>
      <w:bookmarkStart w:id="335" w:name="_Toc26630"/>
      <w:r>
        <w:rPr>
          <w:rFonts w:hint="eastAsia" w:ascii="仿宋" w:hAnsi="仿宋" w:eastAsia="仿宋" w:cs="仿宋"/>
          <w:b w:val="0"/>
          <w:bCs/>
          <w:color w:val="auto"/>
          <w:sz w:val="24"/>
          <w:szCs w:val="24"/>
        </w:rPr>
        <w:t>四、地质环境条件和工作程度</w:t>
      </w:r>
      <w:bookmarkEnd w:id="335"/>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（一）地形地貌</w:t>
      </w:r>
    </w:p>
    <w:p>
      <w:pPr>
        <w:keepNext w:val="0"/>
        <w:keepLines w:val="0"/>
        <w:pageBreakBefore w:val="0"/>
        <w:widowControl w:val="0"/>
        <w:kinsoku/>
        <w:wordWrap/>
        <w:overflowPunct/>
        <w:topLinePunct w:val="0"/>
        <w:autoSpaceDE/>
        <w:autoSpaceDN/>
        <w:bidi w:val="0"/>
        <w:snapToGrid/>
        <w:spacing w:line="560" w:lineRule="exact"/>
        <w:ind w:firstLine="480" w:firstLineChars="200"/>
        <w:textAlignment w:val="auto"/>
        <w:outlineLvl w:val="9"/>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rPr>
        <w:t>防治区地处阿克陶县南部山区，地貌类型主要为剥蚀-侵蚀中高山、河谷等。总体地势南高北低，东高西低</w:t>
      </w:r>
      <w:r>
        <w:rPr>
          <w:rFonts w:hint="eastAsia" w:ascii="仿宋" w:hAnsi="仿宋" w:eastAsia="仿宋" w:cs="仿宋"/>
          <w:b w:val="0"/>
          <w:bCs/>
          <w:color w:val="auto"/>
          <w:sz w:val="24"/>
          <w:szCs w:val="24"/>
          <w:lang w:eastAsia="zh-CN"/>
        </w:rPr>
        <w:t>。</w:t>
      </w:r>
    </w:p>
    <w:p>
      <w:pPr>
        <w:keepNext w:val="0"/>
        <w:keepLines w:val="0"/>
        <w:pageBreakBefore w:val="0"/>
        <w:widowControl w:val="0"/>
        <w:numPr>
          <w:ilvl w:val="0"/>
          <w:numId w:val="6"/>
        </w:numPr>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地层岩性</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防治区出露地层主要为侏罗系和第四系，现由老至新分述如下：</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1、侏罗系（J）：</w:t>
      </w:r>
    </w:p>
    <w:p>
      <w:pPr>
        <w:keepNext w:val="0"/>
        <w:keepLines w:val="0"/>
        <w:pageBreakBefore w:val="0"/>
        <w:widowControl w:val="0"/>
        <w:kinsoku/>
        <w:wordWrap/>
        <w:overflowPunct/>
        <w:topLinePunct w:val="0"/>
        <w:autoSpaceDE/>
        <w:autoSpaceDN/>
        <w:bidi w:val="0"/>
        <w:snapToGrid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分布于防治区两侧山体中，主要为侏罗纪下统康苏组（J</w:t>
      </w:r>
      <w:r>
        <w:rPr>
          <w:rFonts w:hint="eastAsia" w:ascii="仿宋" w:hAnsi="仿宋" w:eastAsia="仿宋" w:cs="仿宋"/>
          <w:b w:val="0"/>
          <w:bCs/>
          <w:color w:val="auto"/>
          <w:sz w:val="24"/>
          <w:szCs w:val="24"/>
          <w:vertAlign w:val="subscript"/>
        </w:rPr>
        <w:t>1</w:t>
      </w:r>
      <w:r>
        <w:rPr>
          <w:rFonts w:hint="eastAsia" w:ascii="仿宋" w:hAnsi="仿宋" w:eastAsia="仿宋" w:cs="仿宋"/>
          <w:b w:val="0"/>
          <w:bCs/>
          <w:color w:val="auto"/>
          <w:sz w:val="24"/>
          <w:szCs w:val="24"/>
        </w:rPr>
        <w:t>K）。岩性主要为岩性为灰色-灰白色石英砂岩、粗砂岩、砂砾岩、中-细砂岩、粉砂岩、泥岩、炭质泥岩及煤层组成，砂岩产状由于受构造变动的影响比较杂乱，无规律可循。结构为中粒到细粒结构，颗粒直径0.1-0.5</w:t>
      </w:r>
      <w:r>
        <w:rPr>
          <w:rFonts w:hint="eastAsia" w:ascii="仿宋" w:hAnsi="仿宋" w:eastAsia="仿宋" w:cs="仿宋"/>
          <w:b w:val="0"/>
          <w:bCs/>
          <w:color w:val="auto"/>
          <w:sz w:val="24"/>
          <w:szCs w:val="24"/>
          <w:lang w:val="en-US" w:eastAsia="zh-CN"/>
        </w:rPr>
        <w:t>毫米</w:t>
      </w:r>
      <w:r>
        <w:rPr>
          <w:rFonts w:hint="eastAsia" w:ascii="仿宋" w:hAnsi="仿宋" w:eastAsia="仿宋" w:cs="仿宋"/>
          <w:b w:val="0"/>
          <w:bCs/>
          <w:color w:val="auto"/>
          <w:sz w:val="24"/>
          <w:szCs w:val="24"/>
        </w:rPr>
        <w:t>，节理裂隙较发育，表层风化严重，部分区域可见分化残破积物堆积在低洼处或沟道处。</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lang w:val="en-US" w:eastAsia="zh-CN"/>
        </w:rPr>
        <w:t>2、</w:t>
      </w:r>
      <w:r>
        <w:rPr>
          <w:rFonts w:hint="eastAsia" w:ascii="仿宋" w:hAnsi="仿宋" w:eastAsia="仿宋" w:cs="仿宋"/>
          <w:b w:val="0"/>
          <w:bCs/>
          <w:color w:val="auto"/>
          <w:sz w:val="24"/>
          <w:szCs w:val="24"/>
        </w:rPr>
        <w:t>第四系全新统冲洪积层（Q</w:t>
      </w:r>
      <w:r>
        <w:rPr>
          <w:rFonts w:hint="eastAsia" w:ascii="仿宋" w:hAnsi="仿宋" w:eastAsia="仿宋" w:cs="仿宋"/>
          <w:b w:val="0"/>
          <w:bCs/>
          <w:color w:val="auto"/>
          <w:sz w:val="24"/>
          <w:szCs w:val="24"/>
          <w:vertAlign w:val="subscript"/>
        </w:rPr>
        <w:t>4</w:t>
      </w:r>
      <w:r>
        <w:rPr>
          <w:rFonts w:hint="eastAsia" w:ascii="仿宋" w:hAnsi="仿宋" w:eastAsia="仿宋" w:cs="仿宋"/>
          <w:b w:val="0"/>
          <w:bCs/>
          <w:color w:val="auto"/>
          <w:sz w:val="24"/>
          <w:szCs w:val="24"/>
          <w:vertAlign w:val="superscript"/>
        </w:rPr>
        <w:t>apl</w:t>
      </w:r>
      <w:r>
        <w:rPr>
          <w:rFonts w:hint="eastAsia" w:ascii="仿宋" w:hAnsi="仿宋" w:eastAsia="仿宋" w:cs="仿宋"/>
          <w:b w:val="0"/>
          <w:bCs/>
          <w:color w:val="auto"/>
          <w:sz w:val="24"/>
          <w:szCs w:val="24"/>
        </w:rPr>
        <w:t>）</w:t>
      </w:r>
    </w:p>
    <w:p>
      <w:pPr>
        <w:keepNext w:val="0"/>
        <w:keepLines w:val="0"/>
        <w:pageBreakBefore w:val="0"/>
        <w:widowControl w:val="0"/>
        <w:kinsoku/>
        <w:wordWrap/>
        <w:overflowPunct/>
        <w:topLinePunct w:val="0"/>
        <w:autoSpaceDE/>
        <w:autoSpaceDN/>
        <w:bidi w:val="0"/>
        <w:snapToGrid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分布于泥石流堆积区、河床及河漫滩中，由漂石、碎石、卵砾石、中粗砂及粉土组成。青灰色、干燥-稍湿、表层松散。下部为稍密-中密，粒径一般在2-80毫米，最大可达250毫米，分选性差，磨圆度呈次圆状、棱角状，砾石主要成份为石英、长石等，含量约占65%，充填物为中细砂、粉土，含量约占35%</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outlineLvl w:val="9"/>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3、第四系全新统崩积层（</w:t>
      </w:r>
      <w:r>
        <w:rPr>
          <w:rFonts w:hint="eastAsia" w:ascii="仿宋" w:hAnsi="仿宋" w:eastAsia="仿宋" w:cs="仿宋"/>
          <w:b w:val="0"/>
          <w:bCs/>
          <w:color w:val="auto"/>
          <w:sz w:val="24"/>
          <w:szCs w:val="24"/>
        </w:rPr>
        <w:t>Q</w:t>
      </w:r>
      <w:r>
        <w:rPr>
          <w:rFonts w:hint="eastAsia" w:ascii="仿宋" w:hAnsi="仿宋" w:eastAsia="仿宋" w:cs="仿宋"/>
          <w:b w:val="0"/>
          <w:bCs/>
          <w:color w:val="auto"/>
          <w:sz w:val="24"/>
          <w:szCs w:val="24"/>
          <w:vertAlign w:val="subscript"/>
        </w:rPr>
        <w:t>4</w:t>
      </w:r>
      <w:r>
        <w:rPr>
          <w:rFonts w:hint="eastAsia" w:ascii="仿宋" w:hAnsi="仿宋" w:eastAsia="仿宋" w:cs="仿宋"/>
          <w:b w:val="0"/>
          <w:bCs/>
          <w:color w:val="auto"/>
          <w:sz w:val="24"/>
          <w:szCs w:val="24"/>
        </w:rPr>
        <w:t>col</w:t>
      </w:r>
      <w:r>
        <w:rPr>
          <w:rFonts w:hint="eastAsia" w:ascii="仿宋" w:hAnsi="仿宋" w:eastAsia="仿宋" w:cs="仿宋"/>
          <w:b w:val="0"/>
          <w:bCs/>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480" w:firstLineChars="200"/>
        <w:jc w:val="both"/>
        <w:textAlignment w:val="auto"/>
        <w:outlineLvl w:val="9"/>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rPr>
        <w:t>分布于崩塌带坡脚处，由块石、碎石、中粗砂及粉土组成，灰褐色，干燥-稍湿、表层松散，下部为稍密-中密，粒径一般在20-100毫米，偶见巨石分布，最大可达0.5-1米。分选性差，磨圆度一般，呈次棱角状，砾石主要成份为石英、长石等，充填物为中细砂、粉土，局部含有植物根系</w:t>
      </w:r>
      <w:r>
        <w:rPr>
          <w:rFonts w:hint="eastAsia" w:ascii="仿宋" w:hAnsi="仿宋" w:eastAsia="仿宋" w:cs="仿宋"/>
          <w:b w:val="0"/>
          <w:bCs/>
          <w:color w:val="auto"/>
          <w:sz w:val="24"/>
          <w:szCs w:val="24"/>
          <w:lang w:eastAsia="zh-CN"/>
        </w:rPr>
        <w:t>。</w:t>
      </w:r>
    </w:p>
    <w:p>
      <w:pPr>
        <w:keepNext w:val="0"/>
        <w:keepLines w:val="0"/>
        <w:pageBreakBefore w:val="0"/>
        <w:widowControl w:val="0"/>
        <w:numPr>
          <w:ilvl w:val="0"/>
          <w:numId w:val="6"/>
        </w:numPr>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水文地质条件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lang w:eastAsia="zh-CN"/>
        </w:rPr>
        <w:t>防治区地下水类型分为第四系松散岩类孔隙潜水</w:t>
      </w:r>
      <w:r>
        <w:rPr>
          <w:rFonts w:hint="eastAsia" w:ascii="仿宋" w:hAnsi="仿宋" w:eastAsia="仿宋" w:cs="仿宋"/>
          <w:b w:val="0"/>
          <w:bCs/>
          <w:color w:val="auto"/>
          <w:sz w:val="24"/>
          <w:szCs w:val="24"/>
          <w:lang w:val="en-US" w:eastAsia="zh-CN"/>
        </w:rPr>
        <w:t>和</w:t>
      </w:r>
      <w:r>
        <w:rPr>
          <w:rFonts w:hint="eastAsia" w:ascii="仿宋" w:hAnsi="仿宋" w:eastAsia="仿宋" w:cs="仿宋"/>
          <w:b w:val="0"/>
          <w:bCs/>
          <w:color w:val="auto"/>
          <w:sz w:val="24"/>
          <w:szCs w:val="24"/>
          <w:lang w:eastAsia="zh-CN"/>
        </w:rPr>
        <w:t>碎屑岩类裂隙孔隙水。</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outlineLvl w:val="9"/>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1、第四系松散岩类孔隙水</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outlineLvl w:val="9"/>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主要分布于康阔勒河河谷中及洪积扇。含水层岩性为砂、砾石和卵石，水量丰富，富水性好。补给来源主要为冰雪融水、大气降水的垂直入渗补给及基岩裂隙水的侧向补给，以地下径流的方式向下游排泄，排泄方式主要为地下侧向径流。</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outlineLvl w:val="9"/>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2、碎屑岩类裂隙孔隙水</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lang w:val="en-US" w:eastAsia="zh-CN"/>
        </w:rPr>
        <w:t>碎屑岩类裂隙孔隙水主要分布在河谷两侧的中山区，水量较为贫乏，水质较好。地下水补给来源主要为冰雪融水、大气降水沿裂隙孔隙入渗补给，以地下径流的方式向下游排泄，排泄方式主要为地下侧向径流。</w:t>
      </w:r>
    </w:p>
    <w:p>
      <w:pPr>
        <w:keepNext w:val="0"/>
        <w:keepLines w:val="0"/>
        <w:pageBreakBefore w:val="0"/>
        <w:widowControl w:val="0"/>
        <w:numPr>
          <w:ilvl w:val="0"/>
          <w:numId w:val="6"/>
        </w:numPr>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工程地质条件</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根据防治区内地层的分布特征，岩土体分为岩体和土体两大类。按照岩石强度、结构以及土体的粒度成分及结构，将岩体划分为硬碎屑岩岩组，土体为卵石土单层土体。</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1、较硬碎屑岩岩组</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rPr>
        <w:t>分布于防治区大部分区域，位于山体上山顶及沟道两侧，出露面积较大。岩性主要为砂岩、页岩，砂状结构，碎屑粒度大小均一，分选性好，磨圆度呈圆状，矿物碎屑成分主要为石英、长石，白云母，风化裂隙发育，岩体结构大部分破坏</w:t>
      </w:r>
      <w:r>
        <w:rPr>
          <w:rFonts w:hint="eastAsia" w:ascii="仿宋" w:hAnsi="仿宋" w:eastAsia="仿宋" w:cs="仿宋"/>
          <w:b w:val="0"/>
          <w:bCs/>
          <w:color w:val="auto"/>
          <w:sz w:val="24"/>
          <w:szCs w:val="24"/>
          <w:lang w:eastAsia="zh-CN"/>
        </w:rPr>
        <w:t>。</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2、土体</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卵石土单层土体：主要分布于防治区的沟谷中，出山口堆积区位置，岩性为卵石、圆砾、砾砂等，结构松散。</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3、冻土深度</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防治区属于阿克陶县阿克达拉牧场2村，参照《工程地质手册》（第四版）中“中国季节性冻土标准冻深线图”，确定该区标准冻结深度为1.20</w:t>
      </w:r>
      <w:r>
        <w:rPr>
          <w:rFonts w:hint="eastAsia" w:ascii="仿宋" w:hAnsi="仿宋" w:eastAsia="仿宋" w:cs="仿宋"/>
          <w:b w:val="0"/>
          <w:bCs/>
          <w:color w:val="auto"/>
          <w:sz w:val="24"/>
          <w:szCs w:val="24"/>
          <w:lang w:val="en-US" w:eastAsia="zh-CN"/>
        </w:rPr>
        <w:t>米</w:t>
      </w:r>
      <w:r>
        <w:rPr>
          <w:rFonts w:hint="eastAsia" w:ascii="仿宋" w:hAnsi="仿宋" w:eastAsia="仿宋" w:cs="仿宋"/>
          <w:b w:val="0"/>
          <w:bCs/>
          <w:color w:val="auto"/>
          <w:sz w:val="24"/>
          <w:szCs w:val="24"/>
        </w:rPr>
        <w:t>。</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1"/>
        <w:rPr>
          <w:rFonts w:hint="eastAsia" w:ascii="仿宋" w:hAnsi="仿宋" w:eastAsia="仿宋" w:cs="仿宋"/>
          <w:b w:val="0"/>
          <w:bCs/>
          <w:color w:val="auto"/>
          <w:sz w:val="24"/>
          <w:szCs w:val="24"/>
        </w:rPr>
      </w:pPr>
      <w:bookmarkStart w:id="336" w:name="_Toc939"/>
      <w:r>
        <w:rPr>
          <w:rFonts w:hint="eastAsia" w:ascii="仿宋" w:hAnsi="仿宋" w:eastAsia="仿宋" w:cs="仿宋"/>
          <w:b w:val="0"/>
          <w:bCs/>
          <w:color w:val="auto"/>
          <w:sz w:val="24"/>
          <w:szCs w:val="24"/>
        </w:rPr>
        <w:t>五、主要地质灾害</w:t>
      </w:r>
      <w:bookmarkEnd w:id="336"/>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outlineLvl w:val="9"/>
        <w:rPr>
          <w:rFonts w:hint="eastAsia" w:ascii="仿宋" w:hAnsi="仿宋" w:eastAsia="仿宋" w:cs="仿宋"/>
          <w:b w:val="0"/>
          <w:bCs/>
          <w:snapToGrid w:val="0"/>
          <w:color w:val="auto"/>
          <w:kern w:val="0"/>
          <w:sz w:val="24"/>
          <w:szCs w:val="24"/>
        </w:rPr>
      </w:pPr>
      <w:r>
        <w:rPr>
          <w:rFonts w:hint="eastAsia" w:ascii="仿宋" w:hAnsi="仿宋" w:eastAsia="仿宋" w:cs="仿宋"/>
          <w:b w:val="0"/>
          <w:bCs/>
          <w:color w:val="auto"/>
          <w:sz w:val="24"/>
          <w:szCs w:val="24"/>
          <w:lang w:eastAsia="zh-CN"/>
        </w:rPr>
        <w:t>防治区</w:t>
      </w:r>
      <w:r>
        <w:rPr>
          <w:rFonts w:hint="eastAsia" w:ascii="仿宋" w:hAnsi="仿宋" w:eastAsia="仿宋" w:cs="仿宋"/>
          <w:b w:val="0"/>
          <w:bCs/>
          <w:color w:val="auto"/>
          <w:sz w:val="24"/>
          <w:szCs w:val="24"/>
        </w:rPr>
        <w:t>主要发育地质灾害</w:t>
      </w:r>
      <w:r>
        <w:rPr>
          <w:rFonts w:hint="eastAsia" w:ascii="仿宋" w:hAnsi="仿宋" w:eastAsia="仿宋" w:cs="仿宋"/>
          <w:b w:val="0"/>
          <w:bCs/>
          <w:color w:val="auto"/>
          <w:sz w:val="24"/>
          <w:szCs w:val="24"/>
          <w:lang w:val="en-US" w:eastAsia="zh-CN"/>
        </w:rPr>
        <w:t>为</w:t>
      </w:r>
      <w:r>
        <w:rPr>
          <w:rFonts w:hint="eastAsia" w:ascii="仿宋" w:hAnsi="仿宋" w:eastAsia="仿宋" w:cs="仿宋"/>
          <w:b w:val="0"/>
          <w:bCs/>
          <w:color w:val="auto"/>
          <w:sz w:val="24"/>
          <w:szCs w:val="24"/>
        </w:rPr>
        <w:t>泥石流灾害</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防治区发育泥石流灾害1处，泥石流发育1条主沟和1条支沟，分别编号为N1、N2支沟，在防治区堆积区居民区北侧边坡上发育一处土质崩塌灾害</w:t>
      </w:r>
      <w:r>
        <w:rPr>
          <w:rFonts w:hint="eastAsia" w:ascii="仿宋" w:hAnsi="仿宋" w:eastAsia="仿宋" w:cs="仿宋"/>
          <w:b w:val="0"/>
          <w:bCs/>
          <w:color w:val="auto"/>
          <w:sz w:val="24"/>
          <w:szCs w:val="24"/>
          <w:lang w:eastAsia="zh-CN"/>
        </w:rPr>
        <w:t>。</w:t>
      </w:r>
      <w:r>
        <w:rPr>
          <w:rFonts w:hint="eastAsia" w:ascii="仿宋" w:hAnsi="仿宋" w:eastAsia="仿宋" w:cs="仿宋"/>
          <w:b w:val="0"/>
          <w:bCs/>
          <w:snapToGrid w:val="0"/>
          <w:color w:val="auto"/>
          <w:kern w:val="0"/>
          <w:sz w:val="24"/>
          <w:szCs w:val="24"/>
        </w:rPr>
        <w:t>现对其分述如下：</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1、泥石流灾害</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lang w:val="en-US" w:eastAsia="zh-CN"/>
        </w:rPr>
        <w:t>防治区泥石流灾害</w:t>
      </w:r>
      <w:r>
        <w:rPr>
          <w:rFonts w:hint="eastAsia" w:ascii="仿宋" w:hAnsi="仿宋" w:eastAsia="仿宋" w:cs="仿宋"/>
          <w:b w:val="0"/>
          <w:bCs/>
          <w:color w:val="auto"/>
          <w:sz w:val="24"/>
          <w:szCs w:val="24"/>
          <w:lang w:eastAsia="zh-CN"/>
        </w:rPr>
        <w:t>为沟谷型泥石流，N1、N2支沟流域形态在平面上呈“树叶”型。</w:t>
      </w:r>
      <w:r>
        <w:rPr>
          <w:rFonts w:hint="eastAsia" w:ascii="仿宋" w:hAnsi="仿宋" w:eastAsia="仿宋" w:cs="仿宋"/>
          <w:b w:val="0"/>
          <w:bCs/>
          <w:color w:val="auto"/>
          <w:sz w:val="24"/>
          <w:szCs w:val="24"/>
          <w:lang w:val="en-US" w:eastAsia="zh-CN"/>
        </w:rPr>
        <w:t>防治区泥石流</w:t>
      </w:r>
      <w:r>
        <w:rPr>
          <w:rFonts w:hint="eastAsia" w:ascii="仿宋" w:hAnsi="仿宋" w:eastAsia="仿宋" w:cs="仿宋"/>
          <w:b w:val="0"/>
          <w:bCs/>
          <w:color w:val="auto"/>
          <w:sz w:val="24"/>
          <w:szCs w:val="24"/>
          <w:lang w:eastAsia="zh-CN"/>
        </w:rPr>
        <w:t>按照水体供给划分为暴雨型泥石流、冰川型泥石流，按照土体供给方式</w:t>
      </w:r>
      <w:r>
        <w:rPr>
          <w:rFonts w:hint="eastAsia" w:ascii="仿宋" w:hAnsi="仿宋" w:eastAsia="仿宋" w:cs="仿宋"/>
          <w:b w:val="0"/>
          <w:bCs/>
          <w:color w:val="auto"/>
          <w:sz w:val="24"/>
          <w:szCs w:val="24"/>
          <w:lang w:val="en-US" w:eastAsia="zh-CN"/>
        </w:rPr>
        <w:t>划分</w:t>
      </w:r>
      <w:r>
        <w:rPr>
          <w:rFonts w:hint="eastAsia" w:ascii="仿宋" w:hAnsi="仿宋" w:eastAsia="仿宋" w:cs="仿宋"/>
          <w:b w:val="0"/>
          <w:bCs/>
          <w:color w:val="auto"/>
          <w:sz w:val="24"/>
          <w:szCs w:val="24"/>
          <w:lang w:eastAsia="zh-CN"/>
        </w:rPr>
        <w:t>为沟床冲刷型泥石流，按暴发频率划分为高频泥石流，按物质组成划分为水石型。防治区内两侧山体植被不发育，泥石流沟物源主要来源为沟道的洪积物，沟道两侧坡岸的残坡积物、冰水堆积物及风积物。防治区泥石流水源类型为大气降水形成的洪水，泥石流规模为大型，易发程度为易发。</w:t>
      </w:r>
      <w:r>
        <w:rPr>
          <w:rFonts w:hint="eastAsia" w:ascii="仿宋" w:hAnsi="仿宋" w:eastAsia="仿宋" w:cs="仿宋"/>
          <w:b w:val="0"/>
          <w:bCs/>
          <w:color w:val="auto"/>
          <w:sz w:val="24"/>
          <w:szCs w:val="24"/>
          <w:lang w:val="en-US" w:eastAsia="zh-CN"/>
        </w:rPr>
        <w:t>防治区泥石流灾害</w:t>
      </w:r>
      <w:r>
        <w:rPr>
          <w:rFonts w:hint="eastAsia" w:ascii="仿宋" w:hAnsi="仿宋" w:eastAsia="仿宋" w:cs="仿宋"/>
          <w:b w:val="0"/>
          <w:bCs/>
          <w:color w:val="auto"/>
          <w:sz w:val="24"/>
          <w:szCs w:val="24"/>
          <w:lang w:eastAsia="zh-CN"/>
        </w:rPr>
        <w:t>对沟口位置的阿克塔拉牧场2村居民区及X393县道构成威胁。</w:t>
      </w:r>
    </w:p>
    <w:p>
      <w:pPr>
        <w:keepNext w:val="0"/>
        <w:keepLines w:val="0"/>
        <w:pageBreakBefore w:val="0"/>
        <w:widowControl w:val="0"/>
        <w:numPr>
          <w:ilvl w:val="0"/>
          <w:numId w:val="7"/>
        </w:numPr>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b w:val="0"/>
          <w:bCs/>
          <w:color w:val="auto"/>
          <w:sz w:val="24"/>
          <w:szCs w:val="24"/>
          <w:lang w:val="en-US" w:eastAsia="zh-CN"/>
        </w:rPr>
      </w:pPr>
      <w:r>
        <w:rPr>
          <w:rFonts w:hint="eastAsia" w:ascii="仿宋" w:hAnsi="仿宋" w:eastAsia="仿宋" w:cs="仿宋"/>
          <w:b w:val="0"/>
          <w:bCs/>
          <w:snapToGrid w:val="0"/>
          <w:color w:val="auto"/>
          <w:kern w:val="0"/>
          <w:sz w:val="24"/>
          <w:szCs w:val="24"/>
          <w:lang w:val="en-US" w:eastAsia="zh-CN"/>
        </w:rPr>
        <w:t>崩塌灾害</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崩塌灾害分布在防治区斜坡上部，坡度80-90°，坡向241°，分布高程底部为2840-2890米、顶部高程为2882-2915米，边坡长约595米。崩塌规模等级属小型，防治区内崩塌类型属坠落式崩塌。崩塌危岩体崩积物主要位于斜坡坡面及坡脚，岩性主要为碎石、角砾等，崩积物整体处于欠稳定状态。该崩塌段直接威胁坡体下大同乡中心小学和居民生命财产、道路、林木及其他设施。</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lang w:val="en-US" w:eastAsia="zh-CN"/>
        </w:rPr>
        <w:t>防治区地质灾害主要威胁对象包括常住人口124户居民，常住人口393人、村委会、幼儿园、文化广场、羊200只、牦牛150头、县道X393线0.5km、60余间居民房屋、棚圈2处及自来水站1座的设施安全，威胁财产797.5万元。</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1"/>
        <w:rPr>
          <w:rFonts w:hint="eastAsia" w:ascii="仿宋" w:hAnsi="仿宋" w:eastAsia="仿宋" w:cs="仿宋"/>
          <w:b w:val="0"/>
          <w:bCs/>
          <w:color w:val="auto"/>
          <w:sz w:val="24"/>
          <w:szCs w:val="24"/>
        </w:rPr>
      </w:pPr>
      <w:bookmarkStart w:id="337" w:name="_Toc27296"/>
      <w:r>
        <w:rPr>
          <w:rFonts w:hint="eastAsia" w:ascii="仿宋" w:hAnsi="仿宋" w:eastAsia="仿宋" w:cs="仿宋"/>
          <w:b w:val="0"/>
          <w:bCs/>
          <w:color w:val="auto"/>
          <w:sz w:val="24"/>
          <w:szCs w:val="24"/>
        </w:rPr>
        <w:t>六、目标任务</w:t>
      </w:r>
      <w:bookmarkEnd w:id="337"/>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（一）目标</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通过对新疆阿克陶县阿克塔拉牧场2村泥石流、崩塌灾害防治工程的设计与实施，减轻或消除泥石流、崩塌灾害对居民区、村委会、幼儿园、牲畜圈舍等的威胁，保障人民生命和财产安全。</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（二）任务</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b w:val="0"/>
          <w:bCs/>
          <w:color w:val="auto"/>
          <w:kern w:val="0"/>
          <w:sz w:val="24"/>
          <w:szCs w:val="24"/>
          <w:lang w:eastAsia="zh-CN"/>
        </w:rPr>
      </w:pPr>
      <w:r>
        <w:rPr>
          <w:rFonts w:hint="eastAsia" w:ascii="仿宋" w:hAnsi="仿宋" w:eastAsia="仿宋" w:cs="仿宋"/>
          <w:b w:val="0"/>
          <w:bCs/>
          <w:color w:val="auto"/>
          <w:kern w:val="0"/>
          <w:sz w:val="24"/>
          <w:szCs w:val="24"/>
        </w:rPr>
        <w:t>1.</w:t>
      </w:r>
      <w:r>
        <w:rPr>
          <w:rFonts w:hint="eastAsia" w:ascii="仿宋" w:hAnsi="仿宋" w:eastAsia="仿宋" w:cs="仿宋"/>
          <w:b w:val="0"/>
          <w:bCs/>
          <w:color w:val="auto"/>
          <w:sz w:val="24"/>
          <w:szCs w:val="24"/>
        </w:rPr>
        <w:t>根据实地踏勘成果和勘查报告</w:t>
      </w:r>
      <w:r>
        <w:rPr>
          <w:rFonts w:hint="eastAsia" w:ascii="仿宋" w:hAnsi="仿宋" w:eastAsia="仿宋" w:cs="仿宋"/>
          <w:b w:val="0"/>
          <w:bCs/>
          <w:color w:val="auto"/>
          <w:kern w:val="0"/>
          <w:sz w:val="24"/>
          <w:szCs w:val="24"/>
        </w:rPr>
        <w:t>以及相关标准规范</w:t>
      </w:r>
      <w:r>
        <w:rPr>
          <w:rFonts w:hint="eastAsia" w:ascii="仿宋" w:hAnsi="仿宋" w:eastAsia="仿宋" w:cs="仿宋"/>
          <w:b w:val="0"/>
          <w:bCs/>
          <w:color w:val="auto"/>
          <w:sz w:val="24"/>
          <w:szCs w:val="24"/>
        </w:rPr>
        <w:t>编制地质灾害防治工程设计和施工组织设计</w:t>
      </w:r>
      <w:r>
        <w:rPr>
          <w:rFonts w:hint="eastAsia" w:ascii="仿宋" w:hAnsi="仿宋" w:eastAsia="仿宋" w:cs="仿宋"/>
          <w:b w:val="0"/>
          <w:bCs/>
          <w:color w:val="auto"/>
          <w:kern w:val="0"/>
          <w:sz w:val="24"/>
          <w:szCs w:val="24"/>
          <w:lang w:eastAsia="zh-CN"/>
        </w:rPr>
        <w:t>。</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b w:val="0"/>
          <w:bCs/>
          <w:color w:val="auto"/>
          <w:kern w:val="0"/>
          <w:sz w:val="24"/>
          <w:szCs w:val="24"/>
        </w:rPr>
      </w:pPr>
      <w:r>
        <w:rPr>
          <w:rFonts w:hint="eastAsia" w:ascii="仿宋" w:hAnsi="仿宋" w:eastAsia="仿宋" w:cs="仿宋"/>
          <w:b w:val="0"/>
          <w:bCs/>
          <w:color w:val="auto"/>
          <w:kern w:val="0"/>
          <w:sz w:val="24"/>
          <w:szCs w:val="24"/>
        </w:rPr>
        <w:t>2.按照审批通过的防治工程设计，组织地质灾害防治工程施工。</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b w:val="0"/>
          <w:bCs/>
          <w:color w:val="auto"/>
          <w:kern w:val="0"/>
          <w:sz w:val="24"/>
          <w:szCs w:val="24"/>
        </w:rPr>
      </w:pPr>
      <w:r>
        <w:rPr>
          <w:rFonts w:hint="eastAsia" w:ascii="仿宋" w:hAnsi="仿宋" w:eastAsia="仿宋" w:cs="仿宋"/>
          <w:b w:val="0"/>
          <w:bCs/>
          <w:color w:val="auto"/>
          <w:kern w:val="0"/>
          <w:sz w:val="24"/>
          <w:szCs w:val="24"/>
        </w:rPr>
        <w:t>3.</w:t>
      </w:r>
      <w:r>
        <w:rPr>
          <w:rFonts w:hint="eastAsia" w:ascii="仿宋" w:hAnsi="仿宋" w:eastAsia="仿宋" w:cs="仿宋"/>
          <w:b w:val="0"/>
          <w:bCs/>
          <w:color w:val="auto"/>
          <w:sz w:val="24"/>
          <w:szCs w:val="24"/>
        </w:rPr>
        <w:t>减轻或消除</w:t>
      </w:r>
      <w:r>
        <w:rPr>
          <w:rFonts w:hint="eastAsia" w:ascii="仿宋" w:hAnsi="仿宋" w:eastAsia="仿宋" w:cs="仿宋"/>
          <w:b w:val="0"/>
          <w:bCs/>
          <w:color w:val="auto"/>
          <w:kern w:val="0"/>
          <w:sz w:val="24"/>
          <w:szCs w:val="24"/>
        </w:rPr>
        <w:t>工作区及其周边居民</w:t>
      </w:r>
      <w:r>
        <w:rPr>
          <w:rFonts w:hint="eastAsia" w:ascii="仿宋" w:hAnsi="仿宋" w:eastAsia="仿宋" w:cs="仿宋"/>
          <w:b w:val="0"/>
          <w:bCs/>
          <w:color w:val="auto"/>
          <w:sz w:val="24"/>
          <w:szCs w:val="24"/>
        </w:rPr>
        <w:t>遭受灾害的威胁</w:t>
      </w:r>
      <w:r>
        <w:rPr>
          <w:rFonts w:hint="eastAsia" w:ascii="仿宋" w:hAnsi="仿宋" w:eastAsia="仿宋" w:cs="仿宋"/>
          <w:b w:val="0"/>
          <w:bCs/>
          <w:color w:val="auto"/>
          <w:kern w:val="0"/>
          <w:sz w:val="24"/>
          <w:szCs w:val="24"/>
        </w:rPr>
        <w:t>。</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b w:val="0"/>
          <w:bCs/>
          <w:color w:val="auto"/>
          <w:kern w:val="0"/>
          <w:sz w:val="24"/>
          <w:szCs w:val="24"/>
        </w:rPr>
      </w:pPr>
      <w:r>
        <w:rPr>
          <w:rFonts w:hint="eastAsia" w:ascii="仿宋" w:hAnsi="仿宋" w:eastAsia="仿宋" w:cs="仿宋"/>
          <w:b w:val="0"/>
          <w:bCs/>
          <w:color w:val="auto"/>
          <w:kern w:val="0"/>
          <w:sz w:val="24"/>
          <w:szCs w:val="24"/>
        </w:rPr>
        <w:t>4.防治工程完成后，制作永久性工程说明碑。</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1"/>
        <w:rPr>
          <w:rFonts w:hint="eastAsia" w:ascii="仿宋" w:hAnsi="仿宋" w:eastAsia="仿宋" w:cs="仿宋"/>
          <w:b w:val="0"/>
          <w:bCs/>
          <w:color w:val="auto"/>
          <w:sz w:val="24"/>
          <w:szCs w:val="24"/>
        </w:rPr>
      </w:pPr>
      <w:bookmarkStart w:id="338" w:name="_Toc2820"/>
      <w:r>
        <w:rPr>
          <w:rFonts w:hint="eastAsia" w:ascii="仿宋" w:hAnsi="仿宋" w:eastAsia="仿宋" w:cs="仿宋"/>
          <w:b w:val="0"/>
          <w:bCs/>
          <w:color w:val="auto"/>
          <w:sz w:val="24"/>
          <w:szCs w:val="24"/>
        </w:rPr>
        <w:t>七、主要技术要求</w:t>
      </w:r>
      <w:bookmarkEnd w:id="338"/>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1.《泥石流防治工程设计规范》（T/CAGHP 021—2018）；</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2.《泥石流防治工程施工技术规范（试行）》（T∕CAGHP 061-2019）；</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3.《崩塌防治工程设计规范（试行）》（T/CAGHP 032-2018）；</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4.《崩塌防治工程施工技术规范（试行）》（T/CAGHP 041-2018）；</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outlineLvl w:val="9"/>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5.《危岩落石柔性防护网工程技术规范（试行）》</w:t>
      </w:r>
      <w:r>
        <w:rPr>
          <w:rFonts w:hint="eastAsia" w:ascii="仿宋" w:hAnsi="仿宋" w:eastAsia="仿宋" w:cs="仿宋"/>
          <w:b w:val="0"/>
          <w:bCs/>
          <w:color w:val="auto"/>
          <w:sz w:val="24"/>
          <w:szCs w:val="24"/>
        </w:rPr>
        <w:t>（T/CAGHP 0</w:t>
      </w:r>
      <w:r>
        <w:rPr>
          <w:rFonts w:hint="eastAsia" w:ascii="仿宋" w:hAnsi="仿宋" w:eastAsia="仿宋" w:cs="仿宋"/>
          <w:b w:val="0"/>
          <w:bCs/>
          <w:color w:val="auto"/>
          <w:sz w:val="24"/>
          <w:szCs w:val="24"/>
          <w:lang w:val="en-US" w:eastAsia="zh-CN"/>
        </w:rPr>
        <w:t>66</w:t>
      </w:r>
      <w:r>
        <w:rPr>
          <w:rFonts w:hint="eastAsia" w:ascii="仿宋" w:hAnsi="仿宋" w:eastAsia="仿宋" w:cs="仿宋"/>
          <w:b w:val="0"/>
          <w:bCs/>
          <w:color w:val="auto"/>
          <w:sz w:val="24"/>
          <w:szCs w:val="24"/>
        </w:rPr>
        <w:t>-201</w:t>
      </w:r>
      <w:r>
        <w:rPr>
          <w:rFonts w:hint="eastAsia" w:ascii="仿宋" w:hAnsi="仿宋" w:eastAsia="仿宋" w:cs="仿宋"/>
          <w:b w:val="0"/>
          <w:bCs/>
          <w:color w:val="auto"/>
          <w:sz w:val="24"/>
          <w:szCs w:val="24"/>
          <w:lang w:val="en-US" w:eastAsia="zh-CN"/>
        </w:rPr>
        <w:t>9</w:t>
      </w:r>
      <w:r>
        <w:rPr>
          <w:rFonts w:hint="eastAsia" w:ascii="仿宋" w:hAnsi="仿宋" w:eastAsia="仿宋" w:cs="仿宋"/>
          <w:b w:val="0"/>
          <w:bCs/>
          <w:color w:val="auto"/>
          <w:sz w:val="24"/>
          <w:szCs w:val="24"/>
        </w:rPr>
        <w:t>）</w:t>
      </w:r>
      <w:r>
        <w:rPr>
          <w:rFonts w:hint="eastAsia" w:ascii="仿宋" w:hAnsi="仿宋" w:eastAsia="仿宋" w:cs="仿宋"/>
          <w:b w:val="0"/>
          <w:bCs/>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lang w:val="en-US" w:eastAsia="zh-CN"/>
        </w:rPr>
        <w:t>6</w:t>
      </w:r>
      <w:r>
        <w:rPr>
          <w:rFonts w:hint="eastAsia" w:ascii="仿宋" w:hAnsi="仿宋" w:eastAsia="仿宋" w:cs="仿宋"/>
          <w:b w:val="0"/>
          <w:bCs/>
          <w:color w:val="auto"/>
          <w:sz w:val="24"/>
          <w:szCs w:val="24"/>
        </w:rPr>
        <w:t>.《砌体结构设计规范》（GB50003-2011）；</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lang w:val="en-US" w:eastAsia="zh-CN"/>
        </w:rPr>
        <w:t>7</w:t>
      </w:r>
      <w:r>
        <w:rPr>
          <w:rFonts w:hint="eastAsia" w:ascii="仿宋" w:hAnsi="仿宋" w:eastAsia="仿宋" w:cs="仿宋"/>
          <w:b w:val="0"/>
          <w:bCs/>
          <w:color w:val="auto"/>
          <w:sz w:val="24"/>
          <w:szCs w:val="24"/>
        </w:rPr>
        <w:t>.《混凝土结构设计规范》（GB50010-2010）；</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lang w:val="en-US" w:eastAsia="zh-CN"/>
        </w:rPr>
        <w:t>8</w:t>
      </w:r>
      <w:r>
        <w:rPr>
          <w:rFonts w:hint="eastAsia" w:ascii="仿宋" w:hAnsi="仿宋" w:eastAsia="仿宋" w:cs="仿宋"/>
          <w:b w:val="0"/>
          <w:bCs/>
          <w:color w:val="auto"/>
          <w:sz w:val="24"/>
          <w:szCs w:val="24"/>
        </w:rPr>
        <w:t>.《建筑地基基础设计规范》（GB50007-2011）；</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lang w:val="en-US" w:eastAsia="zh-CN"/>
        </w:rPr>
        <w:t>9</w:t>
      </w:r>
      <w:r>
        <w:rPr>
          <w:rFonts w:hint="eastAsia" w:ascii="仿宋" w:hAnsi="仿宋" w:eastAsia="仿宋" w:cs="仿宋"/>
          <w:b w:val="0"/>
          <w:bCs/>
          <w:color w:val="auto"/>
          <w:sz w:val="24"/>
          <w:szCs w:val="24"/>
        </w:rPr>
        <w:t>.《建筑边坡工程技术规范》（GB50330-2013）；</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lang w:val="en-US" w:eastAsia="zh-CN"/>
        </w:rPr>
        <w:t>10</w:t>
      </w:r>
      <w:r>
        <w:rPr>
          <w:rFonts w:hint="eastAsia" w:ascii="仿宋" w:hAnsi="仿宋" w:eastAsia="仿宋" w:cs="仿宋"/>
          <w:b w:val="0"/>
          <w:bCs/>
          <w:color w:val="auto"/>
          <w:sz w:val="24"/>
          <w:szCs w:val="24"/>
        </w:rPr>
        <w:t>.《工程测量标准》（GB50026-2020）；</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lang w:val="en-US" w:eastAsia="zh-CN"/>
        </w:rPr>
        <w:t>11</w:t>
      </w:r>
      <w:r>
        <w:rPr>
          <w:rFonts w:hint="eastAsia" w:ascii="仿宋" w:hAnsi="仿宋" w:eastAsia="仿宋" w:cs="仿宋"/>
          <w:b w:val="0"/>
          <w:bCs/>
          <w:color w:val="auto"/>
          <w:sz w:val="24"/>
          <w:szCs w:val="24"/>
        </w:rPr>
        <w:t>.《全球定位系统（GPS）测量规范》（GB/T18314-2009）；</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lang w:val="en-US" w:eastAsia="zh-CN"/>
        </w:rPr>
        <w:t>12</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《岩土工程勘察规范（2009年版）》（GB50021-2001）；</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lang w:val="en-US" w:eastAsia="zh-CN"/>
        </w:rPr>
        <w:t>13</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《建筑抗震设计规范（2016年版）》（GB50011-2010）；</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1</w:t>
      </w:r>
      <w:r>
        <w:rPr>
          <w:rFonts w:hint="eastAsia" w:ascii="仿宋" w:hAnsi="仿宋" w:eastAsia="仿宋" w:cs="仿宋"/>
          <w:b w:val="0"/>
          <w:bCs/>
          <w:color w:val="auto"/>
          <w:sz w:val="24"/>
          <w:szCs w:val="24"/>
          <w:lang w:val="en-US" w:eastAsia="zh-CN"/>
        </w:rPr>
        <w:t>4</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其</w:t>
      </w:r>
      <w:r>
        <w:rPr>
          <w:rFonts w:hint="eastAsia" w:ascii="仿宋" w:hAnsi="仿宋" w:eastAsia="仿宋" w:cs="仿宋"/>
          <w:b w:val="0"/>
          <w:bCs/>
          <w:color w:val="auto"/>
          <w:sz w:val="24"/>
          <w:szCs w:val="24"/>
          <w:lang w:val="en-US" w:eastAsia="zh-CN"/>
        </w:rPr>
        <w:t>它</w:t>
      </w:r>
      <w:r>
        <w:rPr>
          <w:rFonts w:hint="eastAsia" w:ascii="仿宋" w:hAnsi="仿宋" w:eastAsia="仿宋" w:cs="仿宋"/>
          <w:b w:val="0"/>
          <w:bCs/>
          <w:color w:val="auto"/>
          <w:sz w:val="24"/>
          <w:szCs w:val="24"/>
        </w:rPr>
        <w:t>有关规范、规程和技术要求。</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kern w:val="0"/>
          <w:sz w:val="24"/>
          <w:szCs w:val="24"/>
        </w:rPr>
        <w:t>同时满足招标文件、设计书及其审批意见书和有关规定的要求。</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1"/>
        <w:rPr>
          <w:rFonts w:hint="eastAsia" w:ascii="仿宋" w:hAnsi="仿宋" w:eastAsia="仿宋" w:cs="仿宋"/>
          <w:b w:val="0"/>
          <w:bCs/>
          <w:color w:val="auto"/>
          <w:sz w:val="24"/>
          <w:szCs w:val="24"/>
        </w:rPr>
      </w:pPr>
      <w:bookmarkStart w:id="339" w:name="_Toc24893"/>
      <w:r>
        <w:rPr>
          <w:rFonts w:hint="eastAsia" w:ascii="仿宋" w:hAnsi="仿宋" w:eastAsia="仿宋" w:cs="仿宋"/>
          <w:b w:val="0"/>
          <w:bCs/>
          <w:color w:val="auto"/>
          <w:sz w:val="24"/>
          <w:szCs w:val="24"/>
        </w:rPr>
        <w:t>八、主要实物工作量</w:t>
      </w:r>
      <w:bookmarkEnd w:id="339"/>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kern w:val="0"/>
          <w:sz w:val="24"/>
          <w:szCs w:val="24"/>
        </w:rPr>
        <w:t>根据本项目的目标和任务，结合防治区</w:t>
      </w:r>
      <w:r>
        <w:rPr>
          <w:rFonts w:hint="eastAsia" w:ascii="仿宋" w:hAnsi="仿宋" w:eastAsia="仿宋" w:cs="仿宋"/>
          <w:b w:val="0"/>
          <w:bCs/>
          <w:color w:val="auto"/>
          <w:kern w:val="0"/>
          <w:sz w:val="24"/>
          <w:szCs w:val="24"/>
          <w:lang w:val="en-US" w:eastAsia="zh-CN"/>
        </w:rPr>
        <w:t>泥石流</w:t>
      </w:r>
      <w:r>
        <w:rPr>
          <w:rFonts w:hint="eastAsia" w:ascii="仿宋" w:hAnsi="仿宋" w:eastAsia="仿宋" w:cs="仿宋"/>
          <w:b w:val="0"/>
          <w:bCs/>
          <w:color w:val="auto"/>
          <w:kern w:val="0"/>
          <w:sz w:val="24"/>
          <w:szCs w:val="24"/>
        </w:rPr>
        <w:t>灾害特征和环境现状，以基本消除或减轻地质灾害对当地居民的威胁为目的，本次</w:t>
      </w:r>
      <w:r>
        <w:rPr>
          <w:rFonts w:hint="eastAsia" w:ascii="仿宋" w:hAnsi="仿宋" w:eastAsia="仿宋" w:cs="仿宋"/>
          <w:b w:val="0"/>
          <w:bCs/>
          <w:color w:val="auto"/>
          <w:kern w:val="0"/>
          <w:sz w:val="24"/>
          <w:szCs w:val="24"/>
          <w:lang w:val="en-US" w:eastAsia="zh-CN"/>
        </w:rPr>
        <w:t>地质</w:t>
      </w:r>
      <w:r>
        <w:rPr>
          <w:rFonts w:hint="eastAsia" w:ascii="仿宋" w:hAnsi="仿宋" w:eastAsia="仿宋" w:cs="仿宋"/>
          <w:b w:val="0"/>
          <w:bCs/>
          <w:color w:val="auto"/>
          <w:kern w:val="0"/>
          <w:sz w:val="24"/>
          <w:szCs w:val="24"/>
        </w:rPr>
        <w:t>灾害防治工程</w:t>
      </w:r>
      <w:r>
        <w:rPr>
          <w:rFonts w:hint="eastAsia" w:ascii="仿宋" w:hAnsi="仿宋" w:eastAsia="仿宋" w:cs="仿宋"/>
          <w:b w:val="0"/>
          <w:bCs/>
          <w:color w:val="auto"/>
          <w:kern w:val="0"/>
          <w:sz w:val="24"/>
          <w:szCs w:val="24"/>
          <w:lang w:val="en-US" w:eastAsia="zh-CN"/>
        </w:rPr>
        <w:t>可以采用拦挡排、危岩清理、主被动防护网</w:t>
      </w:r>
      <w:r>
        <w:rPr>
          <w:rFonts w:hint="eastAsia" w:ascii="仿宋" w:hAnsi="仿宋" w:eastAsia="仿宋" w:cs="仿宋"/>
          <w:b w:val="0"/>
          <w:bCs/>
          <w:color w:val="auto"/>
          <w:kern w:val="0"/>
          <w:sz w:val="24"/>
          <w:szCs w:val="24"/>
        </w:rPr>
        <w:t>等措施。</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投标单位在现场踏勘后提出投标设计方案。</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b w:val="0"/>
          <w:bCs/>
          <w:color w:val="auto"/>
          <w:sz w:val="24"/>
          <w:szCs w:val="24"/>
          <w:u w:val="single"/>
        </w:rPr>
      </w:pPr>
      <w:r>
        <w:rPr>
          <w:rFonts w:hint="eastAsia" w:ascii="仿宋" w:hAnsi="仿宋" w:eastAsia="仿宋" w:cs="仿宋"/>
          <w:b w:val="0"/>
          <w:bCs/>
          <w:color w:val="auto"/>
          <w:sz w:val="24"/>
          <w:szCs w:val="24"/>
          <w:u w:val="single"/>
        </w:rPr>
        <w:t>最终设计方案及工作量以审批后的防治工程项目设计书为准。</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1"/>
        <w:rPr>
          <w:rFonts w:hint="eastAsia" w:ascii="仿宋" w:hAnsi="仿宋" w:eastAsia="仿宋" w:cs="仿宋"/>
          <w:b w:val="0"/>
          <w:bCs/>
          <w:color w:val="auto"/>
          <w:sz w:val="24"/>
          <w:szCs w:val="24"/>
        </w:rPr>
      </w:pPr>
      <w:bookmarkStart w:id="340" w:name="_Toc21205"/>
      <w:r>
        <w:rPr>
          <w:rFonts w:hint="eastAsia" w:ascii="仿宋" w:hAnsi="仿宋" w:eastAsia="仿宋" w:cs="仿宋"/>
          <w:b w:val="0"/>
          <w:bCs/>
          <w:color w:val="auto"/>
          <w:sz w:val="24"/>
          <w:szCs w:val="24"/>
        </w:rPr>
        <w:t>九、预期提交成果</w:t>
      </w:r>
      <w:bookmarkEnd w:id="340"/>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（一）防治工程设计成果</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b w:val="0"/>
          <w:bCs/>
          <w:color w:val="auto"/>
          <w:kern w:val="0"/>
          <w:sz w:val="24"/>
          <w:szCs w:val="24"/>
        </w:rPr>
      </w:pPr>
      <w:r>
        <w:rPr>
          <w:rFonts w:hint="eastAsia" w:ascii="仿宋" w:hAnsi="仿宋" w:eastAsia="仿宋" w:cs="仿宋"/>
          <w:b w:val="0"/>
          <w:bCs/>
          <w:color w:val="auto"/>
          <w:kern w:val="0"/>
          <w:sz w:val="24"/>
          <w:szCs w:val="24"/>
        </w:rPr>
        <w:t>1.</w:t>
      </w:r>
      <w:r>
        <w:rPr>
          <w:rFonts w:hint="eastAsia" w:ascii="仿宋" w:hAnsi="仿宋" w:eastAsia="仿宋" w:cs="仿宋"/>
          <w:b w:val="0"/>
          <w:bCs/>
          <w:color w:val="auto"/>
          <w:kern w:val="0"/>
          <w:sz w:val="24"/>
          <w:szCs w:val="24"/>
          <w:lang w:eastAsia="zh-CN"/>
        </w:rPr>
        <w:t>新疆阿克陶县阿克塔拉牧场2村泥石流防治工程</w:t>
      </w:r>
      <w:r>
        <w:rPr>
          <w:rFonts w:hint="eastAsia" w:ascii="仿宋" w:hAnsi="仿宋" w:eastAsia="仿宋" w:cs="仿宋"/>
          <w:b w:val="0"/>
          <w:bCs/>
          <w:color w:val="auto"/>
          <w:kern w:val="0"/>
          <w:sz w:val="24"/>
          <w:szCs w:val="24"/>
        </w:rPr>
        <w:t>设计书（施工设计和施工组织设计）；</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b w:val="0"/>
          <w:bCs/>
          <w:color w:val="auto"/>
          <w:kern w:val="0"/>
          <w:sz w:val="24"/>
          <w:szCs w:val="24"/>
          <w:lang w:eastAsia="zh-CN"/>
        </w:rPr>
      </w:pPr>
      <w:r>
        <w:rPr>
          <w:rFonts w:hint="eastAsia" w:ascii="仿宋" w:hAnsi="仿宋" w:eastAsia="仿宋" w:cs="仿宋"/>
          <w:b w:val="0"/>
          <w:bCs/>
          <w:color w:val="auto"/>
          <w:kern w:val="0"/>
          <w:sz w:val="24"/>
          <w:szCs w:val="24"/>
        </w:rPr>
        <w:t>2.</w:t>
      </w:r>
      <w:r>
        <w:rPr>
          <w:rFonts w:hint="eastAsia" w:ascii="仿宋" w:hAnsi="仿宋" w:eastAsia="仿宋" w:cs="仿宋"/>
          <w:b w:val="0"/>
          <w:bCs/>
          <w:color w:val="auto"/>
          <w:kern w:val="0"/>
          <w:sz w:val="24"/>
          <w:szCs w:val="24"/>
          <w:lang w:eastAsia="zh-CN"/>
        </w:rPr>
        <w:t>新疆阿克陶县阿克塔拉牧场2村泥石流防治工程</w:t>
      </w:r>
      <w:r>
        <w:rPr>
          <w:rFonts w:hint="eastAsia" w:ascii="仿宋" w:hAnsi="仿宋" w:eastAsia="仿宋" w:cs="仿宋"/>
          <w:b w:val="0"/>
          <w:bCs/>
          <w:color w:val="auto"/>
          <w:kern w:val="0"/>
          <w:sz w:val="24"/>
          <w:szCs w:val="24"/>
        </w:rPr>
        <w:t>平面</w:t>
      </w:r>
      <w:r>
        <w:rPr>
          <w:rFonts w:hint="eastAsia" w:ascii="仿宋" w:hAnsi="仿宋" w:eastAsia="仿宋" w:cs="仿宋"/>
          <w:b w:val="0"/>
          <w:bCs/>
          <w:color w:val="auto"/>
          <w:kern w:val="0"/>
          <w:sz w:val="24"/>
          <w:szCs w:val="24"/>
          <w:lang w:val="en-US" w:eastAsia="zh-CN"/>
        </w:rPr>
        <w:t>布置</w:t>
      </w:r>
      <w:r>
        <w:rPr>
          <w:rFonts w:hint="eastAsia" w:ascii="仿宋" w:hAnsi="仿宋" w:eastAsia="仿宋" w:cs="仿宋"/>
          <w:b w:val="0"/>
          <w:bCs/>
          <w:color w:val="auto"/>
          <w:kern w:val="0"/>
          <w:sz w:val="24"/>
          <w:szCs w:val="24"/>
        </w:rPr>
        <w:t>图及各单项防治工程设计图</w:t>
      </w:r>
      <w:r>
        <w:rPr>
          <w:rFonts w:hint="eastAsia" w:ascii="仿宋" w:hAnsi="仿宋" w:eastAsia="仿宋" w:cs="仿宋"/>
          <w:b w:val="0"/>
          <w:bCs/>
          <w:color w:val="auto"/>
          <w:kern w:val="0"/>
          <w:sz w:val="24"/>
          <w:szCs w:val="24"/>
          <w:lang w:eastAsia="zh-CN"/>
        </w:rPr>
        <w:t>。</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（二）防治工程施工成果</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9"/>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lang w:val="en-US" w:eastAsia="zh-CN"/>
        </w:rPr>
        <w:t>防治工程施工</w:t>
      </w:r>
      <w:r>
        <w:rPr>
          <w:rFonts w:hint="eastAsia" w:ascii="仿宋" w:hAnsi="仿宋" w:eastAsia="仿宋" w:cs="仿宋"/>
          <w:b w:val="0"/>
          <w:bCs/>
          <w:color w:val="auto"/>
          <w:sz w:val="24"/>
          <w:szCs w:val="24"/>
        </w:rPr>
        <w:t>成果</w:t>
      </w:r>
      <w:r>
        <w:rPr>
          <w:rFonts w:hint="eastAsia" w:ascii="仿宋" w:hAnsi="仿宋" w:eastAsia="仿宋" w:cs="仿宋"/>
          <w:b w:val="0"/>
          <w:bCs/>
          <w:color w:val="auto"/>
          <w:sz w:val="24"/>
          <w:szCs w:val="24"/>
          <w:lang w:val="en-US" w:eastAsia="zh-CN"/>
        </w:rPr>
        <w:t>和</w:t>
      </w:r>
      <w:r>
        <w:rPr>
          <w:rFonts w:hint="eastAsia" w:ascii="仿宋" w:hAnsi="仿宋" w:eastAsia="仿宋" w:cs="仿宋"/>
          <w:b w:val="0"/>
          <w:bCs/>
          <w:color w:val="auto"/>
          <w:sz w:val="24"/>
          <w:szCs w:val="24"/>
        </w:rPr>
        <w:t>资料汇交应按《新疆维吾尔自治区地质灾害防治项目管理办法（试行）》</w:t>
      </w:r>
      <w:r>
        <w:rPr>
          <w:rFonts w:hint="eastAsia" w:ascii="仿宋" w:hAnsi="仿宋" w:eastAsia="仿宋" w:cs="仿宋"/>
          <w:b w:val="0"/>
          <w:bCs/>
          <w:color w:val="auto"/>
          <w:sz w:val="24"/>
          <w:szCs w:val="24"/>
          <w:lang w:val="en-US" w:eastAsia="zh-CN"/>
        </w:rPr>
        <w:t>及《新疆维吾尔自治区地质灾害防治项目验收细则》</w:t>
      </w:r>
      <w:r>
        <w:rPr>
          <w:rFonts w:hint="eastAsia" w:ascii="仿宋" w:hAnsi="仿宋" w:eastAsia="仿宋" w:cs="仿宋"/>
          <w:b w:val="0"/>
          <w:bCs/>
          <w:color w:val="auto"/>
          <w:sz w:val="24"/>
          <w:szCs w:val="24"/>
        </w:rPr>
        <w:t>要求执行。</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outlineLvl w:val="1"/>
        <w:rPr>
          <w:rFonts w:hint="eastAsia" w:ascii="仿宋" w:hAnsi="仿宋" w:eastAsia="仿宋" w:cs="仿宋"/>
          <w:b w:val="0"/>
          <w:bCs/>
          <w:color w:val="auto"/>
          <w:sz w:val="24"/>
          <w:szCs w:val="24"/>
        </w:rPr>
      </w:pPr>
      <w:bookmarkStart w:id="341" w:name="_Toc4593"/>
      <w:r>
        <w:rPr>
          <w:rFonts w:hint="eastAsia" w:ascii="仿宋" w:hAnsi="仿宋" w:eastAsia="仿宋" w:cs="仿宋"/>
          <w:b w:val="0"/>
          <w:bCs/>
          <w:color w:val="auto"/>
          <w:sz w:val="24"/>
          <w:szCs w:val="24"/>
        </w:rPr>
        <w:t>十、工作周期</w:t>
      </w:r>
      <w:bookmarkEnd w:id="341"/>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2023年</w:t>
      </w:r>
      <w:r>
        <w:rPr>
          <w:rFonts w:hint="eastAsia" w:ascii="仿宋" w:hAnsi="仿宋" w:eastAsia="仿宋" w:cs="仿宋"/>
          <w:b w:val="0"/>
          <w:bCs/>
          <w:color w:val="auto"/>
          <w:sz w:val="24"/>
          <w:szCs w:val="24"/>
          <w:lang w:val="en-US" w:eastAsia="zh-CN"/>
        </w:rPr>
        <w:t>3</w:t>
      </w:r>
      <w:r>
        <w:rPr>
          <w:rFonts w:hint="eastAsia" w:ascii="仿宋" w:hAnsi="仿宋" w:eastAsia="仿宋" w:cs="仿宋"/>
          <w:b w:val="0"/>
          <w:bCs/>
          <w:color w:val="auto"/>
          <w:sz w:val="24"/>
          <w:szCs w:val="24"/>
        </w:rPr>
        <w:t>月-202</w:t>
      </w:r>
      <w:r>
        <w:rPr>
          <w:rFonts w:hint="eastAsia" w:ascii="仿宋" w:hAnsi="仿宋" w:eastAsia="仿宋" w:cs="仿宋"/>
          <w:b w:val="0"/>
          <w:bCs/>
          <w:color w:val="auto"/>
          <w:sz w:val="24"/>
          <w:szCs w:val="24"/>
          <w:lang w:val="en-US" w:eastAsia="zh-CN"/>
        </w:rPr>
        <w:t>4</w:t>
      </w:r>
      <w:r>
        <w:rPr>
          <w:rFonts w:hint="eastAsia" w:ascii="仿宋" w:hAnsi="仿宋" w:eastAsia="仿宋" w:cs="仿宋"/>
          <w:b w:val="0"/>
          <w:bCs/>
          <w:color w:val="auto"/>
          <w:sz w:val="24"/>
          <w:szCs w:val="24"/>
        </w:rPr>
        <w:t>年</w:t>
      </w:r>
      <w:r>
        <w:rPr>
          <w:rFonts w:hint="eastAsia" w:ascii="仿宋" w:hAnsi="仿宋" w:eastAsia="仿宋" w:cs="仿宋"/>
          <w:b w:val="0"/>
          <w:bCs/>
          <w:color w:val="auto"/>
          <w:sz w:val="24"/>
          <w:szCs w:val="24"/>
          <w:lang w:val="en-US" w:eastAsia="zh-CN"/>
        </w:rPr>
        <w:t>9</w:t>
      </w:r>
      <w:r>
        <w:rPr>
          <w:rFonts w:hint="eastAsia" w:ascii="仿宋" w:hAnsi="仿宋" w:eastAsia="仿宋" w:cs="仿宋"/>
          <w:b w:val="0"/>
          <w:bCs/>
          <w:color w:val="auto"/>
          <w:sz w:val="24"/>
          <w:szCs w:val="24"/>
        </w:rPr>
        <w:t>月，2023年8月31日前完成野外竣工验收，2023年11月30日前提交全套竣工资料，2024年8月31日前完成工程复验。</w:t>
      </w:r>
    </w:p>
    <w:p>
      <w:pPr>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br w:type="page"/>
      </w:r>
    </w:p>
    <w:p>
      <w:pPr>
        <w:spacing w:line="560" w:lineRule="exact"/>
        <w:jc w:val="both"/>
        <w:outlineLvl w:val="1"/>
        <w:rPr>
          <w:rFonts w:hint="eastAsia" w:ascii="仿宋" w:hAnsi="仿宋" w:eastAsia="仿宋" w:cs="Times New Roman"/>
          <w:b/>
          <w:bCs/>
          <w:color w:val="auto"/>
          <w:sz w:val="32"/>
          <w:szCs w:val="32"/>
        </w:rPr>
      </w:pPr>
      <w:bookmarkStart w:id="342" w:name="_Toc9937"/>
      <w:bookmarkStart w:id="343" w:name="_Toc1766"/>
      <w:r>
        <w:rPr>
          <w:rFonts w:hint="eastAsia" w:ascii="仿宋" w:hAnsi="仿宋" w:eastAsia="仿宋" w:cs="Times New Roman"/>
          <w:b/>
          <w:bCs/>
          <w:color w:val="auto"/>
          <w:sz w:val="32"/>
          <w:szCs w:val="32"/>
        </w:rPr>
        <w:t>标项</w:t>
      </w:r>
      <w:r>
        <w:rPr>
          <w:rFonts w:hint="eastAsia" w:ascii="仿宋" w:hAnsi="仿宋" w:eastAsia="仿宋" w:cs="Times New Roman"/>
          <w:b/>
          <w:bCs/>
          <w:color w:val="auto"/>
          <w:sz w:val="32"/>
          <w:szCs w:val="32"/>
          <w:lang w:val="en-US" w:eastAsia="zh-CN"/>
        </w:rPr>
        <w:t>五</w:t>
      </w:r>
      <w:r>
        <w:rPr>
          <w:rFonts w:hint="eastAsia" w:ascii="仿宋" w:hAnsi="仿宋" w:eastAsia="仿宋" w:cs="Times New Roman"/>
          <w:b/>
          <w:bCs/>
          <w:color w:val="auto"/>
          <w:sz w:val="32"/>
          <w:szCs w:val="32"/>
        </w:rPr>
        <w:t>：新疆克州群专结合监测预警点建设（2023年度）</w:t>
      </w:r>
      <w:bookmarkEnd w:id="342"/>
      <w:bookmarkEnd w:id="343"/>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textAlignment w:val="auto"/>
        <w:outlineLvl w:val="1"/>
        <w:rPr>
          <w:rFonts w:hint="eastAsia" w:ascii="仿宋" w:hAnsi="仿宋" w:eastAsia="仿宋" w:cs="仿宋"/>
          <w:b w:val="0"/>
          <w:bCs w:val="0"/>
          <w:color w:val="auto"/>
          <w:sz w:val="24"/>
          <w:szCs w:val="24"/>
        </w:rPr>
      </w:pPr>
      <w:bookmarkStart w:id="344" w:name="_Toc1886"/>
      <w:r>
        <w:rPr>
          <w:rFonts w:hint="eastAsia" w:ascii="仿宋" w:hAnsi="仿宋" w:eastAsia="仿宋" w:cs="仿宋"/>
          <w:b w:val="0"/>
          <w:bCs w:val="0"/>
          <w:color w:val="auto"/>
          <w:sz w:val="24"/>
          <w:szCs w:val="24"/>
        </w:rPr>
        <w:t>一、项目名称、编号及费用</w:t>
      </w:r>
      <w:bookmarkEnd w:id="344"/>
    </w:p>
    <w:p>
      <w:pPr>
        <w:keepNext w:val="0"/>
        <w:keepLines w:val="0"/>
        <w:pageBreakBefore w:val="0"/>
        <w:widowControl w:val="0"/>
        <w:kinsoku/>
        <w:wordWrap/>
        <w:overflowPunct/>
        <w:topLinePunct w:val="0"/>
        <w:autoSpaceDE/>
        <w:autoSpaceDN/>
        <w:bidi w:val="0"/>
        <w:spacing w:line="540" w:lineRule="exact"/>
        <w:ind w:firstLine="480" w:firstLineChars="200"/>
        <w:textAlignment w:val="auto"/>
        <w:outlineLvl w:val="9"/>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项目名称：新疆克州群专结合监测预警点建设（2023年度）</w:t>
      </w:r>
    </w:p>
    <w:p>
      <w:pPr>
        <w:keepNext w:val="0"/>
        <w:keepLines w:val="0"/>
        <w:pageBreakBefore w:val="0"/>
        <w:widowControl w:val="0"/>
        <w:kinsoku/>
        <w:wordWrap/>
        <w:overflowPunct/>
        <w:topLinePunct w:val="0"/>
        <w:autoSpaceDE/>
        <w:autoSpaceDN/>
        <w:bidi w:val="0"/>
        <w:spacing w:line="540" w:lineRule="exact"/>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rPr>
        <w:t>项目编号：</w:t>
      </w:r>
      <w:r>
        <w:rPr>
          <w:rStyle w:val="73"/>
          <w:rFonts w:ascii="仿宋" w:hAnsi="仿宋" w:eastAsia="仿宋" w:cs="仿宋"/>
          <w:b w:val="0"/>
          <w:bCs w:val="0"/>
          <w:color w:val="auto"/>
          <w:sz w:val="24"/>
          <w:szCs w:val="24"/>
          <w:lang w:eastAsia="zh-CN"/>
        </w:rPr>
        <w:t>GYZB-KZDZFZ2023</w:t>
      </w:r>
      <w:r>
        <w:rPr>
          <w:rStyle w:val="73"/>
          <w:rFonts w:hint="eastAsia" w:ascii="仿宋" w:hAnsi="仿宋" w:eastAsia="仿宋" w:cs="仿宋"/>
          <w:b w:val="0"/>
          <w:bCs w:val="0"/>
          <w:color w:val="auto"/>
          <w:sz w:val="24"/>
          <w:szCs w:val="24"/>
          <w:lang w:val="en-US" w:eastAsia="zh-CN"/>
        </w:rPr>
        <w:t>-01</w:t>
      </w:r>
      <w:r>
        <w:rPr>
          <w:rStyle w:val="73"/>
          <w:rFonts w:ascii="仿宋" w:hAnsi="仿宋" w:eastAsia="仿宋" w:cs="仿宋"/>
          <w:b w:val="0"/>
          <w:bCs w:val="0"/>
          <w:color w:val="auto"/>
          <w:sz w:val="24"/>
          <w:szCs w:val="24"/>
        </w:rPr>
        <w:t>-0</w:t>
      </w:r>
      <w:r>
        <w:rPr>
          <w:rStyle w:val="73"/>
          <w:rFonts w:hint="eastAsia" w:ascii="仿宋" w:hAnsi="仿宋" w:eastAsia="仿宋" w:cs="仿宋"/>
          <w:b w:val="0"/>
          <w:bCs w:val="0"/>
          <w:color w:val="auto"/>
          <w:sz w:val="24"/>
          <w:szCs w:val="24"/>
          <w:lang w:val="en-US" w:eastAsia="zh-CN"/>
        </w:rPr>
        <w:t>5</w:t>
      </w:r>
    </w:p>
    <w:p>
      <w:pPr>
        <w:keepNext w:val="0"/>
        <w:keepLines w:val="0"/>
        <w:pageBreakBefore w:val="0"/>
        <w:widowControl w:val="0"/>
        <w:kinsoku/>
        <w:wordWrap/>
        <w:overflowPunct/>
        <w:topLinePunct w:val="0"/>
        <w:autoSpaceDE/>
        <w:autoSpaceDN/>
        <w:bidi w:val="0"/>
        <w:spacing w:line="540" w:lineRule="exact"/>
        <w:ind w:firstLine="480" w:firstLineChars="200"/>
        <w:textAlignment w:val="auto"/>
        <w:outlineLvl w:val="9"/>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rPr>
        <w:t>项目费用</w:t>
      </w:r>
      <w:r>
        <w:rPr>
          <w:rFonts w:hint="eastAsia" w:ascii="仿宋" w:hAnsi="仿宋" w:eastAsia="仿宋" w:cs="仿宋"/>
          <w:b w:val="0"/>
          <w:bCs w:val="0"/>
          <w:color w:val="auto"/>
          <w:sz w:val="24"/>
          <w:szCs w:val="24"/>
          <w:lang w:val="en-US" w:eastAsia="zh-CN"/>
        </w:rPr>
        <w:t>人民币</w:t>
      </w:r>
      <w:r>
        <w:rPr>
          <w:rFonts w:hint="eastAsia" w:ascii="仿宋" w:hAnsi="仿宋" w:eastAsia="仿宋" w:cs="仿宋"/>
          <w:b w:val="0"/>
          <w:bCs w:val="0"/>
          <w:color w:val="auto"/>
          <w:sz w:val="24"/>
          <w:szCs w:val="24"/>
        </w:rPr>
        <w:t>：</w:t>
      </w:r>
      <w:r>
        <w:rPr>
          <w:rFonts w:hint="eastAsia" w:ascii="仿宋" w:hAnsi="仿宋" w:eastAsia="仿宋" w:cs="仿宋"/>
          <w:b w:val="0"/>
          <w:bCs w:val="0"/>
          <w:color w:val="auto"/>
          <w:sz w:val="24"/>
          <w:szCs w:val="24"/>
          <w:lang w:val="en-US" w:eastAsia="zh-CN"/>
        </w:rPr>
        <w:t>95</w:t>
      </w:r>
      <w:r>
        <w:rPr>
          <w:rFonts w:hint="eastAsia" w:ascii="仿宋" w:hAnsi="仿宋" w:eastAsia="仿宋" w:cs="仿宋"/>
          <w:b w:val="0"/>
          <w:bCs w:val="0"/>
          <w:color w:val="auto"/>
          <w:sz w:val="24"/>
          <w:szCs w:val="24"/>
        </w:rPr>
        <w:t>万元</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lang w:val="en-US" w:eastAsia="zh-CN"/>
        </w:rPr>
        <w:t>玖拾伍万元整）</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textAlignment w:val="auto"/>
        <w:outlineLvl w:val="1"/>
        <w:rPr>
          <w:rFonts w:hint="eastAsia" w:ascii="仿宋" w:hAnsi="仿宋" w:eastAsia="仿宋" w:cs="仿宋"/>
          <w:b w:val="0"/>
          <w:bCs w:val="0"/>
          <w:color w:val="auto"/>
          <w:sz w:val="24"/>
          <w:szCs w:val="24"/>
        </w:rPr>
      </w:pPr>
      <w:bookmarkStart w:id="345" w:name="_Toc17755"/>
      <w:r>
        <w:rPr>
          <w:rFonts w:hint="eastAsia" w:ascii="仿宋" w:hAnsi="仿宋" w:eastAsia="仿宋" w:cs="仿宋"/>
          <w:b w:val="0"/>
          <w:bCs w:val="0"/>
          <w:color w:val="auto"/>
          <w:sz w:val="24"/>
          <w:szCs w:val="24"/>
        </w:rPr>
        <w:t>二、工作范围</w:t>
      </w:r>
      <w:bookmarkEnd w:id="345"/>
    </w:p>
    <w:p>
      <w:pPr>
        <w:keepNext w:val="0"/>
        <w:keepLines w:val="0"/>
        <w:pageBreakBefore w:val="0"/>
        <w:widowControl w:val="0"/>
        <w:kinsoku/>
        <w:wordWrap/>
        <w:overflowPunct/>
        <w:topLinePunct w:val="0"/>
        <w:autoSpaceDE/>
        <w:autoSpaceDN/>
        <w:bidi w:val="0"/>
        <w:spacing w:line="540" w:lineRule="exact"/>
        <w:ind w:firstLine="480" w:firstLineChars="200"/>
        <w:textAlignment w:val="auto"/>
        <w:outlineLvl w:val="9"/>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本次地质灾害群专结合监测预警点建设工作区范围（以下简称监测区）涉及克孜勒苏柯尔克孜自治州整个行政区划范围。地理坐标北纬37°41'-41°49'</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rPr>
        <w:t>东经73°26'-78°59'。</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textAlignment w:val="auto"/>
        <w:outlineLvl w:val="9"/>
        <w:rPr>
          <w:rFonts w:hint="eastAsia" w:ascii="仿宋" w:hAnsi="仿宋" w:eastAsia="仿宋" w:cs="仿宋"/>
          <w:b w:val="0"/>
          <w:bCs w:val="0"/>
          <w:color w:val="auto"/>
          <w:sz w:val="24"/>
          <w:szCs w:val="24"/>
          <w:u w:val="single"/>
        </w:rPr>
      </w:pPr>
      <w:r>
        <w:rPr>
          <w:rFonts w:hint="eastAsia" w:ascii="仿宋" w:hAnsi="仿宋" w:eastAsia="仿宋" w:cs="仿宋"/>
          <w:b w:val="0"/>
          <w:bCs w:val="0"/>
          <w:color w:val="auto"/>
          <w:sz w:val="24"/>
          <w:szCs w:val="24"/>
          <w:u w:val="single"/>
        </w:rPr>
        <w:t>最终地质灾害监测预警点位置以投标单位现场踏勘并与当地自然资源主管部门充分沟通确定的为准。</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textAlignment w:val="auto"/>
        <w:outlineLvl w:val="1"/>
        <w:rPr>
          <w:rFonts w:hint="eastAsia" w:ascii="仿宋" w:hAnsi="仿宋" w:eastAsia="仿宋" w:cs="仿宋"/>
          <w:b w:val="0"/>
          <w:bCs w:val="0"/>
          <w:color w:val="auto"/>
          <w:sz w:val="24"/>
          <w:szCs w:val="24"/>
        </w:rPr>
      </w:pPr>
      <w:bookmarkStart w:id="346" w:name="_Toc29922"/>
      <w:r>
        <w:rPr>
          <w:rFonts w:hint="eastAsia" w:ascii="仿宋" w:hAnsi="仿宋" w:eastAsia="仿宋" w:cs="仿宋"/>
          <w:b w:val="0"/>
          <w:bCs w:val="0"/>
          <w:color w:val="auto"/>
          <w:sz w:val="24"/>
          <w:szCs w:val="24"/>
        </w:rPr>
        <w:t>三、自然经济地理</w:t>
      </w:r>
      <w:bookmarkEnd w:id="346"/>
    </w:p>
    <w:p>
      <w:pPr>
        <w:keepNext w:val="0"/>
        <w:keepLines w:val="0"/>
        <w:pageBreakBefore w:val="0"/>
        <w:widowControl w:val="0"/>
        <w:kinsoku/>
        <w:wordWrap/>
        <w:overflowPunct/>
        <w:topLinePunct w:val="0"/>
        <w:autoSpaceDE/>
        <w:autoSpaceDN/>
        <w:bidi w:val="0"/>
        <w:spacing w:line="540" w:lineRule="exact"/>
        <w:ind w:firstLine="480" w:firstLineChars="200"/>
        <w:textAlignment w:val="auto"/>
        <w:outlineLvl w:val="9"/>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（一）交通位置</w:t>
      </w:r>
    </w:p>
    <w:p>
      <w:pPr>
        <w:keepNext w:val="0"/>
        <w:keepLines w:val="0"/>
        <w:pageBreakBefore w:val="0"/>
        <w:widowControl w:val="0"/>
        <w:kinsoku/>
        <w:wordWrap/>
        <w:overflowPunct/>
        <w:topLinePunct w:val="0"/>
        <w:autoSpaceDE/>
        <w:autoSpaceDN/>
        <w:bidi w:val="0"/>
        <w:spacing w:line="540" w:lineRule="exact"/>
        <w:ind w:firstLine="480" w:firstLineChars="200"/>
        <w:textAlignment w:val="auto"/>
        <w:outlineLvl w:val="9"/>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sz w:val="24"/>
          <w:szCs w:val="24"/>
        </w:rPr>
        <w:t>克州地区交通比较发达。区内有G3012、G219、G314、G315主要交通干线与各县市连接，还有G3013、G581等国际交通干线与接壤国连通，交通十分便利。大部分可通过县道、乡村道路、简易公路到达灾害点附近，部分牧民夏季牧场和冬季牧场可通过简易道路达到灾害点附近。监测仪器设备安装点位一般分布斜坡地带和沟谷内，大部分汽车无法通行，仅可通过人工步行进行监测设备基础施工、安装调试及运行维护，交通条件较差。</w:t>
      </w:r>
    </w:p>
    <w:p>
      <w:pPr>
        <w:keepNext w:val="0"/>
        <w:keepLines w:val="0"/>
        <w:pageBreakBefore w:val="0"/>
        <w:widowControl w:val="0"/>
        <w:kinsoku/>
        <w:wordWrap/>
        <w:overflowPunct/>
        <w:topLinePunct w:val="0"/>
        <w:autoSpaceDE/>
        <w:autoSpaceDN/>
        <w:bidi w:val="0"/>
        <w:spacing w:line="540" w:lineRule="exact"/>
        <w:ind w:firstLine="480" w:firstLineChars="200"/>
        <w:textAlignment w:val="auto"/>
        <w:outlineLvl w:val="9"/>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（二）社会经济概况</w:t>
      </w:r>
    </w:p>
    <w:p>
      <w:pPr>
        <w:keepNext w:val="0"/>
        <w:keepLines w:val="0"/>
        <w:pageBreakBefore w:val="0"/>
        <w:widowControl w:val="0"/>
        <w:kinsoku/>
        <w:wordWrap/>
        <w:overflowPunct/>
        <w:topLinePunct w:val="0"/>
        <w:autoSpaceDE/>
        <w:autoSpaceDN/>
        <w:bidi w:val="0"/>
        <w:spacing w:line="540" w:lineRule="exact"/>
        <w:ind w:firstLine="480" w:firstLineChars="200"/>
        <w:textAlignment w:val="auto"/>
        <w:outlineLvl w:val="9"/>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克州辖1个县级市、3个县，即阿图什市、阿克陶县、乌恰县、阿合奇县。共有2个街道、5个镇、32个乡，23个社区、208个村委会，由柯尔克孜族、维吾尔族、汉族、塔吉克族、回族等11个民族组成，是全国唯一以柯尔克孜族为主体民族的自治州，也是一个以农牧业为主的“人口小州、经济穷州、边防大州、战略重州、希望之州”。</w:t>
      </w:r>
    </w:p>
    <w:p>
      <w:pPr>
        <w:keepNext w:val="0"/>
        <w:keepLines w:val="0"/>
        <w:pageBreakBefore w:val="0"/>
        <w:widowControl w:val="0"/>
        <w:kinsoku/>
        <w:wordWrap/>
        <w:overflowPunct/>
        <w:topLinePunct w:val="0"/>
        <w:autoSpaceDE/>
        <w:autoSpaceDN/>
        <w:bidi w:val="0"/>
        <w:spacing w:line="540" w:lineRule="exact"/>
        <w:ind w:firstLine="480" w:firstLineChars="200"/>
        <w:textAlignment w:val="auto"/>
        <w:outlineLvl w:val="9"/>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2020年，实现地区生产总值169.24亿元,比上年增长4.1%，其中：第一产业增加值17.98亿元，增长2.5%；第二产业增加值48.79亿元,增长8.9%;第三产业增加值102.47亿元，增长2.4%。三次产业的结构比例为10.6：28.8：60.6，对经济增长的贡献率分别为6.9%、58.2%、34.9%。人均生产总值27282元，增长4.5%。</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textAlignment w:val="auto"/>
        <w:outlineLvl w:val="1"/>
        <w:rPr>
          <w:rFonts w:hint="eastAsia" w:ascii="仿宋" w:hAnsi="仿宋" w:eastAsia="仿宋" w:cs="仿宋"/>
          <w:b w:val="0"/>
          <w:bCs w:val="0"/>
          <w:color w:val="auto"/>
          <w:sz w:val="24"/>
          <w:szCs w:val="24"/>
        </w:rPr>
      </w:pPr>
      <w:bookmarkStart w:id="347" w:name="_Toc29381"/>
      <w:r>
        <w:rPr>
          <w:rFonts w:hint="eastAsia" w:ascii="仿宋" w:hAnsi="仿宋" w:eastAsia="仿宋" w:cs="仿宋"/>
          <w:b w:val="0"/>
          <w:bCs w:val="0"/>
          <w:color w:val="auto"/>
          <w:sz w:val="24"/>
          <w:szCs w:val="24"/>
        </w:rPr>
        <w:t>四、地质环境条件和工作程度</w:t>
      </w:r>
      <w:bookmarkEnd w:id="347"/>
    </w:p>
    <w:p>
      <w:pPr>
        <w:keepNext w:val="0"/>
        <w:keepLines w:val="0"/>
        <w:pageBreakBefore w:val="0"/>
        <w:widowControl w:val="0"/>
        <w:kinsoku/>
        <w:wordWrap/>
        <w:overflowPunct/>
        <w:topLinePunct w:val="0"/>
        <w:autoSpaceDE/>
        <w:autoSpaceDN/>
        <w:bidi w:val="0"/>
        <w:spacing w:line="540" w:lineRule="exact"/>
        <w:ind w:firstLine="480" w:firstLineChars="200"/>
        <w:textAlignment w:val="auto"/>
        <w:outlineLvl w:val="9"/>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（一）地形地貌</w:t>
      </w:r>
    </w:p>
    <w:p>
      <w:pPr>
        <w:keepNext w:val="0"/>
        <w:keepLines w:val="0"/>
        <w:pageBreakBefore w:val="0"/>
        <w:widowControl w:val="0"/>
        <w:kinsoku/>
        <w:wordWrap/>
        <w:overflowPunct/>
        <w:topLinePunct w:val="0"/>
        <w:autoSpaceDE/>
        <w:autoSpaceDN/>
        <w:bidi w:val="0"/>
        <w:spacing w:line="540" w:lineRule="exact"/>
        <w:ind w:firstLine="560"/>
        <w:textAlignment w:val="auto"/>
        <w:outlineLvl w:val="9"/>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克孜勒苏柯尔克孜自治州主要地貌类型有：山地、河谷、盆地、平原、沙漠、戈壁、冰川等。该州地处年轻的帕米尔高原上，帕米尔高原寒武纪时期隆起，华里西时期断裂，并发生剧烈升降，形成拗陷和褶皱。地质结构复杂，主要为新生界第四系地层。自治州境内多山，山地占全州总面积的90%以上。境内群山起伏，高峰林立，山顶常年戴雪，积雪厚度达百米以上；山间分布着条条冰川，并有冰洞、冰舌、冰斗、冰湖等分布。</w:t>
      </w:r>
    </w:p>
    <w:p>
      <w:pPr>
        <w:keepNext w:val="0"/>
        <w:keepLines w:val="0"/>
        <w:pageBreakBefore w:val="0"/>
        <w:widowControl w:val="0"/>
        <w:kinsoku/>
        <w:wordWrap/>
        <w:overflowPunct/>
        <w:topLinePunct w:val="0"/>
        <w:autoSpaceDE/>
        <w:autoSpaceDN/>
        <w:bidi w:val="0"/>
        <w:spacing w:line="540" w:lineRule="exact"/>
        <w:ind w:firstLine="480" w:firstLineChars="200"/>
        <w:textAlignment w:val="auto"/>
        <w:outlineLvl w:val="9"/>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（二）地层岩性</w:t>
      </w:r>
    </w:p>
    <w:p>
      <w:pPr>
        <w:keepNext w:val="0"/>
        <w:keepLines w:val="0"/>
        <w:pageBreakBefore w:val="0"/>
        <w:widowControl w:val="0"/>
        <w:kinsoku/>
        <w:wordWrap/>
        <w:overflowPunct/>
        <w:topLinePunct w:val="0"/>
        <w:autoSpaceDE/>
        <w:autoSpaceDN/>
        <w:bidi w:val="0"/>
        <w:spacing w:line="540" w:lineRule="exact"/>
        <w:ind w:firstLine="480" w:firstLineChars="200"/>
        <w:textAlignment w:val="auto"/>
        <w:outlineLvl w:val="9"/>
        <w:rPr>
          <w:rFonts w:hint="eastAsia" w:ascii="仿宋" w:hAnsi="仿宋" w:eastAsia="仿宋" w:cs="仿宋"/>
          <w:b w:val="0"/>
          <w:bCs w:val="0"/>
          <w:color w:val="auto"/>
          <w:kern w:val="0"/>
          <w:sz w:val="24"/>
          <w:szCs w:val="24"/>
          <w:lang w:eastAsia="zh-CN"/>
        </w:rPr>
      </w:pPr>
      <w:r>
        <w:rPr>
          <w:rFonts w:hint="eastAsia" w:ascii="仿宋" w:hAnsi="仿宋" w:eastAsia="仿宋" w:cs="仿宋"/>
          <w:b w:val="0"/>
          <w:bCs w:val="0"/>
          <w:color w:val="auto"/>
          <w:kern w:val="0"/>
          <w:sz w:val="24"/>
          <w:szCs w:val="24"/>
          <w:lang w:eastAsia="zh-CN"/>
        </w:rPr>
        <w:t>监测区</w:t>
      </w:r>
      <w:r>
        <w:rPr>
          <w:rFonts w:hint="eastAsia" w:ascii="仿宋" w:hAnsi="仿宋" w:eastAsia="仿宋" w:cs="仿宋"/>
          <w:b w:val="0"/>
          <w:bCs w:val="0"/>
          <w:color w:val="auto"/>
          <w:kern w:val="0"/>
          <w:sz w:val="24"/>
          <w:szCs w:val="24"/>
        </w:rPr>
        <w:t>出露地层出露较齐全，有古生界寒武系</w:t>
      </w:r>
      <w:r>
        <w:rPr>
          <w:rFonts w:hint="eastAsia" w:ascii="仿宋" w:hAnsi="仿宋" w:eastAsia="仿宋" w:cs="仿宋"/>
          <w:b w:val="0"/>
          <w:bCs w:val="0"/>
          <w:color w:val="auto"/>
          <w:kern w:val="0"/>
          <w:sz w:val="24"/>
          <w:szCs w:val="24"/>
          <w:lang w:eastAsia="zh-CN"/>
        </w:rPr>
        <w:t>、</w:t>
      </w:r>
      <w:r>
        <w:rPr>
          <w:rFonts w:hint="eastAsia" w:ascii="仿宋" w:hAnsi="仿宋" w:eastAsia="仿宋" w:cs="仿宋"/>
          <w:b w:val="0"/>
          <w:bCs w:val="0"/>
          <w:color w:val="auto"/>
          <w:kern w:val="0"/>
          <w:sz w:val="24"/>
          <w:szCs w:val="24"/>
          <w:lang w:val="zh-TW" w:eastAsia="zh-TW" w:bidi="zh-TW"/>
        </w:rPr>
        <w:t>奥陶系</w:t>
      </w:r>
      <w:r>
        <w:rPr>
          <w:rFonts w:hint="eastAsia" w:ascii="仿宋" w:hAnsi="仿宋" w:eastAsia="仿宋" w:cs="仿宋"/>
          <w:b w:val="0"/>
          <w:bCs w:val="0"/>
          <w:color w:val="auto"/>
          <w:kern w:val="0"/>
          <w:sz w:val="24"/>
          <w:szCs w:val="24"/>
          <w:lang w:val="zh-TW" w:eastAsia="zh-CN" w:bidi="zh-TW"/>
        </w:rPr>
        <w:t>、</w:t>
      </w:r>
      <w:r>
        <w:rPr>
          <w:rFonts w:hint="eastAsia" w:ascii="仿宋" w:hAnsi="仿宋" w:eastAsia="仿宋" w:cs="仿宋"/>
          <w:b w:val="0"/>
          <w:bCs w:val="0"/>
          <w:color w:val="auto"/>
          <w:kern w:val="0"/>
          <w:sz w:val="24"/>
          <w:szCs w:val="24"/>
          <w:lang w:val="en-US" w:eastAsia="zh-CN" w:bidi="zh-TW"/>
        </w:rPr>
        <w:t>志留系、</w:t>
      </w:r>
      <w:r>
        <w:rPr>
          <w:rFonts w:hint="eastAsia" w:ascii="仿宋" w:hAnsi="仿宋" w:eastAsia="仿宋" w:cs="仿宋"/>
          <w:b w:val="0"/>
          <w:bCs w:val="0"/>
          <w:color w:val="auto"/>
          <w:kern w:val="0"/>
          <w:sz w:val="24"/>
          <w:szCs w:val="24"/>
          <w:lang w:val="zh-TW" w:eastAsia="zh-TW" w:bidi="zh-TW"/>
        </w:rPr>
        <w:t>泥盆系</w:t>
      </w:r>
      <w:r>
        <w:rPr>
          <w:rFonts w:hint="eastAsia" w:ascii="仿宋" w:hAnsi="仿宋" w:eastAsia="仿宋" w:cs="仿宋"/>
          <w:b w:val="0"/>
          <w:bCs w:val="0"/>
          <w:color w:val="auto"/>
          <w:kern w:val="0"/>
          <w:sz w:val="24"/>
          <w:szCs w:val="24"/>
          <w:lang w:val="zh-TW" w:eastAsia="zh-CN" w:bidi="zh-TW"/>
        </w:rPr>
        <w:t>、</w:t>
      </w:r>
      <w:r>
        <w:rPr>
          <w:rFonts w:hint="eastAsia" w:ascii="仿宋" w:hAnsi="仿宋" w:eastAsia="仿宋" w:cs="仿宋"/>
          <w:b w:val="0"/>
          <w:bCs w:val="0"/>
          <w:color w:val="auto"/>
          <w:kern w:val="0"/>
          <w:sz w:val="24"/>
          <w:szCs w:val="24"/>
          <w:lang w:val="zh-TW" w:eastAsia="zh-TW" w:bidi="zh-TW"/>
        </w:rPr>
        <w:t>石炭系</w:t>
      </w:r>
      <w:r>
        <w:rPr>
          <w:rFonts w:hint="eastAsia" w:ascii="仿宋" w:hAnsi="仿宋" w:eastAsia="仿宋" w:cs="仿宋"/>
          <w:b w:val="0"/>
          <w:bCs w:val="0"/>
          <w:color w:val="auto"/>
          <w:kern w:val="0"/>
          <w:sz w:val="24"/>
          <w:szCs w:val="24"/>
          <w:lang w:val="zh-TW" w:eastAsia="zh-CN" w:bidi="zh-TW"/>
        </w:rPr>
        <w:t>、</w:t>
      </w:r>
      <w:r>
        <w:rPr>
          <w:rFonts w:hint="eastAsia" w:ascii="仿宋" w:hAnsi="仿宋" w:eastAsia="仿宋" w:cs="仿宋"/>
          <w:b w:val="0"/>
          <w:bCs w:val="0"/>
          <w:color w:val="auto"/>
          <w:kern w:val="0"/>
          <w:sz w:val="24"/>
          <w:szCs w:val="24"/>
          <w:lang w:val="zh-TW" w:eastAsia="zh-TW" w:bidi="zh-TW"/>
        </w:rPr>
        <w:t>二叠系</w:t>
      </w:r>
      <w:r>
        <w:rPr>
          <w:rFonts w:hint="eastAsia" w:ascii="仿宋" w:hAnsi="仿宋" w:eastAsia="仿宋" w:cs="仿宋"/>
          <w:b w:val="0"/>
          <w:bCs w:val="0"/>
          <w:color w:val="auto"/>
          <w:kern w:val="0"/>
          <w:sz w:val="24"/>
          <w:szCs w:val="24"/>
          <w:lang w:val="zh-TW" w:eastAsia="zh-CN" w:bidi="zh-TW"/>
        </w:rPr>
        <w:t>、</w:t>
      </w:r>
      <w:r>
        <w:rPr>
          <w:rFonts w:hint="eastAsia" w:ascii="仿宋" w:hAnsi="仿宋" w:eastAsia="仿宋" w:cs="仿宋"/>
          <w:b w:val="0"/>
          <w:bCs w:val="0"/>
          <w:color w:val="auto"/>
          <w:kern w:val="0"/>
          <w:sz w:val="24"/>
          <w:szCs w:val="24"/>
          <w:lang w:val="en-US" w:eastAsia="zh-CN" w:bidi="zh-TW"/>
        </w:rPr>
        <w:t>三</w:t>
      </w:r>
      <w:r>
        <w:rPr>
          <w:rFonts w:hint="eastAsia" w:ascii="仿宋" w:hAnsi="仿宋" w:eastAsia="仿宋" w:cs="仿宋"/>
          <w:b w:val="0"/>
          <w:bCs w:val="0"/>
          <w:color w:val="auto"/>
          <w:kern w:val="0"/>
          <w:sz w:val="24"/>
          <w:szCs w:val="24"/>
          <w:lang w:val="zh-TW" w:eastAsia="zh-TW" w:bidi="zh-TW"/>
        </w:rPr>
        <w:t>叠系</w:t>
      </w:r>
      <w:r>
        <w:rPr>
          <w:rFonts w:hint="eastAsia" w:ascii="仿宋" w:hAnsi="仿宋" w:eastAsia="仿宋" w:cs="仿宋"/>
          <w:b w:val="0"/>
          <w:bCs w:val="0"/>
          <w:color w:val="auto"/>
          <w:kern w:val="0"/>
          <w:sz w:val="24"/>
          <w:szCs w:val="24"/>
          <w:lang w:val="zh-TW" w:eastAsia="zh-CN" w:bidi="zh-TW"/>
        </w:rPr>
        <w:t>、</w:t>
      </w:r>
      <w:r>
        <w:rPr>
          <w:rFonts w:hint="eastAsia" w:ascii="仿宋" w:hAnsi="仿宋" w:eastAsia="仿宋" w:cs="仿宋"/>
          <w:b w:val="0"/>
          <w:bCs w:val="0"/>
          <w:color w:val="auto"/>
          <w:sz w:val="24"/>
          <w:szCs w:val="24"/>
        </w:rPr>
        <w:t>侏罗系</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kern w:val="0"/>
          <w:sz w:val="24"/>
          <w:szCs w:val="24"/>
          <w:lang w:val="zh-TW" w:eastAsia="zh-TW" w:bidi="zh-TW"/>
        </w:rPr>
        <w:t>白垩系</w:t>
      </w:r>
      <w:r>
        <w:rPr>
          <w:rFonts w:hint="eastAsia" w:ascii="仿宋" w:hAnsi="仿宋" w:eastAsia="仿宋" w:cs="仿宋"/>
          <w:b w:val="0"/>
          <w:bCs w:val="0"/>
          <w:color w:val="auto"/>
          <w:kern w:val="0"/>
          <w:sz w:val="24"/>
          <w:szCs w:val="24"/>
          <w:lang w:val="zh-TW" w:eastAsia="zh-CN" w:bidi="zh-TW"/>
        </w:rPr>
        <w:t>、</w:t>
      </w:r>
      <w:r>
        <w:rPr>
          <w:rFonts w:hint="eastAsia" w:ascii="仿宋" w:hAnsi="仿宋" w:eastAsia="仿宋" w:cs="仿宋"/>
          <w:b w:val="0"/>
          <w:bCs w:val="0"/>
          <w:color w:val="auto"/>
          <w:kern w:val="0"/>
          <w:sz w:val="24"/>
          <w:szCs w:val="24"/>
          <w:lang w:val="zh-TW" w:eastAsia="zh-TW" w:bidi="zh-TW"/>
        </w:rPr>
        <w:t>古近系</w:t>
      </w:r>
      <w:r>
        <w:rPr>
          <w:rFonts w:hint="eastAsia" w:ascii="仿宋" w:hAnsi="仿宋" w:eastAsia="仿宋" w:cs="仿宋"/>
          <w:b w:val="0"/>
          <w:bCs w:val="0"/>
          <w:color w:val="auto"/>
          <w:kern w:val="0"/>
          <w:sz w:val="24"/>
          <w:szCs w:val="24"/>
          <w:lang w:val="zh-TW" w:eastAsia="zh-CN" w:bidi="zh-TW"/>
        </w:rPr>
        <w:t>、</w:t>
      </w:r>
      <w:r>
        <w:rPr>
          <w:rFonts w:hint="eastAsia" w:ascii="仿宋" w:hAnsi="仿宋" w:eastAsia="仿宋" w:cs="仿宋"/>
          <w:b w:val="0"/>
          <w:bCs w:val="0"/>
          <w:color w:val="auto"/>
          <w:kern w:val="0"/>
          <w:sz w:val="24"/>
          <w:szCs w:val="24"/>
          <w:lang w:val="zh-TW" w:eastAsia="zh-TW" w:bidi="zh-TW"/>
        </w:rPr>
        <w:t>新近系</w:t>
      </w:r>
      <w:r>
        <w:rPr>
          <w:rFonts w:hint="eastAsia" w:ascii="仿宋" w:hAnsi="仿宋" w:eastAsia="仿宋" w:cs="仿宋"/>
          <w:b w:val="0"/>
          <w:bCs w:val="0"/>
          <w:color w:val="auto"/>
          <w:kern w:val="0"/>
          <w:sz w:val="24"/>
          <w:szCs w:val="24"/>
          <w:lang w:val="zh-TW" w:eastAsia="zh-CN" w:bidi="zh-TW"/>
        </w:rPr>
        <w:t>、</w:t>
      </w:r>
      <w:r>
        <w:rPr>
          <w:rFonts w:hint="eastAsia" w:ascii="仿宋" w:hAnsi="仿宋" w:eastAsia="仿宋" w:cs="仿宋"/>
          <w:b w:val="0"/>
          <w:bCs w:val="0"/>
          <w:color w:val="auto"/>
          <w:kern w:val="0"/>
          <w:sz w:val="24"/>
          <w:szCs w:val="24"/>
          <w:lang w:val="zh-TW" w:eastAsia="zh-TW" w:bidi="zh-TW"/>
        </w:rPr>
        <w:t>第四系</w:t>
      </w:r>
      <w:r>
        <w:rPr>
          <w:rFonts w:hint="eastAsia" w:ascii="仿宋" w:hAnsi="仿宋" w:eastAsia="仿宋" w:cs="仿宋"/>
          <w:b w:val="0"/>
          <w:bCs w:val="0"/>
          <w:color w:val="auto"/>
          <w:kern w:val="0"/>
          <w:sz w:val="24"/>
          <w:szCs w:val="24"/>
          <w:lang w:val="en-US" w:eastAsia="zh-CN" w:bidi="zh-TW"/>
        </w:rPr>
        <w:t>等</w:t>
      </w:r>
      <w:r>
        <w:rPr>
          <w:rFonts w:hint="eastAsia" w:ascii="仿宋" w:hAnsi="仿宋" w:eastAsia="仿宋" w:cs="仿宋"/>
          <w:b w:val="0"/>
          <w:bCs w:val="0"/>
          <w:color w:val="auto"/>
          <w:kern w:val="0"/>
          <w:sz w:val="24"/>
          <w:szCs w:val="24"/>
        </w:rPr>
        <w:t>。</w:t>
      </w:r>
    </w:p>
    <w:p>
      <w:pPr>
        <w:keepNext w:val="0"/>
        <w:keepLines w:val="0"/>
        <w:pageBreakBefore w:val="0"/>
        <w:widowControl w:val="0"/>
        <w:kinsoku/>
        <w:wordWrap/>
        <w:overflowPunct/>
        <w:topLinePunct w:val="0"/>
        <w:autoSpaceDE/>
        <w:autoSpaceDN/>
        <w:bidi w:val="0"/>
        <w:spacing w:line="540" w:lineRule="exact"/>
        <w:ind w:firstLine="480" w:firstLineChars="200"/>
        <w:textAlignment w:val="auto"/>
        <w:outlineLvl w:val="9"/>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（三）水文地质条件</w:t>
      </w:r>
    </w:p>
    <w:p>
      <w:pPr>
        <w:keepNext w:val="0"/>
        <w:keepLines w:val="0"/>
        <w:pageBreakBefore w:val="0"/>
        <w:widowControl w:val="0"/>
        <w:kinsoku/>
        <w:wordWrap/>
        <w:overflowPunct/>
        <w:topLinePunct w:val="0"/>
        <w:autoSpaceDE/>
        <w:autoSpaceDN/>
        <w:bidi w:val="0"/>
        <w:spacing w:line="540" w:lineRule="exact"/>
        <w:ind w:firstLine="480" w:firstLineChars="200"/>
        <w:textAlignment w:val="auto"/>
        <w:outlineLvl w:val="9"/>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eastAsia="zh-CN"/>
        </w:rPr>
        <w:t>地下水的赋存条件和含水岩组性质，将克州地下水类型划分为基岩裂隙水、碳酸盐岩类溶洞裂隙水、碎屑岩类孔隙裂隙水和松散岩类孔隙水。</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textAlignment w:val="auto"/>
        <w:outlineLvl w:val="1"/>
        <w:rPr>
          <w:rFonts w:hint="eastAsia" w:ascii="仿宋" w:hAnsi="仿宋" w:eastAsia="仿宋" w:cs="仿宋"/>
          <w:b w:val="0"/>
          <w:bCs w:val="0"/>
          <w:color w:val="auto"/>
          <w:sz w:val="24"/>
          <w:szCs w:val="24"/>
        </w:rPr>
      </w:pPr>
      <w:bookmarkStart w:id="348" w:name="_Toc14565"/>
      <w:r>
        <w:rPr>
          <w:rFonts w:hint="eastAsia" w:ascii="仿宋" w:hAnsi="仿宋" w:eastAsia="仿宋" w:cs="仿宋"/>
          <w:b w:val="0"/>
          <w:bCs w:val="0"/>
          <w:color w:val="auto"/>
          <w:sz w:val="24"/>
          <w:szCs w:val="24"/>
        </w:rPr>
        <w:t>五、主要地质灾害</w:t>
      </w:r>
      <w:bookmarkEnd w:id="348"/>
    </w:p>
    <w:p>
      <w:pPr>
        <w:keepNext w:val="0"/>
        <w:keepLines w:val="0"/>
        <w:pageBreakBefore w:val="0"/>
        <w:widowControl w:val="0"/>
        <w:kinsoku/>
        <w:wordWrap/>
        <w:overflowPunct/>
        <w:topLinePunct w:val="0"/>
        <w:autoSpaceDE/>
        <w:autoSpaceDN/>
        <w:bidi w:val="0"/>
        <w:spacing w:line="540" w:lineRule="exact"/>
        <w:ind w:firstLine="480" w:firstLineChars="200"/>
        <w:textAlignment w:val="auto"/>
        <w:outlineLvl w:val="9"/>
        <w:rPr>
          <w:rFonts w:hint="eastAsia" w:ascii="仿宋" w:hAnsi="仿宋" w:eastAsia="仿宋" w:cs="仿宋"/>
          <w:b w:val="0"/>
          <w:bCs w:val="0"/>
          <w:color w:val="auto"/>
          <w:kern w:val="0"/>
          <w:sz w:val="24"/>
          <w:szCs w:val="24"/>
          <w:lang w:eastAsia="zh-CN"/>
        </w:rPr>
      </w:pPr>
      <w:r>
        <w:rPr>
          <w:rFonts w:hint="eastAsia" w:ascii="仿宋" w:hAnsi="仿宋" w:eastAsia="仿宋" w:cs="仿宋"/>
          <w:b w:val="0"/>
          <w:bCs w:val="0"/>
          <w:color w:val="auto"/>
          <w:kern w:val="0"/>
          <w:sz w:val="24"/>
          <w:szCs w:val="24"/>
          <w:lang w:val="zh-TW" w:eastAsia="zh-TW" w:bidi="zh-TW"/>
        </w:rPr>
        <w:t>受地形地貌、地质构造、气象、水文、地表水与地下水、岩（土）体工程地质特征以及人类工程活动的影响，</w:t>
      </w:r>
      <w:r>
        <w:rPr>
          <w:rFonts w:hint="eastAsia" w:ascii="仿宋" w:hAnsi="仿宋" w:eastAsia="仿宋" w:cs="仿宋"/>
          <w:b w:val="0"/>
          <w:bCs w:val="0"/>
          <w:color w:val="auto"/>
          <w:kern w:val="0"/>
          <w:sz w:val="24"/>
          <w:szCs w:val="24"/>
          <w:lang w:val="zh-TW" w:bidi="zh-TW"/>
        </w:rPr>
        <w:t>克州地区</w:t>
      </w:r>
      <w:r>
        <w:rPr>
          <w:rFonts w:hint="eastAsia" w:ascii="仿宋" w:hAnsi="仿宋" w:eastAsia="仿宋" w:cs="仿宋"/>
          <w:b w:val="0"/>
          <w:bCs w:val="0"/>
          <w:color w:val="auto"/>
          <w:kern w:val="0"/>
          <w:sz w:val="24"/>
          <w:szCs w:val="24"/>
          <w:lang w:val="zh-TW" w:eastAsia="zh-TW" w:bidi="zh-TW"/>
        </w:rPr>
        <w:t>地质灾害较为发育。通过各县市</w:t>
      </w:r>
      <w:r>
        <w:rPr>
          <w:rFonts w:hint="eastAsia" w:ascii="仿宋" w:hAnsi="仿宋" w:eastAsia="仿宋" w:cs="仿宋"/>
          <w:b w:val="0"/>
          <w:bCs w:val="0"/>
          <w:color w:val="auto"/>
          <w:kern w:val="0"/>
          <w:sz w:val="24"/>
          <w:szCs w:val="24"/>
          <w:lang w:val="zh-TW" w:bidi="zh-TW"/>
        </w:rPr>
        <w:t>地质灾害点</w:t>
      </w:r>
      <w:r>
        <w:rPr>
          <w:rFonts w:hint="eastAsia" w:ascii="仿宋" w:hAnsi="仿宋" w:eastAsia="仿宋" w:cs="仿宋"/>
          <w:b w:val="0"/>
          <w:bCs w:val="0"/>
          <w:color w:val="auto"/>
          <w:kern w:val="0"/>
          <w:sz w:val="24"/>
          <w:szCs w:val="24"/>
          <w:lang w:val="zh-TW" w:eastAsia="zh-TW" w:bidi="zh-TW"/>
        </w:rPr>
        <w:t>统计汇总，</w:t>
      </w:r>
      <w:bookmarkStart w:id="349" w:name="_Hlk89687625"/>
      <w:r>
        <w:rPr>
          <w:rFonts w:hint="eastAsia" w:ascii="仿宋" w:hAnsi="仿宋" w:eastAsia="仿宋" w:cs="仿宋"/>
          <w:b w:val="0"/>
          <w:bCs w:val="0"/>
          <w:color w:val="auto"/>
          <w:kern w:val="0"/>
          <w:sz w:val="24"/>
          <w:szCs w:val="24"/>
          <w:lang w:val="zh-TW" w:bidi="zh-TW"/>
        </w:rPr>
        <w:t>克州地区</w:t>
      </w:r>
      <w:r>
        <w:rPr>
          <w:rFonts w:hint="eastAsia" w:ascii="仿宋" w:hAnsi="仿宋" w:eastAsia="仿宋" w:cs="仿宋"/>
          <w:b w:val="0"/>
          <w:bCs w:val="0"/>
          <w:color w:val="auto"/>
          <w:kern w:val="0"/>
          <w:sz w:val="24"/>
          <w:szCs w:val="24"/>
          <w:lang w:val="zh-TW" w:eastAsia="zh-TW" w:bidi="zh-TW"/>
        </w:rPr>
        <w:t>共发育各类地质灾害点1238个</w:t>
      </w:r>
      <w:bookmarkEnd w:id="349"/>
      <w:r>
        <w:rPr>
          <w:rFonts w:hint="eastAsia" w:ascii="仿宋" w:hAnsi="仿宋" w:eastAsia="仿宋" w:cs="仿宋"/>
          <w:b w:val="0"/>
          <w:bCs w:val="0"/>
          <w:color w:val="auto"/>
          <w:kern w:val="0"/>
          <w:sz w:val="24"/>
          <w:szCs w:val="24"/>
          <w:lang w:val="zh-TW" w:eastAsia="zh-TW" w:bidi="zh-TW"/>
        </w:rPr>
        <w:t>，其中崩塌691处，占比55.7%，泥石流524处，占比42.2%，滑坡23处，占比1.8%</w:t>
      </w:r>
      <w:r>
        <w:rPr>
          <w:rFonts w:hint="eastAsia" w:ascii="仿宋" w:hAnsi="仿宋" w:eastAsia="仿宋" w:cs="仿宋"/>
          <w:b w:val="0"/>
          <w:bCs w:val="0"/>
          <w:color w:val="auto"/>
          <w:kern w:val="0"/>
          <w:sz w:val="24"/>
          <w:szCs w:val="24"/>
          <w:lang w:val="zh-TW" w:eastAsia="zh-CN" w:bidi="zh-TW"/>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textAlignment w:val="auto"/>
        <w:outlineLvl w:val="1"/>
        <w:rPr>
          <w:rFonts w:hint="eastAsia" w:ascii="仿宋" w:hAnsi="仿宋" w:eastAsia="仿宋" w:cs="仿宋"/>
          <w:b w:val="0"/>
          <w:bCs w:val="0"/>
          <w:color w:val="auto"/>
          <w:sz w:val="24"/>
          <w:szCs w:val="24"/>
        </w:rPr>
      </w:pPr>
      <w:bookmarkStart w:id="350" w:name="_Toc14234"/>
      <w:r>
        <w:rPr>
          <w:rFonts w:hint="eastAsia" w:ascii="仿宋" w:hAnsi="仿宋" w:eastAsia="仿宋" w:cs="仿宋"/>
          <w:b w:val="0"/>
          <w:bCs w:val="0"/>
          <w:color w:val="auto"/>
          <w:sz w:val="24"/>
          <w:szCs w:val="24"/>
        </w:rPr>
        <w:t>六、目标任务</w:t>
      </w:r>
      <w:bookmarkEnd w:id="350"/>
    </w:p>
    <w:p>
      <w:pPr>
        <w:keepNext w:val="0"/>
        <w:keepLines w:val="0"/>
        <w:pageBreakBefore w:val="0"/>
        <w:widowControl w:val="0"/>
        <w:kinsoku/>
        <w:wordWrap/>
        <w:overflowPunct/>
        <w:topLinePunct w:val="0"/>
        <w:autoSpaceDE/>
        <w:autoSpaceDN/>
        <w:bidi w:val="0"/>
        <w:spacing w:line="540" w:lineRule="exact"/>
        <w:ind w:firstLine="480" w:firstLineChars="200"/>
        <w:textAlignment w:val="auto"/>
        <w:outlineLvl w:val="9"/>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（一）目标</w:t>
      </w:r>
    </w:p>
    <w:p>
      <w:pPr>
        <w:keepNext w:val="0"/>
        <w:keepLines w:val="0"/>
        <w:pageBreakBefore w:val="0"/>
        <w:widowControl w:val="0"/>
        <w:kinsoku/>
        <w:wordWrap/>
        <w:overflowPunct/>
        <w:topLinePunct w:val="0"/>
        <w:autoSpaceDE/>
        <w:autoSpaceDN/>
        <w:bidi w:val="0"/>
        <w:spacing w:line="540" w:lineRule="exact"/>
        <w:ind w:firstLine="480" w:firstLineChars="200"/>
        <w:textAlignment w:val="auto"/>
        <w:outlineLvl w:val="9"/>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通过在</w:t>
      </w:r>
      <w:r>
        <w:rPr>
          <w:rFonts w:hint="eastAsia" w:ascii="仿宋" w:hAnsi="仿宋" w:eastAsia="仿宋" w:cs="仿宋"/>
          <w:b w:val="0"/>
          <w:bCs w:val="0"/>
          <w:color w:val="auto"/>
          <w:kern w:val="0"/>
          <w:sz w:val="24"/>
          <w:szCs w:val="24"/>
          <w:lang w:val="en-US" w:eastAsia="zh-CN"/>
        </w:rPr>
        <w:t>克州</w:t>
      </w:r>
      <w:r>
        <w:rPr>
          <w:rFonts w:hint="eastAsia" w:ascii="仿宋" w:hAnsi="仿宋" w:eastAsia="仿宋" w:cs="仿宋"/>
          <w:b w:val="0"/>
          <w:bCs w:val="0"/>
          <w:color w:val="auto"/>
          <w:kern w:val="0"/>
          <w:sz w:val="24"/>
          <w:szCs w:val="24"/>
        </w:rPr>
        <w:t>选取</w:t>
      </w:r>
      <w:r>
        <w:rPr>
          <w:rFonts w:hint="eastAsia" w:ascii="仿宋" w:hAnsi="仿宋" w:eastAsia="仿宋" w:cs="仿宋"/>
          <w:b w:val="0"/>
          <w:bCs w:val="0"/>
          <w:color w:val="auto"/>
          <w:kern w:val="0"/>
          <w:sz w:val="24"/>
          <w:szCs w:val="24"/>
          <w:lang w:val="en-US" w:eastAsia="zh-CN"/>
        </w:rPr>
        <w:t>10</w:t>
      </w:r>
      <w:r>
        <w:rPr>
          <w:rFonts w:hint="eastAsia" w:ascii="仿宋" w:hAnsi="仿宋" w:eastAsia="仿宋" w:cs="仿宋"/>
          <w:b w:val="0"/>
          <w:bCs w:val="0"/>
          <w:color w:val="auto"/>
          <w:kern w:val="0"/>
          <w:sz w:val="24"/>
          <w:szCs w:val="24"/>
        </w:rPr>
        <w:t>处地质灾害隐患点，实施</w:t>
      </w:r>
      <w:r>
        <w:rPr>
          <w:rFonts w:hint="eastAsia" w:ascii="仿宋" w:hAnsi="仿宋" w:eastAsia="仿宋" w:cs="仿宋"/>
          <w:b w:val="0"/>
          <w:bCs w:val="0"/>
          <w:color w:val="auto"/>
          <w:sz w:val="24"/>
          <w:szCs w:val="24"/>
        </w:rPr>
        <w:t>新疆</w:t>
      </w:r>
      <w:r>
        <w:rPr>
          <w:rFonts w:hint="eastAsia" w:ascii="仿宋" w:hAnsi="仿宋" w:eastAsia="仿宋" w:cs="仿宋"/>
          <w:b w:val="0"/>
          <w:bCs w:val="0"/>
          <w:color w:val="auto"/>
          <w:sz w:val="24"/>
          <w:szCs w:val="24"/>
          <w:lang w:val="en-US" w:eastAsia="zh-CN"/>
        </w:rPr>
        <w:t>克州</w:t>
      </w:r>
      <w:r>
        <w:rPr>
          <w:rFonts w:hint="eastAsia" w:ascii="仿宋" w:hAnsi="仿宋" w:eastAsia="仿宋" w:cs="仿宋"/>
          <w:b w:val="0"/>
          <w:bCs w:val="0"/>
          <w:color w:val="auto"/>
          <w:sz w:val="24"/>
          <w:szCs w:val="24"/>
        </w:rPr>
        <w:t>群专结合监测预警点</w:t>
      </w:r>
      <w:r>
        <w:rPr>
          <w:rFonts w:hint="eastAsia" w:ascii="仿宋" w:hAnsi="仿宋" w:eastAsia="仿宋" w:cs="仿宋"/>
          <w:b w:val="0"/>
          <w:bCs w:val="0"/>
          <w:color w:val="auto"/>
          <w:kern w:val="0"/>
          <w:sz w:val="24"/>
          <w:szCs w:val="24"/>
        </w:rPr>
        <w:t>建设（</w:t>
      </w:r>
      <w:r>
        <w:rPr>
          <w:rFonts w:hint="eastAsia" w:ascii="仿宋" w:hAnsi="仿宋" w:eastAsia="仿宋" w:cs="仿宋"/>
          <w:b w:val="0"/>
          <w:bCs w:val="0"/>
          <w:color w:val="auto"/>
          <w:kern w:val="0"/>
          <w:sz w:val="24"/>
          <w:szCs w:val="24"/>
          <w:lang w:eastAsia="zh-CN"/>
        </w:rPr>
        <w:t>2023年</w:t>
      </w:r>
      <w:r>
        <w:rPr>
          <w:rFonts w:hint="eastAsia" w:ascii="仿宋" w:hAnsi="仿宋" w:eastAsia="仿宋" w:cs="仿宋"/>
          <w:b w:val="0"/>
          <w:bCs w:val="0"/>
          <w:color w:val="auto"/>
          <w:kern w:val="0"/>
          <w:sz w:val="24"/>
          <w:szCs w:val="24"/>
        </w:rPr>
        <w:t>度），进一步提高监测区地质灾害群测群防专业化水平，降低群测群防员监测预警工作强度和压力，提升监测区地质灾害自动化、专业化和标准化监测预警覆盖面，提高防灾减灾能力，支撑监测区地质灾害风险管理，最大限度减少人员伤亡和财产损失。</w:t>
      </w:r>
    </w:p>
    <w:p>
      <w:pPr>
        <w:keepNext w:val="0"/>
        <w:keepLines w:val="0"/>
        <w:pageBreakBefore w:val="0"/>
        <w:widowControl w:val="0"/>
        <w:kinsoku/>
        <w:wordWrap/>
        <w:overflowPunct/>
        <w:topLinePunct w:val="0"/>
        <w:autoSpaceDE/>
        <w:autoSpaceDN/>
        <w:bidi w:val="0"/>
        <w:spacing w:line="540" w:lineRule="exact"/>
        <w:ind w:firstLine="480" w:firstLineChars="200"/>
        <w:textAlignment w:val="auto"/>
        <w:outlineLvl w:val="9"/>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（二）任务</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textAlignment w:val="auto"/>
        <w:outlineLvl w:val="9"/>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1.制定监测设计方案。包括确定监测对象、监测内容、监测指标、监测设备与布设方案等。</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textAlignment w:val="auto"/>
        <w:outlineLvl w:val="9"/>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2.开展设备安装与运行维护。结合现场情况与监测设计方案开展安装，组织监测设备现场验收，并对设备进行状态监控与维修维护。</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textAlignment w:val="auto"/>
        <w:outlineLvl w:val="9"/>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3.进行数据库与系统建设，为地质灾害群专结合监测预警工作提供全流程信息服务支撑。</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textAlignment w:val="auto"/>
        <w:outlineLvl w:val="9"/>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4.实施预警与响应。通过宏观预警、专业预警与区域地质灾害气象预警综合分析实施预警分级与响应。</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textAlignment w:val="auto"/>
        <w:outlineLvl w:val="1"/>
        <w:rPr>
          <w:rFonts w:hint="eastAsia" w:ascii="仿宋" w:hAnsi="仿宋" w:eastAsia="仿宋" w:cs="仿宋"/>
          <w:b w:val="0"/>
          <w:bCs w:val="0"/>
          <w:color w:val="auto"/>
          <w:sz w:val="24"/>
          <w:szCs w:val="24"/>
        </w:rPr>
      </w:pPr>
      <w:bookmarkStart w:id="351" w:name="_Toc22254"/>
      <w:r>
        <w:rPr>
          <w:rFonts w:hint="eastAsia" w:ascii="仿宋" w:hAnsi="仿宋" w:eastAsia="仿宋" w:cs="仿宋"/>
          <w:b w:val="0"/>
          <w:bCs w:val="0"/>
          <w:color w:val="auto"/>
          <w:sz w:val="24"/>
          <w:szCs w:val="24"/>
        </w:rPr>
        <w:t>七、主要技术要求</w:t>
      </w:r>
      <w:bookmarkEnd w:id="351"/>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textAlignment w:val="auto"/>
        <w:outlineLvl w:val="9"/>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（一）标准规范</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textAlignment w:val="auto"/>
        <w:outlineLvl w:val="9"/>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w:t>
      </w:r>
      <w:r>
        <w:rPr>
          <w:rFonts w:hint="eastAsia" w:ascii="仿宋" w:hAnsi="仿宋" w:eastAsia="仿宋" w:cs="仿宋"/>
          <w:b w:val="0"/>
          <w:bCs w:val="0"/>
          <w:color w:val="auto"/>
          <w:sz w:val="24"/>
          <w:szCs w:val="24"/>
          <w:lang w:eastAsia="zh-CN"/>
        </w:rPr>
        <w:t>2023年</w:t>
      </w:r>
      <w:r>
        <w:rPr>
          <w:rFonts w:hint="eastAsia" w:ascii="仿宋" w:hAnsi="仿宋" w:eastAsia="仿宋" w:cs="仿宋"/>
          <w:b w:val="0"/>
          <w:bCs w:val="0"/>
          <w:color w:val="auto"/>
          <w:sz w:val="24"/>
          <w:szCs w:val="24"/>
        </w:rPr>
        <w:t>地质灾害监测预警实验工作方案》；</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textAlignment w:val="auto"/>
        <w:outlineLvl w:val="9"/>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2</w:t>
      </w:r>
      <w:r>
        <w:rPr>
          <w:rFonts w:hint="eastAsia" w:ascii="仿宋" w:hAnsi="仿宋" w:eastAsia="仿宋" w:cs="仿宋"/>
          <w:b w:val="0"/>
          <w:bCs w:val="0"/>
          <w:color w:val="auto"/>
          <w:sz w:val="24"/>
          <w:szCs w:val="24"/>
        </w:rPr>
        <w:t>.</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rPr>
        <w:t>地质灾害普适型仪器监测预警规范</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lang w:val="en-US" w:eastAsia="zh-CN"/>
        </w:rPr>
        <w:t>报批稿</w:t>
      </w:r>
      <w:r>
        <w:rPr>
          <w:rFonts w:hint="eastAsia" w:ascii="仿宋" w:hAnsi="仿宋" w:eastAsia="仿宋" w:cs="仿宋"/>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textAlignment w:val="auto"/>
        <w:outlineLvl w:val="9"/>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3</w:t>
      </w:r>
      <w:r>
        <w:rPr>
          <w:rFonts w:hint="eastAsia" w:ascii="仿宋" w:hAnsi="仿宋" w:eastAsia="仿宋" w:cs="仿宋"/>
          <w:b w:val="0"/>
          <w:bCs w:val="0"/>
          <w:color w:val="auto"/>
          <w:sz w:val="24"/>
          <w:szCs w:val="24"/>
        </w:rPr>
        <w:t>.</w:t>
      </w:r>
      <w:r>
        <w:rPr>
          <w:rFonts w:hint="eastAsia" w:ascii="仿宋" w:hAnsi="仿宋" w:eastAsia="仿宋" w:cs="仿宋"/>
          <w:b w:val="0"/>
          <w:bCs w:val="0"/>
          <w:color w:val="auto"/>
          <w:sz w:val="24"/>
          <w:szCs w:val="24"/>
          <w:lang w:val="en-US" w:eastAsia="zh-CN"/>
        </w:rPr>
        <w:t>《</w:t>
      </w:r>
      <w:r>
        <w:rPr>
          <w:rFonts w:hint="eastAsia" w:ascii="仿宋" w:hAnsi="仿宋" w:eastAsia="仿宋" w:cs="仿宋"/>
          <w:b w:val="0"/>
          <w:bCs w:val="0"/>
          <w:color w:val="auto"/>
          <w:sz w:val="24"/>
          <w:szCs w:val="24"/>
        </w:rPr>
        <w:t>地质灾害监测通信技术要求</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lang w:val="en-US" w:eastAsia="zh-CN"/>
        </w:rPr>
        <w:t>报批稿</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textAlignment w:val="auto"/>
        <w:outlineLvl w:val="9"/>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4.《地质灾害监测数据通信技术要求》；</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textAlignment w:val="auto"/>
        <w:outlineLvl w:val="9"/>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5.</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rPr>
        <w:t>地质灾害监测预警数据库建设规范</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lang w:val="en-US" w:eastAsia="zh-CN"/>
        </w:rPr>
        <w:t>报批稿</w:t>
      </w:r>
      <w:r>
        <w:rPr>
          <w:rFonts w:hint="eastAsia" w:ascii="仿宋" w:hAnsi="仿宋" w:eastAsia="仿宋" w:cs="仿宋"/>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textAlignment w:val="auto"/>
        <w:outlineLvl w:val="9"/>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6.《地质灾害监测预警设备检测技术要求（报批稿）》；</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textAlignment w:val="auto"/>
        <w:outlineLvl w:val="9"/>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val="en-US" w:eastAsia="zh-CN"/>
        </w:rPr>
        <w:t>7.</w:t>
      </w:r>
      <w:r>
        <w:rPr>
          <w:rFonts w:hint="eastAsia" w:ascii="仿宋" w:hAnsi="仿宋" w:eastAsia="仿宋" w:cs="仿宋"/>
          <w:b w:val="0"/>
          <w:bCs w:val="0"/>
          <w:color w:val="auto"/>
          <w:sz w:val="24"/>
          <w:szCs w:val="24"/>
          <w:lang w:eastAsia="zh-CN"/>
        </w:rPr>
        <w:t>《地质灾害普适型仪器监测预警点建设与运维预算标准（试行）》；</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textAlignment w:val="auto"/>
        <w:outlineLvl w:val="9"/>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8</w:t>
      </w:r>
      <w:r>
        <w:rPr>
          <w:rFonts w:hint="eastAsia" w:ascii="仿宋" w:hAnsi="仿宋" w:eastAsia="仿宋" w:cs="仿宋"/>
          <w:b w:val="0"/>
          <w:bCs w:val="0"/>
          <w:color w:val="auto"/>
          <w:sz w:val="24"/>
          <w:szCs w:val="24"/>
        </w:rPr>
        <w:t>.《工程测量规范》</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rPr>
        <w:t>GB50026-2007</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textAlignment w:val="auto"/>
        <w:outlineLvl w:val="9"/>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9</w:t>
      </w:r>
      <w:r>
        <w:rPr>
          <w:rFonts w:hint="eastAsia" w:ascii="仿宋" w:hAnsi="仿宋" w:eastAsia="仿宋" w:cs="仿宋"/>
          <w:b w:val="0"/>
          <w:bCs w:val="0"/>
          <w:color w:val="auto"/>
          <w:sz w:val="24"/>
          <w:szCs w:val="24"/>
        </w:rPr>
        <w:t>.《全球定位系统（GPS）测量规范》</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rPr>
        <w:t>GB/T18314-2009</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textAlignment w:val="auto"/>
        <w:outlineLvl w:val="9"/>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10.</w:t>
      </w:r>
      <w:r>
        <w:rPr>
          <w:rFonts w:hint="eastAsia" w:ascii="仿宋" w:hAnsi="仿宋" w:eastAsia="仿宋" w:cs="仿宋"/>
          <w:b w:val="0"/>
          <w:bCs w:val="0"/>
          <w:color w:val="auto"/>
          <w:sz w:val="24"/>
          <w:szCs w:val="24"/>
        </w:rPr>
        <w:t>同时满足招标文件、设计书及其审批意见书和有关规定的要求。</w:t>
      </w:r>
    </w:p>
    <w:p>
      <w:pPr>
        <w:keepNext w:val="0"/>
        <w:keepLines w:val="0"/>
        <w:pageBreakBefore w:val="0"/>
        <w:widowControl w:val="0"/>
        <w:kinsoku/>
        <w:wordWrap/>
        <w:overflowPunct/>
        <w:topLinePunct w:val="0"/>
        <w:autoSpaceDE/>
        <w:autoSpaceDN/>
        <w:bidi w:val="0"/>
        <w:spacing w:line="540" w:lineRule="exact"/>
        <w:ind w:firstLine="480" w:firstLineChars="200"/>
        <w:textAlignment w:val="auto"/>
        <w:outlineLvl w:val="9"/>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（二）监测设备技术要求</w:t>
      </w:r>
    </w:p>
    <w:p>
      <w:pPr>
        <w:pStyle w:val="2"/>
        <w:keepNext w:val="0"/>
        <w:keepLines w:val="0"/>
        <w:pageBreakBefore w:val="0"/>
        <w:widowControl w:val="0"/>
        <w:kinsoku/>
        <w:wordWrap/>
        <w:overflowPunct/>
        <w:topLinePunct w:val="0"/>
        <w:autoSpaceDE/>
        <w:autoSpaceDN/>
        <w:bidi w:val="0"/>
        <w:spacing w:after="0"/>
        <w:ind w:firstLine="480"/>
        <w:jc w:val="center"/>
        <w:textAlignment w:val="auto"/>
        <w:outlineLvl w:val="9"/>
        <w:rPr>
          <w:rFonts w:hint="eastAsia" w:ascii="仿宋" w:hAnsi="仿宋" w:eastAsia="仿宋" w:cs="仿宋"/>
          <w:b w:val="0"/>
          <w:bCs w:val="0"/>
          <w:color w:val="auto"/>
          <w:sz w:val="24"/>
          <w:szCs w:val="32"/>
        </w:rPr>
      </w:pPr>
      <w:r>
        <w:rPr>
          <w:rFonts w:hint="eastAsia" w:ascii="仿宋" w:hAnsi="仿宋" w:eastAsia="仿宋" w:cs="仿宋"/>
          <w:b w:val="0"/>
          <w:bCs w:val="0"/>
          <w:color w:val="auto"/>
          <w:sz w:val="24"/>
          <w:szCs w:val="32"/>
        </w:rPr>
        <w:t>表1  雨量计主要技术参数</w:t>
      </w:r>
    </w:p>
    <w:tbl>
      <w:tblPr>
        <w:tblStyle w:val="37"/>
        <w:tblpPr w:leftFromText="180" w:rightFromText="180" w:vertAnchor="text" w:horzAnchor="page" w:tblpXSpec="center" w:tblpY="65"/>
        <w:tblOverlap w:val="never"/>
        <w:tblW w:w="82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65"/>
        <w:gridCol w:w="5058"/>
        <w:gridCol w:w="16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565" w:type="dxa"/>
          </w:tcPr>
          <w:p>
            <w:pPr>
              <w:pStyle w:val="74"/>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参数类型</w:t>
            </w:r>
          </w:p>
        </w:tc>
        <w:tc>
          <w:tcPr>
            <w:tcW w:w="5058" w:type="dxa"/>
          </w:tcPr>
          <w:p>
            <w:pPr>
              <w:pStyle w:val="74"/>
              <w:keepNext w:val="0"/>
              <w:keepLines w:val="0"/>
              <w:pageBreakBefore w:val="0"/>
              <w:widowControl w:val="0"/>
              <w:kinsoku/>
              <w:wordWrap/>
              <w:overflowPunct/>
              <w:topLinePunct w:val="0"/>
              <w:autoSpaceDE/>
              <w:autoSpaceDN/>
              <w:bidi w:val="0"/>
              <w:spacing w:before="22"/>
              <w:ind w:left="639" w:right="529"/>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技术指标</w:t>
            </w:r>
            <w:r>
              <w:rPr>
                <w:rFonts w:hint="eastAsia" w:ascii="仿宋" w:hAnsi="仿宋" w:eastAsia="仿宋" w:cs="仿宋"/>
                <w:b w:val="0"/>
                <w:bCs w:val="0"/>
                <w:color w:val="auto"/>
                <w:w w:val="99"/>
              </w:rPr>
              <w:t xml:space="preserve"> </w:t>
            </w:r>
          </w:p>
        </w:tc>
        <w:tc>
          <w:tcPr>
            <w:tcW w:w="1654" w:type="dxa"/>
          </w:tcPr>
          <w:p>
            <w:pPr>
              <w:pStyle w:val="74"/>
              <w:keepNext w:val="0"/>
              <w:keepLines w:val="0"/>
              <w:pageBreakBefore w:val="0"/>
              <w:widowControl w:val="0"/>
              <w:kinsoku/>
              <w:wordWrap/>
              <w:overflowPunct/>
              <w:topLinePunct w:val="0"/>
              <w:autoSpaceDE/>
              <w:autoSpaceDN/>
              <w:bidi w:val="0"/>
              <w:spacing w:before="22"/>
              <w:ind w:left="262" w:right="15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备注</w:t>
            </w:r>
            <w:r>
              <w:rPr>
                <w:rFonts w:hint="eastAsia" w:ascii="仿宋" w:hAnsi="仿宋" w:eastAsia="仿宋" w:cs="仿宋"/>
                <w:b w:val="0"/>
                <w:bCs w:val="0"/>
                <w:color w:val="auto"/>
                <w:w w:val="99"/>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565" w:type="dxa"/>
          </w:tcPr>
          <w:p>
            <w:pPr>
              <w:pStyle w:val="74"/>
              <w:keepNext w:val="0"/>
              <w:keepLines w:val="0"/>
              <w:pageBreakBefore w:val="0"/>
              <w:widowControl w:val="0"/>
              <w:kinsoku/>
              <w:wordWrap/>
              <w:overflowPunct/>
              <w:topLinePunct w:val="0"/>
              <w:autoSpaceDE/>
              <w:autoSpaceDN/>
              <w:bidi w:val="0"/>
              <w:spacing w:before="177"/>
              <w:ind w:right="289"/>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测量范围</w:t>
            </w:r>
          </w:p>
        </w:tc>
        <w:tc>
          <w:tcPr>
            <w:tcW w:w="5058" w:type="dxa"/>
          </w:tcPr>
          <w:p>
            <w:pPr>
              <w:pStyle w:val="74"/>
              <w:keepNext w:val="0"/>
              <w:keepLines w:val="0"/>
              <w:pageBreakBefore w:val="0"/>
              <w:widowControl w:val="0"/>
              <w:kinsoku/>
              <w:wordWrap/>
              <w:overflowPunct/>
              <w:topLinePunct w:val="0"/>
              <w:autoSpaceDE/>
              <w:autoSpaceDN/>
              <w:bidi w:val="0"/>
              <w:ind w:left="1395"/>
              <w:textAlignment w:val="auto"/>
              <w:outlineLvl w:val="9"/>
              <w:rPr>
                <w:rFonts w:hint="eastAsia" w:ascii="仿宋" w:hAnsi="仿宋" w:eastAsia="仿宋" w:cs="仿宋"/>
                <w:b w:val="0"/>
                <w:bCs w:val="0"/>
                <w:color w:val="auto"/>
                <w:lang w:eastAsia="zh-CN"/>
              </w:rPr>
            </w:pPr>
            <w:r>
              <w:rPr>
                <w:rFonts w:hint="eastAsia" w:ascii="仿宋" w:hAnsi="仿宋" w:eastAsia="仿宋" w:cs="仿宋"/>
                <w:b w:val="0"/>
                <w:bCs w:val="0"/>
                <w:color w:val="auto"/>
                <w:spacing w:val="-1"/>
                <w:lang w:eastAsia="zh-CN"/>
              </w:rPr>
              <w:t>0～8mm/min（</w:t>
            </w:r>
            <w:r>
              <w:rPr>
                <w:rFonts w:hint="eastAsia" w:ascii="仿宋" w:hAnsi="仿宋" w:eastAsia="仿宋" w:cs="仿宋"/>
                <w:b w:val="0"/>
                <w:bCs w:val="0"/>
                <w:color w:val="auto"/>
                <w:lang w:eastAsia="zh-CN"/>
              </w:rPr>
              <w:t>毫米/分）（压电式）</w:t>
            </w:r>
          </w:p>
          <w:p>
            <w:pPr>
              <w:pStyle w:val="74"/>
              <w:keepNext w:val="0"/>
              <w:keepLines w:val="0"/>
              <w:pageBreakBefore w:val="0"/>
              <w:widowControl w:val="0"/>
              <w:kinsoku/>
              <w:wordWrap/>
              <w:overflowPunct/>
              <w:topLinePunct w:val="0"/>
              <w:autoSpaceDE/>
              <w:autoSpaceDN/>
              <w:bidi w:val="0"/>
              <w:spacing w:before="43"/>
              <w:ind w:left="1395"/>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spacing w:val="-1"/>
              </w:rPr>
              <w:t>0～4mm/min（</w:t>
            </w:r>
            <w:r>
              <w:rPr>
                <w:rFonts w:hint="eastAsia" w:ascii="仿宋" w:hAnsi="仿宋" w:eastAsia="仿宋" w:cs="仿宋"/>
                <w:b w:val="0"/>
                <w:bCs w:val="0"/>
                <w:color w:val="auto"/>
              </w:rPr>
              <w:t>毫米/分）（翻斗式）</w:t>
            </w:r>
          </w:p>
        </w:tc>
        <w:tc>
          <w:tcPr>
            <w:tcW w:w="1654" w:type="dxa"/>
          </w:tcPr>
          <w:p>
            <w:pPr>
              <w:pStyle w:val="74"/>
              <w:keepNext w:val="0"/>
              <w:keepLines w:val="0"/>
              <w:pageBreakBefore w:val="0"/>
              <w:widowControl w:val="0"/>
              <w:kinsoku/>
              <w:wordWrap/>
              <w:overflowPunct/>
              <w:topLinePunct w:val="0"/>
              <w:autoSpaceDE/>
              <w:autoSpaceDN/>
              <w:bidi w:val="0"/>
              <w:spacing w:before="177"/>
              <w:ind w:left="111"/>
              <w:textAlignment w:val="auto"/>
              <w:outlineLvl w:val="9"/>
              <w:rPr>
                <w:rFonts w:hint="eastAsia" w:ascii="仿宋" w:hAnsi="仿宋" w:eastAsia="仿宋" w:cs="仿宋"/>
                <w:b w:val="0"/>
                <w:bCs w:val="0"/>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565" w:type="dxa"/>
          </w:tcPr>
          <w:p>
            <w:pPr>
              <w:pStyle w:val="74"/>
              <w:keepNext w:val="0"/>
              <w:keepLines w:val="0"/>
              <w:pageBreakBefore w:val="0"/>
              <w:widowControl w:val="0"/>
              <w:kinsoku/>
              <w:wordWrap/>
              <w:overflowPunct/>
              <w:topLinePunct w:val="0"/>
              <w:autoSpaceDE/>
              <w:autoSpaceDN/>
              <w:bidi w:val="0"/>
              <w:ind w:right="289"/>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测量精度</w:t>
            </w:r>
          </w:p>
        </w:tc>
        <w:tc>
          <w:tcPr>
            <w:tcW w:w="5058" w:type="dxa"/>
          </w:tcPr>
          <w:p>
            <w:pPr>
              <w:pStyle w:val="74"/>
              <w:keepNext w:val="0"/>
              <w:keepLines w:val="0"/>
              <w:pageBreakBefore w:val="0"/>
              <w:widowControl w:val="0"/>
              <w:kinsoku/>
              <w:wordWrap/>
              <w:overflowPunct/>
              <w:topLinePunct w:val="0"/>
              <w:autoSpaceDE/>
              <w:autoSpaceDN/>
              <w:bidi w:val="0"/>
              <w:ind w:left="639" w:right="527"/>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±4%</w:t>
            </w:r>
          </w:p>
        </w:tc>
        <w:tc>
          <w:tcPr>
            <w:tcW w:w="1654" w:type="dxa"/>
          </w:tcPr>
          <w:p>
            <w:pPr>
              <w:pStyle w:val="74"/>
              <w:keepNext w:val="0"/>
              <w:keepLines w:val="0"/>
              <w:pageBreakBefore w:val="0"/>
              <w:widowControl w:val="0"/>
              <w:kinsoku/>
              <w:wordWrap/>
              <w:overflowPunct/>
              <w:topLinePunct w:val="0"/>
              <w:autoSpaceDE/>
              <w:autoSpaceDN/>
              <w:bidi w:val="0"/>
              <w:ind w:left="111"/>
              <w:textAlignment w:val="auto"/>
              <w:outlineLvl w:val="9"/>
              <w:rPr>
                <w:rFonts w:hint="eastAsia" w:ascii="仿宋" w:hAnsi="仿宋" w:eastAsia="仿宋" w:cs="仿宋"/>
                <w:b w:val="0"/>
                <w:bCs w:val="0"/>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565" w:type="dxa"/>
          </w:tcPr>
          <w:p>
            <w:pPr>
              <w:pStyle w:val="74"/>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分辨率</w:t>
            </w:r>
          </w:p>
        </w:tc>
        <w:tc>
          <w:tcPr>
            <w:tcW w:w="5058" w:type="dxa"/>
          </w:tcPr>
          <w:p>
            <w:pPr>
              <w:pStyle w:val="74"/>
              <w:keepNext w:val="0"/>
              <w:keepLines w:val="0"/>
              <w:pageBreakBefore w:val="0"/>
              <w:widowControl w:val="0"/>
              <w:kinsoku/>
              <w:wordWrap/>
              <w:overflowPunct/>
              <w:topLinePunct w:val="0"/>
              <w:autoSpaceDE/>
              <w:autoSpaceDN/>
              <w:bidi w:val="0"/>
              <w:spacing w:before="22"/>
              <w:ind w:left="639" w:right="529"/>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0.2mm</w:t>
            </w:r>
          </w:p>
        </w:tc>
        <w:tc>
          <w:tcPr>
            <w:tcW w:w="1654" w:type="dxa"/>
          </w:tcPr>
          <w:p>
            <w:pPr>
              <w:pStyle w:val="74"/>
              <w:keepNext w:val="0"/>
              <w:keepLines w:val="0"/>
              <w:pageBreakBefore w:val="0"/>
              <w:widowControl w:val="0"/>
              <w:kinsoku/>
              <w:wordWrap/>
              <w:overflowPunct/>
              <w:topLinePunct w:val="0"/>
              <w:autoSpaceDE/>
              <w:autoSpaceDN/>
              <w:bidi w:val="0"/>
              <w:spacing w:before="22"/>
              <w:ind w:left="111"/>
              <w:textAlignment w:val="auto"/>
              <w:outlineLvl w:val="9"/>
              <w:rPr>
                <w:rFonts w:hint="eastAsia" w:ascii="仿宋" w:hAnsi="仿宋" w:eastAsia="仿宋" w:cs="仿宋"/>
                <w:b w:val="0"/>
                <w:bCs w:val="0"/>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565" w:type="dxa"/>
          </w:tcPr>
          <w:p>
            <w:pPr>
              <w:pStyle w:val="74"/>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采样间隔</w:t>
            </w:r>
          </w:p>
        </w:tc>
        <w:tc>
          <w:tcPr>
            <w:tcW w:w="5058" w:type="dxa"/>
          </w:tcPr>
          <w:p>
            <w:pPr>
              <w:pStyle w:val="74"/>
              <w:keepNext w:val="0"/>
              <w:keepLines w:val="0"/>
              <w:pageBreakBefore w:val="0"/>
              <w:widowControl w:val="0"/>
              <w:kinsoku/>
              <w:wordWrap/>
              <w:overflowPunct/>
              <w:topLinePunct w:val="0"/>
              <w:autoSpaceDE/>
              <w:autoSpaceDN/>
              <w:bidi w:val="0"/>
              <w:ind w:left="639" w:right="527"/>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0s～24h</w:t>
            </w:r>
          </w:p>
        </w:tc>
        <w:tc>
          <w:tcPr>
            <w:tcW w:w="1654" w:type="dxa"/>
          </w:tcPr>
          <w:p>
            <w:pPr>
              <w:pStyle w:val="74"/>
              <w:keepNext w:val="0"/>
              <w:keepLines w:val="0"/>
              <w:pageBreakBefore w:val="0"/>
              <w:widowControl w:val="0"/>
              <w:kinsoku/>
              <w:wordWrap/>
              <w:overflowPunct/>
              <w:topLinePunct w:val="0"/>
              <w:autoSpaceDE/>
              <w:autoSpaceDN/>
              <w:bidi w:val="0"/>
              <w:ind w:right="15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565" w:type="dxa"/>
          </w:tcPr>
          <w:p>
            <w:pPr>
              <w:pStyle w:val="74"/>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上传间隔</w:t>
            </w:r>
          </w:p>
        </w:tc>
        <w:tc>
          <w:tcPr>
            <w:tcW w:w="5058" w:type="dxa"/>
          </w:tcPr>
          <w:p>
            <w:pPr>
              <w:pStyle w:val="74"/>
              <w:keepNext w:val="0"/>
              <w:keepLines w:val="0"/>
              <w:pageBreakBefore w:val="0"/>
              <w:widowControl w:val="0"/>
              <w:kinsoku/>
              <w:wordWrap/>
              <w:overflowPunct/>
              <w:topLinePunct w:val="0"/>
              <w:autoSpaceDE/>
              <w:autoSpaceDN/>
              <w:bidi w:val="0"/>
              <w:ind w:left="639" w:right="527"/>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0s～72h</w:t>
            </w:r>
          </w:p>
        </w:tc>
        <w:tc>
          <w:tcPr>
            <w:tcW w:w="1654" w:type="dxa"/>
          </w:tcPr>
          <w:p>
            <w:pPr>
              <w:pStyle w:val="74"/>
              <w:keepNext w:val="0"/>
              <w:keepLines w:val="0"/>
              <w:pageBreakBefore w:val="0"/>
              <w:widowControl w:val="0"/>
              <w:kinsoku/>
              <w:wordWrap/>
              <w:overflowPunct/>
              <w:topLinePunct w:val="0"/>
              <w:autoSpaceDE/>
              <w:autoSpaceDN/>
              <w:bidi w:val="0"/>
              <w:ind w:right="15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565" w:type="dxa"/>
          </w:tcPr>
          <w:p>
            <w:pPr>
              <w:pStyle w:val="74"/>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输出信号</w:t>
            </w:r>
          </w:p>
        </w:tc>
        <w:tc>
          <w:tcPr>
            <w:tcW w:w="5058" w:type="dxa"/>
          </w:tcPr>
          <w:p>
            <w:pPr>
              <w:pStyle w:val="74"/>
              <w:keepNext w:val="0"/>
              <w:keepLines w:val="0"/>
              <w:pageBreakBefore w:val="0"/>
              <w:widowControl w:val="0"/>
              <w:kinsoku/>
              <w:wordWrap/>
              <w:overflowPunct/>
              <w:topLinePunct w:val="0"/>
              <w:autoSpaceDE/>
              <w:autoSpaceDN/>
              <w:bidi w:val="0"/>
              <w:spacing w:before="22"/>
              <w:ind w:left="639" w:right="528"/>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RS485/NB-IoT/LoRa/α/2/4/5G等</w:t>
            </w:r>
          </w:p>
        </w:tc>
        <w:tc>
          <w:tcPr>
            <w:tcW w:w="1654" w:type="dxa"/>
          </w:tcPr>
          <w:p>
            <w:pPr>
              <w:pStyle w:val="74"/>
              <w:keepNext w:val="0"/>
              <w:keepLines w:val="0"/>
              <w:pageBreakBefore w:val="0"/>
              <w:widowControl w:val="0"/>
              <w:kinsoku/>
              <w:wordWrap/>
              <w:overflowPunct/>
              <w:topLinePunct w:val="0"/>
              <w:autoSpaceDE/>
              <w:autoSpaceDN/>
              <w:bidi w:val="0"/>
              <w:spacing w:before="22"/>
              <w:ind w:left="111"/>
              <w:textAlignment w:val="auto"/>
              <w:outlineLvl w:val="9"/>
              <w:rPr>
                <w:rFonts w:hint="eastAsia" w:ascii="仿宋" w:hAnsi="仿宋" w:eastAsia="仿宋" w:cs="仿宋"/>
                <w:b w:val="0"/>
                <w:bCs w:val="0"/>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565" w:type="dxa"/>
          </w:tcPr>
          <w:p>
            <w:pPr>
              <w:pStyle w:val="74"/>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工作温度</w:t>
            </w:r>
          </w:p>
        </w:tc>
        <w:tc>
          <w:tcPr>
            <w:tcW w:w="5058" w:type="dxa"/>
          </w:tcPr>
          <w:p>
            <w:pPr>
              <w:pStyle w:val="74"/>
              <w:keepNext w:val="0"/>
              <w:keepLines w:val="0"/>
              <w:pageBreakBefore w:val="0"/>
              <w:widowControl w:val="0"/>
              <w:kinsoku/>
              <w:wordWrap/>
              <w:overflowPunct/>
              <w:topLinePunct w:val="0"/>
              <w:autoSpaceDE/>
              <w:autoSpaceDN/>
              <w:bidi w:val="0"/>
              <w:ind w:right="529"/>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0℃～+65℃</w:t>
            </w:r>
          </w:p>
        </w:tc>
        <w:tc>
          <w:tcPr>
            <w:tcW w:w="1654" w:type="dxa"/>
          </w:tcPr>
          <w:p>
            <w:pPr>
              <w:pStyle w:val="74"/>
              <w:keepNext w:val="0"/>
              <w:keepLines w:val="0"/>
              <w:pageBreakBefore w:val="0"/>
              <w:widowControl w:val="0"/>
              <w:kinsoku/>
              <w:wordWrap/>
              <w:overflowPunct/>
              <w:topLinePunct w:val="0"/>
              <w:autoSpaceDE/>
              <w:autoSpaceDN/>
              <w:bidi w:val="0"/>
              <w:ind w:right="151"/>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高寒地区定制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565" w:type="dxa"/>
          </w:tcPr>
          <w:p>
            <w:pPr>
              <w:pStyle w:val="74"/>
              <w:keepNext w:val="0"/>
              <w:keepLines w:val="0"/>
              <w:pageBreakBefore w:val="0"/>
              <w:widowControl w:val="0"/>
              <w:kinsoku/>
              <w:wordWrap/>
              <w:overflowPunct/>
              <w:topLinePunct w:val="0"/>
              <w:autoSpaceDE/>
              <w:autoSpaceDN/>
              <w:bidi w:val="0"/>
              <w:ind w:right="529"/>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lang w:eastAsia="zh-CN"/>
              </w:rPr>
              <w:t>通信标准</w:t>
            </w:r>
          </w:p>
        </w:tc>
        <w:tc>
          <w:tcPr>
            <w:tcW w:w="5058" w:type="dxa"/>
          </w:tcPr>
          <w:p>
            <w:pPr>
              <w:pStyle w:val="74"/>
              <w:keepNext w:val="0"/>
              <w:keepLines w:val="0"/>
              <w:pageBreakBefore w:val="0"/>
              <w:widowControl w:val="0"/>
              <w:kinsoku/>
              <w:wordWrap/>
              <w:overflowPunct/>
              <w:topLinePunct w:val="0"/>
              <w:autoSpaceDE/>
              <w:autoSpaceDN/>
              <w:bidi w:val="0"/>
              <w:ind w:right="529"/>
              <w:jc w:val="center"/>
              <w:textAlignment w:val="auto"/>
              <w:outlineLvl w:val="9"/>
              <w:rPr>
                <w:rFonts w:hint="eastAsia" w:ascii="仿宋" w:hAnsi="仿宋" w:eastAsia="仿宋" w:cs="仿宋"/>
                <w:b w:val="0"/>
                <w:bCs w:val="0"/>
                <w:color w:val="auto"/>
                <w:lang w:eastAsia="zh-CN"/>
              </w:rPr>
            </w:pPr>
            <w:r>
              <w:rPr>
                <w:rFonts w:hint="eastAsia" w:ascii="仿宋" w:hAnsi="仿宋" w:eastAsia="仿宋" w:cs="仿宋"/>
                <w:b w:val="0"/>
                <w:bCs w:val="0"/>
                <w:color w:val="auto"/>
                <w:sz w:val="21"/>
                <w:szCs w:val="24"/>
                <w:lang w:eastAsia="zh-CN"/>
              </w:rPr>
              <w:t>符合《地质灾害监测数据通讯技术要求》（计划号： 201912007)</w:t>
            </w:r>
          </w:p>
        </w:tc>
        <w:tc>
          <w:tcPr>
            <w:tcW w:w="1654" w:type="dxa"/>
          </w:tcPr>
          <w:p>
            <w:pPr>
              <w:pStyle w:val="74"/>
              <w:keepNext w:val="0"/>
              <w:keepLines w:val="0"/>
              <w:pageBreakBefore w:val="0"/>
              <w:widowControl w:val="0"/>
              <w:kinsoku/>
              <w:wordWrap/>
              <w:overflowPunct/>
              <w:topLinePunct w:val="0"/>
              <w:autoSpaceDE/>
              <w:autoSpaceDN/>
              <w:bidi w:val="0"/>
              <w:ind w:left="111"/>
              <w:textAlignment w:val="auto"/>
              <w:outlineLvl w:val="9"/>
              <w:rPr>
                <w:rFonts w:hint="eastAsia" w:ascii="仿宋" w:hAnsi="仿宋" w:eastAsia="仿宋" w:cs="仿宋"/>
                <w:b w:val="0"/>
                <w:bCs w:val="0"/>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565" w:type="dxa"/>
          </w:tcPr>
          <w:p>
            <w:pPr>
              <w:pStyle w:val="74"/>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防护等级</w:t>
            </w:r>
          </w:p>
        </w:tc>
        <w:tc>
          <w:tcPr>
            <w:tcW w:w="5058" w:type="dxa"/>
          </w:tcPr>
          <w:p>
            <w:pPr>
              <w:pStyle w:val="74"/>
              <w:keepNext w:val="0"/>
              <w:keepLines w:val="0"/>
              <w:pageBreakBefore w:val="0"/>
              <w:widowControl w:val="0"/>
              <w:kinsoku/>
              <w:wordWrap/>
              <w:overflowPunct/>
              <w:topLinePunct w:val="0"/>
              <w:autoSpaceDE/>
              <w:autoSpaceDN/>
              <w:bidi w:val="0"/>
              <w:spacing w:before="22"/>
              <w:ind w:left="639" w:right="527"/>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IP65以上</w:t>
            </w:r>
          </w:p>
        </w:tc>
        <w:tc>
          <w:tcPr>
            <w:tcW w:w="1654" w:type="dxa"/>
          </w:tcPr>
          <w:p>
            <w:pPr>
              <w:pStyle w:val="74"/>
              <w:keepNext w:val="0"/>
              <w:keepLines w:val="0"/>
              <w:pageBreakBefore w:val="0"/>
              <w:widowControl w:val="0"/>
              <w:kinsoku/>
              <w:wordWrap/>
              <w:overflowPunct/>
              <w:topLinePunct w:val="0"/>
              <w:autoSpaceDE/>
              <w:autoSpaceDN/>
              <w:bidi w:val="0"/>
              <w:spacing w:before="22"/>
              <w:ind w:left="111"/>
              <w:textAlignment w:val="auto"/>
              <w:outlineLvl w:val="9"/>
              <w:rPr>
                <w:rFonts w:hint="eastAsia" w:ascii="仿宋" w:hAnsi="仿宋" w:eastAsia="仿宋" w:cs="仿宋"/>
                <w:b w:val="0"/>
                <w:bCs w:val="0"/>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565" w:type="dxa"/>
          </w:tcPr>
          <w:p>
            <w:pPr>
              <w:pStyle w:val="74"/>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安装方式</w:t>
            </w:r>
          </w:p>
        </w:tc>
        <w:tc>
          <w:tcPr>
            <w:tcW w:w="5058" w:type="dxa"/>
          </w:tcPr>
          <w:p>
            <w:pPr>
              <w:pStyle w:val="74"/>
              <w:keepNext w:val="0"/>
              <w:keepLines w:val="0"/>
              <w:pageBreakBefore w:val="0"/>
              <w:widowControl w:val="0"/>
              <w:kinsoku/>
              <w:wordWrap/>
              <w:overflowPunct/>
              <w:topLinePunct w:val="0"/>
              <w:autoSpaceDE/>
              <w:autoSpaceDN/>
              <w:bidi w:val="0"/>
              <w:ind w:right="529"/>
              <w:textAlignment w:val="auto"/>
              <w:outlineLvl w:val="9"/>
              <w:rPr>
                <w:rFonts w:hint="eastAsia" w:ascii="仿宋" w:hAnsi="仿宋" w:eastAsia="仿宋" w:cs="仿宋"/>
                <w:b w:val="0"/>
                <w:bCs w:val="0"/>
                <w:color w:val="auto"/>
                <w:lang w:eastAsia="zh-CN"/>
              </w:rPr>
            </w:pPr>
            <w:r>
              <w:rPr>
                <w:rFonts w:hint="eastAsia" w:ascii="仿宋" w:hAnsi="仿宋" w:eastAsia="仿宋" w:cs="仿宋"/>
                <w:b w:val="0"/>
                <w:bCs w:val="0"/>
                <w:color w:val="auto"/>
                <w:lang w:eastAsia="zh-CN"/>
              </w:rPr>
              <w:t>立杆胀杆固定、一体化基座安装箱、浇筑基础等</w:t>
            </w:r>
          </w:p>
        </w:tc>
        <w:tc>
          <w:tcPr>
            <w:tcW w:w="1654" w:type="dxa"/>
          </w:tcPr>
          <w:p>
            <w:pPr>
              <w:pStyle w:val="74"/>
              <w:keepNext w:val="0"/>
              <w:keepLines w:val="0"/>
              <w:pageBreakBefore w:val="0"/>
              <w:widowControl w:val="0"/>
              <w:kinsoku/>
              <w:wordWrap/>
              <w:overflowPunct/>
              <w:topLinePunct w:val="0"/>
              <w:autoSpaceDE/>
              <w:autoSpaceDN/>
              <w:bidi w:val="0"/>
              <w:ind w:left="111"/>
              <w:textAlignment w:val="auto"/>
              <w:outlineLvl w:val="9"/>
              <w:rPr>
                <w:rFonts w:hint="eastAsia" w:ascii="仿宋" w:hAnsi="仿宋" w:eastAsia="仿宋" w:cs="仿宋"/>
                <w:b w:val="0"/>
                <w:bCs w:val="0"/>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565" w:type="dxa"/>
          </w:tcPr>
          <w:p>
            <w:pPr>
              <w:pStyle w:val="74"/>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供电方式</w:t>
            </w:r>
          </w:p>
        </w:tc>
        <w:tc>
          <w:tcPr>
            <w:tcW w:w="5058" w:type="dxa"/>
          </w:tcPr>
          <w:p>
            <w:pPr>
              <w:pStyle w:val="74"/>
              <w:keepNext w:val="0"/>
              <w:keepLines w:val="0"/>
              <w:pageBreakBefore w:val="0"/>
              <w:widowControl w:val="0"/>
              <w:kinsoku/>
              <w:wordWrap/>
              <w:overflowPunct/>
              <w:topLinePunct w:val="0"/>
              <w:autoSpaceDE/>
              <w:autoSpaceDN/>
              <w:bidi w:val="0"/>
              <w:ind w:right="527"/>
              <w:textAlignment w:val="auto"/>
              <w:outlineLvl w:val="9"/>
              <w:rPr>
                <w:rFonts w:hint="eastAsia" w:ascii="仿宋" w:hAnsi="仿宋" w:eastAsia="仿宋" w:cs="仿宋"/>
                <w:b w:val="0"/>
                <w:bCs w:val="0"/>
                <w:color w:val="auto"/>
                <w:lang w:eastAsia="zh-CN"/>
              </w:rPr>
            </w:pPr>
            <w:r>
              <w:rPr>
                <w:rFonts w:hint="eastAsia" w:ascii="仿宋" w:hAnsi="仿宋" w:eastAsia="仿宋" w:cs="仿宋"/>
                <w:b w:val="0"/>
                <w:bCs w:val="0"/>
                <w:color w:val="auto"/>
                <w:lang w:eastAsia="zh-CN"/>
              </w:rPr>
              <w:t>按需供电方式，满足连续30个阴雨日正常工作</w:t>
            </w:r>
          </w:p>
        </w:tc>
        <w:tc>
          <w:tcPr>
            <w:tcW w:w="1654" w:type="dxa"/>
          </w:tcPr>
          <w:p>
            <w:pPr>
              <w:pStyle w:val="74"/>
              <w:keepNext w:val="0"/>
              <w:keepLines w:val="0"/>
              <w:pageBreakBefore w:val="0"/>
              <w:widowControl w:val="0"/>
              <w:kinsoku/>
              <w:wordWrap/>
              <w:overflowPunct/>
              <w:topLinePunct w:val="0"/>
              <w:autoSpaceDE/>
              <w:autoSpaceDN/>
              <w:bidi w:val="0"/>
              <w:ind w:right="15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lang w:val="en-US" w:eastAsia="zh-CN"/>
              </w:rPr>
              <w:t>具备</w:t>
            </w:r>
            <w:r>
              <w:rPr>
                <w:rFonts w:hint="eastAsia" w:ascii="仿宋" w:hAnsi="仿宋" w:eastAsia="仿宋" w:cs="仿宋"/>
                <w:b w:val="0"/>
                <w:bCs w:val="0"/>
                <w:color w:val="auto"/>
              </w:rPr>
              <w:t>过压及欠压保护</w:t>
            </w:r>
          </w:p>
        </w:tc>
      </w:tr>
    </w:tbl>
    <w:p>
      <w:pPr>
        <w:pStyle w:val="2"/>
        <w:keepNext w:val="0"/>
        <w:keepLines w:val="0"/>
        <w:pageBreakBefore w:val="0"/>
        <w:widowControl w:val="0"/>
        <w:kinsoku/>
        <w:wordWrap/>
        <w:overflowPunct/>
        <w:topLinePunct w:val="0"/>
        <w:autoSpaceDE/>
        <w:autoSpaceDN/>
        <w:bidi w:val="0"/>
        <w:spacing w:after="0" w:line="500" w:lineRule="exact"/>
        <w:ind w:firstLine="480"/>
        <w:jc w:val="center"/>
        <w:textAlignment w:val="auto"/>
        <w:outlineLvl w:val="9"/>
        <w:rPr>
          <w:rFonts w:hint="eastAsia" w:ascii="仿宋" w:hAnsi="仿宋" w:eastAsia="仿宋" w:cs="仿宋"/>
          <w:b w:val="0"/>
          <w:bCs w:val="0"/>
          <w:color w:val="auto"/>
          <w:sz w:val="24"/>
          <w:szCs w:val="32"/>
        </w:rPr>
      </w:pPr>
    </w:p>
    <w:p>
      <w:pPr>
        <w:pStyle w:val="2"/>
        <w:keepNext w:val="0"/>
        <w:keepLines w:val="0"/>
        <w:pageBreakBefore w:val="0"/>
        <w:widowControl w:val="0"/>
        <w:kinsoku/>
        <w:wordWrap/>
        <w:overflowPunct/>
        <w:topLinePunct w:val="0"/>
        <w:autoSpaceDE/>
        <w:autoSpaceDN/>
        <w:bidi w:val="0"/>
        <w:spacing w:after="0" w:line="500" w:lineRule="exact"/>
        <w:ind w:firstLine="480"/>
        <w:jc w:val="center"/>
        <w:textAlignment w:val="auto"/>
        <w:outlineLvl w:val="9"/>
        <w:rPr>
          <w:rFonts w:hint="eastAsia" w:ascii="仿宋" w:hAnsi="仿宋" w:eastAsia="仿宋" w:cs="仿宋"/>
          <w:b w:val="0"/>
          <w:bCs w:val="0"/>
          <w:color w:val="auto"/>
          <w:sz w:val="24"/>
          <w:szCs w:val="32"/>
        </w:rPr>
      </w:pPr>
      <w:r>
        <w:rPr>
          <w:rFonts w:hint="eastAsia" w:ascii="仿宋" w:hAnsi="仿宋" w:eastAsia="仿宋" w:cs="仿宋"/>
          <w:b w:val="0"/>
          <w:bCs w:val="0"/>
          <w:color w:val="auto"/>
          <w:sz w:val="24"/>
          <w:szCs w:val="32"/>
        </w:rPr>
        <w:t>表2  管式含水率仪（含水率/倾角两参数）主要技术参数</w:t>
      </w:r>
    </w:p>
    <w:tbl>
      <w:tblPr>
        <w:tblStyle w:val="37"/>
        <w:tblpPr w:leftFromText="180" w:rightFromText="180" w:vertAnchor="text" w:horzAnchor="page" w:tblpXSpec="center" w:tblpY="207"/>
        <w:tblOverlap w:val="never"/>
        <w:tblW w:w="82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32"/>
        <w:gridCol w:w="5135"/>
        <w:gridCol w:w="15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632" w:type="dxa"/>
          </w:tcPr>
          <w:p>
            <w:pPr>
              <w:pStyle w:val="74"/>
              <w:keepNext w:val="0"/>
              <w:keepLines w:val="0"/>
              <w:pageBreakBefore w:val="0"/>
              <w:widowControl w:val="0"/>
              <w:kinsoku/>
              <w:wordWrap/>
              <w:overflowPunct/>
              <w:topLinePunct w:val="0"/>
              <w:autoSpaceDE/>
              <w:autoSpaceDN/>
              <w:bidi w:val="0"/>
              <w:ind w:right="25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w w:val="95"/>
              </w:rPr>
              <w:t>参数类型</w:t>
            </w:r>
          </w:p>
        </w:tc>
        <w:tc>
          <w:tcPr>
            <w:tcW w:w="5135" w:type="dxa"/>
          </w:tcPr>
          <w:p>
            <w:pPr>
              <w:pStyle w:val="74"/>
              <w:keepNext w:val="0"/>
              <w:keepLines w:val="0"/>
              <w:pageBreakBefore w:val="0"/>
              <w:widowControl w:val="0"/>
              <w:kinsoku/>
              <w:wordWrap/>
              <w:overflowPunct/>
              <w:topLinePunct w:val="0"/>
              <w:autoSpaceDE/>
              <w:autoSpaceDN/>
              <w:bidi w:val="0"/>
              <w:ind w:left="844" w:right="730"/>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技术指标</w:t>
            </w:r>
          </w:p>
        </w:tc>
        <w:tc>
          <w:tcPr>
            <w:tcW w:w="1510" w:type="dxa"/>
          </w:tcPr>
          <w:p>
            <w:pPr>
              <w:pStyle w:val="74"/>
              <w:keepNext w:val="0"/>
              <w:keepLines w:val="0"/>
              <w:pageBreakBefore w:val="0"/>
              <w:widowControl w:val="0"/>
              <w:kinsoku/>
              <w:wordWrap/>
              <w:overflowPunct/>
              <w:topLinePunct w:val="0"/>
              <w:autoSpaceDE/>
              <w:autoSpaceDN/>
              <w:bidi w:val="0"/>
              <w:ind w:left="376" w:right="264"/>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 w:hRule="atLeast"/>
          <w:jc w:val="center"/>
        </w:trPr>
        <w:tc>
          <w:tcPr>
            <w:tcW w:w="1632" w:type="dxa"/>
          </w:tcPr>
          <w:p>
            <w:pPr>
              <w:pStyle w:val="74"/>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测量范围</w:t>
            </w:r>
          </w:p>
        </w:tc>
        <w:tc>
          <w:tcPr>
            <w:tcW w:w="5135" w:type="dxa"/>
          </w:tcPr>
          <w:p>
            <w:pPr>
              <w:pStyle w:val="74"/>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干土～饱和土</w:t>
            </w:r>
          </w:p>
        </w:tc>
        <w:tc>
          <w:tcPr>
            <w:tcW w:w="1510" w:type="dxa"/>
          </w:tcPr>
          <w:p>
            <w:pPr>
              <w:pStyle w:val="74"/>
              <w:keepNext w:val="0"/>
              <w:keepLines w:val="0"/>
              <w:pageBreakBefore w:val="0"/>
              <w:widowControl w:val="0"/>
              <w:kinsoku/>
              <w:wordWrap/>
              <w:overflowPunct/>
              <w:topLinePunct w:val="0"/>
              <w:autoSpaceDE/>
              <w:autoSpaceDN/>
              <w:bidi w:val="0"/>
              <w:spacing w:before="1" w:line="251" w:lineRule="exact"/>
              <w:ind w:left="114"/>
              <w:textAlignment w:val="auto"/>
              <w:outlineLvl w:val="9"/>
              <w:rPr>
                <w:rFonts w:hint="eastAsia" w:ascii="仿宋" w:hAnsi="仿宋" w:eastAsia="仿宋" w:cs="仿宋"/>
                <w:b w:val="0"/>
                <w:bCs w:val="0"/>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1632" w:type="dxa"/>
          </w:tcPr>
          <w:p>
            <w:pPr>
              <w:pStyle w:val="74"/>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测量精度</w:t>
            </w:r>
          </w:p>
        </w:tc>
        <w:tc>
          <w:tcPr>
            <w:tcW w:w="5135" w:type="dxa"/>
          </w:tcPr>
          <w:p>
            <w:pPr>
              <w:pStyle w:val="74"/>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±4%</w:t>
            </w:r>
          </w:p>
        </w:tc>
        <w:tc>
          <w:tcPr>
            <w:tcW w:w="1510" w:type="dxa"/>
          </w:tcPr>
          <w:p>
            <w:pPr>
              <w:pStyle w:val="74"/>
              <w:keepNext w:val="0"/>
              <w:keepLines w:val="0"/>
              <w:pageBreakBefore w:val="0"/>
              <w:widowControl w:val="0"/>
              <w:kinsoku/>
              <w:wordWrap/>
              <w:overflowPunct/>
              <w:topLinePunct w:val="0"/>
              <w:autoSpaceDE/>
              <w:autoSpaceDN/>
              <w:bidi w:val="0"/>
              <w:spacing w:before="1" w:line="251" w:lineRule="exact"/>
              <w:ind w:left="114"/>
              <w:textAlignment w:val="auto"/>
              <w:outlineLvl w:val="9"/>
              <w:rPr>
                <w:rFonts w:hint="eastAsia" w:ascii="仿宋" w:hAnsi="仿宋" w:eastAsia="仿宋" w:cs="仿宋"/>
                <w:b w:val="0"/>
                <w:bCs w:val="0"/>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1632" w:type="dxa"/>
          </w:tcPr>
          <w:p>
            <w:pPr>
              <w:pStyle w:val="74"/>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采样间隔</w:t>
            </w:r>
          </w:p>
        </w:tc>
        <w:tc>
          <w:tcPr>
            <w:tcW w:w="5135" w:type="dxa"/>
          </w:tcPr>
          <w:p>
            <w:pPr>
              <w:pStyle w:val="74"/>
              <w:keepNext w:val="0"/>
              <w:keepLines w:val="0"/>
              <w:pageBreakBefore w:val="0"/>
              <w:widowControl w:val="0"/>
              <w:kinsoku/>
              <w:wordWrap/>
              <w:overflowPunct/>
              <w:topLinePunct w:val="0"/>
              <w:autoSpaceDE/>
              <w:autoSpaceDN/>
              <w:bidi w:val="0"/>
              <w:spacing w:before="2" w:line="251" w:lineRule="exact"/>
              <w:ind w:right="729"/>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0s～24h</w:t>
            </w:r>
          </w:p>
        </w:tc>
        <w:tc>
          <w:tcPr>
            <w:tcW w:w="1510" w:type="dxa"/>
          </w:tcPr>
          <w:p>
            <w:pPr>
              <w:pStyle w:val="74"/>
              <w:keepNext w:val="0"/>
              <w:keepLines w:val="0"/>
              <w:pageBreakBefore w:val="0"/>
              <w:widowControl w:val="0"/>
              <w:kinsoku/>
              <w:wordWrap/>
              <w:overflowPunct/>
              <w:topLinePunct w:val="0"/>
              <w:autoSpaceDE/>
              <w:autoSpaceDN/>
              <w:bidi w:val="0"/>
              <w:spacing w:before="2" w:line="251" w:lineRule="exact"/>
              <w:ind w:right="20"/>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jc w:val="center"/>
        </w:trPr>
        <w:tc>
          <w:tcPr>
            <w:tcW w:w="1632" w:type="dxa"/>
          </w:tcPr>
          <w:p>
            <w:pPr>
              <w:pStyle w:val="74"/>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上传间隔</w:t>
            </w:r>
          </w:p>
        </w:tc>
        <w:tc>
          <w:tcPr>
            <w:tcW w:w="5135" w:type="dxa"/>
          </w:tcPr>
          <w:p>
            <w:pPr>
              <w:pStyle w:val="74"/>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0s～72h</w:t>
            </w:r>
          </w:p>
        </w:tc>
        <w:tc>
          <w:tcPr>
            <w:tcW w:w="1510" w:type="dxa"/>
          </w:tcPr>
          <w:p>
            <w:pPr>
              <w:pStyle w:val="74"/>
              <w:keepNext w:val="0"/>
              <w:keepLines w:val="0"/>
              <w:pageBreakBefore w:val="0"/>
              <w:widowControl w:val="0"/>
              <w:kinsoku/>
              <w:wordWrap/>
              <w:overflowPunct/>
              <w:topLinePunct w:val="0"/>
              <w:autoSpaceDE/>
              <w:autoSpaceDN/>
              <w:bidi w:val="0"/>
              <w:spacing w:before="1" w:line="251" w:lineRule="exact"/>
              <w:ind w:right="20"/>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1632" w:type="dxa"/>
            <w:vAlign w:val="top"/>
          </w:tcPr>
          <w:p>
            <w:pPr>
              <w:pStyle w:val="74"/>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通信方式</w:t>
            </w:r>
          </w:p>
        </w:tc>
        <w:tc>
          <w:tcPr>
            <w:tcW w:w="5135" w:type="dxa"/>
            <w:vAlign w:val="top"/>
          </w:tcPr>
          <w:p>
            <w:pPr>
              <w:keepNext w:val="0"/>
              <w:keepLines w:val="0"/>
              <w:pageBreakBefore w:val="0"/>
              <w:widowControl w:val="0"/>
              <w:kinsoku/>
              <w:wordWrap/>
              <w:overflowPunct/>
              <w:topLinePunct w:val="0"/>
              <w:autoSpaceDE/>
              <w:autoSpaceDN/>
              <w:bidi w:val="0"/>
              <w:spacing w:before="65" w:line="220" w:lineRule="auto"/>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spacing w:val="-1"/>
                <w:sz w:val="18"/>
                <w:szCs w:val="18"/>
              </w:rPr>
              <w:t>移动通信/低功</w:t>
            </w:r>
            <w:r>
              <w:rPr>
                <w:rFonts w:hint="eastAsia" w:ascii="仿宋" w:hAnsi="仿宋" w:eastAsia="仿宋" w:cs="仿宋"/>
                <w:b w:val="0"/>
                <w:bCs w:val="0"/>
                <w:color w:val="auto"/>
                <w:sz w:val="18"/>
                <w:szCs w:val="18"/>
              </w:rPr>
              <w:t>率广域网/高低轨卫星通信</w:t>
            </w:r>
          </w:p>
        </w:tc>
        <w:tc>
          <w:tcPr>
            <w:tcW w:w="1510" w:type="dxa"/>
          </w:tcPr>
          <w:p>
            <w:pPr>
              <w:pStyle w:val="74"/>
              <w:keepNext w:val="0"/>
              <w:keepLines w:val="0"/>
              <w:pageBreakBefore w:val="0"/>
              <w:widowControl w:val="0"/>
              <w:kinsoku/>
              <w:wordWrap/>
              <w:overflowPunct/>
              <w:topLinePunct w:val="0"/>
              <w:autoSpaceDE/>
              <w:autoSpaceDN/>
              <w:bidi w:val="0"/>
              <w:spacing w:before="1" w:line="251" w:lineRule="exact"/>
              <w:ind w:left="114"/>
              <w:textAlignment w:val="auto"/>
              <w:outlineLvl w:val="9"/>
              <w:rPr>
                <w:rFonts w:hint="eastAsia" w:ascii="仿宋" w:hAnsi="仿宋" w:eastAsia="仿宋" w:cs="仿宋"/>
                <w:b w:val="0"/>
                <w:bCs w:val="0"/>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632" w:type="dxa"/>
            <w:vAlign w:val="top"/>
          </w:tcPr>
          <w:p>
            <w:pPr>
              <w:pStyle w:val="74"/>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通信标准</w:t>
            </w:r>
          </w:p>
        </w:tc>
        <w:tc>
          <w:tcPr>
            <w:tcW w:w="5135" w:type="dxa"/>
            <w:vAlign w:val="top"/>
          </w:tcPr>
          <w:p>
            <w:pPr>
              <w:keepNext w:val="0"/>
              <w:keepLines w:val="0"/>
              <w:pageBreakBefore w:val="0"/>
              <w:widowControl w:val="0"/>
              <w:kinsoku/>
              <w:wordWrap/>
              <w:overflowPunct/>
              <w:topLinePunct w:val="0"/>
              <w:autoSpaceDE/>
              <w:autoSpaceDN/>
              <w:bidi w:val="0"/>
              <w:spacing w:before="66" w:line="220" w:lineRule="auto"/>
              <w:textAlignment w:val="auto"/>
              <w:outlineLvl w:val="9"/>
              <w:rPr>
                <w:rFonts w:hint="eastAsia" w:ascii="仿宋" w:hAnsi="仿宋" w:eastAsia="仿宋" w:cs="仿宋"/>
                <w:b w:val="0"/>
                <w:bCs w:val="0"/>
                <w:color w:val="auto"/>
                <w:lang w:eastAsia="zh-CN"/>
              </w:rPr>
            </w:pPr>
            <w:r>
              <w:rPr>
                <w:rFonts w:hint="eastAsia" w:ascii="仿宋" w:hAnsi="仿宋" w:eastAsia="仿宋" w:cs="仿宋"/>
                <w:b w:val="0"/>
                <w:bCs w:val="0"/>
                <w:color w:val="auto"/>
                <w:spacing w:val="-1"/>
                <w:sz w:val="18"/>
                <w:szCs w:val="18"/>
              </w:rPr>
              <w:t>符合《地质灾</w:t>
            </w:r>
            <w:r>
              <w:rPr>
                <w:rFonts w:hint="eastAsia" w:ascii="仿宋" w:hAnsi="仿宋" w:eastAsia="仿宋" w:cs="仿宋"/>
                <w:b w:val="0"/>
                <w:bCs w:val="0"/>
                <w:color w:val="auto"/>
                <w:sz w:val="18"/>
                <w:szCs w:val="18"/>
              </w:rPr>
              <w:t>害监测数据通信技术要求》</w:t>
            </w:r>
            <w:r>
              <w:rPr>
                <w:rFonts w:hint="eastAsia" w:ascii="仿宋" w:hAnsi="仿宋" w:eastAsia="仿宋" w:cs="仿宋"/>
                <w:b w:val="0"/>
                <w:bCs w:val="0"/>
                <w:color w:val="auto"/>
                <w:sz w:val="18"/>
                <w:szCs w:val="18"/>
                <w:lang w:eastAsia="zh-CN"/>
              </w:rPr>
              <w:t>（</w:t>
            </w:r>
            <w:r>
              <w:rPr>
                <w:rFonts w:hint="eastAsia" w:ascii="仿宋" w:hAnsi="仿宋" w:eastAsia="仿宋" w:cs="仿宋"/>
                <w:b w:val="0"/>
                <w:bCs w:val="0"/>
                <w:color w:val="auto"/>
                <w:sz w:val="18"/>
                <w:szCs w:val="18"/>
              </w:rPr>
              <w:t>计划号： 201912007)</w:t>
            </w:r>
          </w:p>
        </w:tc>
        <w:tc>
          <w:tcPr>
            <w:tcW w:w="1510" w:type="dxa"/>
          </w:tcPr>
          <w:p>
            <w:pPr>
              <w:pStyle w:val="74"/>
              <w:keepNext w:val="0"/>
              <w:keepLines w:val="0"/>
              <w:pageBreakBefore w:val="0"/>
              <w:widowControl w:val="0"/>
              <w:kinsoku/>
              <w:wordWrap/>
              <w:overflowPunct/>
              <w:topLinePunct w:val="0"/>
              <w:autoSpaceDE/>
              <w:autoSpaceDN/>
              <w:bidi w:val="0"/>
              <w:spacing w:before="22"/>
              <w:ind w:left="87"/>
              <w:textAlignment w:val="auto"/>
              <w:outlineLvl w:val="9"/>
              <w:rPr>
                <w:rFonts w:hint="eastAsia" w:ascii="仿宋" w:hAnsi="仿宋" w:eastAsia="仿宋" w:cs="仿宋"/>
                <w:b w:val="0"/>
                <w:bCs w:val="0"/>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jc w:val="center"/>
        </w:trPr>
        <w:tc>
          <w:tcPr>
            <w:tcW w:w="1632" w:type="dxa"/>
          </w:tcPr>
          <w:p>
            <w:pPr>
              <w:pStyle w:val="74"/>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输出参数</w:t>
            </w:r>
          </w:p>
        </w:tc>
        <w:tc>
          <w:tcPr>
            <w:tcW w:w="5135" w:type="dxa"/>
          </w:tcPr>
          <w:p>
            <w:pPr>
              <w:pStyle w:val="74"/>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b w:val="0"/>
                <w:bCs w:val="0"/>
                <w:color w:val="auto"/>
                <w:lang w:eastAsia="zh-CN"/>
              </w:rPr>
            </w:pPr>
            <w:r>
              <w:rPr>
                <w:rFonts w:hint="eastAsia" w:ascii="仿宋" w:hAnsi="仿宋" w:eastAsia="仿宋" w:cs="仿宋"/>
                <w:b w:val="0"/>
                <w:bCs w:val="0"/>
                <w:color w:val="auto"/>
                <w:lang w:eastAsia="zh-CN"/>
              </w:rPr>
              <w:t>分层含水率、温度、振动加速度、倾角等</w:t>
            </w:r>
          </w:p>
        </w:tc>
        <w:tc>
          <w:tcPr>
            <w:tcW w:w="1510" w:type="dxa"/>
          </w:tcPr>
          <w:p>
            <w:pPr>
              <w:pStyle w:val="74"/>
              <w:keepNext w:val="0"/>
              <w:keepLines w:val="0"/>
              <w:pageBreakBefore w:val="0"/>
              <w:widowControl w:val="0"/>
              <w:kinsoku/>
              <w:wordWrap/>
              <w:overflowPunct/>
              <w:topLinePunct w:val="0"/>
              <w:autoSpaceDE/>
              <w:autoSpaceDN/>
              <w:bidi w:val="0"/>
              <w:spacing w:before="1" w:line="251" w:lineRule="exact"/>
              <w:ind w:left="114"/>
              <w:textAlignment w:val="auto"/>
              <w:outlineLvl w:val="9"/>
              <w:rPr>
                <w:rFonts w:hint="eastAsia" w:ascii="仿宋" w:hAnsi="仿宋" w:eastAsia="仿宋" w:cs="仿宋"/>
                <w:b w:val="0"/>
                <w:bCs w:val="0"/>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632" w:type="dxa"/>
          </w:tcPr>
          <w:p>
            <w:pPr>
              <w:pStyle w:val="74"/>
              <w:keepNext w:val="0"/>
              <w:keepLines w:val="0"/>
              <w:pageBreakBefore w:val="0"/>
              <w:widowControl w:val="0"/>
              <w:kinsoku/>
              <w:wordWrap/>
              <w:overflowPunct/>
              <w:topLinePunct w:val="0"/>
              <w:autoSpaceDE/>
              <w:autoSpaceDN/>
              <w:bidi w:val="0"/>
              <w:ind w:right="-59"/>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工作温度</w:t>
            </w:r>
          </w:p>
        </w:tc>
        <w:tc>
          <w:tcPr>
            <w:tcW w:w="5135" w:type="dxa"/>
          </w:tcPr>
          <w:p>
            <w:pPr>
              <w:pStyle w:val="74"/>
              <w:keepNext w:val="0"/>
              <w:keepLines w:val="0"/>
              <w:pageBreakBefore w:val="0"/>
              <w:widowControl w:val="0"/>
              <w:kinsoku/>
              <w:wordWrap/>
              <w:overflowPunct/>
              <w:topLinePunct w:val="0"/>
              <w:autoSpaceDE/>
              <w:autoSpaceDN/>
              <w:bidi w:val="0"/>
              <w:ind w:right="529"/>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-20℃～+65℃</w:t>
            </w:r>
          </w:p>
        </w:tc>
        <w:tc>
          <w:tcPr>
            <w:tcW w:w="1510" w:type="dxa"/>
          </w:tcPr>
          <w:p>
            <w:pPr>
              <w:pStyle w:val="74"/>
              <w:keepNext w:val="0"/>
              <w:keepLines w:val="0"/>
              <w:pageBreakBefore w:val="0"/>
              <w:widowControl w:val="0"/>
              <w:kinsoku/>
              <w:wordWrap/>
              <w:overflowPunct/>
              <w:topLinePunct w:val="0"/>
              <w:autoSpaceDE/>
              <w:autoSpaceDN/>
              <w:bidi w:val="0"/>
              <w:ind w:right="20"/>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高寒地区定制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1632" w:type="dxa"/>
          </w:tcPr>
          <w:p>
            <w:pPr>
              <w:pStyle w:val="74"/>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防护等级</w:t>
            </w:r>
          </w:p>
        </w:tc>
        <w:tc>
          <w:tcPr>
            <w:tcW w:w="5135" w:type="dxa"/>
          </w:tcPr>
          <w:p>
            <w:pPr>
              <w:pStyle w:val="74"/>
              <w:keepNext w:val="0"/>
              <w:keepLines w:val="0"/>
              <w:pageBreakBefore w:val="0"/>
              <w:widowControl w:val="0"/>
              <w:kinsoku/>
              <w:wordWrap/>
              <w:overflowPunct/>
              <w:topLinePunct w:val="0"/>
              <w:autoSpaceDE/>
              <w:autoSpaceDN/>
              <w:bidi w:val="0"/>
              <w:spacing w:before="2" w:line="251" w:lineRule="exact"/>
              <w:ind w:right="729"/>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IP68</w:t>
            </w:r>
          </w:p>
        </w:tc>
        <w:tc>
          <w:tcPr>
            <w:tcW w:w="1510" w:type="dxa"/>
          </w:tcPr>
          <w:p>
            <w:pPr>
              <w:pStyle w:val="74"/>
              <w:keepNext w:val="0"/>
              <w:keepLines w:val="0"/>
              <w:pageBreakBefore w:val="0"/>
              <w:widowControl w:val="0"/>
              <w:kinsoku/>
              <w:wordWrap/>
              <w:overflowPunct/>
              <w:topLinePunct w:val="0"/>
              <w:autoSpaceDE/>
              <w:autoSpaceDN/>
              <w:bidi w:val="0"/>
              <w:spacing w:before="2" w:line="251" w:lineRule="exact"/>
              <w:ind w:left="114"/>
              <w:textAlignment w:val="auto"/>
              <w:outlineLvl w:val="9"/>
              <w:rPr>
                <w:rFonts w:hint="eastAsia" w:ascii="仿宋" w:hAnsi="仿宋" w:eastAsia="仿宋" w:cs="仿宋"/>
                <w:b w:val="0"/>
                <w:bCs w:val="0"/>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jc w:val="center"/>
        </w:trPr>
        <w:tc>
          <w:tcPr>
            <w:tcW w:w="1632" w:type="dxa"/>
          </w:tcPr>
          <w:p>
            <w:pPr>
              <w:pStyle w:val="74"/>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安装方式</w:t>
            </w:r>
          </w:p>
        </w:tc>
        <w:tc>
          <w:tcPr>
            <w:tcW w:w="5135" w:type="dxa"/>
          </w:tcPr>
          <w:p>
            <w:pPr>
              <w:pStyle w:val="74"/>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原状土回灌泥浆等</w:t>
            </w:r>
          </w:p>
        </w:tc>
        <w:tc>
          <w:tcPr>
            <w:tcW w:w="1510" w:type="dxa"/>
          </w:tcPr>
          <w:p>
            <w:pPr>
              <w:pStyle w:val="74"/>
              <w:keepNext w:val="0"/>
              <w:keepLines w:val="0"/>
              <w:pageBreakBefore w:val="0"/>
              <w:widowControl w:val="0"/>
              <w:kinsoku/>
              <w:wordWrap/>
              <w:overflowPunct/>
              <w:topLinePunct w:val="0"/>
              <w:autoSpaceDE/>
              <w:autoSpaceDN/>
              <w:bidi w:val="0"/>
              <w:spacing w:before="1" w:line="251" w:lineRule="exact"/>
              <w:ind w:left="114"/>
              <w:textAlignment w:val="auto"/>
              <w:outlineLvl w:val="9"/>
              <w:rPr>
                <w:rFonts w:hint="eastAsia" w:ascii="仿宋" w:hAnsi="仿宋" w:eastAsia="仿宋" w:cs="仿宋"/>
                <w:b w:val="0"/>
                <w:bCs w:val="0"/>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1632" w:type="dxa"/>
          </w:tcPr>
          <w:p>
            <w:pPr>
              <w:pStyle w:val="74"/>
              <w:keepNext w:val="0"/>
              <w:keepLines w:val="0"/>
              <w:pageBreakBefore w:val="0"/>
              <w:widowControl w:val="0"/>
              <w:kinsoku/>
              <w:wordWrap/>
              <w:overflowPunct/>
              <w:topLinePunct w:val="0"/>
              <w:autoSpaceDE/>
              <w:autoSpaceDN/>
              <w:bidi w:val="0"/>
              <w:spacing w:before="22"/>
              <w:ind w:right="289"/>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供电方式</w:t>
            </w:r>
          </w:p>
        </w:tc>
        <w:tc>
          <w:tcPr>
            <w:tcW w:w="5135" w:type="dxa"/>
          </w:tcPr>
          <w:p>
            <w:pPr>
              <w:pStyle w:val="74"/>
              <w:keepNext w:val="0"/>
              <w:keepLines w:val="0"/>
              <w:pageBreakBefore w:val="0"/>
              <w:widowControl w:val="0"/>
              <w:kinsoku/>
              <w:wordWrap/>
              <w:overflowPunct/>
              <w:topLinePunct w:val="0"/>
              <w:autoSpaceDE/>
              <w:autoSpaceDN/>
              <w:bidi w:val="0"/>
              <w:spacing w:before="1" w:line="251" w:lineRule="exact"/>
              <w:ind w:right="86"/>
              <w:textAlignment w:val="auto"/>
              <w:outlineLvl w:val="9"/>
              <w:rPr>
                <w:rFonts w:hint="eastAsia" w:ascii="仿宋" w:hAnsi="仿宋" w:eastAsia="仿宋" w:cs="仿宋"/>
                <w:b w:val="0"/>
                <w:bCs w:val="0"/>
                <w:color w:val="auto"/>
                <w:lang w:eastAsia="zh-CN"/>
              </w:rPr>
            </w:pPr>
            <w:r>
              <w:rPr>
                <w:rFonts w:hint="eastAsia" w:ascii="仿宋" w:hAnsi="仿宋" w:eastAsia="仿宋" w:cs="仿宋"/>
                <w:b w:val="0"/>
                <w:bCs w:val="0"/>
                <w:color w:val="auto"/>
                <w:lang w:eastAsia="zh-CN"/>
              </w:rPr>
              <w:t>按需供电方式，满足连续 30 个阴雨日正常工作</w:t>
            </w:r>
          </w:p>
        </w:tc>
        <w:tc>
          <w:tcPr>
            <w:tcW w:w="1510" w:type="dxa"/>
          </w:tcPr>
          <w:p>
            <w:pPr>
              <w:pStyle w:val="74"/>
              <w:keepNext w:val="0"/>
              <w:keepLines w:val="0"/>
              <w:pageBreakBefore w:val="0"/>
              <w:widowControl w:val="0"/>
              <w:kinsoku/>
              <w:wordWrap/>
              <w:overflowPunct/>
              <w:topLinePunct w:val="0"/>
              <w:autoSpaceDE/>
              <w:autoSpaceDN/>
              <w:bidi w:val="0"/>
              <w:spacing w:before="1" w:line="251" w:lineRule="exact"/>
              <w:ind w:left="114"/>
              <w:textAlignment w:val="auto"/>
              <w:outlineLvl w:val="9"/>
              <w:rPr>
                <w:rFonts w:hint="eastAsia" w:ascii="仿宋" w:hAnsi="仿宋" w:eastAsia="仿宋" w:cs="仿宋"/>
                <w:b w:val="0"/>
                <w:bCs w:val="0"/>
                <w:color w:val="auto"/>
                <w:lang w:eastAsia="zh-CN"/>
              </w:rPr>
            </w:pPr>
            <w:r>
              <w:rPr>
                <w:rFonts w:hint="eastAsia" w:ascii="仿宋" w:hAnsi="仿宋" w:eastAsia="仿宋" w:cs="仿宋"/>
                <w:b w:val="0"/>
                <w:bCs w:val="0"/>
                <w:color w:val="auto"/>
                <w:lang w:val="en-US" w:eastAsia="zh-CN"/>
              </w:rPr>
              <w:t>具备</w:t>
            </w:r>
            <w:r>
              <w:rPr>
                <w:rFonts w:hint="eastAsia" w:ascii="仿宋" w:hAnsi="仿宋" w:eastAsia="仿宋" w:cs="仿宋"/>
                <w:b w:val="0"/>
                <w:bCs w:val="0"/>
                <w:color w:val="auto"/>
              </w:rPr>
              <w:t>过压及欠压保护</w:t>
            </w:r>
          </w:p>
        </w:tc>
      </w:tr>
    </w:tbl>
    <w:p>
      <w:pPr>
        <w:pStyle w:val="2"/>
        <w:keepNext w:val="0"/>
        <w:keepLines w:val="0"/>
        <w:pageBreakBefore w:val="0"/>
        <w:widowControl w:val="0"/>
        <w:kinsoku/>
        <w:wordWrap/>
        <w:overflowPunct/>
        <w:topLinePunct w:val="0"/>
        <w:autoSpaceDE/>
        <w:autoSpaceDN/>
        <w:bidi w:val="0"/>
        <w:spacing w:after="0"/>
        <w:jc w:val="center"/>
        <w:textAlignment w:val="auto"/>
        <w:outlineLvl w:val="9"/>
        <w:rPr>
          <w:rFonts w:hint="eastAsia" w:ascii="仿宋" w:hAnsi="仿宋" w:eastAsia="仿宋" w:cs="仿宋"/>
          <w:b w:val="0"/>
          <w:bCs w:val="0"/>
          <w:color w:val="auto"/>
          <w:lang w:bidi="en-US"/>
        </w:rPr>
      </w:pPr>
    </w:p>
    <w:p>
      <w:pPr>
        <w:pStyle w:val="2"/>
        <w:keepNext w:val="0"/>
        <w:keepLines w:val="0"/>
        <w:pageBreakBefore w:val="0"/>
        <w:widowControl w:val="0"/>
        <w:kinsoku/>
        <w:wordWrap/>
        <w:overflowPunct/>
        <w:topLinePunct w:val="0"/>
        <w:autoSpaceDE/>
        <w:autoSpaceDN/>
        <w:bidi w:val="0"/>
        <w:spacing w:after="0" w:line="500" w:lineRule="exact"/>
        <w:ind w:firstLine="480"/>
        <w:jc w:val="center"/>
        <w:textAlignment w:val="auto"/>
        <w:outlineLvl w:val="9"/>
        <w:rPr>
          <w:rFonts w:hint="eastAsia" w:ascii="仿宋" w:hAnsi="仿宋" w:eastAsia="仿宋" w:cs="仿宋"/>
          <w:b w:val="0"/>
          <w:bCs w:val="0"/>
          <w:color w:val="auto"/>
          <w:sz w:val="24"/>
          <w:szCs w:val="32"/>
        </w:rPr>
      </w:pPr>
    </w:p>
    <w:p>
      <w:pPr>
        <w:pStyle w:val="2"/>
        <w:keepNext w:val="0"/>
        <w:keepLines w:val="0"/>
        <w:pageBreakBefore w:val="0"/>
        <w:widowControl w:val="0"/>
        <w:kinsoku/>
        <w:wordWrap/>
        <w:overflowPunct/>
        <w:topLinePunct w:val="0"/>
        <w:autoSpaceDE/>
        <w:autoSpaceDN/>
        <w:bidi w:val="0"/>
        <w:spacing w:after="0" w:line="500" w:lineRule="exact"/>
        <w:ind w:firstLine="480"/>
        <w:jc w:val="center"/>
        <w:textAlignment w:val="auto"/>
        <w:outlineLvl w:val="9"/>
        <w:rPr>
          <w:rFonts w:hint="eastAsia" w:ascii="仿宋" w:hAnsi="仿宋" w:eastAsia="仿宋" w:cs="仿宋"/>
          <w:b w:val="0"/>
          <w:bCs w:val="0"/>
          <w:color w:val="auto"/>
          <w:sz w:val="24"/>
          <w:szCs w:val="32"/>
        </w:rPr>
      </w:pPr>
    </w:p>
    <w:p>
      <w:pPr>
        <w:pStyle w:val="2"/>
        <w:keepNext w:val="0"/>
        <w:keepLines w:val="0"/>
        <w:pageBreakBefore w:val="0"/>
        <w:widowControl w:val="0"/>
        <w:kinsoku/>
        <w:wordWrap/>
        <w:overflowPunct/>
        <w:topLinePunct w:val="0"/>
        <w:autoSpaceDE/>
        <w:autoSpaceDN/>
        <w:bidi w:val="0"/>
        <w:spacing w:after="0" w:line="500" w:lineRule="exact"/>
        <w:ind w:firstLine="480"/>
        <w:jc w:val="center"/>
        <w:textAlignment w:val="auto"/>
        <w:outlineLvl w:val="9"/>
        <w:rPr>
          <w:rFonts w:hint="eastAsia" w:ascii="仿宋" w:hAnsi="仿宋" w:eastAsia="仿宋" w:cs="仿宋"/>
          <w:b w:val="0"/>
          <w:bCs w:val="0"/>
          <w:color w:val="auto"/>
          <w:sz w:val="24"/>
          <w:szCs w:val="32"/>
        </w:rPr>
      </w:pPr>
      <w:r>
        <w:rPr>
          <w:rFonts w:hint="eastAsia" w:ascii="仿宋" w:hAnsi="仿宋" w:eastAsia="仿宋" w:cs="仿宋"/>
          <w:b w:val="0"/>
          <w:bCs w:val="0"/>
          <w:color w:val="auto"/>
          <w:sz w:val="24"/>
          <w:szCs w:val="32"/>
        </w:rPr>
        <w:t>表3  GNSS（位移/倾角/加速度三参数）主要技术参数</w:t>
      </w:r>
    </w:p>
    <w:tbl>
      <w:tblPr>
        <w:tblStyle w:val="37"/>
        <w:tblpPr w:leftFromText="180" w:rightFromText="180" w:vertAnchor="text" w:horzAnchor="page" w:tblpXSpec="center" w:tblpY="206"/>
        <w:tblOverlap w:val="never"/>
        <w:tblW w:w="83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58"/>
        <w:gridCol w:w="2039"/>
        <w:gridCol w:w="3042"/>
        <w:gridCol w:w="1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758" w:type="dxa"/>
          </w:tcPr>
          <w:p>
            <w:pPr>
              <w:pStyle w:val="74"/>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参数类型</w:t>
            </w:r>
          </w:p>
        </w:tc>
        <w:tc>
          <w:tcPr>
            <w:tcW w:w="5081" w:type="dxa"/>
            <w:gridSpan w:val="2"/>
          </w:tcPr>
          <w:p>
            <w:pPr>
              <w:pStyle w:val="74"/>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 xml:space="preserve">技术指标 </w:t>
            </w:r>
          </w:p>
        </w:tc>
        <w:tc>
          <w:tcPr>
            <w:tcW w:w="1551" w:type="dxa"/>
          </w:tcPr>
          <w:p>
            <w:pPr>
              <w:pStyle w:val="74"/>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 xml:space="preserve">备注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jc w:val="center"/>
        </w:trPr>
        <w:tc>
          <w:tcPr>
            <w:tcW w:w="1758" w:type="dxa"/>
            <w:vMerge w:val="restart"/>
          </w:tcPr>
          <w:p>
            <w:pPr>
              <w:pStyle w:val="2"/>
              <w:keepNext w:val="0"/>
              <w:keepLines w:val="0"/>
              <w:pageBreakBefore w:val="0"/>
              <w:widowControl w:val="0"/>
              <w:tabs>
                <w:tab w:val="left" w:pos="1470"/>
                <w:tab w:val="clear" w:pos="567"/>
              </w:tabs>
              <w:kinsoku/>
              <w:wordWrap/>
              <w:overflowPunct/>
              <w:topLinePunct w:val="0"/>
              <w:autoSpaceDE/>
              <w:autoSpaceDN/>
              <w:bidi w:val="0"/>
              <w:spacing w:after="0" w:line="500" w:lineRule="exact"/>
              <w:ind w:right="67" w:rightChars="32"/>
              <w:jc w:val="center"/>
              <w:textAlignment w:val="auto"/>
              <w:outlineLvl w:val="9"/>
              <w:rPr>
                <w:rFonts w:hint="eastAsia" w:ascii="仿宋" w:hAnsi="仿宋" w:eastAsia="仿宋" w:cs="仿宋"/>
                <w:b w:val="0"/>
                <w:bCs w:val="0"/>
                <w:color w:val="auto"/>
                <w:lang w:bidi="en-US"/>
              </w:rPr>
            </w:pPr>
          </w:p>
          <w:p>
            <w:pPr>
              <w:pStyle w:val="2"/>
              <w:keepNext w:val="0"/>
              <w:keepLines w:val="0"/>
              <w:pageBreakBefore w:val="0"/>
              <w:widowControl w:val="0"/>
              <w:tabs>
                <w:tab w:val="left" w:pos="1470"/>
                <w:tab w:val="clear" w:pos="567"/>
              </w:tabs>
              <w:kinsoku/>
              <w:wordWrap/>
              <w:overflowPunct/>
              <w:topLinePunct w:val="0"/>
              <w:autoSpaceDE/>
              <w:autoSpaceDN/>
              <w:bidi w:val="0"/>
              <w:spacing w:after="0" w:line="500" w:lineRule="exact"/>
              <w:ind w:right="67" w:rightChars="32"/>
              <w:jc w:val="center"/>
              <w:textAlignment w:val="auto"/>
              <w:outlineLvl w:val="9"/>
              <w:rPr>
                <w:rFonts w:hint="eastAsia" w:ascii="仿宋" w:hAnsi="仿宋" w:eastAsia="仿宋" w:cs="仿宋"/>
                <w:b w:val="0"/>
                <w:bCs w:val="0"/>
                <w:color w:val="auto"/>
                <w:lang w:eastAsia="en-US" w:bidi="en-US"/>
              </w:rPr>
            </w:pPr>
            <w:r>
              <w:rPr>
                <w:rFonts w:hint="eastAsia" w:ascii="仿宋" w:hAnsi="仿宋" w:eastAsia="仿宋" w:cs="仿宋"/>
                <w:b w:val="0"/>
                <w:bCs w:val="0"/>
                <w:color w:val="auto"/>
                <w:lang w:bidi="en-US"/>
              </w:rPr>
              <w:t>测量精度</w:t>
            </w:r>
            <w:r>
              <w:rPr>
                <w:rFonts w:hint="eastAsia" w:ascii="仿宋" w:hAnsi="仿宋" w:eastAsia="仿宋" w:cs="仿宋"/>
                <w:b w:val="0"/>
                <w:bCs w:val="0"/>
                <w:color w:val="auto"/>
                <w:lang w:eastAsia="en-US" w:bidi="en-US"/>
              </w:rPr>
              <w:t xml:space="preserve"> </w:t>
            </w:r>
          </w:p>
        </w:tc>
        <w:tc>
          <w:tcPr>
            <w:tcW w:w="2039" w:type="dxa"/>
            <w:vMerge w:val="restart"/>
          </w:tcPr>
          <w:p>
            <w:pPr>
              <w:pStyle w:val="74"/>
              <w:keepNext w:val="0"/>
              <w:keepLines w:val="0"/>
              <w:pageBreakBefore w:val="0"/>
              <w:widowControl w:val="0"/>
              <w:kinsoku/>
              <w:wordWrap/>
              <w:overflowPunct/>
              <w:topLinePunct w:val="0"/>
              <w:autoSpaceDE/>
              <w:autoSpaceDN/>
              <w:bidi w:val="0"/>
              <w:spacing w:before="14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静态相对定位精度</w:t>
            </w:r>
          </w:p>
        </w:tc>
        <w:tc>
          <w:tcPr>
            <w:tcW w:w="3042" w:type="dxa"/>
          </w:tcPr>
          <w:p>
            <w:pPr>
              <w:pStyle w:val="74"/>
              <w:keepNext w:val="0"/>
              <w:keepLines w:val="0"/>
              <w:pageBreakBefore w:val="0"/>
              <w:widowControl w:val="0"/>
              <w:kinsoku/>
              <w:wordWrap/>
              <w:overflowPunct/>
              <w:topLinePunct w:val="0"/>
              <w:autoSpaceDE/>
              <w:autoSpaceDN/>
              <w:bidi w:val="0"/>
              <w:spacing w:before="1" w:line="251" w:lineRule="exact"/>
              <w:ind w:right="350"/>
              <w:jc w:val="right"/>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 xml:space="preserve">水平：5mm+1ppm RMS </w:t>
            </w:r>
          </w:p>
        </w:tc>
        <w:tc>
          <w:tcPr>
            <w:tcW w:w="1551" w:type="dxa"/>
          </w:tcPr>
          <w:p>
            <w:pPr>
              <w:pStyle w:val="74"/>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jc w:val="center"/>
        </w:trPr>
        <w:tc>
          <w:tcPr>
            <w:tcW w:w="1758" w:type="dxa"/>
            <w:vMerge w:val="continue"/>
            <w:tcBorders>
              <w:top w:val="nil"/>
            </w:tcBorders>
          </w:tcPr>
          <w:p>
            <w:pPr>
              <w:keepNext w:val="0"/>
              <w:keepLines w:val="0"/>
              <w:pageBreakBefore w:val="0"/>
              <w:widowControl w:val="0"/>
              <w:tabs>
                <w:tab w:val="left" w:pos="1470"/>
              </w:tabs>
              <w:kinsoku/>
              <w:wordWrap/>
              <w:overflowPunct/>
              <w:topLinePunct w:val="0"/>
              <w:autoSpaceDE/>
              <w:autoSpaceDN/>
              <w:bidi w:val="0"/>
              <w:ind w:right="67" w:rightChars="32"/>
              <w:textAlignment w:val="auto"/>
              <w:outlineLvl w:val="9"/>
              <w:rPr>
                <w:rFonts w:hint="eastAsia" w:ascii="仿宋" w:hAnsi="仿宋" w:eastAsia="仿宋" w:cs="仿宋"/>
                <w:b w:val="0"/>
                <w:bCs w:val="0"/>
                <w:color w:val="auto"/>
                <w:lang w:eastAsia="en-US" w:bidi="en-US"/>
              </w:rPr>
            </w:pPr>
          </w:p>
        </w:tc>
        <w:tc>
          <w:tcPr>
            <w:tcW w:w="2039" w:type="dxa"/>
            <w:vMerge w:val="continue"/>
            <w:tcBorders>
              <w:top w:val="nil"/>
            </w:tcBorders>
          </w:tcPr>
          <w:p>
            <w:pPr>
              <w:keepNext w:val="0"/>
              <w:keepLines w:val="0"/>
              <w:pageBreakBefore w:val="0"/>
              <w:widowControl w:val="0"/>
              <w:kinsoku/>
              <w:wordWrap/>
              <w:overflowPunct/>
              <w:topLinePunct w:val="0"/>
              <w:autoSpaceDE/>
              <w:autoSpaceDN/>
              <w:bidi w:val="0"/>
              <w:jc w:val="center"/>
              <w:textAlignment w:val="auto"/>
              <w:outlineLvl w:val="9"/>
              <w:rPr>
                <w:rFonts w:hint="eastAsia" w:ascii="仿宋" w:hAnsi="仿宋" w:eastAsia="仿宋" w:cs="仿宋"/>
                <w:b w:val="0"/>
                <w:bCs w:val="0"/>
                <w:color w:val="auto"/>
                <w:lang w:eastAsia="en-US" w:bidi="en-US"/>
              </w:rPr>
            </w:pPr>
          </w:p>
        </w:tc>
        <w:tc>
          <w:tcPr>
            <w:tcW w:w="3042" w:type="dxa"/>
          </w:tcPr>
          <w:p>
            <w:pPr>
              <w:pStyle w:val="74"/>
              <w:keepNext w:val="0"/>
              <w:keepLines w:val="0"/>
              <w:pageBreakBefore w:val="0"/>
              <w:widowControl w:val="0"/>
              <w:kinsoku/>
              <w:wordWrap/>
              <w:overflowPunct/>
              <w:topLinePunct w:val="0"/>
              <w:autoSpaceDE/>
              <w:autoSpaceDN/>
              <w:bidi w:val="0"/>
              <w:spacing w:before="1" w:line="251" w:lineRule="exact"/>
              <w:ind w:right="297"/>
              <w:jc w:val="right"/>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 xml:space="preserve">垂直：10mm+1ppm RMS </w:t>
            </w:r>
          </w:p>
        </w:tc>
        <w:tc>
          <w:tcPr>
            <w:tcW w:w="1551" w:type="dxa"/>
          </w:tcPr>
          <w:p>
            <w:pPr>
              <w:pStyle w:val="74"/>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1758" w:type="dxa"/>
            <w:vMerge w:val="continue"/>
            <w:tcBorders>
              <w:top w:val="nil"/>
            </w:tcBorders>
          </w:tcPr>
          <w:p>
            <w:pPr>
              <w:keepNext w:val="0"/>
              <w:keepLines w:val="0"/>
              <w:pageBreakBefore w:val="0"/>
              <w:widowControl w:val="0"/>
              <w:tabs>
                <w:tab w:val="left" w:pos="1470"/>
              </w:tabs>
              <w:kinsoku/>
              <w:wordWrap/>
              <w:overflowPunct/>
              <w:topLinePunct w:val="0"/>
              <w:autoSpaceDE/>
              <w:autoSpaceDN/>
              <w:bidi w:val="0"/>
              <w:ind w:right="67" w:rightChars="32"/>
              <w:textAlignment w:val="auto"/>
              <w:outlineLvl w:val="9"/>
              <w:rPr>
                <w:rFonts w:hint="eastAsia" w:ascii="仿宋" w:hAnsi="仿宋" w:eastAsia="仿宋" w:cs="仿宋"/>
                <w:b w:val="0"/>
                <w:bCs w:val="0"/>
                <w:color w:val="auto"/>
                <w:lang w:eastAsia="en-US" w:bidi="en-US"/>
              </w:rPr>
            </w:pPr>
          </w:p>
        </w:tc>
        <w:tc>
          <w:tcPr>
            <w:tcW w:w="2039" w:type="dxa"/>
            <w:vMerge w:val="restart"/>
          </w:tcPr>
          <w:p>
            <w:pPr>
              <w:pStyle w:val="74"/>
              <w:keepNext w:val="0"/>
              <w:keepLines w:val="0"/>
              <w:pageBreakBefore w:val="0"/>
              <w:widowControl w:val="0"/>
              <w:kinsoku/>
              <w:wordWrap/>
              <w:overflowPunct/>
              <w:topLinePunct w:val="0"/>
              <w:autoSpaceDE/>
              <w:autoSpaceDN/>
              <w:bidi w:val="0"/>
              <w:spacing w:before="14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动态相对定位精度</w:t>
            </w:r>
          </w:p>
        </w:tc>
        <w:tc>
          <w:tcPr>
            <w:tcW w:w="3042" w:type="dxa"/>
          </w:tcPr>
          <w:p>
            <w:pPr>
              <w:pStyle w:val="74"/>
              <w:keepNext w:val="0"/>
              <w:keepLines w:val="0"/>
              <w:pageBreakBefore w:val="0"/>
              <w:widowControl w:val="0"/>
              <w:kinsoku/>
              <w:wordWrap/>
              <w:overflowPunct/>
              <w:topLinePunct w:val="0"/>
              <w:autoSpaceDE/>
              <w:autoSpaceDN/>
              <w:bidi w:val="0"/>
              <w:spacing w:before="2" w:line="251" w:lineRule="exact"/>
              <w:ind w:right="297"/>
              <w:jc w:val="right"/>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 xml:space="preserve">水平：10mm+1ppm RMS </w:t>
            </w:r>
          </w:p>
        </w:tc>
        <w:tc>
          <w:tcPr>
            <w:tcW w:w="1551" w:type="dxa"/>
          </w:tcPr>
          <w:p>
            <w:pPr>
              <w:pStyle w:val="74"/>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1758" w:type="dxa"/>
            <w:vMerge w:val="continue"/>
            <w:tcBorders>
              <w:top w:val="nil"/>
            </w:tcBorders>
          </w:tcPr>
          <w:p>
            <w:pPr>
              <w:keepNext w:val="0"/>
              <w:keepLines w:val="0"/>
              <w:pageBreakBefore w:val="0"/>
              <w:widowControl w:val="0"/>
              <w:tabs>
                <w:tab w:val="left" w:pos="1470"/>
              </w:tabs>
              <w:kinsoku/>
              <w:wordWrap/>
              <w:overflowPunct/>
              <w:topLinePunct w:val="0"/>
              <w:autoSpaceDE/>
              <w:autoSpaceDN/>
              <w:bidi w:val="0"/>
              <w:ind w:right="67" w:rightChars="32"/>
              <w:textAlignment w:val="auto"/>
              <w:outlineLvl w:val="9"/>
              <w:rPr>
                <w:rFonts w:hint="eastAsia" w:ascii="仿宋" w:hAnsi="仿宋" w:eastAsia="仿宋" w:cs="仿宋"/>
                <w:b w:val="0"/>
                <w:bCs w:val="0"/>
                <w:color w:val="auto"/>
                <w:lang w:eastAsia="en-US" w:bidi="en-US"/>
              </w:rPr>
            </w:pPr>
          </w:p>
        </w:tc>
        <w:tc>
          <w:tcPr>
            <w:tcW w:w="2039" w:type="dxa"/>
            <w:vMerge w:val="continue"/>
            <w:tcBorders>
              <w:top w:val="nil"/>
            </w:tcBorders>
          </w:tcPr>
          <w:p>
            <w:pPr>
              <w:keepNext w:val="0"/>
              <w:keepLines w:val="0"/>
              <w:pageBreakBefore w:val="0"/>
              <w:widowControl w:val="0"/>
              <w:kinsoku/>
              <w:wordWrap/>
              <w:overflowPunct/>
              <w:topLinePunct w:val="0"/>
              <w:autoSpaceDE/>
              <w:autoSpaceDN/>
              <w:bidi w:val="0"/>
              <w:textAlignment w:val="auto"/>
              <w:outlineLvl w:val="9"/>
              <w:rPr>
                <w:rFonts w:hint="eastAsia" w:ascii="仿宋" w:hAnsi="仿宋" w:eastAsia="仿宋" w:cs="仿宋"/>
                <w:b w:val="0"/>
                <w:bCs w:val="0"/>
                <w:color w:val="auto"/>
                <w:lang w:eastAsia="en-US" w:bidi="en-US"/>
              </w:rPr>
            </w:pPr>
          </w:p>
        </w:tc>
        <w:tc>
          <w:tcPr>
            <w:tcW w:w="3042" w:type="dxa"/>
          </w:tcPr>
          <w:p>
            <w:pPr>
              <w:pStyle w:val="74"/>
              <w:keepNext w:val="0"/>
              <w:keepLines w:val="0"/>
              <w:pageBreakBefore w:val="0"/>
              <w:widowControl w:val="0"/>
              <w:kinsoku/>
              <w:wordWrap/>
              <w:overflowPunct/>
              <w:topLinePunct w:val="0"/>
              <w:autoSpaceDE/>
              <w:autoSpaceDN/>
              <w:bidi w:val="0"/>
              <w:spacing w:before="1" w:line="251" w:lineRule="exact"/>
              <w:ind w:right="297"/>
              <w:jc w:val="right"/>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 xml:space="preserve">垂直：20mm+1ppm RMS </w:t>
            </w:r>
          </w:p>
        </w:tc>
        <w:tc>
          <w:tcPr>
            <w:tcW w:w="1551" w:type="dxa"/>
          </w:tcPr>
          <w:p>
            <w:pPr>
              <w:pStyle w:val="74"/>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jc w:val="center"/>
        </w:trPr>
        <w:tc>
          <w:tcPr>
            <w:tcW w:w="1758"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 xml:space="preserve">采样间隔 </w:t>
            </w:r>
          </w:p>
        </w:tc>
        <w:tc>
          <w:tcPr>
            <w:tcW w:w="5081" w:type="dxa"/>
            <w:gridSpan w:val="2"/>
          </w:tcPr>
          <w:p>
            <w:pPr>
              <w:pStyle w:val="74"/>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 xml:space="preserve">0s～24h </w:t>
            </w:r>
          </w:p>
        </w:tc>
        <w:tc>
          <w:tcPr>
            <w:tcW w:w="1551" w:type="dxa"/>
          </w:tcPr>
          <w:p>
            <w:pPr>
              <w:pStyle w:val="74"/>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1758"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 xml:space="preserve">上传间隔 </w:t>
            </w:r>
          </w:p>
        </w:tc>
        <w:tc>
          <w:tcPr>
            <w:tcW w:w="5081" w:type="dxa"/>
            <w:gridSpan w:val="2"/>
          </w:tcPr>
          <w:p>
            <w:pPr>
              <w:pStyle w:val="74"/>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 xml:space="preserve">0s～72h </w:t>
            </w:r>
          </w:p>
        </w:tc>
        <w:tc>
          <w:tcPr>
            <w:tcW w:w="1551" w:type="dxa"/>
          </w:tcPr>
          <w:p>
            <w:pPr>
              <w:pStyle w:val="74"/>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1758" w:type="dxa"/>
            <w:vAlign w:val="top"/>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通信方式</w:t>
            </w:r>
          </w:p>
        </w:tc>
        <w:tc>
          <w:tcPr>
            <w:tcW w:w="5081" w:type="dxa"/>
            <w:gridSpan w:val="2"/>
            <w:vAlign w:val="top"/>
          </w:tcPr>
          <w:p>
            <w:pPr>
              <w:keepNext w:val="0"/>
              <w:keepLines w:val="0"/>
              <w:pageBreakBefore w:val="0"/>
              <w:widowControl w:val="0"/>
              <w:kinsoku/>
              <w:wordWrap/>
              <w:overflowPunct/>
              <w:topLinePunct w:val="0"/>
              <w:autoSpaceDE/>
              <w:autoSpaceDN/>
              <w:bidi w:val="0"/>
              <w:spacing w:before="65" w:line="220" w:lineRule="auto"/>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spacing w:val="-1"/>
                <w:sz w:val="18"/>
                <w:szCs w:val="18"/>
              </w:rPr>
              <w:t>移动通信/低功</w:t>
            </w:r>
            <w:r>
              <w:rPr>
                <w:rFonts w:hint="eastAsia" w:ascii="仿宋" w:hAnsi="仿宋" w:eastAsia="仿宋" w:cs="仿宋"/>
                <w:b w:val="0"/>
                <w:bCs w:val="0"/>
                <w:color w:val="auto"/>
                <w:sz w:val="18"/>
                <w:szCs w:val="18"/>
              </w:rPr>
              <w:t>率广域网/高低轨卫星通信</w:t>
            </w:r>
          </w:p>
        </w:tc>
        <w:tc>
          <w:tcPr>
            <w:tcW w:w="1551" w:type="dxa"/>
          </w:tcPr>
          <w:p>
            <w:pPr>
              <w:pStyle w:val="74"/>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b w:val="0"/>
                <w:bCs w:val="0"/>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758" w:type="dxa"/>
            <w:vAlign w:val="top"/>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通信标准</w:t>
            </w:r>
          </w:p>
        </w:tc>
        <w:tc>
          <w:tcPr>
            <w:tcW w:w="5081" w:type="dxa"/>
            <w:gridSpan w:val="2"/>
            <w:vAlign w:val="top"/>
          </w:tcPr>
          <w:p>
            <w:pPr>
              <w:keepNext w:val="0"/>
              <w:keepLines w:val="0"/>
              <w:pageBreakBefore w:val="0"/>
              <w:widowControl w:val="0"/>
              <w:kinsoku/>
              <w:wordWrap/>
              <w:overflowPunct/>
              <w:topLinePunct w:val="0"/>
              <w:autoSpaceDE/>
              <w:autoSpaceDN/>
              <w:bidi w:val="0"/>
              <w:spacing w:before="66" w:line="220" w:lineRule="auto"/>
              <w:textAlignment w:val="auto"/>
              <w:outlineLvl w:val="9"/>
              <w:rPr>
                <w:rFonts w:hint="eastAsia" w:ascii="仿宋" w:hAnsi="仿宋" w:eastAsia="仿宋" w:cs="仿宋"/>
                <w:b w:val="0"/>
                <w:bCs w:val="0"/>
                <w:color w:val="auto"/>
                <w:lang w:eastAsia="zh-CN"/>
              </w:rPr>
            </w:pPr>
            <w:r>
              <w:rPr>
                <w:rFonts w:hint="eastAsia" w:ascii="仿宋" w:hAnsi="仿宋" w:eastAsia="仿宋" w:cs="仿宋"/>
                <w:b w:val="0"/>
                <w:bCs w:val="0"/>
                <w:color w:val="auto"/>
                <w:spacing w:val="-1"/>
                <w:sz w:val="18"/>
                <w:szCs w:val="18"/>
              </w:rPr>
              <w:t>符合《地质灾</w:t>
            </w:r>
            <w:r>
              <w:rPr>
                <w:rFonts w:hint="eastAsia" w:ascii="仿宋" w:hAnsi="仿宋" w:eastAsia="仿宋" w:cs="仿宋"/>
                <w:b w:val="0"/>
                <w:bCs w:val="0"/>
                <w:color w:val="auto"/>
                <w:sz w:val="18"/>
                <w:szCs w:val="18"/>
              </w:rPr>
              <w:t>害监测数据通信技术要求》</w:t>
            </w:r>
            <w:r>
              <w:rPr>
                <w:rFonts w:hint="eastAsia" w:ascii="仿宋" w:hAnsi="仿宋" w:eastAsia="仿宋" w:cs="仿宋"/>
                <w:b w:val="0"/>
                <w:bCs w:val="0"/>
                <w:color w:val="auto"/>
                <w:sz w:val="18"/>
                <w:szCs w:val="18"/>
                <w:lang w:eastAsia="zh-CN"/>
              </w:rPr>
              <w:t>（</w:t>
            </w:r>
            <w:r>
              <w:rPr>
                <w:rFonts w:hint="eastAsia" w:ascii="仿宋" w:hAnsi="仿宋" w:eastAsia="仿宋" w:cs="仿宋"/>
                <w:b w:val="0"/>
                <w:bCs w:val="0"/>
                <w:color w:val="auto"/>
                <w:sz w:val="18"/>
                <w:szCs w:val="18"/>
              </w:rPr>
              <w:t>计划号： 201912007)</w:t>
            </w:r>
          </w:p>
        </w:tc>
        <w:tc>
          <w:tcPr>
            <w:tcW w:w="1551" w:type="dxa"/>
          </w:tcPr>
          <w:p>
            <w:pPr>
              <w:pStyle w:val="74"/>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b w:val="0"/>
                <w:bCs w:val="0"/>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758"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 xml:space="preserve">输出参数 </w:t>
            </w:r>
          </w:p>
        </w:tc>
        <w:tc>
          <w:tcPr>
            <w:tcW w:w="5081" w:type="dxa"/>
            <w:gridSpan w:val="2"/>
          </w:tcPr>
          <w:p>
            <w:pPr>
              <w:pStyle w:val="74"/>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b w:val="0"/>
                <w:bCs w:val="0"/>
                <w:color w:val="auto"/>
                <w:lang w:eastAsia="zh-CN"/>
              </w:rPr>
            </w:pPr>
            <w:r>
              <w:rPr>
                <w:rFonts w:hint="eastAsia" w:ascii="仿宋" w:hAnsi="仿宋" w:eastAsia="仿宋" w:cs="仿宋"/>
                <w:b w:val="0"/>
                <w:bCs w:val="0"/>
                <w:color w:val="auto"/>
                <w:lang w:eastAsia="zh-CN"/>
              </w:rPr>
              <w:t xml:space="preserve">位移、倾角、振动加速度等 RTCM32原始数据（静态模式）、动态位移（动态模式） </w:t>
            </w:r>
          </w:p>
        </w:tc>
        <w:tc>
          <w:tcPr>
            <w:tcW w:w="1551" w:type="dxa"/>
          </w:tcPr>
          <w:p>
            <w:pPr>
              <w:pStyle w:val="74"/>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b w:val="0"/>
                <w:bCs w:val="0"/>
                <w:color w:val="auto"/>
                <w:lang w:eastAsia="zh-CN"/>
              </w:rPr>
            </w:pPr>
            <w:r>
              <w:rPr>
                <w:rFonts w:hint="eastAsia" w:ascii="仿宋" w:hAnsi="仿宋" w:eastAsia="仿宋" w:cs="仿宋"/>
                <w:b w:val="0"/>
                <w:bCs w:val="0"/>
                <w:color w:val="auto"/>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758"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 xml:space="preserve">星频要求及工作模式 </w:t>
            </w:r>
          </w:p>
        </w:tc>
        <w:tc>
          <w:tcPr>
            <w:tcW w:w="5081" w:type="dxa"/>
            <w:gridSpan w:val="2"/>
          </w:tcPr>
          <w:p>
            <w:pPr>
              <w:pStyle w:val="74"/>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b w:val="0"/>
                <w:bCs w:val="0"/>
                <w:color w:val="auto"/>
              </w:rPr>
            </w:pPr>
          </w:p>
          <w:p>
            <w:pPr>
              <w:pStyle w:val="74"/>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 xml:space="preserve">BDS+GPS/双星四频以上 </w:t>
            </w:r>
          </w:p>
        </w:tc>
        <w:tc>
          <w:tcPr>
            <w:tcW w:w="1551" w:type="dxa"/>
          </w:tcPr>
          <w:p>
            <w:pPr>
              <w:pStyle w:val="74"/>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b w:val="0"/>
                <w:bCs w:val="0"/>
                <w:color w:val="auto"/>
                <w:lang w:eastAsia="zh-CN"/>
              </w:rPr>
            </w:pPr>
            <w:r>
              <w:rPr>
                <w:rFonts w:hint="eastAsia" w:ascii="仿宋" w:hAnsi="仿宋" w:eastAsia="仿宋" w:cs="仿宋"/>
                <w:b w:val="0"/>
                <w:bCs w:val="0"/>
                <w:color w:val="auto"/>
                <w:lang w:eastAsia="zh-CN"/>
              </w:rPr>
              <w:t xml:space="preserve">支持内置 MEMS 传感器动态触发调整监测频率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758"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 xml:space="preserve">功耗 </w:t>
            </w:r>
          </w:p>
        </w:tc>
        <w:tc>
          <w:tcPr>
            <w:tcW w:w="5081" w:type="dxa"/>
            <w:gridSpan w:val="2"/>
          </w:tcPr>
          <w:p>
            <w:pPr>
              <w:pStyle w:val="74"/>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在采样间隔不低于 15s 且上传间隔不低于 15s 情况下，接收机正常工作的平均功耗</w:t>
            </w:r>
            <w:r>
              <w:rPr>
                <w:rFonts w:hint="eastAsia" w:ascii="仿宋" w:hAnsi="仿宋" w:eastAsia="仿宋" w:cs="仿宋"/>
                <w:b w:val="0"/>
                <w:bCs w:val="0"/>
                <w:color w:val="auto"/>
                <w:lang w:eastAsia="zh-CN"/>
              </w:rPr>
              <w:t>〈</w:t>
            </w:r>
            <w:r>
              <w:rPr>
                <w:rFonts w:hint="eastAsia" w:ascii="仿宋" w:hAnsi="仿宋" w:eastAsia="仿宋" w:cs="仿宋"/>
                <w:b w:val="0"/>
                <w:bCs w:val="0"/>
                <w:color w:val="auto"/>
              </w:rPr>
              <w:t xml:space="preserve">2W </w:t>
            </w:r>
          </w:p>
        </w:tc>
        <w:tc>
          <w:tcPr>
            <w:tcW w:w="1551" w:type="dxa"/>
          </w:tcPr>
          <w:p>
            <w:pPr>
              <w:pStyle w:val="74"/>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758"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 xml:space="preserve">工作温度 </w:t>
            </w:r>
          </w:p>
        </w:tc>
        <w:tc>
          <w:tcPr>
            <w:tcW w:w="5081" w:type="dxa"/>
            <w:gridSpan w:val="2"/>
          </w:tcPr>
          <w:p>
            <w:pPr>
              <w:pStyle w:val="74"/>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 xml:space="preserve">-20～+65℃ </w:t>
            </w:r>
          </w:p>
        </w:tc>
        <w:tc>
          <w:tcPr>
            <w:tcW w:w="1551" w:type="dxa"/>
          </w:tcPr>
          <w:p>
            <w:pPr>
              <w:pStyle w:val="74"/>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 xml:space="preserve">高寒地区定制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758"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 xml:space="preserve">防护等级 </w:t>
            </w:r>
          </w:p>
        </w:tc>
        <w:tc>
          <w:tcPr>
            <w:tcW w:w="5081" w:type="dxa"/>
            <w:gridSpan w:val="2"/>
          </w:tcPr>
          <w:p>
            <w:pPr>
              <w:pStyle w:val="74"/>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 xml:space="preserve">IP67 以上 </w:t>
            </w:r>
          </w:p>
        </w:tc>
        <w:tc>
          <w:tcPr>
            <w:tcW w:w="1551" w:type="dxa"/>
          </w:tcPr>
          <w:p>
            <w:pPr>
              <w:pStyle w:val="74"/>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758"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 xml:space="preserve">设备可靠性 </w:t>
            </w:r>
          </w:p>
        </w:tc>
        <w:tc>
          <w:tcPr>
            <w:tcW w:w="5081" w:type="dxa"/>
            <w:gridSpan w:val="2"/>
          </w:tcPr>
          <w:p>
            <w:pPr>
              <w:pStyle w:val="74"/>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b w:val="0"/>
                <w:bCs w:val="0"/>
                <w:color w:val="auto"/>
                <w:lang w:eastAsia="zh-CN"/>
              </w:rPr>
            </w:pPr>
            <w:r>
              <w:rPr>
                <w:rFonts w:hint="eastAsia" w:ascii="仿宋" w:hAnsi="仿宋" w:eastAsia="仿宋" w:cs="仿宋"/>
                <w:b w:val="0"/>
                <w:bCs w:val="0"/>
                <w:color w:val="auto"/>
                <w:lang w:eastAsia="zh-CN"/>
              </w:rPr>
              <w:t xml:space="preserve">MTBF 指标不低于 10000 小时 </w:t>
            </w:r>
          </w:p>
        </w:tc>
        <w:tc>
          <w:tcPr>
            <w:tcW w:w="1551" w:type="dxa"/>
          </w:tcPr>
          <w:p>
            <w:pPr>
              <w:pStyle w:val="74"/>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b w:val="0"/>
                <w:bCs w:val="0"/>
                <w:color w:val="auto"/>
                <w:lang w:eastAsia="zh-CN"/>
              </w:rPr>
            </w:pPr>
            <w:r>
              <w:rPr>
                <w:rFonts w:hint="eastAsia" w:ascii="仿宋" w:hAnsi="仿宋" w:eastAsia="仿宋" w:cs="仿宋"/>
                <w:b w:val="0"/>
                <w:bCs w:val="0"/>
                <w:color w:val="auto"/>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758"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 xml:space="preserve">安装方式 </w:t>
            </w:r>
          </w:p>
        </w:tc>
        <w:tc>
          <w:tcPr>
            <w:tcW w:w="5081" w:type="dxa"/>
            <w:gridSpan w:val="2"/>
          </w:tcPr>
          <w:p>
            <w:pPr>
              <w:pStyle w:val="74"/>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b w:val="0"/>
                <w:bCs w:val="0"/>
                <w:color w:val="auto"/>
                <w:lang w:eastAsia="zh-CN"/>
              </w:rPr>
            </w:pPr>
            <w:r>
              <w:rPr>
                <w:rFonts w:hint="eastAsia" w:ascii="仿宋" w:hAnsi="仿宋" w:eastAsia="仿宋" w:cs="仿宋"/>
                <w:b w:val="0"/>
                <w:bCs w:val="0"/>
                <w:color w:val="auto"/>
                <w:lang w:eastAsia="zh-CN"/>
              </w:rPr>
              <w:t xml:space="preserve">标准观测墩、现浇混凝土墩、钢结构等 </w:t>
            </w:r>
          </w:p>
        </w:tc>
        <w:tc>
          <w:tcPr>
            <w:tcW w:w="1551" w:type="dxa"/>
          </w:tcPr>
          <w:p>
            <w:pPr>
              <w:pStyle w:val="74"/>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b w:val="0"/>
                <w:bCs w:val="0"/>
                <w:color w:val="auto"/>
                <w:lang w:eastAsia="zh-CN"/>
              </w:rPr>
            </w:pPr>
            <w:r>
              <w:rPr>
                <w:rFonts w:hint="eastAsia" w:ascii="仿宋" w:hAnsi="仿宋" w:eastAsia="仿宋" w:cs="仿宋"/>
                <w:b w:val="0"/>
                <w:bCs w:val="0"/>
                <w:color w:val="auto"/>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758"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 xml:space="preserve">供电方式 </w:t>
            </w:r>
          </w:p>
        </w:tc>
        <w:tc>
          <w:tcPr>
            <w:tcW w:w="5081" w:type="dxa"/>
            <w:gridSpan w:val="2"/>
          </w:tcPr>
          <w:p>
            <w:pPr>
              <w:pStyle w:val="74"/>
              <w:keepNext w:val="0"/>
              <w:keepLines w:val="0"/>
              <w:pageBreakBefore w:val="0"/>
              <w:widowControl w:val="0"/>
              <w:kinsoku/>
              <w:wordWrap/>
              <w:overflowPunct/>
              <w:topLinePunct w:val="0"/>
              <w:autoSpaceDE/>
              <w:autoSpaceDN/>
              <w:bidi w:val="0"/>
              <w:spacing w:before="1" w:line="251" w:lineRule="exact"/>
              <w:ind w:right="729"/>
              <w:textAlignment w:val="auto"/>
              <w:outlineLvl w:val="9"/>
              <w:rPr>
                <w:rFonts w:hint="eastAsia" w:ascii="仿宋" w:hAnsi="仿宋" w:eastAsia="仿宋" w:cs="仿宋"/>
                <w:b w:val="0"/>
                <w:bCs w:val="0"/>
                <w:color w:val="auto"/>
                <w:lang w:eastAsia="zh-CN"/>
              </w:rPr>
            </w:pPr>
            <w:r>
              <w:rPr>
                <w:rFonts w:hint="eastAsia" w:ascii="仿宋" w:hAnsi="仿宋" w:eastAsia="仿宋" w:cs="仿宋"/>
                <w:b w:val="0"/>
                <w:bCs w:val="0"/>
                <w:color w:val="auto"/>
                <w:lang w:eastAsia="zh-CN"/>
              </w:rPr>
              <w:t xml:space="preserve">按需供电方式，满足连续 30 个阴雨日正常工作 </w:t>
            </w:r>
          </w:p>
        </w:tc>
        <w:tc>
          <w:tcPr>
            <w:tcW w:w="1551" w:type="dxa"/>
          </w:tcPr>
          <w:p>
            <w:pPr>
              <w:pStyle w:val="74"/>
              <w:keepNext w:val="0"/>
              <w:keepLines w:val="0"/>
              <w:pageBreakBefore w:val="0"/>
              <w:widowControl w:val="0"/>
              <w:kinsoku/>
              <w:wordWrap/>
              <w:overflowPunct/>
              <w:topLinePunct w:val="0"/>
              <w:autoSpaceDE/>
              <w:autoSpaceDN/>
              <w:bidi w:val="0"/>
              <w:spacing w:before="1" w:line="251" w:lineRule="exact"/>
              <w:ind w:right="61"/>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lang w:val="en-US" w:eastAsia="zh-CN"/>
              </w:rPr>
              <w:t>具备</w:t>
            </w:r>
            <w:r>
              <w:rPr>
                <w:rFonts w:hint="eastAsia" w:ascii="仿宋" w:hAnsi="仿宋" w:eastAsia="仿宋" w:cs="仿宋"/>
                <w:b w:val="0"/>
                <w:bCs w:val="0"/>
                <w:color w:val="auto"/>
              </w:rPr>
              <w:t xml:space="preserve">过压及欠压保护 </w:t>
            </w:r>
          </w:p>
        </w:tc>
      </w:tr>
    </w:tbl>
    <w:p>
      <w:pPr>
        <w:pStyle w:val="2"/>
        <w:keepNext w:val="0"/>
        <w:keepLines w:val="0"/>
        <w:pageBreakBefore w:val="0"/>
        <w:widowControl w:val="0"/>
        <w:kinsoku/>
        <w:wordWrap/>
        <w:overflowPunct/>
        <w:topLinePunct w:val="0"/>
        <w:autoSpaceDE/>
        <w:autoSpaceDN/>
        <w:bidi w:val="0"/>
        <w:spacing w:after="0"/>
        <w:ind w:firstLine="480"/>
        <w:jc w:val="center"/>
        <w:textAlignment w:val="auto"/>
        <w:outlineLvl w:val="9"/>
        <w:rPr>
          <w:rFonts w:hint="eastAsia" w:ascii="仿宋" w:hAnsi="仿宋" w:eastAsia="仿宋" w:cs="仿宋"/>
          <w:b w:val="0"/>
          <w:bCs w:val="0"/>
          <w:color w:val="auto"/>
          <w:sz w:val="24"/>
          <w:szCs w:val="32"/>
        </w:rPr>
      </w:pPr>
    </w:p>
    <w:p>
      <w:pPr>
        <w:keepNext w:val="0"/>
        <w:keepLines w:val="0"/>
        <w:pageBreakBefore w:val="0"/>
        <w:widowControl w:val="0"/>
        <w:kinsoku/>
        <w:wordWrap/>
        <w:overflowPunct/>
        <w:topLinePunct w:val="0"/>
        <w:autoSpaceDE/>
        <w:autoSpaceDN/>
        <w:bidi w:val="0"/>
        <w:spacing w:before="137" w:line="221" w:lineRule="auto"/>
        <w:ind w:left="0" w:leftChars="0" w:firstLine="9" w:firstLineChars="0"/>
        <w:jc w:val="center"/>
        <w:textAlignment w:val="auto"/>
        <w:outlineLvl w:val="9"/>
        <w:rPr>
          <w:rFonts w:hint="eastAsia" w:ascii="仿宋" w:hAnsi="仿宋" w:eastAsia="仿宋" w:cs="仿宋"/>
          <w:b w:val="0"/>
          <w:bCs w:val="0"/>
          <w:color w:val="auto"/>
          <w:kern w:val="2"/>
          <w:sz w:val="24"/>
          <w:szCs w:val="32"/>
          <w:lang w:val="en-US" w:eastAsia="zh-CN" w:bidi="ar-SA"/>
        </w:rPr>
      </w:pPr>
      <w:r>
        <w:rPr>
          <w:rFonts w:hint="eastAsia" w:ascii="仿宋" w:hAnsi="仿宋" w:eastAsia="仿宋" w:cs="仿宋"/>
          <w:b w:val="0"/>
          <w:bCs w:val="0"/>
          <w:color w:val="auto"/>
          <w:kern w:val="2"/>
          <w:sz w:val="24"/>
          <w:szCs w:val="32"/>
          <w:lang w:val="en-US" w:eastAsia="zh-CN" w:bidi="ar-SA"/>
        </w:rPr>
        <w:t>表 4   GNSS CORS 组网基准站主要技术参数</w:t>
      </w:r>
    </w:p>
    <w:p>
      <w:pPr>
        <w:keepNext w:val="0"/>
        <w:keepLines w:val="0"/>
        <w:pageBreakBefore w:val="0"/>
        <w:widowControl w:val="0"/>
        <w:kinsoku/>
        <w:wordWrap/>
        <w:overflowPunct/>
        <w:topLinePunct w:val="0"/>
        <w:autoSpaceDE/>
        <w:autoSpaceDN/>
        <w:bidi w:val="0"/>
        <w:spacing w:line="89" w:lineRule="exact"/>
        <w:textAlignment w:val="auto"/>
        <w:outlineLvl w:val="9"/>
        <w:rPr>
          <w:rFonts w:hint="eastAsia" w:ascii="仿宋" w:hAnsi="仿宋" w:eastAsia="仿宋" w:cs="仿宋"/>
          <w:b w:val="0"/>
          <w:bCs w:val="0"/>
          <w:color w:val="auto"/>
        </w:rPr>
      </w:pPr>
    </w:p>
    <w:tbl>
      <w:tblPr>
        <w:tblStyle w:val="72"/>
        <w:tblW w:w="8355"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70"/>
        <w:gridCol w:w="2373"/>
        <w:gridCol w:w="2756"/>
        <w:gridCol w:w="15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8" w:hRule="atLeast"/>
        </w:trPr>
        <w:tc>
          <w:tcPr>
            <w:tcW w:w="1670" w:type="dxa"/>
            <w:tcBorders>
              <w:left w:val="single" w:color="000000" w:sz="6" w:space="0"/>
            </w:tcBorders>
            <w:vAlign w:val="center"/>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参数类型</w:t>
            </w:r>
          </w:p>
        </w:tc>
        <w:tc>
          <w:tcPr>
            <w:tcW w:w="5129" w:type="dxa"/>
            <w:gridSpan w:val="2"/>
            <w:tcBorders>
              <w:right w:val="single" w:color="000000" w:sz="4" w:space="0"/>
            </w:tcBorders>
            <w:vAlign w:val="center"/>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技术指标</w:t>
            </w:r>
          </w:p>
        </w:tc>
        <w:tc>
          <w:tcPr>
            <w:tcW w:w="1556" w:type="dxa"/>
            <w:tcBorders>
              <w:left w:val="single" w:color="000000" w:sz="4" w:space="0"/>
              <w:right w:val="single" w:color="000000" w:sz="6" w:space="0"/>
            </w:tcBorders>
            <w:vAlign w:val="center"/>
          </w:tcPr>
          <w:p>
            <w:pPr>
              <w:pStyle w:val="74"/>
              <w:keepNext w:val="0"/>
              <w:keepLines w:val="0"/>
              <w:pageBreakBefore w:val="0"/>
              <w:widowControl w:val="0"/>
              <w:kinsoku/>
              <w:wordWrap/>
              <w:overflowPunct/>
              <w:topLinePunct w:val="0"/>
              <w:autoSpaceDE/>
              <w:autoSpaceDN/>
              <w:bidi w:val="0"/>
              <w:spacing w:before="1" w:line="251" w:lineRule="exact"/>
              <w:ind w:right="61"/>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1" w:hRule="atLeast"/>
        </w:trPr>
        <w:tc>
          <w:tcPr>
            <w:tcW w:w="1670" w:type="dxa"/>
            <w:vMerge w:val="restart"/>
            <w:tcBorders>
              <w:left w:val="single" w:color="000000" w:sz="6" w:space="0"/>
              <w:bottom w:val="nil"/>
            </w:tcBorders>
            <w:vAlign w:val="center"/>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jc w:val="center"/>
              <w:textAlignment w:val="auto"/>
              <w:outlineLvl w:val="9"/>
              <w:rPr>
                <w:rFonts w:hint="eastAsia" w:ascii="仿宋" w:hAnsi="仿宋" w:eastAsia="仿宋" w:cs="仿宋"/>
                <w:b w:val="0"/>
                <w:bCs w:val="0"/>
                <w:color w:val="auto"/>
              </w:rPr>
            </w:pPr>
          </w:p>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测量精度</w:t>
            </w:r>
          </w:p>
        </w:tc>
        <w:tc>
          <w:tcPr>
            <w:tcW w:w="2373" w:type="dxa"/>
            <w:vMerge w:val="restart"/>
            <w:tcBorders>
              <w:bottom w:val="nil"/>
            </w:tcBorders>
            <w:vAlign w:val="center"/>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静态相对定位精度</w:t>
            </w:r>
          </w:p>
        </w:tc>
        <w:tc>
          <w:tcPr>
            <w:tcW w:w="2756" w:type="dxa"/>
            <w:tcBorders>
              <w:right w:val="single" w:color="000000" w:sz="4" w:space="0"/>
            </w:tcBorders>
            <w:vAlign w:val="center"/>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水平： 2.5mm+0.5ppm RMS</w:t>
            </w:r>
          </w:p>
        </w:tc>
        <w:tc>
          <w:tcPr>
            <w:tcW w:w="1556" w:type="dxa"/>
            <w:tcBorders>
              <w:left w:val="single" w:color="000000" w:sz="4" w:space="0"/>
              <w:right w:val="single" w:color="000000" w:sz="6" w:space="0"/>
            </w:tcBorders>
            <w:vAlign w:val="center"/>
          </w:tcPr>
          <w:p>
            <w:pPr>
              <w:pStyle w:val="74"/>
              <w:keepNext w:val="0"/>
              <w:keepLines w:val="0"/>
              <w:pageBreakBefore w:val="0"/>
              <w:widowControl w:val="0"/>
              <w:kinsoku/>
              <w:wordWrap/>
              <w:overflowPunct/>
              <w:topLinePunct w:val="0"/>
              <w:autoSpaceDE/>
              <w:autoSpaceDN/>
              <w:bidi w:val="0"/>
              <w:spacing w:before="1" w:line="251" w:lineRule="exact"/>
              <w:ind w:right="61"/>
              <w:jc w:val="center"/>
              <w:textAlignment w:val="auto"/>
              <w:outlineLvl w:val="9"/>
              <w:rPr>
                <w:rFonts w:hint="eastAsia" w:ascii="仿宋" w:hAnsi="仿宋" w:eastAsia="仿宋" w:cs="仿宋"/>
                <w:b w:val="0"/>
                <w:bCs w:val="0"/>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trPr>
        <w:tc>
          <w:tcPr>
            <w:tcW w:w="1670" w:type="dxa"/>
            <w:vMerge w:val="continue"/>
            <w:tcBorders>
              <w:top w:val="nil"/>
              <w:left w:val="single" w:color="000000" w:sz="6" w:space="0"/>
              <w:bottom w:val="nil"/>
            </w:tcBorders>
            <w:vAlign w:val="center"/>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jc w:val="center"/>
              <w:textAlignment w:val="auto"/>
              <w:outlineLvl w:val="9"/>
              <w:rPr>
                <w:rFonts w:hint="eastAsia" w:ascii="仿宋" w:hAnsi="仿宋" w:eastAsia="仿宋" w:cs="仿宋"/>
                <w:b w:val="0"/>
                <w:bCs w:val="0"/>
                <w:color w:val="auto"/>
              </w:rPr>
            </w:pPr>
          </w:p>
        </w:tc>
        <w:tc>
          <w:tcPr>
            <w:tcW w:w="2373" w:type="dxa"/>
            <w:vMerge w:val="continue"/>
            <w:tcBorders>
              <w:top w:val="nil"/>
            </w:tcBorders>
            <w:vAlign w:val="center"/>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jc w:val="center"/>
              <w:textAlignment w:val="auto"/>
              <w:outlineLvl w:val="9"/>
              <w:rPr>
                <w:rFonts w:hint="eastAsia" w:ascii="仿宋" w:hAnsi="仿宋" w:eastAsia="仿宋" w:cs="仿宋"/>
                <w:b w:val="0"/>
                <w:bCs w:val="0"/>
                <w:color w:val="auto"/>
              </w:rPr>
            </w:pPr>
          </w:p>
        </w:tc>
        <w:tc>
          <w:tcPr>
            <w:tcW w:w="2756" w:type="dxa"/>
            <w:tcBorders>
              <w:right w:val="single" w:color="000000" w:sz="4" w:space="0"/>
            </w:tcBorders>
            <w:vAlign w:val="center"/>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垂直： 5mm+0.5ppm RMS</w:t>
            </w:r>
          </w:p>
        </w:tc>
        <w:tc>
          <w:tcPr>
            <w:tcW w:w="1556" w:type="dxa"/>
            <w:tcBorders>
              <w:left w:val="single" w:color="000000" w:sz="4" w:space="0"/>
              <w:right w:val="single" w:color="000000" w:sz="6" w:space="0"/>
            </w:tcBorders>
            <w:vAlign w:val="center"/>
          </w:tcPr>
          <w:p>
            <w:pPr>
              <w:pStyle w:val="74"/>
              <w:keepNext w:val="0"/>
              <w:keepLines w:val="0"/>
              <w:pageBreakBefore w:val="0"/>
              <w:widowControl w:val="0"/>
              <w:kinsoku/>
              <w:wordWrap/>
              <w:overflowPunct/>
              <w:topLinePunct w:val="0"/>
              <w:autoSpaceDE/>
              <w:autoSpaceDN/>
              <w:bidi w:val="0"/>
              <w:spacing w:before="1" w:line="251" w:lineRule="exact"/>
              <w:ind w:right="61"/>
              <w:jc w:val="center"/>
              <w:textAlignment w:val="auto"/>
              <w:outlineLvl w:val="9"/>
              <w:rPr>
                <w:rFonts w:hint="eastAsia" w:ascii="仿宋" w:hAnsi="仿宋" w:eastAsia="仿宋" w:cs="仿宋"/>
                <w:b w:val="0"/>
                <w:bCs w:val="0"/>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3" w:hRule="atLeast"/>
        </w:trPr>
        <w:tc>
          <w:tcPr>
            <w:tcW w:w="1670" w:type="dxa"/>
            <w:vMerge w:val="continue"/>
            <w:tcBorders>
              <w:top w:val="nil"/>
              <w:left w:val="single" w:color="000000" w:sz="6" w:space="0"/>
              <w:bottom w:val="nil"/>
            </w:tcBorders>
            <w:vAlign w:val="center"/>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jc w:val="center"/>
              <w:textAlignment w:val="auto"/>
              <w:outlineLvl w:val="9"/>
              <w:rPr>
                <w:rFonts w:hint="eastAsia" w:ascii="仿宋" w:hAnsi="仿宋" w:eastAsia="仿宋" w:cs="仿宋"/>
                <w:b w:val="0"/>
                <w:bCs w:val="0"/>
                <w:color w:val="auto"/>
              </w:rPr>
            </w:pPr>
          </w:p>
        </w:tc>
        <w:tc>
          <w:tcPr>
            <w:tcW w:w="2373" w:type="dxa"/>
            <w:vMerge w:val="restart"/>
            <w:tcBorders>
              <w:bottom w:val="nil"/>
            </w:tcBorders>
            <w:vAlign w:val="center"/>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动态相对定位精度</w:t>
            </w:r>
          </w:p>
        </w:tc>
        <w:tc>
          <w:tcPr>
            <w:tcW w:w="2756" w:type="dxa"/>
            <w:tcBorders>
              <w:right w:val="single" w:color="000000" w:sz="4" w:space="0"/>
            </w:tcBorders>
            <w:vAlign w:val="center"/>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水平： 8mm+1ppm RMS</w:t>
            </w:r>
          </w:p>
        </w:tc>
        <w:tc>
          <w:tcPr>
            <w:tcW w:w="1556" w:type="dxa"/>
            <w:tcBorders>
              <w:left w:val="single" w:color="000000" w:sz="4" w:space="0"/>
              <w:right w:val="single" w:color="000000" w:sz="6" w:space="0"/>
            </w:tcBorders>
            <w:vAlign w:val="center"/>
          </w:tcPr>
          <w:p>
            <w:pPr>
              <w:pStyle w:val="74"/>
              <w:keepNext w:val="0"/>
              <w:keepLines w:val="0"/>
              <w:pageBreakBefore w:val="0"/>
              <w:widowControl w:val="0"/>
              <w:kinsoku/>
              <w:wordWrap/>
              <w:overflowPunct/>
              <w:topLinePunct w:val="0"/>
              <w:autoSpaceDE/>
              <w:autoSpaceDN/>
              <w:bidi w:val="0"/>
              <w:spacing w:before="1" w:line="251" w:lineRule="exact"/>
              <w:ind w:right="61"/>
              <w:jc w:val="center"/>
              <w:textAlignment w:val="auto"/>
              <w:outlineLvl w:val="9"/>
              <w:rPr>
                <w:rFonts w:hint="eastAsia" w:ascii="仿宋" w:hAnsi="仿宋" w:eastAsia="仿宋" w:cs="仿宋"/>
                <w:b w:val="0"/>
                <w:bCs w:val="0"/>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trPr>
        <w:tc>
          <w:tcPr>
            <w:tcW w:w="1670" w:type="dxa"/>
            <w:vMerge w:val="continue"/>
            <w:tcBorders>
              <w:top w:val="nil"/>
              <w:left w:val="single" w:color="000000" w:sz="6" w:space="0"/>
              <w:bottom w:val="nil"/>
            </w:tcBorders>
            <w:vAlign w:val="center"/>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jc w:val="center"/>
              <w:textAlignment w:val="auto"/>
              <w:outlineLvl w:val="9"/>
              <w:rPr>
                <w:rFonts w:hint="eastAsia" w:ascii="仿宋" w:hAnsi="仿宋" w:eastAsia="仿宋" w:cs="仿宋"/>
                <w:b w:val="0"/>
                <w:bCs w:val="0"/>
                <w:color w:val="auto"/>
              </w:rPr>
            </w:pPr>
          </w:p>
        </w:tc>
        <w:tc>
          <w:tcPr>
            <w:tcW w:w="2373" w:type="dxa"/>
            <w:vMerge w:val="continue"/>
            <w:tcBorders>
              <w:top w:val="nil"/>
            </w:tcBorders>
            <w:vAlign w:val="center"/>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jc w:val="center"/>
              <w:textAlignment w:val="auto"/>
              <w:outlineLvl w:val="9"/>
              <w:rPr>
                <w:rFonts w:hint="eastAsia" w:ascii="仿宋" w:hAnsi="仿宋" w:eastAsia="仿宋" w:cs="仿宋"/>
                <w:b w:val="0"/>
                <w:bCs w:val="0"/>
                <w:color w:val="auto"/>
              </w:rPr>
            </w:pPr>
          </w:p>
        </w:tc>
        <w:tc>
          <w:tcPr>
            <w:tcW w:w="2756" w:type="dxa"/>
            <w:tcBorders>
              <w:right w:val="single" w:color="000000" w:sz="4" w:space="0"/>
            </w:tcBorders>
            <w:vAlign w:val="center"/>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垂直： 15mm+1ppm RMS</w:t>
            </w:r>
          </w:p>
        </w:tc>
        <w:tc>
          <w:tcPr>
            <w:tcW w:w="1556" w:type="dxa"/>
            <w:tcBorders>
              <w:left w:val="single" w:color="000000" w:sz="4" w:space="0"/>
              <w:right w:val="single" w:color="000000" w:sz="6" w:space="0"/>
            </w:tcBorders>
            <w:vAlign w:val="center"/>
          </w:tcPr>
          <w:p>
            <w:pPr>
              <w:pStyle w:val="74"/>
              <w:keepNext w:val="0"/>
              <w:keepLines w:val="0"/>
              <w:pageBreakBefore w:val="0"/>
              <w:widowControl w:val="0"/>
              <w:kinsoku/>
              <w:wordWrap/>
              <w:overflowPunct/>
              <w:topLinePunct w:val="0"/>
              <w:autoSpaceDE/>
              <w:autoSpaceDN/>
              <w:bidi w:val="0"/>
              <w:spacing w:before="1" w:line="251" w:lineRule="exact"/>
              <w:ind w:right="61"/>
              <w:jc w:val="center"/>
              <w:textAlignment w:val="auto"/>
              <w:outlineLvl w:val="9"/>
              <w:rPr>
                <w:rFonts w:hint="eastAsia" w:ascii="仿宋" w:hAnsi="仿宋" w:eastAsia="仿宋" w:cs="仿宋"/>
                <w:b w:val="0"/>
                <w:bCs w:val="0"/>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trPr>
        <w:tc>
          <w:tcPr>
            <w:tcW w:w="1670" w:type="dxa"/>
            <w:vMerge w:val="continue"/>
            <w:tcBorders>
              <w:top w:val="nil"/>
              <w:left w:val="single" w:color="000000" w:sz="6" w:space="0"/>
            </w:tcBorders>
            <w:vAlign w:val="center"/>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jc w:val="center"/>
              <w:textAlignment w:val="auto"/>
              <w:outlineLvl w:val="9"/>
              <w:rPr>
                <w:rFonts w:hint="eastAsia" w:ascii="仿宋" w:hAnsi="仿宋" w:eastAsia="仿宋" w:cs="仿宋"/>
                <w:b w:val="0"/>
                <w:bCs w:val="0"/>
                <w:color w:val="auto"/>
              </w:rPr>
            </w:pPr>
          </w:p>
        </w:tc>
        <w:tc>
          <w:tcPr>
            <w:tcW w:w="5129" w:type="dxa"/>
            <w:gridSpan w:val="2"/>
            <w:tcBorders>
              <w:right w:val="single" w:color="000000" w:sz="4" w:space="0"/>
            </w:tcBorders>
            <w:vAlign w:val="center"/>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接收机内部噪声水平优于 0.2mm</w:t>
            </w:r>
          </w:p>
        </w:tc>
        <w:tc>
          <w:tcPr>
            <w:tcW w:w="1556" w:type="dxa"/>
            <w:tcBorders>
              <w:left w:val="single" w:color="000000" w:sz="4" w:space="0"/>
              <w:right w:val="single" w:color="000000" w:sz="6" w:space="0"/>
            </w:tcBorders>
            <w:vAlign w:val="center"/>
          </w:tcPr>
          <w:p>
            <w:pPr>
              <w:pStyle w:val="74"/>
              <w:keepNext w:val="0"/>
              <w:keepLines w:val="0"/>
              <w:pageBreakBefore w:val="0"/>
              <w:widowControl w:val="0"/>
              <w:kinsoku/>
              <w:wordWrap/>
              <w:overflowPunct/>
              <w:topLinePunct w:val="0"/>
              <w:autoSpaceDE/>
              <w:autoSpaceDN/>
              <w:bidi w:val="0"/>
              <w:spacing w:before="1" w:line="251" w:lineRule="exact"/>
              <w:ind w:right="61"/>
              <w:jc w:val="center"/>
              <w:textAlignment w:val="auto"/>
              <w:outlineLvl w:val="9"/>
              <w:rPr>
                <w:rFonts w:hint="eastAsia" w:ascii="仿宋" w:hAnsi="仿宋" w:eastAsia="仿宋" w:cs="仿宋"/>
                <w:b w:val="0"/>
                <w:bCs w:val="0"/>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670" w:type="dxa"/>
            <w:tcBorders>
              <w:left w:val="single" w:color="000000" w:sz="6" w:space="0"/>
            </w:tcBorders>
            <w:vAlign w:val="center"/>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天线</w:t>
            </w:r>
          </w:p>
        </w:tc>
        <w:tc>
          <w:tcPr>
            <w:tcW w:w="5129" w:type="dxa"/>
            <w:gridSpan w:val="2"/>
            <w:tcBorders>
              <w:right w:val="single" w:color="000000" w:sz="4" w:space="0"/>
            </w:tcBorders>
            <w:vAlign w:val="center"/>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频率范围全频点；天线轴比≤3dB；最高增益 7dBi</w:t>
            </w:r>
          </w:p>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相位中心误差±1mm；噪声系数≤2dB</w:t>
            </w:r>
          </w:p>
        </w:tc>
        <w:tc>
          <w:tcPr>
            <w:tcW w:w="1556" w:type="dxa"/>
            <w:tcBorders>
              <w:left w:val="single" w:color="000000" w:sz="4" w:space="0"/>
              <w:right w:val="single" w:color="000000" w:sz="6" w:space="0"/>
            </w:tcBorders>
            <w:vAlign w:val="center"/>
          </w:tcPr>
          <w:p>
            <w:pPr>
              <w:pStyle w:val="74"/>
              <w:keepNext w:val="0"/>
              <w:keepLines w:val="0"/>
              <w:pageBreakBefore w:val="0"/>
              <w:widowControl w:val="0"/>
              <w:kinsoku/>
              <w:wordWrap/>
              <w:overflowPunct/>
              <w:topLinePunct w:val="0"/>
              <w:autoSpaceDE/>
              <w:autoSpaceDN/>
              <w:bidi w:val="0"/>
              <w:spacing w:before="1" w:line="251" w:lineRule="exact"/>
              <w:ind w:right="61"/>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采用 3D 扼流圈天线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trPr>
        <w:tc>
          <w:tcPr>
            <w:tcW w:w="1670" w:type="dxa"/>
            <w:tcBorders>
              <w:left w:val="single" w:color="000000" w:sz="6" w:space="0"/>
            </w:tcBorders>
            <w:vAlign w:val="center"/>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采样间隔</w:t>
            </w:r>
          </w:p>
        </w:tc>
        <w:tc>
          <w:tcPr>
            <w:tcW w:w="5129" w:type="dxa"/>
            <w:gridSpan w:val="2"/>
            <w:tcBorders>
              <w:right w:val="single" w:color="000000" w:sz="4" w:space="0"/>
            </w:tcBorders>
            <w:vAlign w:val="center"/>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0s~24h</w:t>
            </w:r>
          </w:p>
        </w:tc>
        <w:tc>
          <w:tcPr>
            <w:tcW w:w="1556" w:type="dxa"/>
            <w:tcBorders>
              <w:left w:val="single" w:color="000000" w:sz="4" w:space="0"/>
              <w:right w:val="single" w:color="000000" w:sz="6" w:space="0"/>
            </w:tcBorders>
            <w:vAlign w:val="center"/>
          </w:tcPr>
          <w:p>
            <w:pPr>
              <w:pStyle w:val="74"/>
              <w:keepNext w:val="0"/>
              <w:keepLines w:val="0"/>
              <w:pageBreakBefore w:val="0"/>
              <w:widowControl w:val="0"/>
              <w:kinsoku/>
              <w:wordWrap/>
              <w:overflowPunct/>
              <w:topLinePunct w:val="0"/>
              <w:autoSpaceDE/>
              <w:autoSpaceDN/>
              <w:bidi w:val="0"/>
              <w:spacing w:before="1" w:line="251" w:lineRule="exact"/>
              <w:ind w:right="61"/>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按需求设定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trPr>
        <w:tc>
          <w:tcPr>
            <w:tcW w:w="1670" w:type="dxa"/>
            <w:tcBorders>
              <w:left w:val="single" w:color="000000" w:sz="6" w:space="0"/>
            </w:tcBorders>
            <w:vAlign w:val="center"/>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上传间隔</w:t>
            </w:r>
          </w:p>
        </w:tc>
        <w:tc>
          <w:tcPr>
            <w:tcW w:w="5129" w:type="dxa"/>
            <w:gridSpan w:val="2"/>
            <w:tcBorders>
              <w:right w:val="single" w:color="000000" w:sz="4" w:space="0"/>
            </w:tcBorders>
            <w:vAlign w:val="center"/>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0s~72h</w:t>
            </w:r>
          </w:p>
        </w:tc>
        <w:tc>
          <w:tcPr>
            <w:tcW w:w="1556" w:type="dxa"/>
            <w:tcBorders>
              <w:left w:val="single" w:color="000000" w:sz="4" w:space="0"/>
              <w:right w:val="single" w:color="000000" w:sz="6" w:space="0"/>
            </w:tcBorders>
            <w:vAlign w:val="center"/>
          </w:tcPr>
          <w:p>
            <w:pPr>
              <w:pStyle w:val="74"/>
              <w:keepNext w:val="0"/>
              <w:keepLines w:val="0"/>
              <w:pageBreakBefore w:val="0"/>
              <w:widowControl w:val="0"/>
              <w:kinsoku/>
              <w:wordWrap/>
              <w:overflowPunct/>
              <w:topLinePunct w:val="0"/>
              <w:autoSpaceDE/>
              <w:autoSpaceDN/>
              <w:bidi w:val="0"/>
              <w:spacing w:before="1" w:line="251" w:lineRule="exact"/>
              <w:ind w:right="61"/>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按需求设定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670" w:type="dxa"/>
            <w:tcBorders>
              <w:left w:val="single" w:color="000000" w:sz="6" w:space="0"/>
            </w:tcBorders>
            <w:vAlign w:val="center"/>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通信方式</w:t>
            </w:r>
          </w:p>
        </w:tc>
        <w:tc>
          <w:tcPr>
            <w:tcW w:w="5129" w:type="dxa"/>
            <w:gridSpan w:val="2"/>
            <w:tcBorders>
              <w:right w:val="single" w:color="000000" w:sz="4" w:space="0"/>
            </w:tcBorders>
            <w:vAlign w:val="center"/>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移动通信/低功率广域网/高低轨卫星通信</w:t>
            </w:r>
          </w:p>
        </w:tc>
        <w:tc>
          <w:tcPr>
            <w:tcW w:w="1556" w:type="dxa"/>
            <w:tcBorders>
              <w:left w:val="single" w:color="000000" w:sz="4" w:space="0"/>
              <w:right w:val="single" w:color="000000" w:sz="6" w:space="0"/>
            </w:tcBorders>
            <w:vAlign w:val="center"/>
          </w:tcPr>
          <w:p>
            <w:pPr>
              <w:pStyle w:val="74"/>
              <w:keepNext w:val="0"/>
              <w:keepLines w:val="0"/>
              <w:pageBreakBefore w:val="0"/>
              <w:widowControl w:val="0"/>
              <w:kinsoku/>
              <w:wordWrap/>
              <w:overflowPunct/>
              <w:topLinePunct w:val="0"/>
              <w:autoSpaceDE/>
              <w:autoSpaceDN/>
              <w:bidi w:val="0"/>
              <w:spacing w:before="1" w:line="251" w:lineRule="exact"/>
              <w:ind w:right="61"/>
              <w:jc w:val="center"/>
              <w:textAlignment w:val="auto"/>
              <w:outlineLvl w:val="9"/>
              <w:rPr>
                <w:rFonts w:hint="eastAsia" w:ascii="仿宋" w:hAnsi="仿宋" w:eastAsia="仿宋" w:cs="仿宋"/>
                <w:b w:val="0"/>
                <w:bCs w:val="0"/>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trPr>
        <w:tc>
          <w:tcPr>
            <w:tcW w:w="1670" w:type="dxa"/>
            <w:tcBorders>
              <w:left w:val="single" w:color="000000" w:sz="6" w:space="0"/>
            </w:tcBorders>
            <w:vAlign w:val="center"/>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通信标准</w:t>
            </w:r>
          </w:p>
        </w:tc>
        <w:tc>
          <w:tcPr>
            <w:tcW w:w="5129" w:type="dxa"/>
            <w:gridSpan w:val="2"/>
            <w:tcBorders>
              <w:right w:val="single" w:color="000000" w:sz="4" w:space="0"/>
            </w:tcBorders>
            <w:vAlign w:val="center"/>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符合《地质灾害监测数据通信技术要求》</w:t>
            </w:r>
            <w:r>
              <w:rPr>
                <w:rFonts w:hint="eastAsia" w:ascii="仿宋" w:hAnsi="仿宋" w:eastAsia="仿宋" w:cs="仿宋"/>
                <w:b w:val="0"/>
                <w:bCs w:val="0"/>
                <w:color w:val="auto"/>
                <w:lang w:eastAsia="zh-CN"/>
              </w:rPr>
              <w:t>（</w:t>
            </w:r>
            <w:r>
              <w:rPr>
                <w:rFonts w:hint="eastAsia" w:ascii="仿宋" w:hAnsi="仿宋" w:eastAsia="仿宋" w:cs="仿宋"/>
                <w:b w:val="0"/>
                <w:bCs w:val="0"/>
                <w:color w:val="auto"/>
              </w:rPr>
              <w:t>计划号： 201912007)</w:t>
            </w:r>
          </w:p>
        </w:tc>
        <w:tc>
          <w:tcPr>
            <w:tcW w:w="1556" w:type="dxa"/>
            <w:tcBorders>
              <w:left w:val="single" w:color="000000" w:sz="4" w:space="0"/>
              <w:right w:val="single" w:color="000000" w:sz="6" w:space="0"/>
            </w:tcBorders>
            <w:vAlign w:val="center"/>
          </w:tcPr>
          <w:p>
            <w:pPr>
              <w:pStyle w:val="74"/>
              <w:keepNext w:val="0"/>
              <w:keepLines w:val="0"/>
              <w:pageBreakBefore w:val="0"/>
              <w:widowControl w:val="0"/>
              <w:kinsoku/>
              <w:wordWrap/>
              <w:overflowPunct/>
              <w:topLinePunct w:val="0"/>
              <w:autoSpaceDE/>
              <w:autoSpaceDN/>
              <w:bidi w:val="0"/>
              <w:spacing w:before="1" w:line="251" w:lineRule="exact"/>
              <w:ind w:right="61"/>
              <w:jc w:val="center"/>
              <w:textAlignment w:val="auto"/>
              <w:outlineLvl w:val="9"/>
              <w:rPr>
                <w:rFonts w:hint="eastAsia" w:ascii="仿宋" w:hAnsi="仿宋" w:eastAsia="仿宋" w:cs="仿宋"/>
                <w:b w:val="0"/>
                <w:bCs w:val="0"/>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670" w:type="dxa"/>
            <w:tcBorders>
              <w:left w:val="single" w:color="000000" w:sz="6" w:space="0"/>
            </w:tcBorders>
            <w:vAlign w:val="center"/>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输出参数</w:t>
            </w:r>
          </w:p>
        </w:tc>
        <w:tc>
          <w:tcPr>
            <w:tcW w:w="5129" w:type="dxa"/>
            <w:gridSpan w:val="2"/>
            <w:tcBorders>
              <w:right w:val="single" w:color="000000" w:sz="4" w:space="0"/>
            </w:tcBorders>
            <w:vAlign w:val="center"/>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位移、倾角、振动加速度等</w:t>
            </w:r>
          </w:p>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RTCM32 原始数据</w:t>
            </w:r>
            <w:r>
              <w:rPr>
                <w:rFonts w:hint="eastAsia" w:ascii="仿宋" w:hAnsi="仿宋" w:eastAsia="仿宋" w:cs="仿宋"/>
                <w:b w:val="0"/>
                <w:bCs w:val="0"/>
                <w:color w:val="auto"/>
                <w:lang w:eastAsia="zh-CN"/>
              </w:rPr>
              <w:t>（</w:t>
            </w:r>
            <w:r>
              <w:rPr>
                <w:rFonts w:hint="eastAsia" w:ascii="仿宋" w:hAnsi="仿宋" w:eastAsia="仿宋" w:cs="仿宋"/>
                <w:b w:val="0"/>
                <w:bCs w:val="0"/>
                <w:color w:val="auto"/>
              </w:rPr>
              <w:t>静态模式</w:t>
            </w:r>
            <w:r>
              <w:rPr>
                <w:rFonts w:hint="eastAsia" w:ascii="仿宋" w:hAnsi="仿宋" w:eastAsia="仿宋" w:cs="仿宋"/>
                <w:b w:val="0"/>
                <w:bCs w:val="0"/>
                <w:color w:val="auto"/>
                <w:lang w:eastAsia="zh-CN"/>
              </w:rPr>
              <w:t>）</w:t>
            </w:r>
            <w:r>
              <w:rPr>
                <w:rFonts w:hint="eastAsia" w:ascii="仿宋" w:hAnsi="仿宋" w:eastAsia="仿宋" w:cs="仿宋"/>
                <w:b w:val="0"/>
                <w:bCs w:val="0"/>
                <w:color w:val="auto"/>
              </w:rPr>
              <w:t xml:space="preserve"> 、动态位移</w:t>
            </w:r>
            <w:r>
              <w:rPr>
                <w:rFonts w:hint="eastAsia" w:ascii="仿宋" w:hAnsi="仿宋" w:eastAsia="仿宋" w:cs="仿宋"/>
                <w:b w:val="0"/>
                <w:bCs w:val="0"/>
                <w:color w:val="auto"/>
                <w:lang w:eastAsia="zh-CN"/>
              </w:rPr>
              <w:t>（</w:t>
            </w:r>
            <w:r>
              <w:rPr>
                <w:rFonts w:hint="eastAsia" w:ascii="仿宋" w:hAnsi="仿宋" w:eastAsia="仿宋" w:cs="仿宋"/>
                <w:b w:val="0"/>
                <w:bCs w:val="0"/>
                <w:color w:val="auto"/>
              </w:rPr>
              <w:t>动态模式</w:t>
            </w:r>
            <w:r>
              <w:rPr>
                <w:rFonts w:hint="eastAsia" w:ascii="仿宋" w:hAnsi="仿宋" w:eastAsia="仿宋" w:cs="仿宋"/>
                <w:b w:val="0"/>
                <w:bCs w:val="0"/>
                <w:color w:val="auto"/>
                <w:lang w:eastAsia="zh-CN"/>
              </w:rPr>
              <w:t>）</w:t>
            </w:r>
          </w:p>
        </w:tc>
        <w:tc>
          <w:tcPr>
            <w:tcW w:w="1556" w:type="dxa"/>
            <w:tcBorders>
              <w:left w:val="single" w:color="000000" w:sz="4" w:space="0"/>
              <w:right w:val="single" w:color="000000" w:sz="6" w:space="0"/>
            </w:tcBorders>
            <w:vAlign w:val="center"/>
          </w:tcPr>
          <w:p>
            <w:pPr>
              <w:pStyle w:val="74"/>
              <w:keepNext w:val="0"/>
              <w:keepLines w:val="0"/>
              <w:pageBreakBefore w:val="0"/>
              <w:widowControl w:val="0"/>
              <w:kinsoku/>
              <w:wordWrap/>
              <w:overflowPunct/>
              <w:topLinePunct w:val="0"/>
              <w:autoSpaceDE/>
              <w:autoSpaceDN/>
              <w:bidi w:val="0"/>
              <w:spacing w:before="1" w:line="251" w:lineRule="exact"/>
              <w:ind w:right="61"/>
              <w:jc w:val="center"/>
              <w:textAlignment w:val="auto"/>
              <w:outlineLvl w:val="9"/>
              <w:rPr>
                <w:rFonts w:hint="eastAsia" w:ascii="仿宋" w:hAnsi="仿宋" w:eastAsia="仿宋" w:cs="仿宋"/>
                <w:b w:val="0"/>
                <w:bCs w:val="0"/>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trPr>
        <w:tc>
          <w:tcPr>
            <w:tcW w:w="1670" w:type="dxa"/>
            <w:tcBorders>
              <w:left w:val="single" w:color="000000" w:sz="6" w:space="0"/>
            </w:tcBorders>
            <w:vAlign w:val="center"/>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工作模式</w:t>
            </w:r>
          </w:p>
        </w:tc>
        <w:tc>
          <w:tcPr>
            <w:tcW w:w="5129" w:type="dxa"/>
            <w:gridSpan w:val="2"/>
            <w:tcBorders>
              <w:right w:val="single" w:color="000000" w:sz="4" w:space="0"/>
            </w:tcBorders>
            <w:vAlign w:val="center"/>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三星八频以上</w:t>
            </w:r>
          </w:p>
        </w:tc>
        <w:tc>
          <w:tcPr>
            <w:tcW w:w="1556" w:type="dxa"/>
            <w:tcBorders>
              <w:left w:val="single" w:color="000000" w:sz="4" w:space="0"/>
              <w:right w:val="single" w:color="000000" w:sz="6" w:space="0"/>
            </w:tcBorders>
            <w:vAlign w:val="center"/>
          </w:tcPr>
          <w:p>
            <w:pPr>
              <w:pStyle w:val="74"/>
              <w:keepNext w:val="0"/>
              <w:keepLines w:val="0"/>
              <w:pageBreakBefore w:val="0"/>
              <w:widowControl w:val="0"/>
              <w:kinsoku/>
              <w:wordWrap/>
              <w:overflowPunct/>
              <w:topLinePunct w:val="0"/>
              <w:autoSpaceDE/>
              <w:autoSpaceDN/>
              <w:bidi w:val="0"/>
              <w:spacing w:before="1" w:line="251" w:lineRule="exact"/>
              <w:ind w:right="61"/>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支持北斗三代卫星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trPr>
        <w:tc>
          <w:tcPr>
            <w:tcW w:w="1670" w:type="dxa"/>
            <w:tcBorders>
              <w:left w:val="single" w:color="000000" w:sz="6" w:space="0"/>
            </w:tcBorders>
            <w:vAlign w:val="center"/>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数据格式</w:t>
            </w:r>
          </w:p>
        </w:tc>
        <w:tc>
          <w:tcPr>
            <w:tcW w:w="5129" w:type="dxa"/>
            <w:gridSpan w:val="2"/>
            <w:tcBorders>
              <w:right w:val="single" w:color="000000" w:sz="4" w:space="0"/>
            </w:tcBorders>
            <w:vAlign w:val="center"/>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支持 RTCM32 原始数据及实时动态结果数据上传</w:t>
            </w:r>
          </w:p>
        </w:tc>
        <w:tc>
          <w:tcPr>
            <w:tcW w:w="1556" w:type="dxa"/>
            <w:tcBorders>
              <w:left w:val="single" w:color="000000" w:sz="4" w:space="0"/>
              <w:right w:val="single" w:color="000000" w:sz="6" w:space="0"/>
            </w:tcBorders>
            <w:vAlign w:val="center"/>
          </w:tcPr>
          <w:p>
            <w:pPr>
              <w:pStyle w:val="74"/>
              <w:keepNext w:val="0"/>
              <w:keepLines w:val="0"/>
              <w:pageBreakBefore w:val="0"/>
              <w:widowControl w:val="0"/>
              <w:kinsoku/>
              <w:wordWrap/>
              <w:overflowPunct/>
              <w:topLinePunct w:val="0"/>
              <w:autoSpaceDE/>
              <w:autoSpaceDN/>
              <w:bidi w:val="0"/>
              <w:spacing w:before="1" w:line="251" w:lineRule="exact"/>
              <w:ind w:right="61"/>
              <w:jc w:val="center"/>
              <w:textAlignment w:val="auto"/>
              <w:outlineLvl w:val="9"/>
              <w:rPr>
                <w:rFonts w:hint="eastAsia" w:ascii="仿宋" w:hAnsi="仿宋" w:eastAsia="仿宋" w:cs="仿宋"/>
                <w:b w:val="0"/>
                <w:bCs w:val="0"/>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trPr>
        <w:tc>
          <w:tcPr>
            <w:tcW w:w="1670" w:type="dxa"/>
            <w:tcBorders>
              <w:left w:val="single" w:color="000000" w:sz="6" w:space="0"/>
            </w:tcBorders>
            <w:vAlign w:val="center"/>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多路径误差</w:t>
            </w:r>
          </w:p>
        </w:tc>
        <w:tc>
          <w:tcPr>
            <w:tcW w:w="5129" w:type="dxa"/>
            <w:gridSpan w:val="2"/>
            <w:tcBorders>
              <w:right w:val="single" w:color="000000" w:sz="4" w:space="0"/>
            </w:tcBorders>
            <w:vAlign w:val="center"/>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每小时每颗卫星： L1/B1 频段优于 0.3m；L2/B2 频段优于 0.3m</w:t>
            </w:r>
          </w:p>
        </w:tc>
        <w:tc>
          <w:tcPr>
            <w:tcW w:w="1556" w:type="dxa"/>
            <w:tcBorders>
              <w:left w:val="single" w:color="000000" w:sz="4" w:space="0"/>
              <w:right w:val="single" w:color="000000" w:sz="6" w:space="0"/>
            </w:tcBorders>
            <w:vAlign w:val="center"/>
          </w:tcPr>
          <w:p>
            <w:pPr>
              <w:pStyle w:val="74"/>
              <w:keepNext w:val="0"/>
              <w:keepLines w:val="0"/>
              <w:pageBreakBefore w:val="0"/>
              <w:widowControl w:val="0"/>
              <w:kinsoku/>
              <w:wordWrap/>
              <w:overflowPunct/>
              <w:topLinePunct w:val="0"/>
              <w:autoSpaceDE/>
              <w:autoSpaceDN/>
              <w:bidi w:val="0"/>
              <w:spacing w:before="1" w:line="251" w:lineRule="exact"/>
              <w:ind w:right="61"/>
              <w:jc w:val="center"/>
              <w:textAlignment w:val="auto"/>
              <w:outlineLvl w:val="9"/>
              <w:rPr>
                <w:rFonts w:hint="eastAsia" w:ascii="仿宋" w:hAnsi="仿宋" w:eastAsia="仿宋" w:cs="仿宋"/>
                <w:b w:val="0"/>
                <w:bCs w:val="0"/>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trPr>
        <w:tc>
          <w:tcPr>
            <w:tcW w:w="1670" w:type="dxa"/>
            <w:tcBorders>
              <w:left w:val="single" w:color="000000" w:sz="6" w:space="0"/>
            </w:tcBorders>
            <w:vAlign w:val="center"/>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周跳比</w:t>
            </w:r>
          </w:p>
        </w:tc>
        <w:tc>
          <w:tcPr>
            <w:tcW w:w="5129" w:type="dxa"/>
            <w:gridSpan w:val="2"/>
            <w:tcBorders>
              <w:right w:val="single" w:color="000000" w:sz="4" w:space="0"/>
            </w:tcBorders>
            <w:vAlign w:val="center"/>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周跳比每小时不小于 8000；</w:t>
            </w:r>
          </w:p>
        </w:tc>
        <w:tc>
          <w:tcPr>
            <w:tcW w:w="1556" w:type="dxa"/>
            <w:tcBorders>
              <w:left w:val="single" w:color="000000" w:sz="4" w:space="0"/>
              <w:right w:val="single" w:color="000000" w:sz="6" w:space="0"/>
            </w:tcBorders>
            <w:vAlign w:val="center"/>
          </w:tcPr>
          <w:p>
            <w:pPr>
              <w:pStyle w:val="74"/>
              <w:keepNext w:val="0"/>
              <w:keepLines w:val="0"/>
              <w:pageBreakBefore w:val="0"/>
              <w:widowControl w:val="0"/>
              <w:kinsoku/>
              <w:wordWrap/>
              <w:overflowPunct/>
              <w:topLinePunct w:val="0"/>
              <w:autoSpaceDE/>
              <w:autoSpaceDN/>
              <w:bidi w:val="0"/>
              <w:spacing w:before="1" w:line="251" w:lineRule="exact"/>
              <w:ind w:right="61"/>
              <w:jc w:val="center"/>
              <w:textAlignment w:val="auto"/>
              <w:outlineLvl w:val="9"/>
              <w:rPr>
                <w:rFonts w:hint="eastAsia" w:ascii="仿宋" w:hAnsi="仿宋" w:eastAsia="仿宋" w:cs="仿宋"/>
                <w:b w:val="0"/>
                <w:bCs w:val="0"/>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trPr>
        <w:tc>
          <w:tcPr>
            <w:tcW w:w="1670" w:type="dxa"/>
            <w:tcBorders>
              <w:left w:val="single" w:color="000000" w:sz="6" w:space="0"/>
            </w:tcBorders>
            <w:vAlign w:val="center"/>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工作温度</w:t>
            </w:r>
          </w:p>
        </w:tc>
        <w:tc>
          <w:tcPr>
            <w:tcW w:w="5129" w:type="dxa"/>
            <w:gridSpan w:val="2"/>
            <w:tcBorders>
              <w:right w:val="single" w:color="000000" w:sz="4" w:space="0"/>
            </w:tcBorders>
            <w:vAlign w:val="center"/>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-20~+65℃</w:t>
            </w:r>
          </w:p>
        </w:tc>
        <w:tc>
          <w:tcPr>
            <w:tcW w:w="1556" w:type="dxa"/>
            <w:tcBorders>
              <w:left w:val="single" w:color="000000" w:sz="4" w:space="0"/>
              <w:right w:val="single" w:color="000000" w:sz="6" w:space="0"/>
            </w:tcBorders>
            <w:vAlign w:val="center"/>
          </w:tcPr>
          <w:p>
            <w:pPr>
              <w:pStyle w:val="74"/>
              <w:keepNext w:val="0"/>
              <w:keepLines w:val="0"/>
              <w:pageBreakBefore w:val="0"/>
              <w:widowControl w:val="0"/>
              <w:kinsoku/>
              <w:wordWrap/>
              <w:overflowPunct/>
              <w:topLinePunct w:val="0"/>
              <w:autoSpaceDE/>
              <w:autoSpaceDN/>
              <w:bidi w:val="0"/>
              <w:spacing w:before="1" w:line="251" w:lineRule="exact"/>
              <w:ind w:right="61"/>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高寒地区定制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trPr>
        <w:tc>
          <w:tcPr>
            <w:tcW w:w="1670" w:type="dxa"/>
            <w:tcBorders>
              <w:left w:val="single" w:color="000000" w:sz="6" w:space="0"/>
            </w:tcBorders>
            <w:vAlign w:val="center"/>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防护等级</w:t>
            </w:r>
          </w:p>
        </w:tc>
        <w:tc>
          <w:tcPr>
            <w:tcW w:w="5129" w:type="dxa"/>
            <w:gridSpan w:val="2"/>
            <w:tcBorders>
              <w:right w:val="single" w:color="000000" w:sz="4" w:space="0"/>
            </w:tcBorders>
            <w:vAlign w:val="center"/>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IP68</w:t>
            </w:r>
          </w:p>
        </w:tc>
        <w:tc>
          <w:tcPr>
            <w:tcW w:w="1556" w:type="dxa"/>
            <w:tcBorders>
              <w:left w:val="single" w:color="000000" w:sz="4" w:space="0"/>
              <w:right w:val="single" w:color="000000" w:sz="6" w:space="0"/>
            </w:tcBorders>
            <w:vAlign w:val="center"/>
          </w:tcPr>
          <w:p>
            <w:pPr>
              <w:pStyle w:val="74"/>
              <w:keepNext w:val="0"/>
              <w:keepLines w:val="0"/>
              <w:pageBreakBefore w:val="0"/>
              <w:widowControl w:val="0"/>
              <w:kinsoku/>
              <w:wordWrap/>
              <w:overflowPunct/>
              <w:topLinePunct w:val="0"/>
              <w:autoSpaceDE/>
              <w:autoSpaceDN/>
              <w:bidi w:val="0"/>
              <w:spacing w:before="1" w:line="251" w:lineRule="exact"/>
              <w:ind w:right="61"/>
              <w:jc w:val="center"/>
              <w:textAlignment w:val="auto"/>
              <w:outlineLvl w:val="9"/>
              <w:rPr>
                <w:rFonts w:hint="eastAsia" w:ascii="仿宋" w:hAnsi="仿宋" w:eastAsia="仿宋" w:cs="仿宋"/>
                <w:b w:val="0"/>
                <w:bCs w:val="0"/>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trPr>
        <w:tc>
          <w:tcPr>
            <w:tcW w:w="1670" w:type="dxa"/>
            <w:tcBorders>
              <w:left w:val="single" w:color="000000" w:sz="6" w:space="0"/>
            </w:tcBorders>
            <w:vAlign w:val="center"/>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仪器可靠性</w:t>
            </w:r>
          </w:p>
        </w:tc>
        <w:tc>
          <w:tcPr>
            <w:tcW w:w="5129" w:type="dxa"/>
            <w:gridSpan w:val="2"/>
            <w:tcBorders>
              <w:right w:val="single" w:color="000000" w:sz="4" w:space="0"/>
            </w:tcBorders>
            <w:vAlign w:val="center"/>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MTBF 时间不小于 20000 小时</w:t>
            </w:r>
          </w:p>
        </w:tc>
        <w:tc>
          <w:tcPr>
            <w:tcW w:w="1556" w:type="dxa"/>
            <w:tcBorders>
              <w:left w:val="single" w:color="000000" w:sz="4" w:space="0"/>
              <w:right w:val="single" w:color="000000" w:sz="6" w:space="0"/>
            </w:tcBorders>
            <w:vAlign w:val="center"/>
          </w:tcPr>
          <w:p>
            <w:pPr>
              <w:pStyle w:val="74"/>
              <w:keepNext w:val="0"/>
              <w:keepLines w:val="0"/>
              <w:pageBreakBefore w:val="0"/>
              <w:widowControl w:val="0"/>
              <w:kinsoku/>
              <w:wordWrap/>
              <w:overflowPunct/>
              <w:topLinePunct w:val="0"/>
              <w:autoSpaceDE/>
              <w:autoSpaceDN/>
              <w:bidi w:val="0"/>
              <w:spacing w:before="1" w:line="251" w:lineRule="exact"/>
              <w:ind w:right="61"/>
              <w:jc w:val="center"/>
              <w:textAlignment w:val="auto"/>
              <w:outlineLvl w:val="9"/>
              <w:rPr>
                <w:rFonts w:hint="eastAsia" w:ascii="仿宋" w:hAnsi="仿宋" w:eastAsia="仿宋" w:cs="仿宋"/>
                <w:b w:val="0"/>
                <w:bCs w:val="0"/>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trPr>
        <w:tc>
          <w:tcPr>
            <w:tcW w:w="1670" w:type="dxa"/>
            <w:tcBorders>
              <w:left w:val="single" w:color="000000" w:sz="6" w:space="0"/>
            </w:tcBorders>
            <w:vAlign w:val="center"/>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安装方式</w:t>
            </w:r>
          </w:p>
        </w:tc>
        <w:tc>
          <w:tcPr>
            <w:tcW w:w="5129" w:type="dxa"/>
            <w:gridSpan w:val="2"/>
            <w:tcBorders>
              <w:right w:val="single" w:color="000000" w:sz="4" w:space="0"/>
            </w:tcBorders>
            <w:vAlign w:val="center"/>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标准观测墩、现浇混凝土墩、钢结构等</w:t>
            </w:r>
          </w:p>
        </w:tc>
        <w:tc>
          <w:tcPr>
            <w:tcW w:w="1556" w:type="dxa"/>
            <w:tcBorders>
              <w:left w:val="single" w:color="000000" w:sz="4" w:space="0"/>
              <w:right w:val="single" w:color="000000" w:sz="6" w:space="0"/>
            </w:tcBorders>
            <w:vAlign w:val="center"/>
          </w:tcPr>
          <w:p>
            <w:pPr>
              <w:pStyle w:val="74"/>
              <w:keepNext w:val="0"/>
              <w:keepLines w:val="0"/>
              <w:pageBreakBefore w:val="0"/>
              <w:widowControl w:val="0"/>
              <w:kinsoku/>
              <w:wordWrap/>
              <w:overflowPunct/>
              <w:topLinePunct w:val="0"/>
              <w:autoSpaceDE/>
              <w:autoSpaceDN/>
              <w:bidi w:val="0"/>
              <w:spacing w:before="1" w:line="251" w:lineRule="exact"/>
              <w:ind w:right="61"/>
              <w:jc w:val="center"/>
              <w:textAlignment w:val="auto"/>
              <w:outlineLvl w:val="9"/>
              <w:rPr>
                <w:rFonts w:hint="eastAsia" w:ascii="仿宋" w:hAnsi="仿宋" w:eastAsia="仿宋" w:cs="仿宋"/>
                <w:b w:val="0"/>
                <w:bCs w:val="0"/>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1670" w:type="dxa"/>
            <w:tcBorders>
              <w:left w:val="single" w:color="000000" w:sz="6" w:space="0"/>
            </w:tcBorders>
            <w:vAlign w:val="center"/>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jc w:val="center"/>
              <w:textAlignment w:val="auto"/>
              <w:outlineLvl w:val="9"/>
              <w:rPr>
                <w:rFonts w:hint="eastAsia" w:ascii="仿宋" w:hAnsi="仿宋" w:eastAsia="仿宋" w:cs="仿宋"/>
                <w:b w:val="0"/>
                <w:bCs w:val="0"/>
                <w:color w:val="auto"/>
              </w:rPr>
            </w:pPr>
            <w:bookmarkStart w:id="352" w:name="_bookmark53"/>
            <w:bookmarkEnd w:id="352"/>
            <w:r>
              <w:rPr>
                <w:rFonts w:hint="eastAsia" w:ascii="仿宋" w:hAnsi="仿宋" w:eastAsia="仿宋" w:cs="仿宋"/>
                <w:b w:val="0"/>
                <w:bCs w:val="0"/>
                <w:color w:val="auto"/>
              </w:rPr>
              <w:t>供电方式</w:t>
            </w:r>
          </w:p>
        </w:tc>
        <w:tc>
          <w:tcPr>
            <w:tcW w:w="5129" w:type="dxa"/>
            <w:gridSpan w:val="2"/>
            <w:tcBorders>
              <w:right w:val="single" w:color="000000" w:sz="4" w:space="0"/>
            </w:tcBorders>
            <w:vAlign w:val="center"/>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按需供电方式，满足连续 30 个阴雨日正常工作</w:t>
            </w:r>
          </w:p>
        </w:tc>
        <w:tc>
          <w:tcPr>
            <w:tcW w:w="1556" w:type="dxa"/>
            <w:tcBorders>
              <w:left w:val="single" w:color="000000" w:sz="4" w:space="0"/>
              <w:right w:val="single" w:color="000000" w:sz="6" w:space="0"/>
            </w:tcBorders>
            <w:vAlign w:val="center"/>
          </w:tcPr>
          <w:p>
            <w:pPr>
              <w:pStyle w:val="74"/>
              <w:keepNext w:val="0"/>
              <w:keepLines w:val="0"/>
              <w:pageBreakBefore w:val="0"/>
              <w:widowControl w:val="0"/>
              <w:kinsoku/>
              <w:wordWrap/>
              <w:overflowPunct/>
              <w:topLinePunct w:val="0"/>
              <w:autoSpaceDE/>
              <w:autoSpaceDN/>
              <w:bidi w:val="0"/>
              <w:spacing w:before="1" w:line="251" w:lineRule="exact"/>
              <w:ind w:right="61"/>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具备过压及欠压保护</w:t>
            </w:r>
          </w:p>
        </w:tc>
      </w:tr>
    </w:tbl>
    <w:p>
      <w:pPr>
        <w:pStyle w:val="2"/>
        <w:keepNext w:val="0"/>
        <w:keepLines w:val="0"/>
        <w:pageBreakBefore w:val="0"/>
        <w:widowControl w:val="0"/>
        <w:kinsoku/>
        <w:wordWrap/>
        <w:overflowPunct/>
        <w:topLinePunct w:val="0"/>
        <w:autoSpaceDE/>
        <w:autoSpaceDN/>
        <w:bidi w:val="0"/>
        <w:spacing w:after="0"/>
        <w:ind w:firstLine="480"/>
        <w:jc w:val="center"/>
        <w:textAlignment w:val="auto"/>
        <w:outlineLvl w:val="9"/>
        <w:rPr>
          <w:rFonts w:hint="eastAsia" w:ascii="仿宋" w:hAnsi="仿宋" w:eastAsia="仿宋" w:cs="仿宋"/>
          <w:b w:val="0"/>
          <w:bCs w:val="0"/>
          <w:color w:val="auto"/>
          <w:sz w:val="24"/>
          <w:szCs w:val="32"/>
        </w:rPr>
      </w:pPr>
    </w:p>
    <w:p>
      <w:pPr>
        <w:pStyle w:val="2"/>
        <w:keepNext w:val="0"/>
        <w:keepLines w:val="0"/>
        <w:pageBreakBefore w:val="0"/>
        <w:widowControl w:val="0"/>
        <w:kinsoku/>
        <w:wordWrap/>
        <w:overflowPunct/>
        <w:topLinePunct w:val="0"/>
        <w:autoSpaceDE/>
        <w:autoSpaceDN/>
        <w:bidi w:val="0"/>
        <w:spacing w:after="0"/>
        <w:ind w:firstLine="480"/>
        <w:jc w:val="center"/>
        <w:textAlignment w:val="auto"/>
        <w:outlineLvl w:val="9"/>
        <w:rPr>
          <w:rFonts w:hint="eastAsia" w:ascii="仿宋" w:hAnsi="仿宋" w:eastAsia="仿宋" w:cs="仿宋"/>
          <w:b w:val="0"/>
          <w:bCs w:val="0"/>
          <w:color w:val="auto"/>
          <w:sz w:val="24"/>
          <w:szCs w:val="32"/>
        </w:rPr>
      </w:pPr>
      <w:r>
        <w:rPr>
          <w:rFonts w:hint="eastAsia" w:ascii="仿宋" w:hAnsi="仿宋" w:eastAsia="仿宋" w:cs="仿宋"/>
          <w:b w:val="0"/>
          <w:bCs w:val="0"/>
          <w:color w:val="auto"/>
          <w:sz w:val="24"/>
          <w:szCs w:val="32"/>
        </w:rPr>
        <w:t>表</w:t>
      </w:r>
      <w:r>
        <w:rPr>
          <w:rFonts w:hint="eastAsia" w:ascii="仿宋" w:hAnsi="仿宋" w:eastAsia="仿宋" w:cs="仿宋"/>
          <w:b w:val="0"/>
          <w:bCs w:val="0"/>
          <w:color w:val="auto"/>
          <w:sz w:val="24"/>
          <w:szCs w:val="32"/>
          <w:lang w:val="en-US" w:eastAsia="zh-CN"/>
        </w:rPr>
        <w:t>5</w:t>
      </w:r>
      <w:r>
        <w:rPr>
          <w:rFonts w:hint="eastAsia" w:ascii="仿宋" w:hAnsi="仿宋" w:eastAsia="仿宋" w:cs="仿宋"/>
          <w:b w:val="0"/>
          <w:bCs w:val="0"/>
          <w:color w:val="auto"/>
          <w:sz w:val="24"/>
          <w:szCs w:val="32"/>
        </w:rPr>
        <w:t xml:space="preserve"> 裂缝计（裂缝/倾角/加速度三参数）主要技术参数</w:t>
      </w:r>
    </w:p>
    <w:tbl>
      <w:tblPr>
        <w:tblStyle w:val="37"/>
        <w:tblW w:w="83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8"/>
        <w:gridCol w:w="5018"/>
        <w:gridCol w:w="16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698" w:type="dxa"/>
          </w:tcPr>
          <w:p>
            <w:pPr>
              <w:pStyle w:val="74"/>
              <w:keepNext w:val="0"/>
              <w:keepLines w:val="0"/>
              <w:pageBreakBefore w:val="0"/>
              <w:widowControl w:val="0"/>
              <w:kinsoku/>
              <w:wordWrap/>
              <w:overflowPunct/>
              <w:topLinePunct w:val="0"/>
              <w:autoSpaceDE/>
              <w:autoSpaceDN/>
              <w:bidi w:val="0"/>
              <w:ind w:right="255"/>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w w:val="95"/>
              </w:rPr>
              <w:t>参数类型</w:t>
            </w:r>
          </w:p>
        </w:tc>
        <w:tc>
          <w:tcPr>
            <w:tcW w:w="5018" w:type="dxa"/>
          </w:tcPr>
          <w:p>
            <w:pPr>
              <w:pStyle w:val="74"/>
              <w:keepNext w:val="0"/>
              <w:keepLines w:val="0"/>
              <w:pageBreakBefore w:val="0"/>
              <w:widowControl w:val="0"/>
              <w:kinsoku/>
              <w:wordWrap/>
              <w:overflowPunct/>
              <w:topLinePunct w:val="0"/>
              <w:autoSpaceDE/>
              <w:autoSpaceDN/>
              <w:bidi w:val="0"/>
              <w:ind w:left="639" w:right="529"/>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技术指标</w:t>
            </w:r>
          </w:p>
        </w:tc>
        <w:tc>
          <w:tcPr>
            <w:tcW w:w="1674" w:type="dxa"/>
          </w:tcPr>
          <w:p>
            <w:pPr>
              <w:pStyle w:val="74"/>
              <w:keepNext w:val="0"/>
              <w:keepLines w:val="0"/>
              <w:pageBreakBefore w:val="0"/>
              <w:widowControl w:val="0"/>
              <w:kinsoku/>
              <w:wordWrap/>
              <w:overflowPunct/>
              <w:topLinePunct w:val="0"/>
              <w:autoSpaceDE/>
              <w:autoSpaceDN/>
              <w:bidi w:val="0"/>
              <w:ind w:left="262" w:right="15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1698"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测量范围</w:t>
            </w:r>
          </w:p>
        </w:tc>
        <w:tc>
          <w:tcPr>
            <w:tcW w:w="5018"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0～50/100</w:t>
            </w:r>
            <w:r>
              <w:rPr>
                <w:rFonts w:hint="eastAsia" w:ascii="仿宋" w:hAnsi="仿宋" w:eastAsia="仿宋" w:cs="仿宋"/>
                <w:b w:val="0"/>
                <w:bCs w:val="0"/>
                <w:color w:val="auto"/>
                <w:lang w:eastAsia="zh-CN"/>
              </w:rPr>
              <w:t>/</w:t>
            </w:r>
            <w:r>
              <w:rPr>
                <w:rFonts w:hint="eastAsia" w:ascii="仿宋" w:hAnsi="仿宋" w:eastAsia="仿宋" w:cs="仿宋"/>
                <w:b w:val="0"/>
                <w:bCs w:val="0"/>
                <w:color w:val="auto"/>
              </w:rPr>
              <w:t>200/500cm</w:t>
            </w:r>
          </w:p>
        </w:tc>
        <w:tc>
          <w:tcPr>
            <w:tcW w:w="1674"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1698"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测量精度</w:t>
            </w:r>
          </w:p>
        </w:tc>
        <w:tc>
          <w:tcPr>
            <w:tcW w:w="5018"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±0.1%F·S</w:t>
            </w:r>
          </w:p>
        </w:tc>
        <w:tc>
          <w:tcPr>
            <w:tcW w:w="1674"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1698"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采样间隔</w:t>
            </w:r>
          </w:p>
        </w:tc>
        <w:tc>
          <w:tcPr>
            <w:tcW w:w="5018"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0s～24h</w:t>
            </w:r>
          </w:p>
        </w:tc>
        <w:tc>
          <w:tcPr>
            <w:tcW w:w="1674"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1698"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上传间隔</w:t>
            </w:r>
          </w:p>
        </w:tc>
        <w:tc>
          <w:tcPr>
            <w:tcW w:w="5018"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0s～72h</w:t>
            </w:r>
          </w:p>
        </w:tc>
        <w:tc>
          <w:tcPr>
            <w:tcW w:w="1674"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1698" w:type="dxa"/>
            <w:vAlign w:val="top"/>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lang w:val="en-US" w:eastAsia="zh-CN"/>
              </w:rPr>
              <w:t>通信方式</w:t>
            </w:r>
          </w:p>
        </w:tc>
        <w:tc>
          <w:tcPr>
            <w:tcW w:w="5018" w:type="dxa"/>
            <w:vAlign w:val="top"/>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spacing w:val="-1"/>
                <w:sz w:val="18"/>
                <w:szCs w:val="18"/>
              </w:rPr>
              <w:t>移动通信/低功率</w:t>
            </w:r>
            <w:r>
              <w:rPr>
                <w:rFonts w:hint="eastAsia" w:ascii="仿宋" w:hAnsi="仿宋" w:eastAsia="仿宋" w:cs="仿宋"/>
                <w:b w:val="0"/>
                <w:bCs w:val="0"/>
                <w:color w:val="auto"/>
                <w:sz w:val="18"/>
                <w:szCs w:val="18"/>
              </w:rPr>
              <w:t>广域网/高低轨卫星通信</w:t>
            </w:r>
          </w:p>
        </w:tc>
        <w:tc>
          <w:tcPr>
            <w:tcW w:w="1674"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698" w:type="dxa"/>
            <w:vAlign w:val="top"/>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lang w:eastAsia="zh-CN"/>
              </w:rPr>
            </w:pPr>
            <w:r>
              <w:rPr>
                <w:rFonts w:hint="eastAsia" w:ascii="仿宋" w:hAnsi="仿宋" w:eastAsia="仿宋" w:cs="仿宋"/>
                <w:b w:val="0"/>
                <w:bCs w:val="0"/>
                <w:color w:val="auto"/>
                <w:lang w:eastAsia="zh-CN"/>
              </w:rPr>
              <w:t>通信标准</w:t>
            </w:r>
          </w:p>
        </w:tc>
        <w:tc>
          <w:tcPr>
            <w:tcW w:w="5018" w:type="dxa"/>
            <w:vAlign w:val="top"/>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lang w:eastAsia="zh-CN"/>
              </w:rPr>
            </w:pPr>
            <w:r>
              <w:rPr>
                <w:rFonts w:hint="eastAsia" w:ascii="仿宋" w:hAnsi="仿宋" w:eastAsia="仿宋" w:cs="仿宋"/>
                <w:b w:val="0"/>
                <w:bCs w:val="0"/>
                <w:color w:val="auto"/>
                <w:spacing w:val="-1"/>
                <w:sz w:val="18"/>
                <w:szCs w:val="18"/>
                <w:lang w:eastAsia="zh-CN"/>
              </w:rPr>
              <w:t>符合《地质灾害监测数据通讯技术要求》（</w:t>
            </w:r>
            <w:r>
              <w:rPr>
                <w:rFonts w:hint="eastAsia" w:ascii="仿宋" w:hAnsi="仿宋" w:eastAsia="仿宋" w:cs="仿宋"/>
                <w:b w:val="0"/>
                <w:bCs w:val="0"/>
                <w:color w:val="auto"/>
                <w:spacing w:val="-1"/>
                <w:sz w:val="18"/>
                <w:szCs w:val="18"/>
              </w:rPr>
              <w:t>计划号： 201912007)</w:t>
            </w:r>
          </w:p>
        </w:tc>
        <w:tc>
          <w:tcPr>
            <w:tcW w:w="1674"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jc w:val="center"/>
        </w:trPr>
        <w:tc>
          <w:tcPr>
            <w:tcW w:w="1698"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输出参数</w:t>
            </w:r>
          </w:p>
        </w:tc>
        <w:tc>
          <w:tcPr>
            <w:tcW w:w="5018"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lang w:eastAsia="zh-CN"/>
              </w:rPr>
            </w:pPr>
            <w:r>
              <w:rPr>
                <w:rFonts w:hint="eastAsia" w:ascii="仿宋" w:hAnsi="仿宋" w:eastAsia="仿宋" w:cs="仿宋"/>
                <w:b w:val="0"/>
                <w:bCs w:val="0"/>
                <w:color w:val="auto"/>
                <w:lang w:eastAsia="zh-CN"/>
              </w:rPr>
              <w:t>裂缝宽度、振动加速度、倾角等</w:t>
            </w:r>
          </w:p>
        </w:tc>
        <w:tc>
          <w:tcPr>
            <w:tcW w:w="1674"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1698"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工作温度</w:t>
            </w:r>
          </w:p>
        </w:tc>
        <w:tc>
          <w:tcPr>
            <w:tcW w:w="5018"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-20℃～+65℃</w:t>
            </w:r>
          </w:p>
        </w:tc>
        <w:tc>
          <w:tcPr>
            <w:tcW w:w="1674"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高寒地区定制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1698"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防护等级</w:t>
            </w:r>
          </w:p>
        </w:tc>
        <w:tc>
          <w:tcPr>
            <w:tcW w:w="5018"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IP66</w:t>
            </w:r>
          </w:p>
        </w:tc>
        <w:tc>
          <w:tcPr>
            <w:tcW w:w="1674"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jc w:val="center"/>
        </w:trPr>
        <w:tc>
          <w:tcPr>
            <w:tcW w:w="1698"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安装方式</w:t>
            </w:r>
          </w:p>
        </w:tc>
        <w:tc>
          <w:tcPr>
            <w:tcW w:w="5018"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lang w:eastAsia="zh-CN"/>
              </w:rPr>
            </w:pPr>
            <w:r>
              <w:rPr>
                <w:rFonts w:hint="eastAsia" w:ascii="仿宋" w:hAnsi="仿宋" w:eastAsia="仿宋" w:cs="仿宋"/>
                <w:b w:val="0"/>
                <w:bCs w:val="0"/>
                <w:color w:val="auto"/>
                <w:lang w:eastAsia="zh-CN"/>
              </w:rPr>
              <w:t>标准观测墩、现浇混凝土墩、钢结构等</w:t>
            </w:r>
          </w:p>
        </w:tc>
        <w:tc>
          <w:tcPr>
            <w:tcW w:w="1674"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1698"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供电方式</w:t>
            </w:r>
          </w:p>
        </w:tc>
        <w:tc>
          <w:tcPr>
            <w:tcW w:w="5018"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lang w:eastAsia="zh-CN"/>
              </w:rPr>
            </w:pPr>
            <w:r>
              <w:rPr>
                <w:rFonts w:hint="eastAsia" w:ascii="仿宋" w:hAnsi="仿宋" w:eastAsia="仿宋" w:cs="仿宋"/>
                <w:b w:val="0"/>
                <w:bCs w:val="0"/>
                <w:color w:val="auto"/>
                <w:lang w:eastAsia="zh-CN"/>
              </w:rPr>
              <w:t>按需供电方式，满足连续 30 个阴雨日正常工作</w:t>
            </w:r>
          </w:p>
        </w:tc>
        <w:tc>
          <w:tcPr>
            <w:tcW w:w="1674"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lang w:val="en-US" w:eastAsia="zh-CN"/>
              </w:rPr>
              <w:t>具备</w:t>
            </w:r>
            <w:r>
              <w:rPr>
                <w:rFonts w:hint="eastAsia" w:ascii="仿宋" w:hAnsi="仿宋" w:eastAsia="仿宋" w:cs="仿宋"/>
                <w:b w:val="0"/>
                <w:bCs w:val="0"/>
                <w:color w:val="auto"/>
              </w:rPr>
              <w:t>过压及欠压保护</w:t>
            </w:r>
          </w:p>
        </w:tc>
      </w:tr>
    </w:tbl>
    <w:p>
      <w:pPr>
        <w:pStyle w:val="2"/>
        <w:keepNext w:val="0"/>
        <w:keepLines w:val="0"/>
        <w:pageBreakBefore w:val="0"/>
        <w:widowControl w:val="0"/>
        <w:kinsoku/>
        <w:wordWrap/>
        <w:overflowPunct/>
        <w:topLinePunct w:val="0"/>
        <w:autoSpaceDE/>
        <w:autoSpaceDN/>
        <w:bidi w:val="0"/>
        <w:spacing w:after="0"/>
        <w:ind w:firstLine="480"/>
        <w:jc w:val="center"/>
        <w:textAlignment w:val="auto"/>
        <w:outlineLvl w:val="9"/>
        <w:rPr>
          <w:rFonts w:hint="eastAsia" w:ascii="仿宋" w:hAnsi="仿宋" w:eastAsia="仿宋" w:cs="仿宋"/>
          <w:b w:val="0"/>
          <w:bCs w:val="0"/>
          <w:color w:val="auto"/>
          <w:sz w:val="24"/>
          <w:szCs w:val="32"/>
        </w:rPr>
      </w:pPr>
    </w:p>
    <w:p>
      <w:pPr>
        <w:pStyle w:val="2"/>
        <w:keepNext w:val="0"/>
        <w:keepLines w:val="0"/>
        <w:pageBreakBefore w:val="0"/>
        <w:widowControl w:val="0"/>
        <w:kinsoku/>
        <w:wordWrap/>
        <w:overflowPunct/>
        <w:topLinePunct w:val="0"/>
        <w:autoSpaceDE/>
        <w:autoSpaceDN/>
        <w:bidi w:val="0"/>
        <w:spacing w:after="0"/>
        <w:ind w:firstLine="480"/>
        <w:jc w:val="center"/>
        <w:textAlignment w:val="auto"/>
        <w:outlineLvl w:val="9"/>
        <w:rPr>
          <w:rFonts w:hint="eastAsia" w:ascii="仿宋" w:hAnsi="仿宋" w:eastAsia="仿宋" w:cs="仿宋"/>
          <w:b w:val="0"/>
          <w:bCs w:val="0"/>
          <w:color w:val="auto"/>
          <w:sz w:val="24"/>
          <w:szCs w:val="32"/>
        </w:rPr>
      </w:pPr>
      <w:r>
        <w:rPr>
          <w:rFonts w:hint="eastAsia" w:ascii="仿宋" w:hAnsi="仿宋" w:eastAsia="仿宋" w:cs="仿宋"/>
          <w:b w:val="0"/>
          <w:bCs w:val="0"/>
          <w:color w:val="auto"/>
          <w:sz w:val="24"/>
          <w:szCs w:val="32"/>
        </w:rPr>
        <w:t xml:space="preserve">表 </w:t>
      </w:r>
      <w:r>
        <w:rPr>
          <w:rFonts w:hint="eastAsia" w:ascii="仿宋" w:hAnsi="仿宋" w:eastAsia="仿宋" w:cs="仿宋"/>
          <w:b w:val="0"/>
          <w:bCs w:val="0"/>
          <w:color w:val="auto"/>
          <w:sz w:val="24"/>
          <w:szCs w:val="32"/>
          <w:lang w:val="en-US" w:eastAsia="zh-CN"/>
        </w:rPr>
        <w:t>6</w:t>
      </w:r>
      <w:r>
        <w:rPr>
          <w:rFonts w:hint="eastAsia" w:ascii="仿宋" w:hAnsi="仿宋" w:eastAsia="仿宋" w:cs="仿宋"/>
          <w:b w:val="0"/>
          <w:bCs w:val="0"/>
          <w:color w:val="auto"/>
          <w:sz w:val="24"/>
          <w:szCs w:val="32"/>
        </w:rPr>
        <w:t xml:space="preserve">  倾角计主要技术参数</w:t>
      </w:r>
    </w:p>
    <w:tbl>
      <w:tblPr>
        <w:tblStyle w:val="37"/>
        <w:tblW w:w="83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53"/>
        <w:gridCol w:w="4917"/>
        <w:gridCol w:w="1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833" w:type="dxa"/>
          </w:tcPr>
          <w:p>
            <w:pPr>
              <w:pStyle w:val="74"/>
              <w:keepNext w:val="0"/>
              <w:keepLines w:val="0"/>
              <w:pageBreakBefore w:val="0"/>
              <w:widowControl w:val="0"/>
              <w:kinsoku/>
              <w:wordWrap/>
              <w:overflowPunct/>
              <w:topLinePunct w:val="0"/>
              <w:autoSpaceDE/>
              <w:autoSpaceDN/>
              <w:bidi w:val="0"/>
              <w:ind w:right="255"/>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w w:val="95"/>
              </w:rPr>
              <w:t>参数类型</w:t>
            </w:r>
          </w:p>
        </w:tc>
        <w:tc>
          <w:tcPr>
            <w:tcW w:w="5143" w:type="dxa"/>
          </w:tcPr>
          <w:p>
            <w:pPr>
              <w:pStyle w:val="74"/>
              <w:keepNext w:val="0"/>
              <w:keepLines w:val="0"/>
              <w:pageBreakBefore w:val="0"/>
              <w:widowControl w:val="0"/>
              <w:kinsoku/>
              <w:wordWrap/>
              <w:overflowPunct/>
              <w:topLinePunct w:val="0"/>
              <w:autoSpaceDE/>
              <w:autoSpaceDN/>
              <w:bidi w:val="0"/>
              <w:ind w:left="639" w:right="529"/>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技术指标</w:t>
            </w:r>
          </w:p>
        </w:tc>
        <w:tc>
          <w:tcPr>
            <w:tcW w:w="1798" w:type="dxa"/>
          </w:tcPr>
          <w:p>
            <w:pPr>
              <w:pStyle w:val="74"/>
              <w:keepNext w:val="0"/>
              <w:keepLines w:val="0"/>
              <w:pageBreakBefore w:val="0"/>
              <w:widowControl w:val="0"/>
              <w:kinsoku/>
              <w:wordWrap/>
              <w:overflowPunct/>
              <w:topLinePunct w:val="0"/>
              <w:autoSpaceDE/>
              <w:autoSpaceDN/>
              <w:bidi w:val="0"/>
              <w:ind w:left="262" w:right="15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jc w:val="center"/>
        </w:trPr>
        <w:tc>
          <w:tcPr>
            <w:tcW w:w="1833"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测量范围</w:t>
            </w:r>
          </w:p>
        </w:tc>
        <w:tc>
          <w:tcPr>
            <w:tcW w:w="5143"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±30°</w:t>
            </w:r>
          </w:p>
        </w:tc>
        <w:tc>
          <w:tcPr>
            <w:tcW w:w="1798"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1833"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测量精度</w:t>
            </w:r>
          </w:p>
        </w:tc>
        <w:tc>
          <w:tcPr>
            <w:tcW w:w="5143"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±0.1°</w:t>
            </w:r>
          </w:p>
        </w:tc>
        <w:tc>
          <w:tcPr>
            <w:tcW w:w="1798"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jc w:val="center"/>
        </w:trPr>
        <w:tc>
          <w:tcPr>
            <w:tcW w:w="1833"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采样间隔</w:t>
            </w:r>
          </w:p>
        </w:tc>
        <w:tc>
          <w:tcPr>
            <w:tcW w:w="5143"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0s～24h</w:t>
            </w:r>
          </w:p>
        </w:tc>
        <w:tc>
          <w:tcPr>
            <w:tcW w:w="1798"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1833"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上传间隔</w:t>
            </w:r>
          </w:p>
        </w:tc>
        <w:tc>
          <w:tcPr>
            <w:tcW w:w="5143"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0s～72h</w:t>
            </w:r>
          </w:p>
        </w:tc>
        <w:tc>
          <w:tcPr>
            <w:tcW w:w="1798"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jc w:val="center"/>
        </w:trPr>
        <w:tc>
          <w:tcPr>
            <w:tcW w:w="1833"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lang w:val="en-US" w:eastAsia="zh-CN"/>
              </w:rPr>
            </w:pPr>
            <w:r>
              <w:rPr>
                <w:rFonts w:hint="eastAsia" w:ascii="仿宋" w:hAnsi="仿宋" w:eastAsia="仿宋" w:cs="仿宋"/>
                <w:b w:val="0"/>
                <w:bCs w:val="0"/>
                <w:color w:val="auto"/>
                <w:lang w:val="en-US" w:eastAsia="zh-CN"/>
              </w:rPr>
              <w:t>通信方式</w:t>
            </w:r>
          </w:p>
        </w:tc>
        <w:tc>
          <w:tcPr>
            <w:tcW w:w="5143"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spacing w:val="-1"/>
                <w:sz w:val="18"/>
                <w:szCs w:val="18"/>
              </w:rPr>
              <w:t>移动通信/低功率</w:t>
            </w:r>
            <w:r>
              <w:rPr>
                <w:rFonts w:hint="eastAsia" w:ascii="仿宋" w:hAnsi="仿宋" w:eastAsia="仿宋" w:cs="仿宋"/>
                <w:b w:val="0"/>
                <w:bCs w:val="0"/>
                <w:color w:val="auto"/>
                <w:sz w:val="18"/>
                <w:szCs w:val="18"/>
              </w:rPr>
              <w:t>广域网/高低轨卫星通信</w:t>
            </w:r>
          </w:p>
        </w:tc>
        <w:tc>
          <w:tcPr>
            <w:tcW w:w="1798"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833"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lang w:eastAsia="zh-CN"/>
              </w:rPr>
            </w:pPr>
            <w:r>
              <w:rPr>
                <w:rFonts w:hint="eastAsia" w:ascii="仿宋" w:hAnsi="仿宋" w:eastAsia="仿宋" w:cs="仿宋"/>
                <w:b w:val="0"/>
                <w:bCs w:val="0"/>
                <w:color w:val="auto"/>
                <w:lang w:eastAsia="zh-CN"/>
              </w:rPr>
              <w:t>通信标准</w:t>
            </w:r>
          </w:p>
        </w:tc>
        <w:tc>
          <w:tcPr>
            <w:tcW w:w="5143"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lang w:eastAsia="zh-CN"/>
              </w:rPr>
            </w:pPr>
            <w:r>
              <w:rPr>
                <w:rFonts w:hint="eastAsia" w:ascii="仿宋" w:hAnsi="仿宋" w:eastAsia="仿宋" w:cs="仿宋"/>
                <w:b w:val="0"/>
                <w:bCs w:val="0"/>
                <w:color w:val="auto"/>
                <w:spacing w:val="-1"/>
                <w:sz w:val="18"/>
                <w:szCs w:val="18"/>
                <w:lang w:eastAsia="zh-CN"/>
              </w:rPr>
              <w:t>符合《地质灾害监测数据通讯技术要求》（</w:t>
            </w:r>
            <w:r>
              <w:rPr>
                <w:rFonts w:hint="eastAsia" w:ascii="仿宋" w:hAnsi="仿宋" w:eastAsia="仿宋" w:cs="仿宋"/>
                <w:b w:val="0"/>
                <w:bCs w:val="0"/>
                <w:color w:val="auto"/>
                <w:spacing w:val="-1"/>
                <w:sz w:val="18"/>
                <w:szCs w:val="18"/>
              </w:rPr>
              <w:t>计划号： 201912007)</w:t>
            </w:r>
          </w:p>
        </w:tc>
        <w:tc>
          <w:tcPr>
            <w:tcW w:w="1798"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jc w:val="center"/>
        </w:trPr>
        <w:tc>
          <w:tcPr>
            <w:tcW w:w="1833"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工作温度</w:t>
            </w:r>
          </w:p>
        </w:tc>
        <w:tc>
          <w:tcPr>
            <w:tcW w:w="5143"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-20℃～+65℃</w:t>
            </w:r>
          </w:p>
        </w:tc>
        <w:tc>
          <w:tcPr>
            <w:tcW w:w="1798"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高寒地区定制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jc w:val="center"/>
        </w:trPr>
        <w:tc>
          <w:tcPr>
            <w:tcW w:w="1833"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防护等级</w:t>
            </w:r>
          </w:p>
        </w:tc>
        <w:tc>
          <w:tcPr>
            <w:tcW w:w="5143"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IP67</w:t>
            </w:r>
          </w:p>
        </w:tc>
        <w:tc>
          <w:tcPr>
            <w:tcW w:w="1798"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1833"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安装方式</w:t>
            </w:r>
          </w:p>
        </w:tc>
        <w:tc>
          <w:tcPr>
            <w:tcW w:w="5143"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lang w:eastAsia="zh-CN"/>
              </w:rPr>
            </w:pPr>
            <w:r>
              <w:rPr>
                <w:rFonts w:hint="eastAsia" w:ascii="仿宋" w:hAnsi="仿宋" w:eastAsia="仿宋" w:cs="仿宋"/>
                <w:b w:val="0"/>
                <w:bCs w:val="0"/>
                <w:color w:val="auto"/>
                <w:lang w:eastAsia="zh-CN"/>
              </w:rPr>
              <w:t>标准观测墩、现浇混凝土墩、钢结构等</w:t>
            </w:r>
          </w:p>
        </w:tc>
        <w:tc>
          <w:tcPr>
            <w:tcW w:w="1798"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1833"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供电方式</w:t>
            </w:r>
          </w:p>
        </w:tc>
        <w:tc>
          <w:tcPr>
            <w:tcW w:w="5143"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lang w:eastAsia="zh-CN"/>
              </w:rPr>
            </w:pPr>
            <w:r>
              <w:rPr>
                <w:rFonts w:hint="eastAsia" w:ascii="仿宋" w:hAnsi="仿宋" w:eastAsia="仿宋" w:cs="仿宋"/>
                <w:b w:val="0"/>
                <w:bCs w:val="0"/>
                <w:color w:val="auto"/>
                <w:lang w:eastAsia="zh-CN"/>
              </w:rPr>
              <w:t>按需供电方式，满足连续 30 个阴雨日正常工作</w:t>
            </w:r>
          </w:p>
        </w:tc>
        <w:tc>
          <w:tcPr>
            <w:tcW w:w="1798"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lang w:val="en-US" w:eastAsia="zh-CN"/>
              </w:rPr>
              <w:t>具备</w:t>
            </w:r>
            <w:r>
              <w:rPr>
                <w:rFonts w:hint="eastAsia" w:ascii="仿宋" w:hAnsi="仿宋" w:eastAsia="仿宋" w:cs="仿宋"/>
                <w:b w:val="0"/>
                <w:bCs w:val="0"/>
                <w:color w:val="auto"/>
              </w:rPr>
              <w:t>过压及欠压保护</w:t>
            </w:r>
          </w:p>
        </w:tc>
      </w:tr>
    </w:tbl>
    <w:p>
      <w:pPr>
        <w:keepNext w:val="0"/>
        <w:keepLines w:val="0"/>
        <w:pageBreakBefore w:val="0"/>
        <w:widowControl w:val="0"/>
        <w:kinsoku/>
        <w:wordWrap/>
        <w:overflowPunct/>
        <w:topLinePunct w:val="0"/>
        <w:autoSpaceDE/>
        <w:autoSpaceDN/>
        <w:bidi w:val="0"/>
        <w:textAlignment w:val="auto"/>
        <w:outlineLvl w:val="9"/>
        <w:rPr>
          <w:rFonts w:hint="eastAsia" w:ascii="仿宋" w:hAnsi="仿宋" w:eastAsia="仿宋" w:cs="仿宋"/>
          <w:b w:val="0"/>
          <w:bCs w:val="0"/>
          <w:color w:val="auto"/>
        </w:rPr>
      </w:pPr>
    </w:p>
    <w:p>
      <w:pPr>
        <w:pStyle w:val="2"/>
        <w:keepNext w:val="0"/>
        <w:keepLines w:val="0"/>
        <w:pageBreakBefore w:val="0"/>
        <w:widowControl w:val="0"/>
        <w:kinsoku/>
        <w:wordWrap/>
        <w:overflowPunct/>
        <w:topLinePunct w:val="0"/>
        <w:autoSpaceDE/>
        <w:autoSpaceDN/>
        <w:bidi w:val="0"/>
        <w:spacing w:after="0"/>
        <w:ind w:firstLine="480"/>
        <w:jc w:val="center"/>
        <w:textAlignment w:val="auto"/>
        <w:outlineLvl w:val="9"/>
        <w:rPr>
          <w:rFonts w:hint="eastAsia" w:ascii="仿宋" w:hAnsi="仿宋" w:eastAsia="仿宋" w:cs="仿宋"/>
          <w:b w:val="0"/>
          <w:bCs w:val="0"/>
          <w:color w:val="auto"/>
          <w:sz w:val="24"/>
          <w:szCs w:val="32"/>
        </w:rPr>
      </w:pPr>
      <w:r>
        <w:rPr>
          <w:rFonts w:hint="eastAsia" w:ascii="仿宋" w:hAnsi="仿宋" w:eastAsia="仿宋" w:cs="仿宋"/>
          <w:b w:val="0"/>
          <w:bCs w:val="0"/>
          <w:color w:val="auto"/>
          <w:sz w:val="24"/>
          <w:szCs w:val="32"/>
        </w:rPr>
        <w:t xml:space="preserve">表 </w:t>
      </w:r>
      <w:r>
        <w:rPr>
          <w:rFonts w:hint="eastAsia" w:ascii="仿宋" w:hAnsi="仿宋" w:eastAsia="仿宋" w:cs="仿宋"/>
          <w:b w:val="0"/>
          <w:bCs w:val="0"/>
          <w:color w:val="auto"/>
          <w:sz w:val="24"/>
          <w:szCs w:val="32"/>
          <w:lang w:val="en-US" w:eastAsia="zh-CN"/>
        </w:rPr>
        <w:t>7</w:t>
      </w:r>
      <w:r>
        <w:rPr>
          <w:rFonts w:hint="eastAsia" w:ascii="仿宋" w:hAnsi="仿宋" w:eastAsia="仿宋" w:cs="仿宋"/>
          <w:b w:val="0"/>
          <w:bCs w:val="0"/>
          <w:color w:val="auto"/>
          <w:sz w:val="24"/>
          <w:szCs w:val="32"/>
        </w:rPr>
        <w:tab/>
      </w:r>
      <w:r>
        <w:rPr>
          <w:rFonts w:hint="eastAsia" w:ascii="仿宋" w:hAnsi="仿宋" w:eastAsia="仿宋" w:cs="仿宋"/>
          <w:b w:val="0"/>
          <w:bCs w:val="0"/>
          <w:color w:val="auto"/>
          <w:sz w:val="24"/>
          <w:szCs w:val="32"/>
        </w:rPr>
        <w:t>加速度计（动力学监测仪）技术参数</w:t>
      </w:r>
    </w:p>
    <w:tbl>
      <w:tblPr>
        <w:tblStyle w:val="37"/>
        <w:tblW w:w="83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85"/>
        <w:gridCol w:w="4964"/>
        <w:gridCol w:w="17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 w:hRule="atLeast"/>
          <w:jc w:val="center"/>
        </w:trPr>
        <w:tc>
          <w:tcPr>
            <w:tcW w:w="1751" w:type="dxa"/>
          </w:tcPr>
          <w:p>
            <w:pPr>
              <w:pStyle w:val="74"/>
              <w:keepNext w:val="0"/>
              <w:keepLines w:val="0"/>
              <w:pageBreakBefore w:val="0"/>
              <w:widowControl w:val="0"/>
              <w:kinsoku/>
              <w:wordWrap/>
              <w:overflowPunct/>
              <w:topLinePunct w:val="0"/>
              <w:autoSpaceDE/>
              <w:autoSpaceDN/>
              <w:bidi w:val="0"/>
              <w:ind w:right="255"/>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w w:val="95"/>
              </w:rPr>
              <w:t>参数类型</w:t>
            </w:r>
          </w:p>
        </w:tc>
        <w:tc>
          <w:tcPr>
            <w:tcW w:w="5160" w:type="dxa"/>
          </w:tcPr>
          <w:p>
            <w:pPr>
              <w:pStyle w:val="74"/>
              <w:keepNext w:val="0"/>
              <w:keepLines w:val="0"/>
              <w:pageBreakBefore w:val="0"/>
              <w:widowControl w:val="0"/>
              <w:kinsoku/>
              <w:wordWrap/>
              <w:overflowPunct/>
              <w:topLinePunct w:val="0"/>
              <w:autoSpaceDE/>
              <w:autoSpaceDN/>
              <w:bidi w:val="0"/>
              <w:ind w:left="639" w:right="529"/>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技术指标</w:t>
            </w:r>
          </w:p>
        </w:tc>
        <w:tc>
          <w:tcPr>
            <w:tcW w:w="1809" w:type="dxa"/>
          </w:tcPr>
          <w:p>
            <w:pPr>
              <w:pStyle w:val="74"/>
              <w:keepNext w:val="0"/>
              <w:keepLines w:val="0"/>
              <w:pageBreakBefore w:val="0"/>
              <w:widowControl w:val="0"/>
              <w:kinsoku/>
              <w:wordWrap/>
              <w:overflowPunct/>
              <w:topLinePunct w:val="0"/>
              <w:autoSpaceDE/>
              <w:autoSpaceDN/>
              <w:bidi w:val="0"/>
              <w:ind w:left="262" w:right="15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1751"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测量范围</w:t>
            </w:r>
          </w:p>
        </w:tc>
        <w:tc>
          <w:tcPr>
            <w:tcW w:w="5160"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±2g</w:t>
            </w:r>
          </w:p>
        </w:tc>
        <w:tc>
          <w:tcPr>
            <w:tcW w:w="1809"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1751"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测量精度</w:t>
            </w:r>
          </w:p>
        </w:tc>
        <w:tc>
          <w:tcPr>
            <w:tcW w:w="5160"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±1mg</w:t>
            </w:r>
          </w:p>
        </w:tc>
        <w:tc>
          <w:tcPr>
            <w:tcW w:w="1809"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jc w:val="center"/>
        </w:trPr>
        <w:tc>
          <w:tcPr>
            <w:tcW w:w="1751"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采样间隔</w:t>
            </w:r>
          </w:p>
        </w:tc>
        <w:tc>
          <w:tcPr>
            <w:tcW w:w="5160"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0s～24h</w:t>
            </w:r>
          </w:p>
        </w:tc>
        <w:tc>
          <w:tcPr>
            <w:tcW w:w="1809"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1751"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上传间隔</w:t>
            </w:r>
          </w:p>
        </w:tc>
        <w:tc>
          <w:tcPr>
            <w:tcW w:w="5160"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0s～72h</w:t>
            </w:r>
          </w:p>
        </w:tc>
        <w:tc>
          <w:tcPr>
            <w:tcW w:w="1809"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1751" w:type="dxa"/>
            <w:vAlign w:val="top"/>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lang w:val="en-US" w:eastAsia="zh-CN"/>
              </w:rPr>
              <w:t>通信方式</w:t>
            </w:r>
          </w:p>
        </w:tc>
        <w:tc>
          <w:tcPr>
            <w:tcW w:w="5160" w:type="dxa"/>
            <w:vAlign w:val="top"/>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spacing w:val="-1"/>
                <w:sz w:val="18"/>
                <w:szCs w:val="18"/>
              </w:rPr>
              <w:t>移动通信/低功率</w:t>
            </w:r>
            <w:r>
              <w:rPr>
                <w:rFonts w:hint="eastAsia" w:ascii="仿宋" w:hAnsi="仿宋" w:eastAsia="仿宋" w:cs="仿宋"/>
                <w:b w:val="0"/>
                <w:bCs w:val="0"/>
                <w:color w:val="auto"/>
                <w:sz w:val="18"/>
                <w:szCs w:val="18"/>
              </w:rPr>
              <w:t>广域网/高低轨卫星通信</w:t>
            </w:r>
          </w:p>
        </w:tc>
        <w:tc>
          <w:tcPr>
            <w:tcW w:w="1809"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751" w:type="dxa"/>
            <w:vAlign w:val="top"/>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lang w:eastAsia="zh-CN"/>
              </w:rPr>
            </w:pPr>
            <w:r>
              <w:rPr>
                <w:rFonts w:hint="eastAsia" w:ascii="仿宋" w:hAnsi="仿宋" w:eastAsia="仿宋" w:cs="仿宋"/>
                <w:b w:val="0"/>
                <w:bCs w:val="0"/>
                <w:color w:val="auto"/>
                <w:lang w:eastAsia="zh-CN"/>
              </w:rPr>
              <w:t>通信标准</w:t>
            </w:r>
          </w:p>
        </w:tc>
        <w:tc>
          <w:tcPr>
            <w:tcW w:w="5160" w:type="dxa"/>
            <w:vAlign w:val="top"/>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lang w:eastAsia="zh-CN"/>
              </w:rPr>
            </w:pPr>
            <w:r>
              <w:rPr>
                <w:rFonts w:hint="eastAsia" w:ascii="仿宋" w:hAnsi="仿宋" w:eastAsia="仿宋" w:cs="仿宋"/>
                <w:b w:val="0"/>
                <w:bCs w:val="0"/>
                <w:color w:val="auto"/>
                <w:spacing w:val="-1"/>
                <w:sz w:val="18"/>
                <w:szCs w:val="18"/>
                <w:lang w:eastAsia="zh-CN"/>
              </w:rPr>
              <w:t>符合《地质灾害监测数据通讯技术要求》（</w:t>
            </w:r>
            <w:r>
              <w:rPr>
                <w:rFonts w:hint="eastAsia" w:ascii="仿宋" w:hAnsi="仿宋" w:eastAsia="仿宋" w:cs="仿宋"/>
                <w:b w:val="0"/>
                <w:bCs w:val="0"/>
                <w:color w:val="auto"/>
                <w:spacing w:val="-1"/>
                <w:sz w:val="18"/>
                <w:szCs w:val="18"/>
              </w:rPr>
              <w:t>计划号： 201912007)</w:t>
            </w:r>
          </w:p>
        </w:tc>
        <w:tc>
          <w:tcPr>
            <w:tcW w:w="1809"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1751"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输出参数</w:t>
            </w:r>
          </w:p>
        </w:tc>
        <w:tc>
          <w:tcPr>
            <w:tcW w:w="5160"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lang w:eastAsia="zh-CN"/>
              </w:rPr>
            </w:pPr>
            <w:r>
              <w:rPr>
                <w:rFonts w:hint="eastAsia" w:ascii="仿宋" w:hAnsi="仿宋" w:eastAsia="仿宋" w:cs="仿宋"/>
                <w:b w:val="0"/>
                <w:bCs w:val="0"/>
                <w:color w:val="auto"/>
                <w:lang w:eastAsia="zh-CN"/>
              </w:rPr>
              <w:t>振动加速度、倾角、自振频率、最大振幅等</w:t>
            </w:r>
          </w:p>
        </w:tc>
        <w:tc>
          <w:tcPr>
            <w:tcW w:w="1809"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1751"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工作温度</w:t>
            </w:r>
          </w:p>
        </w:tc>
        <w:tc>
          <w:tcPr>
            <w:tcW w:w="5160"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-20℃～+65℃</w:t>
            </w:r>
          </w:p>
        </w:tc>
        <w:tc>
          <w:tcPr>
            <w:tcW w:w="1809"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高寒地区定制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jc w:val="center"/>
        </w:trPr>
        <w:tc>
          <w:tcPr>
            <w:tcW w:w="1751"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防护等级</w:t>
            </w:r>
          </w:p>
        </w:tc>
        <w:tc>
          <w:tcPr>
            <w:tcW w:w="5160"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IP67</w:t>
            </w:r>
          </w:p>
        </w:tc>
        <w:tc>
          <w:tcPr>
            <w:tcW w:w="1809"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1751"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安装方式</w:t>
            </w:r>
          </w:p>
        </w:tc>
        <w:tc>
          <w:tcPr>
            <w:tcW w:w="5160"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lang w:eastAsia="zh-CN"/>
              </w:rPr>
            </w:pPr>
            <w:r>
              <w:rPr>
                <w:rFonts w:hint="eastAsia" w:ascii="仿宋" w:hAnsi="仿宋" w:eastAsia="仿宋" w:cs="仿宋"/>
                <w:b w:val="0"/>
                <w:bCs w:val="0"/>
                <w:color w:val="auto"/>
                <w:lang w:eastAsia="zh-CN"/>
              </w:rPr>
              <w:t>标准观测墩、现浇混凝土墩、钢结构、粘结、铆接等</w:t>
            </w:r>
          </w:p>
        </w:tc>
        <w:tc>
          <w:tcPr>
            <w:tcW w:w="1809"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1751"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供电方式</w:t>
            </w:r>
          </w:p>
        </w:tc>
        <w:tc>
          <w:tcPr>
            <w:tcW w:w="5160"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lang w:eastAsia="zh-CN"/>
              </w:rPr>
            </w:pPr>
            <w:r>
              <w:rPr>
                <w:rFonts w:hint="eastAsia" w:ascii="仿宋" w:hAnsi="仿宋" w:eastAsia="仿宋" w:cs="仿宋"/>
                <w:b w:val="0"/>
                <w:bCs w:val="0"/>
                <w:color w:val="auto"/>
                <w:lang w:eastAsia="zh-CN"/>
              </w:rPr>
              <w:t>按需供电方式，满足连续 30 个阴雨日正常工作</w:t>
            </w:r>
          </w:p>
        </w:tc>
        <w:tc>
          <w:tcPr>
            <w:tcW w:w="1809"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lang w:val="en-US" w:eastAsia="zh-CN"/>
              </w:rPr>
              <w:t>具备</w:t>
            </w:r>
            <w:r>
              <w:rPr>
                <w:rFonts w:hint="eastAsia" w:ascii="仿宋" w:hAnsi="仿宋" w:eastAsia="仿宋" w:cs="仿宋"/>
                <w:b w:val="0"/>
                <w:bCs w:val="0"/>
                <w:color w:val="auto"/>
              </w:rPr>
              <w:t>过压及欠压保护</w:t>
            </w:r>
          </w:p>
        </w:tc>
      </w:tr>
    </w:tbl>
    <w:p>
      <w:pPr>
        <w:pStyle w:val="2"/>
        <w:keepNext w:val="0"/>
        <w:keepLines w:val="0"/>
        <w:pageBreakBefore w:val="0"/>
        <w:widowControl w:val="0"/>
        <w:kinsoku/>
        <w:wordWrap/>
        <w:overflowPunct/>
        <w:topLinePunct w:val="0"/>
        <w:autoSpaceDE/>
        <w:autoSpaceDN/>
        <w:bidi w:val="0"/>
        <w:spacing w:before="12"/>
        <w:ind w:firstLine="380"/>
        <w:jc w:val="center"/>
        <w:textAlignment w:val="auto"/>
        <w:outlineLvl w:val="9"/>
        <w:rPr>
          <w:rFonts w:hint="eastAsia" w:ascii="仿宋" w:hAnsi="仿宋" w:eastAsia="仿宋" w:cs="仿宋"/>
          <w:b w:val="0"/>
          <w:bCs w:val="0"/>
          <w:color w:val="auto"/>
          <w:sz w:val="19"/>
        </w:rPr>
      </w:pPr>
    </w:p>
    <w:p>
      <w:pPr>
        <w:pStyle w:val="2"/>
        <w:keepNext w:val="0"/>
        <w:keepLines w:val="0"/>
        <w:pageBreakBefore w:val="0"/>
        <w:widowControl w:val="0"/>
        <w:kinsoku/>
        <w:wordWrap/>
        <w:overflowPunct/>
        <w:topLinePunct w:val="0"/>
        <w:autoSpaceDE/>
        <w:autoSpaceDN/>
        <w:bidi w:val="0"/>
        <w:spacing w:after="0"/>
        <w:ind w:firstLine="480"/>
        <w:jc w:val="center"/>
        <w:textAlignment w:val="auto"/>
        <w:outlineLvl w:val="9"/>
        <w:rPr>
          <w:rFonts w:hint="eastAsia" w:ascii="仿宋" w:hAnsi="仿宋" w:eastAsia="仿宋" w:cs="仿宋"/>
          <w:b w:val="0"/>
          <w:bCs w:val="0"/>
          <w:color w:val="auto"/>
          <w:sz w:val="24"/>
          <w:szCs w:val="32"/>
        </w:rPr>
      </w:pPr>
      <w:r>
        <w:rPr>
          <w:rFonts w:hint="eastAsia" w:ascii="仿宋" w:hAnsi="仿宋" w:eastAsia="仿宋" w:cs="仿宋"/>
          <w:b w:val="0"/>
          <w:bCs w:val="0"/>
          <w:color w:val="auto"/>
          <w:sz w:val="24"/>
          <w:szCs w:val="32"/>
        </w:rPr>
        <w:t>表</w:t>
      </w:r>
      <w:r>
        <w:rPr>
          <w:rFonts w:hint="eastAsia" w:ascii="仿宋" w:hAnsi="仿宋" w:eastAsia="仿宋" w:cs="仿宋"/>
          <w:b w:val="0"/>
          <w:bCs w:val="0"/>
          <w:color w:val="auto"/>
          <w:sz w:val="24"/>
          <w:szCs w:val="32"/>
          <w:lang w:val="en-US" w:eastAsia="zh-CN"/>
        </w:rPr>
        <w:t>8</w:t>
      </w:r>
      <w:r>
        <w:rPr>
          <w:rFonts w:hint="eastAsia" w:ascii="仿宋" w:hAnsi="仿宋" w:eastAsia="仿宋" w:cs="仿宋"/>
          <w:b w:val="0"/>
          <w:bCs w:val="0"/>
          <w:color w:val="auto"/>
          <w:sz w:val="24"/>
          <w:szCs w:val="32"/>
        </w:rPr>
        <w:t xml:space="preserve">   泥位计主要技术参数</w:t>
      </w:r>
    </w:p>
    <w:tbl>
      <w:tblPr>
        <w:tblStyle w:val="37"/>
        <w:tblW w:w="83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12"/>
        <w:gridCol w:w="4990"/>
        <w:gridCol w:w="1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669" w:type="dxa"/>
          </w:tcPr>
          <w:p>
            <w:pPr>
              <w:pStyle w:val="74"/>
              <w:keepNext w:val="0"/>
              <w:keepLines w:val="0"/>
              <w:pageBreakBefore w:val="0"/>
              <w:widowControl w:val="0"/>
              <w:kinsoku/>
              <w:wordWrap/>
              <w:overflowPunct/>
              <w:topLinePunct w:val="0"/>
              <w:autoSpaceDE/>
              <w:autoSpaceDN/>
              <w:bidi w:val="0"/>
              <w:ind w:left="404" w:right="289"/>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参数类型</w:t>
            </w:r>
          </w:p>
        </w:tc>
        <w:tc>
          <w:tcPr>
            <w:tcW w:w="5169" w:type="dxa"/>
          </w:tcPr>
          <w:p>
            <w:pPr>
              <w:pStyle w:val="74"/>
              <w:keepNext w:val="0"/>
              <w:keepLines w:val="0"/>
              <w:pageBreakBefore w:val="0"/>
              <w:widowControl w:val="0"/>
              <w:kinsoku/>
              <w:wordWrap/>
              <w:overflowPunct/>
              <w:topLinePunct w:val="0"/>
              <w:autoSpaceDE/>
              <w:autoSpaceDN/>
              <w:bidi w:val="0"/>
              <w:ind w:left="639" w:right="529"/>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技术指标</w:t>
            </w:r>
          </w:p>
        </w:tc>
        <w:tc>
          <w:tcPr>
            <w:tcW w:w="1851" w:type="dxa"/>
          </w:tcPr>
          <w:p>
            <w:pPr>
              <w:pStyle w:val="74"/>
              <w:keepNext w:val="0"/>
              <w:keepLines w:val="0"/>
              <w:pageBreakBefore w:val="0"/>
              <w:widowControl w:val="0"/>
              <w:kinsoku/>
              <w:wordWrap/>
              <w:overflowPunct/>
              <w:topLinePunct w:val="0"/>
              <w:autoSpaceDE/>
              <w:autoSpaceDN/>
              <w:bidi w:val="0"/>
              <w:ind w:left="262" w:right="15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jc w:val="center"/>
        </w:trPr>
        <w:tc>
          <w:tcPr>
            <w:tcW w:w="1669"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测量范围</w:t>
            </w:r>
          </w:p>
        </w:tc>
        <w:tc>
          <w:tcPr>
            <w:tcW w:w="5169"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0.6～40m</w:t>
            </w:r>
          </w:p>
        </w:tc>
        <w:tc>
          <w:tcPr>
            <w:tcW w:w="1851"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1669"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分辨率</w:t>
            </w:r>
          </w:p>
        </w:tc>
        <w:tc>
          <w:tcPr>
            <w:tcW w:w="5169"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±0.1%F·S</w:t>
            </w:r>
          </w:p>
        </w:tc>
        <w:tc>
          <w:tcPr>
            <w:tcW w:w="1851"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jc w:val="center"/>
        </w:trPr>
        <w:tc>
          <w:tcPr>
            <w:tcW w:w="1669"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采样间隔</w:t>
            </w:r>
          </w:p>
        </w:tc>
        <w:tc>
          <w:tcPr>
            <w:tcW w:w="5169"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0s～24h</w:t>
            </w:r>
          </w:p>
        </w:tc>
        <w:tc>
          <w:tcPr>
            <w:tcW w:w="1851"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1669"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上传间隔</w:t>
            </w:r>
          </w:p>
        </w:tc>
        <w:tc>
          <w:tcPr>
            <w:tcW w:w="5169"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0s～72h</w:t>
            </w:r>
          </w:p>
        </w:tc>
        <w:tc>
          <w:tcPr>
            <w:tcW w:w="1851"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按需求设定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1669" w:type="dxa"/>
            <w:vAlign w:val="top"/>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lang w:val="en-US" w:eastAsia="zh-CN"/>
              </w:rPr>
              <w:t>通信方式</w:t>
            </w:r>
          </w:p>
        </w:tc>
        <w:tc>
          <w:tcPr>
            <w:tcW w:w="5169" w:type="dxa"/>
            <w:vAlign w:val="top"/>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spacing w:val="-1"/>
                <w:sz w:val="18"/>
                <w:szCs w:val="18"/>
              </w:rPr>
              <w:t>移动通信/低功率</w:t>
            </w:r>
            <w:r>
              <w:rPr>
                <w:rFonts w:hint="eastAsia" w:ascii="仿宋" w:hAnsi="仿宋" w:eastAsia="仿宋" w:cs="仿宋"/>
                <w:b w:val="0"/>
                <w:bCs w:val="0"/>
                <w:color w:val="auto"/>
                <w:sz w:val="18"/>
                <w:szCs w:val="18"/>
              </w:rPr>
              <w:t>广域网/高低轨卫星通信</w:t>
            </w:r>
          </w:p>
        </w:tc>
        <w:tc>
          <w:tcPr>
            <w:tcW w:w="1851"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1669" w:type="dxa"/>
            <w:vAlign w:val="top"/>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lang w:eastAsia="zh-CN"/>
              </w:rPr>
            </w:pPr>
            <w:r>
              <w:rPr>
                <w:rFonts w:hint="eastAsia" w:ascii="仿宋" w:hAnsi="仿宋" w:eastAsia="仿宋" w:cs="仿宋"/>
                <w:b w:val="0"/>
                <w:bCs w:val="0"/>
                <w:color w:val="auto"/>
                <w:lang w:eastAsia="zh-CN"/>
              </w:rPr>
              <w:t>通信标准</w:t>
            </w:r>
          </w:p>
        </w:tc>
        <w:tc>
          <w:tcPr>
            <w:tcW w:w="5169" w:type="dxa"/>
            <w:vAlign w:val="top"/>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spacing w:val="-1"/>
                <w:sz w:val="18"/>
                <w:szCs w:val="18"/>
                <w:lang w:eastAsia="zh-CN"/>
              </w:rPr>
              <w:t>符合《地质灾害监测数据通讯技术要求》（</w:t>
            </w:r>
            <w:r>
              <w:rPr>
                <w:rFonts w:hint="eastAsia" w:ascii="仿宋" w:hAnsi="仿宋" w:eastAsia="仿宋" w:cs="仿宋"/>
                <w:b w:val="0"/>
                <w:bCs w:val="0"/>
                <w:color w:val="auto"/>
                <w:spacing w:val="-1"/>
                <w:sz w:val="18"/>
                <w:szCs w:val="18"/>
              </w:rPr>
              <w:t>计划号： 201912007)</w:t>
            </w:r>
          </w:p>
        </w:tc>
        <w:tc>
          <w:tcPr>
            <w:tcW w:w="1851"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1669"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工作温度</w:t>
            </w:r>
          </w:p>
        </w:tc>
        <w:tc>
          <w:tcPr>
            <w:tcW w:w="5169"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-20℃～+65℃</w:t>
            </w:r>
          </w:p>
        </w:tc>
        <w:tc>
          <w:tcPr>
            <w:tcW w:w="1851"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高寒地区定制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1669"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防护等级</w:t>
            </w:r>
          </w:p>
        </w:tc>
        <w:tc>
          <w:tcPr>
            <w:tcW w:w="5169"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IP66</w:t>
            </w:r>
          </w:p>
        </w:tc>
        <w:tc>
          <w:tcPr>
            <w:tcW w:w="1851"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jc w:val="center"/>
        </w:trPr>
        <w:tc>
          <w:tcPr>
            <w:tcW w:w="1669"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安装方式</w:t>
            </w:r>
          </w:p>
        </w:tc>
        <w:tc>
          <w:tcPr>
            <w:tcW w:w="5169"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lang w:eastAsia="zh-CN"/>
              </w:rPr>
            </w:pPr>
            <w:r>
              <w:rPr>
                <w:rFonts w:hint="eastAsia" w:ascii="仿宋" w:hAnsi="仿宋" w:eastAsia="仿宋" w:cs="仿宋"/>
                <w:b w:val="0"/>
                <w:bCs w:val="0"/>
                <w:color w:val="auto"/>
                <w:lang w:eastAsia="zh-CN"/>
              </w:rPr>
              <w:t>钢结构、现浇混凝土墩等</w:t>
            </w:r>
          </w:p>
        </w:tc>
        <w:tc>
          <w:tcPr>
            <w:tcW w:w="1851"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1669"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供电方式</w:t>
            </w:r>
          </w:p>
        </w:tc>
        <w:tc>
          <w:tcPr>
            <w:tcW w:w="5169"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lang w:eastAsia="zh-CN"/>
              </w:rPr>
            </w:pPr>
            <w:r>
              <w:rPr>
                <w:rFonts w:hint="eastAsia" w:ascii="仿宋" w:hAnsi="仿宋" w:eastAsia="仿宋" w:cs="仿宋"/>
                <w:b w:val="0"/>
                <w:bCs w:val="0"/>
                <w:color w:val="auto"/>
                <w:lang w:eastAsia="zh-CN"/>
              </w:rPr>
              <w:t>按需供电方式，满足连续 30 个阴雨日正常工作</w:t>
            </w:r>
          </w:p>
        </w:tc>
        <w:tc>
          <w:tcPr>
            <w:tcW w:w="1851" w:type="dxa"/>
          </w:tcPr>
          <w:p>
            <w:pPr>
              <w:pStyle w:val="74"/>
              <w:keepNext w:val="0"/>
              <w:keepLines w:val="0"/>
              <w:pageBreakBefore w:val="0"/>
              <w:widowControl w:val="0"/>
              <w:tabs>
                <w:tab w:val="left" w:pos="1470"/>
              </w:tabs>
              <w:kinsoku/>
              <w:wordWrap/>
              <w:overflowPunct/>
              <w:topLinePunct w:val="0"/>
              <w:autoSpaceDE/>
              <w:autoSpaceDN/>
              <w:bidi w:val="0"/>
              <w:spacing w:before="1" w:line="251" w:lineRule="exact"/>
              <w:ind w:right="67" w:rightChars="32"/>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lang w:val="en-US" w:eastAsia="zh-CN"/>
              </w:rPr>
              <w:t>具备</w:t>
            </w:r>
            <w:r>
              <w:rPr>
                <w:rFonts w:hint="eastAsia" w:ascii="仿宋" w:hAnsi="仿宋" w:eastAsia="仿宋" w:cs="仿宋"/>
                <w:b w:val="0"/>
                <w:bCs w:val="0"/>
                <w:color w:val="auto"/>
              </w:rPr>
              <w:t>过压及欠压保护</w:t>
            </w:r>
          </w:p>
        </w:tc>
      </w:tr>
    </w:tbl>
    <w:p>
      <w:pPr>
        <w:pStyle w:val="2"/>
        <w:keepNext w:val="0"/>
        <w:keepLines w:val="0"/>
        <w:pageBreakBefore w:val="0"/>
        <w:widowControl w:val="0"/>
        <w:kinsoku/>
        <w:wordWrap/>
        <w:overflowPunct/>
        <w:topLinePunct w:val="0"/>
        <w:autoSpaceDE/>
        <w:autoSpaceDN/>
        <w:bidi w:val="0"/>
        <w:ind w:firstLine="400"/>
        <w:jc w:val="center"/>
        <w:textAlignment w:val="auto"/>
        <w:outlineLvl w:val="9"/>
        <w:rPr>
          <w:rFonts w:hint="eastAsia" w:ascii="仿宋" w:hAnsi="仿宋" w:eastAsia="仿宋" w:cs="仿宋"/>
          <w:b w:val="0"/>
          <w:bCs w:val="0"/>
          <w:color w:val="auto"/>
          <w:sz w:val="20"/>
        </w:rPr>
      </w:pPr>
    </w:p>
    <w:p>
      <w:pPr>
        <w:pStyle w:val="2"/>
        <w:keepNext w:val="0"/>
        <w:keepLines w:val="0"/>
        <w:pageBreakBefore w:val="0"/>
        <w:widowControl w:val="0"/>
        <w:kinsoku/>
        <w:wordWrap/>
        <w:overflowPunct/>
        <w:topLinePunct w:val="0"/>
        <w:autoSpaceDE/>
        <w:autoSpaceDN/>
        <w:bidi w:val="0"/>
        <w:spacing w:after="0"/>
        <w:ind w:firstLine="480"/>
        <w:jc w:val="center"/>
        <w:textAlignment w:val="auto"/>
        <w:outlineLvl w:val="9"/>
        <w:rPr>
          <w:rFonts w:hint="eastAsia" w:ascii="仿宋" w:hAnsi="仿宋" w:eastAsia="仿宋" w:cs="仿宋"/>
          <w:b w:val="0"/>
          <w:bCs w:val="0"/>
          <w:color w:val="auto"/>
          <w:sz w:val="24"/>
          <w:szCs w:val="32"/>
        </w:rPr>
      </w:pPr>
      <w:r>
        <w:rPr>
          <w:rFonts w:hint="eastAsia" w:ascii="仿宋" w:hAnsi="仿宋" w:eastAsia="仿宋" w:cs="仿宋"/>
          <w:b w:val="0"/>
          <w:bCs w:val="0"/>
          <w:color w:val="auto"/>
          <w:sz w:val="24"/>
          <w:szCs w:val="32"/>
        </w:rPr>
        <w:t>表9   声光报警器主要技术参数</w:t>
      </w:r>
    </w:p>
    <w:tbl>
      <w:tblPr>
        <w:tblStyle w:val="37"/>
        <w:tblW w:w="83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09"/>
        <w:gridCol w:w="2357"/>
        <w:gridCol w:w="2638"/>
        <w:gridCol w:w="17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609" w:type="dxa"/>
          </w:tcPr>
          <w:p>
            <w:pPr>
              <w:pStyle w:val="74"/>
              <w:keepNext w:val="0"/>
              <w:keepLines w:val="0"/>
              <w:pageBreakBefore w:val="0"/>
              <w:widowControl w:val="0"/>
              <w:kinsoku/>
              <w:wordWrap/>
              <w:overflowPunct/>
              <w:topLinePunct w:val="0"/>
              <w:autoSpaceDE/>
              <w:autoSpaceDN/>
              <w:bidi w:val="0"/>
              <w:ind w:left="338" w:right="225"/>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参数类型</w:t>
            </w:r>
          </w:p>
        </w:tc>
        <w:tc>
          <w:tcPr>
            <w:tcW w:w="4995" w:type="dxa"/>
            <w:gridSpan w:val="2"/>
          </w:tcPr>
          <w:p>
            <w:pPr>
              <w:pStyle w:val="74"/>
              <w:keepNext w:val="0"/>
              <w:keepLines w:val="0"/>
              <w:pageBreakBefore w:val="0"/>
              <w:widowControl w:val="0"/>
              <w:kinsoku/>
              <w:wordWrap/>
              <w:overflowPunct/>
              <w:topLinePunct w:val="0"/>
              <w:autoSpaceDE/>
              <w:autoSpaceDN/>
              <w:bidi w:val="0"/>
              <w:ind w:left="338" w:right="225"/>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技术指标</w:t>
            </w:r>
          </w:p>
        </w:tc>
        <w:tc>
          <w:tcPr>
            <w:tcW w:w="1786" w:type="dxa"/>
          </w:tcPr>
          <w:p>
            <w:pPr>
              <w:pStyle w:val="74"/>
              <w:keepNext w:val="0"/>
              <w:keepLines w:val="0"/>
              <w:pageBreakBefore w:val="0"/>
              <w:widowControl w:val="0"/>
              <w:kinsoku/>
              <w:wordWrap/>
              <w:overflowPunct/>
              <w:topLinePunct w:val="0"/>
              <w:autoSpaceDE/>
              <w:autoSpaceDN/>
              <w:bidi w:val="0"/>
              <w:ind w:left="338" w:right="225"/>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609" w:type="dxa"/>
          </w:tcPr>
          <w:p>
            <w:pPr>
              <w:pStyle w:val="74"/>
              <w:keepNext w:val="0"/>
              <w:keepLines w:val="0"/>
              <w:pageBreakBefore w:val="0"/>
              <w:widowControl w:val="0"/>
              <w:kinsoku/>
              <w:wordWrap/>
              <w:overflowPunct/>
              <w:topLinePunct w:val="0"/>
              <w:autoSpaceDE/>
              <w:autoSpaceDN/>
              <w:bidi w:val="0"/>
              <w:ind w:right="257"/>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上传间隔</w:t>
            </w:r>
          </w:p>
        </w:tc>
        <w:tc>
          <w:tcPr>
            <w:tcW w:w="4995" w:type="dxa"/>
            <w:gridSpan w:val="2"/>
          </w:tcPr>
          <w:p>
            <w:pPr>
              <w:pStyle w:val="74"/>
              <w:keepNext w:val="0"/>
              <w:keepLines w:val="0"/>
              <w:pageBreakBefore w:val="0"/>
              <w:widowControl w:val="0"/>
              <w:kinsoku/>
              <w:wordWrap/>
              <w:overflowPunct/>
              <w:topLinePunct w:val="0"/>
              <w:autoSpaceDE/>
              <w:autoSpaceDN/>
              <w:bidi w:val="0"/>
              <w:ind w:left="851" w:right="738"/>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0s～72h</w:t>
            </w:r>
          </w:p>
        </w:tc>
        <w:tc>
          <w:tcPr>
            <w:tcW w:w="1786" w:type="dxa"/>
          </w:tcPr>
          <w:p>
            <w:pPr>
              <w:pStyle w:val="74"/>
              <w:keepNext w:val="0"/>
              <w:keepLines w:val="0"/>
              <w:pageBreakBefore w:val="0"/>
              <w:widowControl w:val="0"/>
              <w:kinsoku/>
              <w:wordWrap/>
              <w:overflowPunct/>
              <w:topLinePunct w:val="0"/>
              <w:autoSpaceDE/>
              <w:autoSpaceDN/>
              <w:bidi w:val="0"/>
              <w:ind w:left="113"/>
              <w:textAlignment w:val="auto"/>
              <w:outlineLvl w:val="9"/>
              <w:rPr>
                <w:rFonts w:hint="eastAsia" w:ascii="仿宋" w:hAnsi="仿宋" w:eastAsia="仿宋" w:cs="仿宋"/>
                <w:b w:val="0"/>
                <w:bCs w:val="0"/>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609" w:type="dxa"/>
          </w:tcPr>
          <w:p>
            <w:pPr>
              <w:pStyle w:val="74"/>
              <w:keepNext w:val="0"/>
              <w:keepLines w:val="0"/>
              <w:pageBreakBefore w:val="0"/>
              <w:widowControl w:val="0"/>
              <w:kinsoku/>
              <w:wordWrap/>
              <w:overflowPunct/>
              <w:topLinePunct w:val="0"/>
              <w:autoSpaceDE/>
              <w:autoSpaceDN/>
              <w:bidi w:val="0"/>
              <w:ind w:right="257"/>
              <w:textAlignment w:val="auto"/>
              <w:outlineLvl w:val="9"/>
              <w:rPr>
                <w:rFonts w:hint="eastAsia" w:ascii="仿宋" w:hAnsi="仿宋" w:eastAsia="仿宋" w:cs="仿宋"/>
                <w:b w:val="0"/>
                <w:bCs w:val="0"/>
                <w:color w:val="auto"/>
                <w:lang w:eastAsia="zh-CN"/>
              </w:rPr>
            </w:pPr>
            <w:r>
              <w:rPr>
                <w:rFonts w:hint="eastAsia" w:ascii="仿宋" w:hAnsi="仿宋" w:eastAsia="仿宋" w:cs="仿宋"/>
                <w:b w:val="0"/>
                <w:bCs w:val="0"/>
                <w:color w:val="auto"/>
                <w:lang w:eastAsia="zh-CN"/>
              </w:rPr>
              <w:t>通信标准</w:t>
            </w:r>
          </w:p>
        </w:tc>
        <w:tc>
          <w:tcPr>
            <w:tcW w:w="4995" w:type="dxa"/>
            <w:gridSpan w:val="2"/>
          </w:tcPr>
          <w:p>
            <w:pPr>
              <w:pStyle w:val="74"/>
              <w:keepNext w:val="0"/>
              <w:keepLines w:val="0"/>
              <w:pageBreakBefore w:val="0"/>
              <w:widowControl w:val="0"/>
              <w:kinsoku/>
              <w:wordWrap/>
              <w:overflowPunct/>
              <w:topLinePunct w:val="0"/>
              <w:autoSpaceDE/>
              <w:autoSpaceDN/>
              <w:bidi w:val="0"/>
              <w:ind w:left="1133"/>
              <w:jc w:val="both"/>
              <w:textAlignment w:val="auto"/>
              <w:outlineLvl w:val="9"/>
              <w:rPr>
                <w:rFonts w:hint="eastAsia" w:ascii="仿宋" w:hAnsi="仿宋" w:eastAsia="仿宋" w:cs="仿宋"/>
                <w:b w:val="0"/>
                <w:bCs w:val="0"/>
                <w:color w:val="auto"/>
                <w:lang w:eastAsia="zh-CN"/>
              </w:rPr>
            </w:pPr>
            <w:r>
              <w:rPr>
                <w:rFonts w:hint="eastAsia" w:ascii="仿宋" w:hAnsi="仿宋" w:eastAsia="仿宋" w:cs="仿宋"/>
                <w:b w:val="0"/>
                <w:bCs w:val="0"/>
                <w:color w:val="auto"/>
                <w:lang w:eastAsia="zh-CN"/>
              </w:rPr>
              <w:t>符合《地质灾害监测数据通讯技术要求》</w:t>
            </w:r>
          </w:p>
        </w:tc>
        <w:tc>
          <w:tcPr>
            <w:tcW w:w="1786" w:type="dxa"/>
          </w:tcPr>
          <w:p>
            <w:pPr>
              <w:pStyle w:val="74"/>
              <w:keepNext w:val="0"/>
              <w:keepLines w:val="0"/>
              <w:pageBreakBefore w:val="0"/>
              <w:widowControl w:val="0"/>
              <w:kinsoku/>
              <w:wordWrap/>
              <w:overflowPunct/>
              <w:topLinePunct w:val="0"/>
              <w:autoSpaceDE/>
              <w:autoSpaceDN/>
              <w:bidi w:val="0"/>
              <w:ind w:left="113"/>
              <w:jc w:val="both"/>
              <w:textAlignment w:val="auto"/>
              <w:outlineLvl w:val="9"/>
              <w:rPr>
                <w:rFonts w:hint="eastAsia" w:ascii="仿宋" w:hAnsi="仿宋" w:eastAsia="仿宋" w:cs="仿宋"/>
                <w:b w:val="0"/>
                <w:bCs w:val="0"/>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609" w:type="dxa"/>
          </w:tcPr>
          <w:p>
            <w:pPr>
              <w:pStyle w:val="74"/>
              <w:keepNext w:val="0"/>
              <w:keepLines w:val="0"/>
              <w:pageBreakBefore w:val="0"/>
              <w:widowControl w:val="0"/>
              <w:kinsoku/>
              <w:wordWrap/>
              <w:overflowPunct/>
              <w:topLinePunct w:val="0"/>
              <w:autoSpaceDE/>
              <w:autoSpaceDN/>
              <w:bidi w:val="0"/>
              <w:spacing w:before="22"/>
              <w:ind w:right="257"/>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报警来源</w:t>
            </w:r>
          </w:p>
        </w:tc>
        <w:tc>
          <w:tcPr>
            <w:tcW w:w="4995" w:type="dxa"/>
            <w:gridSpan w:val="2"/>
          </w:tcPr>
          <w:p>
            <w:pPr>
              <w:pStyle w:val="74"/>
              <w:keepNext w:val="0"/>
              <w:keepLines w:val="0"/>
              <w:pageBreakBefore w:val="0"/>
              <w:widowControl w:val="0"/>
              <w:kinsoku/>
              <w:wordWrap/>
              <w:overflowPunct/>
              <w:topLinePunct w:val="0"/>
              <w:autoSpaceDE/>
              <w:autoSpaceDN/>
              <w:bidi w:val="0"/>
              <w:spacing w:before="22"/>
              <w:ind w:left="851" w:right="739"/>
              <w:jc w:val="both"/>
              <w:textAlignment w:val="auto"/>
              <w:outlineLvl w:val="9"/>
              <w:rPr>
                <w:rFonts w:hint="eastAsia" w:ascii="仿宋" w:hAnsi="仿宋" w:eastAsia="仿宋" w:cs="仿宋"/>
                <w:b w:val="0"/>
                <w:bCs w:val="0"/>
                <w:color w:val="auto"/>
                <w:lang w:eastAsia="zh-CN"/>
              </w:rPr>
            </w:pPr>
            <w:r>
              <w:rPr>
                <w:rFonts w:hint="eastAsia" w:ascii="仿宋" w:hAnsi="仿宋" w:eastAsia="仿宋" w:cs="仿宋"/>
                <w:b w:val="0"/>
                <w:bCs w:val="0"/>
                <w:color w:val="auto"/>
                <w:lang w:eastAsia="zh-CN"/>
              </w:rPr>
              <w:t>本地人工播报；本地自主判断；远程系统发送等</w:t>
            </w:r>
          </w:p>
        </w:tc>
        <w:tc>
          <w:tcPr>
            <w:tcW w:w="1786" w:type="dxa"/>
          </w:tcPr>
          <w:p>
            <w:pPr>
              <w:pStyle w:val="74"/>
              <w:keepNext w:val="0"/>
              <w:keepLines w:val="0"/>
              <w:pageBreakBefore w:val="0"/>
              <w:widowControl w:val="0"/>
              <w:kinsoku/>
              <w:wordWrap/>
              <w:overflowPunct/>
              <w:topLinePunct w:val="0"/>
              <w:autoSpaceDE/>
              <w:autoSpaceDN/>
              <w:bidi w:val="0"/>
              <w:spacing w:before="22"/>
              <w:ind w:left="113"/>
              <w:jc w:val="both"/>
              <w:textAlignment w:val="auto"/>
              <w:outlineLvl w:val="9"/>
              <w:rPr>
                <w:rFonts w:hint="eastAsia" w:ascii="仿宋" w:hAnsi="仿宋" w:eastAsia="仿宋" w:cs="仿宋"/>
                <w:b w:val="0"/>
                <w:bCs w:val="0"/>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609" w:type="dxa"/>
          </w:tcPr>
          <w:p>
            <w:pPr>
              <w:pStyle w:val="74"/>
              <w:keepNext w:val="0"/>
              <w:keepLines w:val="0"/>
              <w:pageBreakBefore w:val="0"/>
              <w:widowControl w:val="0"/>
              <w:kinsoku/>
              <w:wordWrap/>
              <w:overflowPunct/>
              <w:topLinePunct w:val="0"/>
              <w:autoSpaceDE/>
              <w:autoSpaceDN/>
              <w:bidi w:val="0"/>
              <w:ind w:right="257"/>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报警方式</w:t>
            </w:r>
          </w:p>
        </w:tc>
        <w:tc>
          <w:tcPr>
            <w:tcW w:w="4995" w:type="dxa"/>
            <w:gridSpan w:val="2"/>
          </w:tcPr>
          <w:p>
            <w:pPr>
              <w:pStyle w:val="74"/>
              <w:keepNext w:val="0"/>
              <w:keepLines w:val="0"/>
              <w:pageBreakBefore w:val="0"/>
              <w:widowControl w:val="0"/>
              <w:kinsoku/>
              <w:wordWrap/>
              <w:overflowPunct/>
              <w:topLinePunct w:val="0"/>
              <w:autoSpaceDE/>
              <w:autoSpaceDN/>
              <w:bidi w:val="0"/>
              <w:ind w:right="257"/>
              <w:textAlignment w:val="auto"/>
              <w:outlineLvl w:val="9"/>
              <w:rPr>
                <w:rFonts w:hint="eastAsia" w:ascii="仿宋" w:hAnsi="仿宋" w:eastAsia="仿宋" w:cs="仿宋"/>
                <w:b w:val="0"/>
                <w:bCs w:val="0"/>
                <w:color w:val="auto"/>
                <w:lang w:eastAsia="zh-CN"/>
              </w:rPr>
            </w:pPr>
            <w:r>
              <w:rPr>
                <w:rFonts w:hint="eastAsia" w:ascii="仿宋" w:hAnsi="仿宋" w:eastAsia="仿宋" w:cs="仿宋"/>
                <w:b w:val="0"/>
                <w:bCs w:val="0"/>
                <w:color w:val="auto"/>
                <w:lang w:eastAsia="zh-CN"/>
              </w:rPr>
              <w:t>报警音；警示灯光；语音播报</w:t>
            </w:r>
          </w:p>
        </w:tc>
        <w:tc>
          <w:tcPr>
            <w:tcW w:w="1786" w:type="dxa"/>
          </w:tcPr>
          <w:p>
            <w:pPr>
              <w:pStyle w:val="74"/>
              <w:keepNext w:val="0"/>
              <w:keepLines w:val="0"/>
              <w:pageBreakBefore w:val="0"/>
              <w:widowControl w:val="0"/>
              <w:kinsoku/>
              <w:wordWrap/>
              <w:overflowPunct/>
              <w:topLinePunct w:val="0"/>
              <w:autoSpaceDE/>
              <w:autoSpaceDN/>
              <w:bidi w:val="0"/>
              <w:ind w:left="113"/>
              <w:jc w:val="both"/>
              <w:textAlignment w:val="auto"/>
              <w:outlineLvl w:val="9"/>
              <w:rPr>
                <w:rFonts w:hint="eastAsia" w:ascii="仿宋" w:hAnsi="仿宋" w:eastAsia="仿宋" w:cs="仿宋"/>
                <w:b w:val="0"/>
                <w:bCs w:val="0"/>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609" w:type="dxa"/>
            <w:vAlign w:val="top"/>
          </w:tcPr>
          <w:p>
            <w:pPr>
              <w:pStyle w:val="74"/>
              <w:keepNext w:val="0"/>
              <w:keepLines w:val="0"/>
              <w:pageBreakBefore w:val="0"/>
              <w:widowControl w:val="0"/>
              <w:kinsoku/>
              <w:wordWrap/>
              <w:overflowPunct/>
              <w:topLinePunct w:val="0"/>
              <w:autoSpaceDE/>
              <w:autoSpaceDN/>
              <w:bidi w:val="0"/>
              <w:ind w:right="257"/>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lang w:val="en-US" w:eastAsia="zh-CN"/>
              </w:rPr>
              <w:t>通信方式</w:t>
            </w:r>
          </w:p>
        </w:tc>
        <w:tc>
          <w:tcPr>
            <w:tcW w:w="4995" w:type="dxa"/>
            <w:gridSpan w:val="2"/>
            <w:vAlign w:val="top"/>
          </w:tcPr>
          <w:p>
            <w:pPr>
              <w:pStyle w:val="74"/>
              <w:keepNext w:val="0"/>
              <w:keepLines w:val="0"/>
              <w:pageBreakBefore w:val="0"/>
              <w:widowControl w:val="0"/>
              <w:kinsoku/>
              <w:wordWrap/>
              <w:overflowPunct/>
              <w:topLinePunct w:val="0"/>
              <w:autoSpaceDE/>
              <w:autoSpaceDN/>
              <w:bidi w:val="0"/>
              <w:ind w:right="257"/>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移动通信/低功率广域网/高低轨卫星通信</w:t>
            </w:r>
          </w:p>
        </w:tc>
        <w:tc>
          <w:tcPr>
            <w:tcW w:w="1786" w:type="dxa"/>
          </w:tcPr>
          <w:p>
            <w:pPr>
              <w:pStyle w:val="74"/>
              <w:keepNext w:val="0"/>
              <w:keepLines w:val="0"/>
              <w:pageBreakBefore w:val="0"/>
              <w:widowControl w:val="0"/>
              <w:kinsoku/>
              <w:wordWrap/>
              <w:overflowPunct/>
              <w:topLinePunct w:val="0"/>
              <w:autoSpaceDE/>
              <w:autoSpaceDN/>
              <w:bidi w:val="0"/>
              <w:ind w:left="113"/>
              <w:jc w:val="both"/>
              <w:textAlignment w:val="auto"/>
              <w:outlineLvl w:val="9"/>
              <w:rPr>
                <w:rFonts w:hint="eastAsia" w:ascii="仿宋" w:hAnsi="仿宋" w:eastAsia="仿宋" w:cs="仿宋"/>
                <w:b w:val="0"/>
                <w:bCs w:val="0"/>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609" w:type="dxa"/>
          </w:tcPr>
          <w:p>
            <w:pPr>
              <w:pStyle w:val="74"/>
              <w:keepNext w:val="0"/>
              <w:keepLines w:val="0"/>
              <w:pageBreakBefore w:val="0"/>
              <w:widowControl w:val="0"/>
              <w:kinsoku/>
              <w:wordWrap/>
              <w:overflowPunct/>
              <w:topLinePunct w:val="0"/>
              <w:autoSpaceDE/>
              <w:autoSpaceDN/>
              <w:bidi w:val="0"/>
              <w:ind w:right="257"/>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工作温度</w:t>
            </w:r>
          </w:p>
        </w:tc>
        <w:tc>
          <w:tcPr>
            <w:tcW w:w="4995" w:type="dxa"/>
            <w:gridSpan w:val="2"/>
          </w:tcPr>
          <w:p>
            <w:pPr>
              <w:pStyle w:val="74"/>
              <w:keepNext w:val="0"/>
              <w:keepLines w:val="0"/>
              <w:pageBreakBefore w:val="0"/>
              <w:widowControl w:val="0"/>
              <w:kinsoku/>
              <w:wordWrap/>
              <w:overflowPunct/>
              <w:topLinePunct w:val="0"/>
              <w:autoSpaceDE/>
              <w:autoSpaceDN/>
              <w:bidi w:val="0"/>
              <w:ind w:right="257"/>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-20℃～+65℃</w:t>
            </w:r>
          </w:p>
        </w:tc>
        <w:tc>
          <w:tcPr>
            <w:tcW w:w="1786" w:type="dxa"/>
          </w:tcPr>
          <w:p>
            <w:pPr>
              <w:pStyle w:val="74"/>
              <w:keepNext w:val="0"/>
              <w:keepLines w:val="0"/>
              <w:pageBreakBefore w:val="0"/>
              <w:widowControl w:val="0"/>
              <w:kinsoku/>
              <w:wordWrap/>
              <w:overflowPunct/>
              <w:topLinePunct w:val="0"/>
              <w:autoSpaceDE/>
              <w:autoSpaceDN/>
              <w:bidi w:val="0"/>
              <w:spacing w:before="22"/>
              <w:ind w:left="113"/>
              <w:jc w:val="both"/>
              <w:textAlignment w:val="auto"/>
              <w:outlineLvl w:val="9"/>
              <w:rPr>
                <w:rFonts w:hint="eastAsia" w:ascii="仿宋" w:hAnsi="仿宋" w:eastAsia="仿宋" w:cs="仿宋"/>
                <w:b w:val="0"/>
                <w:bCs w:val="0"/>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609" w:type="dxa"/>
          </w:tcPr>
          <w:p>
            <w:pPr>
              <w:pStyle w:val="74"/>
              <w:keepNext w:val="0"/>
              <w:keepLines w:val="0"/>
              <w:pageBreakBefore w:val="0"/>
              <w:widowControl w:val="0"/>
              <w:kinsoku/>
              <w:wordWrap/>
              <w:overflowPunct/>
              <w:topLinePunct w:val="0"/>
              <w:autoSpaceDE/>
              <w:autoSpaceDN/>
              <w:bidi w:val="0"/>
              <w:ind w:right="257"/>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布设位置</w:t>
            </w:r>
          </w:p>
        </w:tc>
        <w:tc>
          <w:tcPr>
            <w:tcW w:w="2357" w:type="dxa"/>
          </w:tcPr>
          <w:p>
            <w:pPr>
              <w:pStyle w:val="74"/>
              <w:keepNext w:val="0"/>
              <w:keepLines w:val="0"/>
              <w:pageBreakBefore w:val="0"/>
              <w:widowControl w:val="0"/>
              <w:kinsoku/>
              <w:wordWrap/>
              <w:overflowPunct/>
              <w:topLinePunct w:val="0"/>
              <w:autoSpaceDE/>
              <w:autoSpaceDN/>
              <w:bidi w:val="0"/>
              <w:ind w:right="1027"/>
              <w:jc w:val="center"/>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室外</w:t>
            </w:r>
          </w:p>
        </w:tc>
        <w:tc>
          <w:tcPr>
            <w:tcW w:w="2638" w:type="dxa"/>
          </w:tcPr>
          <w:p>
            <w:pPr>
              <w:pStyle w:val="74"/>
              <w:keepNext w:val="0"/>
              <w:keepLines w:val="0"/>
              <w:pageBreakBefore w:val="0"/>
              <w:widowControl w:val="0"/>
              <w:kinsoku/>
              <w:wordWrap/>
              <w:overflowPunct/>
              <w:topLinePunct w:val="0"/>
              <w:autoSpaceDE/>
              <w:autoSpaceDN/>
              <w:bidi w:val="0"/>
              <w:ind w:left="898" w:right="784"/>
              <w:jc w:val="both"/>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室内</w:t>
            </w:r>
          </w:p>
        </w:tc>
        <w:tc>
          <w:tcPr>
            <w:tcW w:w="1786" w:type="dxa"/>
          </w:tcPr>
          <w:p>
            <w:pPr>
              <w:pStyle w:val="74"/>
              <w:keepNext w:val="0"/>
              <w:keepLines w:val="0"/>
              <w:pageBreakBefore w:val="0"/>
              <w:widowControl w:val="0"/>
              <w:kinsoku/>
              <w:wordWrap/>
              <w:overflowPunct/>
              <w:topLinePunct w:val="0"/>
              <w:autoSpaceDE/>
              <w:autoSpaceDN/>
              <w:bidi w:val="0"/>
              <w:ind w:left="113"/>
              <w:jc w:val="both"/>
              <w:textAlignment w:val="auto"/>
              <w:outlineLvl w:val="9"/>
              <w:rPr>
                <w:rFonts w:hint="eastAsia" w:ascii="仿宋" w:hAnsi="仿宋" w:eastAsia="仿宋" w:cs="仿宋"/>
                <w:b w:val="0"/>
                <w:bCs w:val="0"/>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609" w:type="dxa"/>
          </w:tcPr>
          <w:p>
            <w:pPr>
              <w:pStyle w:val="74"/>
              <w:keepNext w:val="0"/>
              <w:keepLines w:val="0"/>
              <w:pageBreakBefore w:val="0"/>
              <w:widowControl w:val="0"/>
              <w:kinsoku/>
              <w:wordWrap/>
              <w:overflowPunct/>
              <w:topLinePunct w:val="0"/>
              <w:autoSpaceDE/>
              <w:autoSpaceDN/>
              <w:bidi w:val="0"/>
              <w:ind w:right="257"/>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输出功率</w:t>
            </w:r>
          </w:p>
        </w:tc>
        <w:tc>
          <w:tcPr>
            <w:tcW w:w="2357" w:type="dxa"/>
          </w:tcPr>
          <w:p>
            <w:pPr>
              <w:pStyle w:val="74"/>
              <w:keepNext w:val="0"/>
              <w:keepLines w:val="0"/>
              <w:pageBreakBefore w:val="0"/>
              <w:widowControl w:val="0"/>
              <w:kinsoku/>
              <w:wordWrap/>
              <w:overflowPunct/>
              <w:topLinePunct w:val="0"/>
              <w:autoSpaceDE/>
              <w:autoSpaceDN/>
              <w:bidi w:val="0"/>
              <w:ind w:left="238" w:firstLine="180" w:firstLineChars="86"/>
              <w:jc w:val="both"/>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100W以上</w:t>
            </w:r>
          </w:p>
        </w:tc>
        <w:tc>
          <w:tcPr>
            <w:tcW w:w="2638" w:type="dxa"/>
          </w:tcPr>
          <w:p>
            <w:pPr>
              <w:pStyle w:val="74"/>
              <w:keepNext w:val="0"/>
              <w:keepLines w:val="0"/>
              <w:pageBreakBefore w:val="0"/>
              <w:widowControl w:val="0"/>
              <w:kinsoku/>
              <w:wordWrap/>
              <w:overflowPunct/>
              <w:topLinePunct w:val="0"/>
              <w:autoSpaceDE/>
              <w:autoSpaceDN/>
              <w:bidi w:val="0"/>
              <w:ind w:left="896" w:right="784"/>
              <w:jc w:val="both"/>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2W</w:t>
            </w:r>
          </w:p>
        </w:tc>
        <w:tc>
          <w:tcPr>
            <w:tcW w:w="1786" w:type="dxa"/>
          </w:tcPr>
          <w:p>
            <w:pPr>
              <w:pStyle w:val="74"/>
              <w:keepNext w:val="0"/>
              <w:keepLines w:val="0"/>
              <w:pageBreakBefore w:val="0"/>
              <w:widowControl w:val="0"/>
              <w:kinsoku/>
              <w:wordWrap/>
              <w:overflowPunct/>
              <w:topLinePunct w:val="0"/>
              <w:autoSpaceDE/>
              <w:autoSpaceDN/>
              <w:bidi w:val="0"/>
              <w:ind w:left="113"/>
              <w:jc w:val="both"/>
              <w:textAlignment w:val="auto"/>
              <w:outlineLvl w:val="9"/>
              <w:rPr>
                <w:rFonts w:hint="eastAsia" w:ascii="仿宋" w:hAnsi="仿宋" w:eastAsia="仿宋" w:cs="仿宋"/>
                <w:b w:val="0"/>
                <w:bCs w:val="0"/>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609" w:type="dxa"/>
          </w:tcPr>
          <w:p>
            <w:pPr>
              <w:pStyle w:val="74"/>
              <w:keepNext w:val="0"/>
              <w:keepLines w:val="0"/>
              <w:pageBreakBefore w:val="0"/>
              <w:widowControl w:val="0"/>
              <w:kinsoku/>
              <w:wordWrap/>
              <w:overflowPunct/>
              <w:topLinePunct w:val="0"/>
              <w:autoSpaceDE/>
              <w:autoSpaceDN/>
              <w:bidi w:val="0"/>
              <w:spacing w:before="22"/>
              <w:ind w:right="257"/>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防护等级</w:t>
            </w:r>
          </w:p>
        </w:tc>
        <w:tc>
          <w:tcPr>
            <w:tcW w:w="2357" w:type="dxa"/>
          </w:tcPr>
          <w:p>
            <w:pPr>
              <w:pStyle w:val="74"/>
              <w:keepNext w:val="0"/>
              <w:keepLines w:val="0"/>
              <w:pageBreakBefore w:val="0"/>
              <w:widowControl w:val="0"/>
              <w:kinsoku/>
              <w:wordWrap/>
              <w:overflowPunct/>
              <w:topLinePunct w:val="0"/>
              <w:autoSpaceDE/>
              <w:autoSpaceDN/>
              <w:bidi w:val="0"/>
              <w:ind w:left="238" w:firstLine="180" w:firstLineChars="86"/>
              <w:jc w:val="both"/>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IP65以上</w:t>
            </w:r>
          </w:p>
        </w:tc>
        <w:tc>
          <w:tcPr>
            <w:tcW w:w="2638" w:type="dxa"/>
          </w:tcPr>
          <w:p>
            <w:pPr>
              <w:pStyle w:val="74"/>
              <w:keepNext w:val="0"/>
              <w:keepLines w:val="0"/>
              <w:pageBreakBefore w:val="0"/>
              <w:widowControl w:val="0"/>
              <w:kinsoku/>
              <w:wordWrap/>
              <w:overflowPunct/>
              <w:topLinePunct w:val="0"/>
              <w:autoSpaceDE/>
              <w:autoSpaceDN/>
              <w:bidi w:val="0"/>
              <w:spacing w:before="22"/>
              <w:ind w:left="898" w:right="784"/>
              <w:jc w:val="both"/>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IP44</w:t>
            </w:r>
          </w:p>
        </w:tc>
        <w:tc>
          <w:tcPr>
            <w:tcW w:w="1786" w:type="dxa"/>
          </w:tcPr>
          <w:p>
            <w:pPr>
              <w:pStyle w:val="74"/>
              <w:keepNext w:val="0"/>
              <w:keepLines w:val="0"/>
              <w:pageBreakBefore w:val="0"/>
              <w:widowControl w:val="0"/>
              <w:kinsoku/>
              <w:wordWrap/>
              <w:overflowPunct/>
              <w:topLinePunct w:val="0"/>
              <w:autoSpaceDE/>
              <w:autoSpaceDN/>
              <w:bidi w:val="0"/>
              <w:spacing w:before="22"/>
              <w:ind w:left="113"/>
              <w:jc w:val="both"/>
              <w:textAlignment w:val="auto"/>
              <w:outlineLvl w:val="9"/>
              <w:rPr>
                <w:rFonts w:hint="eastAsia" w:ascii="仿宋" w:hAnsi="仿宋" w:eastAsia="仿宋" w:cs="仿宋"/>
                <w:b w:val="0"/>
                <w:bCs w:val="0"/>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609" w:type="dxa"/>
          </w:tcPr>
          <w:p>
            <w:pPr>
              <w:pStyle w:val="74"/>
              <w:keepNext w:val="0"/>
              <w:keepLines w:val="0"/>
              <w:pageBreakBefore w:val="0"/>
              <w:widowControl w:val="0"/>
              <w:kinsoku/>
              <w:wordWrap/>
              <w:overflowPunct/>
              <w:topLinePunct w:val="0"/>
              <w:autoSpaceDE/>
              <w:autoSpaceDN/>
              <w:bidi w:val="0"/>
              <w:spacing w:before="177"/>
              <w:ind w:right="257"/>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安装方式</w:t>
            </w:r>
          </w:p>
        </w:tc>
        <w:tc>
          <w:tcPr>
            <w:tcW w:w="2357" w:type="dxa"/>
          </w:tcPr>
          <w:p>
            <w:pPr>
              <w:pStyle w:val="74"/>
              <w:keepNext w:val="0"/>
              <w:keepLines w:val="0"/>
              <w:pageBreakBefore w:val="0"/>
              <w:widowControl w:val="0"/>
              <w:kinsoku/>
              <w:wordWrap/>
              <w:overflowPunct/>
              <w:topLinePunct w:val="0"/>
              <w:autoSpaceDE/>
              <w:autoSpaceDN/>
              <w:bidi w:val="0"/>
              <w:ind w:left="106"/>
              <w:jc w:val="both"/>
              <w:textAlignment w:val="auto"/>
              <w:outlineLvl w:val="9"/>
              <w:rPr>
                <w:rFonts w:hint="eastAsia" w:ascii="仿宋" w:hAnsi="仿宋" w:eastAsia="仿宋" w:cs="仿宋"/>
                <w:b w:val="0"/>
                <w:bCs w:val="0"/>
                <w:color w:val="auto"/>
                <w:lang w:eastAsia="zh-CN"/>
              </w:rPr>
            </w:pPr>
            <w:r>
              <w:rPr>
                <w:rFonts w:hint="eastAsia" w:ascii="仿宋" w:hAnsi="仿宋" w:eastAsia="仿宋" w:cs="仿宋"/>
                <w:b w:val="0"/>
                <w:bCs w:val="0"/>
                <w:color w:val="auto"/>
                <w:lang w:eastAsia="zh-CN"/>
              </w:rPr>
              <w:t>立杆胀杆固定、一体化基座安装箱、浇筑基础、钢结构等</w:t>
            </w:r>
          </w:p>
        </w:tc>
        <w:tc>
          <w:tcPr>
            <w:tcW w:w="2638" w:type="dxa"/>
          </w:tcPr>
          <w:p>
            <w:pPr>
              <w:pStyle w:val="74"/>
              <w:keepNext w:val="0"/>
              <w:keepLines w:val="0"/>
              <w:pageBreakBefore w:val="0"/>
              <w:widowControl w:val="0"/>
              <w:kinsoku/>
              <w:wordWrap/>
              <w:overflowPunct/>
              <w:topLinePunct w:val="0"/>
              <w:autoSpaceDE/>
              <w:autoSpaceDN/>
              <w:bidi w:val="0"/>
              <w:spacing w:before="177"/>
              <w:ind w:right="784"/>
              <w:jc w:val="both"/>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以壁挂式为主</w:t>
            </w:r>
          </w:p>
        </w:tc>
        <w:tc>
          <w:tcPr>
            <w:tcW w:w="1786" w:type="dxa"/>
          </w:tcPr>
          <w:p>
            <w:pPr>
              <w:pStyle w:val="74"/>
              <w:keepNext w:val="0"/>
              <w:keepLines w:val="0"/>
              <w:pageBreakBefore w:val="0"/>
              <w:widowControl w:val="0"/>
              <w:kinsoku/>
              <w:wordWrap/>
              <w:overflowPunct/>
              <w:topLinePunct w:val="0"/>
              <w:autoSpaceDE/>
              <w:autoSpaceDN/>
              <w:bidi w:val="0"/>
              <w:spacing w:before="177"/>
              <w:ind w:left="113"/>
              <w:jc w:val="both"/>
              <w:textAlignment w:val="auto"/>
              <w:outlineLvl w:val="9"/>
              <w:rPr>
                <w:rFonts w:hint="eastAsia" w:ascii="仿宋" w:hAnsi="仿宋" w:eastAsia="仿宋" w:cs="仿宋"/>
                <w:b w:val="0"/>
                <w:bCs w:val="0"/>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jc w:val="center"/>
        </w:trPr>
        <w:tc>
          <w:tcPr>
            <w:tcW w:w="1609" w:type="dxa"/>
          </w:tcPr>
          <w:p>
            <w:pPr>
              <w:pStyle w:val="74"/>
              <w:keepNext w:val="0"/>
              <w:keepLines w:val="0"/>
              <w:pageBreakBefore w:val="0"/>
              <w:widowControl w:val="0"/>
              <w:kinsoku/>
              <w:wordWrap/>
              <w:overflowPunct/>
              <w:topLinePunct w:val="0"/>
              <w:autoSpaceDE/>
              <w:autoSpaceDN/>
              <w:bidi w:val="0"/>
              <w:spacing w:before="0"/>
              <w:textAlignment w:val="auto"/>
              <w:outlineLvl w:val="9"/>
              <w:rPr>
                <w:rFonts w:hint="eastAsia" w:ascii="仿宋" w:hAnsi="仿宋" w:eastAsia="仿宋" w:cs="仿宋"/>
                <w:b w:val="0"/>
                <w:bCs w:val="0"/>
                <w:color w:val="auto"/>
                <w:sz w:val="26"/>
              </w:rPr>
            </w:pPr>
          </w:p>
          <w:p>
            <w:pPr>
              <w:pStyle w:val="74"/>
              <w:keepNext w:val="0"/>
              <w:keepLines w:val="0"/>
              <w:pageBreakBefore w:val="0"/>
              <w:widowControl w:val="0"/>
              <w:kinsoku/>
              <w:wordWrap/>
              <w:overflowPunct/>
              <w:topLinePunct w:val="0"/>
              <w:autoSpaceDE/>
              <w:autoSpaceDN/>
              <w:bidi w:val="0"/>
              <w:spacing w:before="0"/>
              <w:ind w:right="257"/>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供电方式</w:t>
            </w:r>
          </w:p>
        </w:tc>
        <w:tc>
          <w:tcPr>
            <w:tcW w:w="2357" w:type="dxa"/>
          </w:tcPr>
          <w:p>
            <w:pPr>
              <w:pStyle w:val="74"/>
              <w:keepNext w:val="0"/>
              <w:keepLines w:val="0"/>
              <w:pageBreakBefore w:val="0"/>
              <w:widowControl w:val="0"/>
              <w:kinsoku/>
              <w:wordWrap/>
              <w:overflowPunct/>
              <w:topLinePunct w:val="0"/>
              <w:autoSpaceDE/>
              <w:autoSpaceDN/>
              <w:bidi w:val="0"/>
              <w:spacing w:before="177" w:line="278" w:lineRule="auto"/>
              <w:ind w:right="96"/>
              <w:jc w:val="both"/>
              <w:textAlignment w:val="auto"/>
              <w:outlineLvl w:val="9"/>
              <w:rPr>
                <w:rFonts w:hint="eastAsia" w:ascii="仿宋" w:hAnsi="仿宋" w:eastAsia="仿宋" w:cs="仿宋"/>
                <w:b w:val="0"/>
                <w:bCs w:val="0"/>
                <w:color w:val="auto"/>
                <w:lang w:eastAsia="zh-CN"/>
              </w:rPr>
            </w:pPr>
            <w:r>
              <w:rPr>
                <w:rFonts w:hint="eastAsia" w:ascii="仿宋" w:hAnsi="仿宋" w:eastAsia="仿宋" w:cs="仿宋"/>
                <w:b w:val="0"/>
                <w:bCs w:val="0"/>
                <w:color w:val="auto"/>
                <w:spacing w:val="-11"/>
                <w:lang w:eastAsia="zh-CN"/>
              </w:rPr>
              <w:t>按需供电方式，满足连续</w:t>
            </w:r>
            <w:r>
              <w:rPr>
                <w:rFonts w:hint="eastAsia" w:ascii="仿宋" w:hAnsi="仿宋" w:eastAsia="仿宋" w:cs="仿宋"/>
                <w:b w:val="0"/>
                <w:bCs w:val="0"/>
                <w:color w:val="auto"/>
                <w:lang w:eastAsia="zh-CN"/>
              </w:rPr>
              <w:t>30</w:t>
            </w:r>
            <w:r>
              <w:rPr>
                <w:rFonts w:hint="eastAsia" w:ascii="仿宋" w:hAnsi="仿宋" w:eastAsia="仿宋" w:cs="仿宋"/>
                <w:b w:val="0"/>
                <w:bCs w:val="0"/>
                <w:color w:val="auto"/>
                <w:spacing w:val="-7"/>
                <w:lang w:eastAsia="zh-CN"/>
              </w:rPr>
              <w:t>个阴</w:t>
            </w:r>
            <w:r>
              <w:rPr>
                <w:rFonts w:hint="eastAsia" w:ascii="仿宋" w:hAnsi="仿宋" w:eastAsia="仿宋" w:cs="仿宋"/>
                <w:b w:val="0"/>
                <w:bCs w:val="0"/>
                <w:color w:val="auto"/>
                <w:lang w:eastAsia="zh-CN"/>
              </w:rPr>
              <w:t>雨日正常工作</w:t>
            </w:r>
          </w:p>
        </w:tc>
        <w:tc>
          <w:tcPr>
            <w:tcW w:w="2638" w:type="dxa"/>
          </w:tcPr>
          <w:p>
            <w:pPr>
              <w:pStyle w:val="74"/>
              <w:keepNext w:val="0"/>
              <w:keepLines w:val="0"/>
              <w:pageBreakBefore w:val="0"/>
              <w:widowControl w:val="0"/>
              <w:kinsoku/>
              <w:wordWrap/>
              <w:overflowPunct/>
              <w:topLinePunct w:val="0"/>
              <w:autoSpaceDE/>
              <w:autoSpaceDN/>
              <w:bidi w:val="0"/>
              <w:spacing w:line="278" w:lineRule="auto"/>
              <w:ind w:left="130" w:right="120"/>
              <w:jc w:val="both"/>
              <w:textAlignment w:val="auto"/>
              <w:outlineLvl w:val="9"/>
              <w:rPr>
                <w:rFonts w:hint="eastAsia" w:ascii="仿宋" w:hAnsi="仿宋" w:eastAsia="仿宋" w:cs="仿宋"/>
                <w:b w:val="0"/>
                <w:bCs w:val="0"/>
                <w:color w:val="auto"/>
                <w:lang w:eastAsia="zh-CN"/>
              </w:rPr>
            </w:pPr>
            <w:r>
              <w:rPr>
                <w:rFonts w:hint="eastAsia" w:ascii="仿宋" w:hAnsi="仿宋" w:eastAsia="仿宋" w:cs="仿宋"/>
                <w:b w:val="0"/>
                <w:bCs w:val="0"/>
                <w:color w:val="auto"/>
                <w:lang w:eastAsia="zh-CN"/>
              </w:rPr>
              <w:t>市电及内置备用电池，支持断电自动切换，电池待机时间大于24小时</w:t>
            </w:r>
          </w:p>
        </w:tc>
        <w:tc>
          <w:tcPr>
            <w:tcW w:w="1786" w:type="dxa"/>
          </w:tcPr>
          <w:p>
            <w:pPr>
              <w:pStyle w:val="74"/>
              <w:keepNext w:val="0"/>
              <w:keepLines w:val="0"/>
              <w:pageBreakBefore w:val="0"/>
              <w:widowControl w:val="0"/>
              <w:kinsoku/>
              <w:wordWrap/>
              <w:overflowPunct/>
              <w:topLinePunct w:val="0"/>
              <w:autoSpaceDE/>
              <w:autoSpaceDN/>
              <w:bidi w:val="0"/>
              <w:spacing w:before="0"/>
              <w:jc w:val="both"/>
              <w:textAlignment w:val="auto"/>
              <w:outlineLvl w:val="9"/>
              <w:rPr>
                <w:rFonts w:hint="eastAsia" w:ascii="仿宋" w:hAnsi="仿宋" w:eastAsia="仿宋" w:cs="仿宋"/>
                <w:b w:val="0"/>
                <w:bCs w:val="0"/>
                <w:color w:val="auto"/>
                <w:sz w:val="26"/>
                <w:lang w:eastAsia="zh-CN"/>
              </w:rPr>
            </w:pPr>
            <w:r>
              <w:rPr>
                <w:rFonts w:hint="eastAsia" w:ascii="仿宋" w:hAnsi="仿宋" w:eastAsia="仿宋" w:cs="仿宋"/>
                <w:b w:val="0"/>
                <w:bCs w:val="0"/>
                <w:color w:val="auto"/>
                <w:lang w:val="en-US" w:eastAsia="zh-CN"/>
              </w:rPr>
              <w:t>具备</w:t>
            </w:r>
            <w:r>
              <w:rPr>
                <w:rFonts w:hint="eastAsia" w:ascii="仿宋" w:hAnsi="仿宋" w:eastAsia="仿宋" w:cs="仿宋"/>
                <w:b w:val="0"/>
                <w:bCs w:val="0"/>
                <w:color w:val="auto"/>
              </w:rPr>
              <w:t>过压及欠压保护</w:t>
            </w:r>
          </w:p>
          <w:p>
            <w:pPr>
              <w:pStyle w:val="74"/>
              <w:keepNext w:val="0"/>
              <w:keepLines w:val="0"/>
              <w:pageBreakBefore w:val="0"/>
              <w:widowControl w:val="0"/>
              <w:kinsoku/>
              <w:wordWrap/>
              <w:overflowPunct/>
              <w:topLinePunct w:val="0"/>
              <w:autoSpaceDE/>
              <w:autoSpaceDN/>
              <w:bidi w:val="0"/>
              <w:spacing w:before="0"/>
              <w:ind w:left="113"/>
              <w:jc w:val="both"/>
              <w:textAlignment w:val="auto"/>
              <w:outlineLvl w:val="9"/>
              <w:rPr>
                <w:rFonts w:hint="eastAsia" w:ascii="仿宋" w:hAnsi="仿宋" w:eastAsia="仿宋" w:cs="仿宋"/>
                <w:b w:val="0"/>
                <w:bCs w:val="0"/>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609" w:type="dxa"/>
          </w:tcPr>
          <w:p>
            <w:pPr>
              <w:pStyle w:val="74"/>
              <w:keepNext w:val="0"/>
              <w:keepLines w:val="0"/>
              <w:pageBreakBefore w:val="0"/>
              <w:widowControl w:val="0"/>
              <w:kinsoku/>
              <w:wordWrap/>
              <w:overflowPunct/>
              <w:topLinePunct w:val="0"/>
              <w:autoSpaceDE/>
              <w:autoSpaceDN/>
              <w:bidi w:val="0"/>
              <w:spacing w:before="22"/>
              <w:ind w:right="257"/>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现场存储</w:t>
            </w:r>
          </w:p>
        </w:tc>
        <w:tc>
          <w:tcPr>
            <w:tcW w:w="4995" w:type="dxa"/>
            <w:gridSpan w:val="2"/>
          </w:tcPr>
          <w:p>
            <w:pPr>
              <w:pStyle w:val="74"/>
              <w:keepNext w:val="0"/>
              <w:keepLines w:val="0"/>
              <w:pageBreakBefore w:val="0"/>
              <w:widowControl w:val="0"/>
              <w:kinsoku/>
              <w:wordWrap/>
              <w:overflowPunct/>
              <w:topLinePunct w:val="0"/>
              <w:autoSpaceDE/>
              <w:autoSpaceDN/>
              <w:bidi w:val="0"/>
              <w:spacing w:before="22"/>
              <w:ind w:left="1868"/>
              <w:jc w:val="both"/>
              <w:textAlignment w:val="auto"/>
              <w:outlineLvl w:val="9"/>
              <w:rPr>
                <w:rFonts w:hint="eastAsia" w:ascii="仿宋" w:hAnsi="仿宋" w:eastAsia="仿宋" w:cs="仿宋"/>
                <w:b w:val="0"/>
                <w:bCs w:val="0"/>
                <w:color w:val="auto"/>
                <w:lang w:eastAsia="zh-CN"/>
              </w:rPr>
            </w:pPr>
            <w:r>
              <w:rPr>
                <w:rFonts w:hint="eastAsia" w:ascii="仿宋" w:hAnsi="仿宋" w:eastAsia="仿宋" w:cs="仿宋"/>
                <w:b w:val="0"/>
                <w:bCs w:val="0"/>
                <w:color w:val="auto"/>
                <w:lang w:eastAsia="zh-CN"/>
              </w:rPr>
              <w:t>本地存储及远端平台存储</w:t>
            </w:r>
          </w:p>
        </w:tc>
        <w:tc>
          <w:tcPr>
            <w:tcW w:w="1786" w:type="dxa"/>
          </w:tcPr>
          <w:p>
            <w:pPr>
              <w:pStyle w:val="74"/>
              <w:keepNext w:val="0"/>
              <w:keepLines w:val="0"/>
              <w:pageBreakBefore w:val="0"/>
              <w:widowControl w:val="0"/>
              <w:kinsoku/>
              <w:wordWrap/>
              <w:overflowPunct/>
              <w:topLinePunct w:val="0"/>
              <w:autoSpaceDE/>
              <w:autoSpaceDN/>
              <w:bidi w:val="0"/>
              <w:spacing w:before="22"/>
              <w:ind w:left="113"/>
              <w:jc w:val="both"/>
              <w:textAlignment w:val="auto"/>
              <w:outlineLvl w:val="9"/>
              <w:rPr>
                <w:rFonts w:hint="eastAsia" w:ascii="仿宋" w:hAnsi="仿宋" w:eastAsia="仿宋" w:cs="仿宋"/>
                <w:b w:val="0"/>
                <w:bCs w:val="0"/>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609" w:type="dxa"/>
          </w:tcPr>
          <w:p>
            <w:pPr>
              <w:pStyle w:val="74"/>
              <w:keepNext w:val="0"/>
              <w:keepLines w:val="0"/>
              <w:pageBreakBefore w:val="0"/>
              <w:widowControl w:val="0"/>
              <w:kinsoku/>
              <w:wordWrap/>
              <w:overflowPunct/>
              <w:topLinePunct w:val="0"/>
              <w:autoSpaceDE/>
              <w:autoSpaceDN/>
              <w:bidi w:val="0"/>
              <w:spacing w:before="177"/>
              <w:ind w:right="257"/>
              <w:textAlignment w:val="auto"/>
              <w:outlineLvl w:val="9"/>
              <w:rPr>
                <w:rFonts w:hint="eastAsia" w:ascii="仿宋" w:hAnsi="仿宋" w:eastAsia="仿宋" w:cs="仿宋"/>
                <w:b w:val="0"/>
                <w:bCs w:val="0"/>
                <w:color w:val="auto"/>
              </w:rPr>
            </w:pPr>
            <w:r>
              <w:rPr>
                <w:rFonts w:hint="eastAsia" w:ascii="仿宋" w:hAnsi="仿宋" w:eastAsia="仿宋" w:cs="仿宋"/>
                <w:b w:val="0"/>
                <w:bCs w:val="0"/>
                <w:color w:val="auto"/>
              </w:rPr>
              <w:t>控制方式</w:t>
            </w:r>
          </w:p>
        </w:tc>
        <w:tc>
          <w:tcPr>
            <w:tcW w:w="4995" w:type="dxa"/>
            <w:gridSpan w:val="2"/>
          </w:tcPr>
          <w:p>
            <w:pPr>
              <w:pStyle w:val="74"/>
              <w:keepNext w:val="0"/>
              <w:keepLines w:val="0"/>
              <w:pageBreakBefore w:val="0"/>
              <w:widowControl w:val="0"/>
              <w:kinsoku/>
              <w:wordWrap/>
              <w:overflowPunct/>
              <w:topLinePunct w:val="0"/>
              <w:autoSpaceDE/>
              <w:autoSpaceDN/>
              <w:bidi w:val="0"/>
              <w:spacing w:before="177"/>
              <w:ind w:left="1868"/>
              <w:jc w:val="both"/>
              <w:textAlignment w:val="auto"/>
              <w:outlineLvl w:val="9"/>
              <w:rPr>
                <w:rFonts w:hint="eastAsia" w:ascii="仿宋" w:hAnsi="仿宋" w:eastAsia="仿宋" w:cs="仿宋"/>
                <w:b w:val="0"/>
                <w:bCs w:val="0"/>
                <w:color w:val="auto"/>
                <w:lang w:eastAsia="zh-CN"/>
              </w:rPr>
            </w:pPr>
            <w:r>
              <w:rPr>
                <w:rFonts w:hint="eastAsia" w:ascii="仿宋" w:hAnsi="仿宋" w:eastAsia="仿宋" w:cs="仿宋"/>
                <w:b w:val="0"/>
                <w:bCs w:val="0"/>
                <w:color w:val="auto"/>
                <w:lang w:eastAsia="zh-CN"/>
              </w:rPr>
              <w:t>本地控制及远端平台控制</w:t>
            </w:r>
          </w:p>
        </w:tc>
        <w:tc>
          <w:tcPr>
            <w:tcW w:w="1786" w:type="dxa"/>
          </w:tcPr>
          <w:p>
            <w:pPr>
              <w:pStyle w:val="74"/>
              <w:keepNext w:val="0"/>
              <w:keepLines w:val="0"/>
              <w:pageBreakBefore w:val="0"/>
              <w:widowControl w:val="0"/>
              <w:kinsoku/>
              <w:wordWrap/>
              <w:overflowPunct/>
              <w:topLinePunct w:val="0"/>
              <w:autoSpaceDE/>
              <w:autoSpaceDN/>
              <w:bidi w:val="0"/>
              <w:ind w:left="125"/>
              <w:jc w:val="both"/>
              <w:textAlignment w:val="auto"/>
              <w:outlineLvl w:val="9"/>
              <w:rPr>
                <w:rFonts w:hint="eastAsia" w:ascii="仿宋" w:hAnsi="仿宋" w:eastAsia="仿宋" w:cs="仿宋"/>
                <w:b w:val="0"/>
                <w:bCs w:val="0"/>
                <w:color w:val="auto"/>
                <w:lang w:eastAsia="zh-CN"/>
              </w:rPr>
            </w:pPr>
            <w:r>
              <w:rPr>
                <w:rFonts w:hint="eastAsia" w:ascii="仿宋" w:hAnsi="仿宋" w:eastAsia="仿宋" w:cs="仿宋"/>
                <w:b w:val="0"/>
                <w:bCs w:val="0"/>
                <w:color w:val="auto"/>
                <w:lang w:eastAsia="zh-CN"/>
              </w:rPr>
              <w:t>本地控制需提供误报消除按键</w:t>
            </w:r>
          </w:p>
        </w:tc>
      </w:tr>
    </w:tbl>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textAlignment w:val="auto"/>
        <w:outlineLvl w:val="1"/>
        <w:rPr>
          <w:rFonts w:hint="eastAsia" w:ascii="仿宋" w:hAnsi="仿宋" w:eastAsia="仿宋" w:cs="仿宋"/>
          <w:b w:val="0"/>
          <w:bCs w:val="0"/>
          <w:color w:val="auto"/>
          <w:sz w:val="24"/>
          <w:szCs w:val="24"/>
        </w:rPr>
      </w:pPr>
      <w:bookmarkStart w:id="353" w:name="_Toc14982"/>
      <w:r>
        <w:rPr>
          <w:rFonts w:hint="eastAsia" w:ascii="仿宋" w:hAnsi="仿宋" w:eastAsia="仿宋" w:cs="仿宋"/>
          <w:b w:val="0"/>
          <w:bCs w:val="0"/>
          <w:color w:val="auto"/>
          <w:sz w:val="24"/>
          <w:szCs w:val="24"/>
        </w:rPr>
        <w:t>八、主要实物工作量</w:t>
      </w:r>
      <w:bookmarkEnd w:id="353"/>
    </w:p>
    <w:p>
      <w:pPr>
        <w:keepNext w:val="0"/>
        <w:keepLines w:val="0"/>
        <w:pageBreakBefore w:val="0"/>
        <w:widowControl w:val="0"/>
        <w:kinsoku/>
        <w:wordWrap/>
        <w:overflowPunct/>
        <w:topLinePunct w:val="0"/>
        <w:autoSpaceDE/>
        <w:autoSpaceDN/>
        <w:bidi w:val="0"/>
        <w:spacing w:line="540" w:lineRule="exact"/>
        <w:ind w:firstLine="480" w:firstLineChars="200"/>
        <w:textAlignment w:val="auto"/>
        <w:outlineLvl w:val="9"/>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地质灾害群专结合监测预警点建设工作包括现场踏勘、监测点单点设计书及总体设计方案、监测设备的购置、运输、安装、防护围栏安装、警示牌制作、数据传输和运行维护。</w:t>
      </w:r>
    </w:p>
    <w:p>
      <w:pPr>
        <w:keepNext w:val="0"/>
        <w:keepLines w:val="0"/>
        <w:pageBreakBefore w:val="0"/>
        <w:widowControl w:val="0"/>
        <w:kinsoku/>
        <w:wordWrap/>
        <w:overflowPunct/>
        <w:topLinePunct w:val="0"/>
        <w:autoSpaceDE/>
        <w:autoSpaceDN/>
        <w:bidi w:val="0"/>
        <w:spacing w:line="540" w:lineRule="exact"/>
        <w:ind w:firstLine="480" w:firstLineChars="200"/>
        <w:textAlignment w:val="auto"/>
        <w:outlineLvl w:val="9"/>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监测点建设数量不少于1</w:t>
      </w:r>
      <w:r>
        <w:rPr>
          <w:rFonts w:hint="eastAsia" w:ascii="仿宋" w:hAnsi="仿宋" w:eastAsia="仿宋" w:cs="仿宋"/>
          <w:b w:val="0"/>
          <w:bCs w:val="0"/>
          <w:color w:val="auto"/>
          <w:sz w:val="24"/>
          <w:szCs w:val="24"/>
          <w:lang w:val="en-US" w:eastAsia="zh-CN"/>
        </w:rPr>
        <w:t>0</w:t>
      </w:r>
      <w:r>
        <w:rPr>
          <w:rFonts w:hint="eastAsia" w:ascii="仿宋" w:hAnsi="仿宋" w:eastAsia="仿宋" w:cs="仿宋"/>
          <w:b w:val="0"/>
          <w:bCs w:val="0"/>
          <w:color w:val="auto"/>
          <w:sz w:val="24"/>
          <w:szCs w:val="24"/>
        </w:rPr>
        <w:t>个。选择确定风险较大的重要隐患点，安排采用无人机实测成图，其中正射影像比例不低于30%，三维模型比例不低于10%。监测预警点单点设计方案应采用近期高分辨率影像，附地质隐患点、承载体、灾害特征照片。投标单位在现场踏勘后提出投标设计方案。</w:t>
      </w:r>
    </w:p>
    <w:p>
      <w:pPr>
        <w:keepNext w:val="0"/>
        <w:keepLines w:val="0"/>
        <w:pageBreakBefore w:val="0"/>
        <w:widowControl w:val="0"/>
        <w:kinsoku/>
        <w:wordWrap/>
        <w:overflowPunct/>
        <w:topLinePunct w:val="0"/>
        <w:autoSpaceDE/>
        <w:autoSpaceDN/>
        <w:bidi w:val="0"/>
        <w:spacing w:line="540" w:lineRule="exact"/>
        <w:ind w:firstLine="480" w:firstLineChars="200"/>
        <w:textAlignment w:val="auto"/>
        <w:outlineLvl w:val="9"/>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最终设计方案及工作量以审批后的项目设计书为准。</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textAlignment w:val="auto"/>
        <w:outlineLvl w:val="1"/>
        <w:rPr>
          <w:rFonts w:hint="eastAsia" w:ascii="仿宋" w:hAnsi="仿宋" w:eastAsia="仿宋" w:cs="仿宋"/>
          <w:b w:val="0"/>
          <w:bCs w:val="0"/>
          <w:color w:val="auto"/>
          <w:sz w:val="24"/>
          <w:szCs w:val="24"/>
        </w:rPr>
      </w:pPr>
      <w:bookmarkStart w:id="354" w:name="_Toc20277"/>
      <w:r>
        <w:rPr>
          <w:rFonts w:hint="eastAsia" w:ascii="仿宋" w:hAnsi="仿宋" w:eastAsia="仿宋" w:cs="仿宋"/>
          <w:b w:val="0"/>
          <w:bCs w:val="0"/>
          <w:color w:val="auto"/>
          <w:sz w:val="24"/>
          <w:szCs w:val="24"/>
        </w:rPr>
        <w:t>九、预期提交成果</w:t>
      </w:r>
      <w:bookmarkEnd w:id="354"/>
    </w:p>
    <w:p>
      <w:pPr>
        <w:keepNext w:val="0"/>
        <w:keepLines w:val="0"/>
        <w:pageBreakBefore w:val="0"/>
        <w:widowControl w:val="0"/>
        <w:kinsoku/>
        <w:wordWrap/>
        <w:overflowPunct/>
        <w:topLinePunct w:val="0"/>
        <w:autoSpaceDE/>
        <w:autoSpaceDN/>
        <w:bidi w:val="0"/>
        <w:spacing w:line="540" w:lineRule="exact"/>
        <w:ind w:firstLine="480" w:firstLineChars="200"/>
        <w:textAlignment w:val="auto"/>
        <w:outlineLvl w:val="9"/>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（一）</w:t>
      </w:r>
      <w:r>
        <w:rPr>
          <w:rFonts w:hint="eastAsia" w:ascii="仿宋" w:hAnsi="仿宋" w:eastAsia="仿宋" w:cs="仿宋"/>
          <w:b w:val="0"/>
          <w:bCs w:val="0"/>
          <w:color w:val="auto"/>
          <w:sz w:val="24"/>
          <w:szCs w:val="24"/>
          <w:lang w:eastAsia="zh-CN"/>
        </w:rPr>
        <w:t>《新疆</w:t>
      </w:r>
      <w:r>
        <w:rPr>
          <w:rFonts w:hint="eastAsia" w:ascii="仿宋" w:hAnsi="仿宋" w:eastAsia="仿宋" w:cs="仿宋"/>
          <w:b w:val="0"/>
          <w:bCs w:val="0"/>
          <w:color w:val="auto"/>
          <w:sz w:val="24"/>
          <w:szCs w:val="24"/>
          <w:lang w:val="en-US" w:eastAsia="zh-CN"/>
        </w:rPr>
        <w:t>克孜勒苏柯尔克孜自治州</w:t>
      </w:r>
      <w:r>
        <w:rPr>
          <w:rFonts w:hint="eastAsia" w:ascii="仿宋" w:hAnsi="仿宋" w:eastAsia="仿宋" w:cs="仿宋"/>
          <w:b w:val="0"/>
          <w:bCs w:val="0"/>
          <w:color w:val="auto"/>
          <w:sz w:val="24"/>
          <w:szCs w:val="24"/>
          <w:lang w:eastAsia="zh-CN"/>
        </w:rPr>
        <w:t>群专结合监测预警点建设（2023年度）设计方案》</w:t>
      </w:r>
    </w:p>
    <w:p>
      <w:pPr>
        <w:keepNext w:val="0"/>
        <w:keepLines w:val="0"/>
        <w:pageBreakBefore w:val="0"/>
        <w:widowControl w:val="0"/>
        <w:kinsoku/>
        <w:wordWrap/>
        <w:overflowPunct/>
        <w:topLinePunct w:val="0"/>
        <w:autoSpaceDE/>
        <w:autoSpaceDN/>
        <w:bidi w:val="0"/>
        <w:spacing w:line="540" w:lineRule="exact"/>
        <w:ind w:firstLine="480" w:firstLineChars="200"/>
        <w:textAlignment w:val="auto"/>
        <w:outlineLvl w:val="9"/>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（二）《新疆</w:t>
      </w:r>
      <w:r>
        <w:rPr>
          <w:rFonts w:hint="eastAsia" w:ascii="仿宋" w:hAnsi="仿宋" w:eastAsia="仿宋" w:cs="仿宋"/>
          <w:b w:val="0"/>
          <w:bCs w:val="0"/>
          <w:color w:val="auto"/>
          <w:sz w:val="24"/>
          <w:szCs w:val="24"/>
          <w:lang w:val="en-US" w:eastAsia="zh-CN"/>
        </w:rPr>
        <w:t>克孜勒苏柯尔克孜自治州</w:t>
      </w:r>
      <w:r>
        <w:rPr>
          <w:rFonts w:hint="eastAsia" w:ascii="仿宋" w:hAnsi="仿宋" w:eastAsia="仿宋" w:cs="仿宋"/>
          <w:b w:val="0"/>
          <w:bCs w:val="0"/>
          <w:color w:val="auto"/>
          <w:sz w:val="24"/>
          <w:szCs w:val="24"/>
        </w:rPr>
        <w:t>群专结合监测预警点建设项目（</w:t>
      </w:r>
      <w:r>
        <w:rPr>
          <w:rFonts w:hint="eastAsia" w:ascii="仿宋" w:hAnsi="仿宋" w:eastAsia="仿宋" w:cs="仿宋"/>
          <w:b w:val="0"/>
          <w:bCs w:val="0"/>
          <w:color w:val="auto"/>
          <w:sz w:val="24"/>
          <w:szCs w:val="24"/>
          <w:lang w:eastAsia="zh-CN"/>
        </w:rPr>
        <w:t>2023年</w:t>
      </w:r>
      <w:r>
        <w:rPr>
          <w:rFonts w:hint="eastAsia" w:ascii="仿宋" w:hAnsi="仿宋" w:eastAsia="仿宋" w:cs="仿宋"/>
          <w:b w:val="0"/>
          <w:bCs w:val="0"/>
          <w:color w:val="auto"/>
          <w:sz w:val="24"/>
          <w:szCs w:val="24"/>
        </w:rPr>
        <w:t>度）年度报告》；</w:t>
      </w:r>
    </w:p>
    <w:p>
      <w:pPr>
        <w:keepNext w:val="0"/>
        <w:keepLines w:val="0"/>
        <w:pageBreakBefore w:val="0"/>
        <w:widowControl w:val="0"/>
        <w:kinsoku/>
        <w:wordWrap/>
        <w:overflowPunct/>
        <w:topLinePunct w:val="0"/>
        <w:autoSpaceDE/>
        <w:autoSpaceDN/>
        <w:bidi w:val="0"/>
        <w:spacing w:line="540" w:lineRule="exact"/>
        <w:ind w:firstLine="480" w:firstLineChars="200"/>
        <w:textAlignment w:val="auto"/>
        <w:outlineLvl w:val="9"/>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（三）《新疆</w:t>
      </w:r>
      <w:r>
        <w:rPr>
          <w:rFonts w:hint="eastAsia" w:ascii="仿宋" w:hAnsi="仿宋" w:eastAsia="仿宋" w:cs="仿宋"/>
          <w:b w:val="0"/>
          <w:bCs w:val="0"/>
          <w:color w:val="auto"/>
          <w:sz w:val="24"/>
          <w:szCs w:val="24"/>
          <w:lang w:val="en-US" w:eastAsia="zh-CN"/>
        </w:rPr>
        <w:t>克孜勒苏柯尔克孜自治州</w:t>
      </w:r>
      <w:r>
        <w:rPr>
          <w:rFonts w:hint="eastAsia" w:ascii="仿宋" w:hAnsi="仿宋" w:eastAsia="仿宋" w:cs="仿宋"/>
          <w:b w:val="0"/>
          <w:bCs w:val="0"/>
          <w:color w:val="auto"/>
          <w:sz w:val="24"/>
          <w:szCs w:val="24"/>
        </w:rPr>
        <w:t>群专结合监测预警点建设项目建设（</w:t>
      </w:r>
      <w:r>
        <w:rPr>
          <w:rFonts w:hint="eastAsia" w:ascii="仿宋" w:hAnsi="仿宋" w:eastAsia="仿宋" w:cs="仿宋"/>
          <w:b w:val="0"/>
          <w:bCs w:val="0"/>
          <w:color w:val="auto"/>
          <w:sz w:val="24"/>
          <w:szCs w:val="24"/>
          <w:lang w:eastAsia="zh-CN"/>
        </w:rPr>
        <w:t>2023年</w:t>
      </w:r>
      <w:r>
        <w:rPr>
          <w:rFonts w:hint="eastAsia" w:ascii="仿宋" w:hAnsi="仿宋" w:eastAsia="仿宋" w:cs="仿宋"/>
          <w:b w:val="0"/>
          <w:bCs w:val="0"/>
          <w:color w:val="auto"/>
          <w:sz w:val="24"/>
          <w:szCs w:val="24"/>
        </w:rPr>
        <w:t>度）竣工报告》；</w:t>
      </w:r>
    </w:p>
    <w:p>
      <w:pPr>
        <w:keepNext w:val="0"/>
        <w:keepLines w:val="0"/>
        <w:pageBreakBefore w:val="0"/>
        <w:widowControl w:val="0"/>
        <w:kinsoku/>
        <w:wordWrap/>
        <w:overflowPunct/>
        <w:topLinePunct w:val="0"/>
        <w:autoSpaceDE/>
        <w:autoSpaceDN/>
        <w:bidi w:val="0"/>
        <w:spacing w:line="540" w:lineRule="exact"/>
        <w:ind w:firstLine="480" w:firstLineChars="200"/>
        <w:textAlignment w:val="auto"/>
        <w:outlineLvl w:val="9"/>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（四）《新疆</w:t>
      </w:r>
      <w:r>
        <w:rPr>
          <w:rFonts w:hint="eastAsia" w:ascii="仿宋" w:hAnsi="仿宋" w:eastAsia="仿宋" w:cs="仿宋"/>
          <w:b w:val="0"/>
          <w:bCs w:val="0"/>
          <w:color w:val="auto"/>
          <w:sz w:val="24"/>
          <w:szCs w:val="24"/>
          <w:lang w:val="en-US" w:eastAsia="zh-CN"/>
        </w:rPr>
        <w:t>克孜勒苏柯尔克孜自治州</w:t>
      </w:r>
      <w:r>
        <w:rPr>
          <w:rFonts w:hint="eastAsia" w:ascii="仿宋" w:hAnsi="仿宋" w:eastAsia="仿宋" w:cs="仿宋"/>
          <w:b w:val="0"/>
          <w:bCs w:val="0"/>
          <w:color w:val="auto"/>
          <w:sz w:val="24"/>
          <w:szCs w:val="24"/>
        </w:rPr>
        <w:t>群专结合监测预警点监测（</w:t>
      </w:r>
      <w:r>
        <w:rPr>
          <w:rFonts w:hint="eastAsia" w:ascii="仿宋" w:hAnsi="仿宋" w:eastAsia="仿宋" w:cs="仿宋"/>
          <w:b w:val="0"/>
          <w:bCs w:val="0"/>
          <w:color w:val="auto"/>
          <w:sz w:val="24"/>
          <w:szCs w:val="24"/>
          <w:lang w:eastAsia="zh-CN"/>
        </w:rPr>
        <w:t>2023年</w:t>
      </w:r>
      <w:r>
        <w:rPr>
          <w:rFonts w:hint="eastAsia" w:ascii="仿宋" w:hAnsi="仿宋" w:eastAsia="仿宋" w:cs="仿宋"/>
          <w:b w:val="0"/>
          <w:bCs w:val="0"/>
          <w:color w:val="auto"/>
          <w:sz w:val="24"/>
          <w:szCs w:val="24"/>
        </w:rPr>
        <w:t>度）设备使用手册》；</w:t>
      </w:r>
    </w:p>
    <w:p>
      <w:pPr>
        <w:keepNext w:val="0"/>
        <w:keepLines w:val="0"/>
        <w:pageBreakBefore w:val="0"/>
        <w:widowControl w:val="0"/>
        <w:kinsoku/>
        <w:wordWrap/>
        <w:overflowPunct/>
        <w:topLinePunct w:val="0"/>
        <w:autoSpaceDE/>
        <w:autoSpaceDN/>
        <w:bidi w:val="0"/>
        <w:spacing w:line="540" w:lineRule="exact"/>
        <w:ind w:firstLine="480" w:firstLineChars="200"/>
        <w:textAlignment w:val="auto"/>
        <w:outlineLvl w:val="9"/>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（五）《新疆</w:t>
      </w:r>
      <w:r>
        <w:rPr>
          <w:rFonts w:hint="eastAsia" w:ascii="仿宋" w:hAnsi="仿宋" w:eastAsia="仿宋" w:cs="仿宋"/>
          <w:b w:val="0"/>
          <w:bCs w:val="0"/>
          <w:color w:val="auto"/>
          <w:sz w:val="24"/>
          <w:szCs w:val="24"/>
          <w:lang w:val="en-US" w:eastAsia="zh-CN"/>
        </w:rPr>
        <w:t>克孜勒苏柯尔克孜自治州</w:t>
      </w:r>
      <w:r>
        <w:rPr>
          <w:rFonts w:hint="eastAsia" w:ascii="仿宋" w:hAnsi="仿宋" w:eastAsia="仿宋" w:cs="仿宋"/>
          <w:b w:val="0"/>
          <w:bCs w:val="0"/>
          <w:color w:val="auto"/>
          <w:sz w:val="24"/>
          <w:szCs w:val="24"/>
        </w:rPr>
        <w:t>群专结合监测预警点项目（</w:t>
      </w:r>
      <w:r>
        <w:rPr>
          <w:rFonts w:hint="eastAsia" w:ascii="仿宋" w:hAnsi="仿宋" w:eastAsia="仿宋" w:cs="仿宋"/>
          <w:b w:val="0"/>
          <w:bCs w:val="0"/>
          <w:color w:val="auto"/>
          <w:sz w:val="24"/>
          <w:szCs w:val="24"/>
          <w:lang w:eastAsia="zh-CN"/>
        </w:rPr>
        <w:t>2023年</w:t>
      </w:r>
      <w:r>
        <w:rPr>
          <w:rFonts w:hint="eastAsia" w:ascii="仿宋" w:hAnsi="仿宋" w:eastAsia="仿宋" w:cs="仿宋"/>
          <w:b w:val="0"/>
          <w:bCs w:val="0"/>
          <w:color w:val="auto"/>
          <w:sz w:val="24"/>
          <w:szCs w:val="24"/>
        </w:rPr>
        <w:t>度）运行维护报告》。</w:t>
      </w:r>
    </w:p>
    <w:p>
      <w:pPr>
        <w:keepNext w:val="0"/>
        <w:keepLines w:val="0"/>
        <w:pageBreakBefore w:val="0"/>
        <w:widowControl w:val="0"/>
        <w:kinsoku/>
        <w:wordWrap/>
        <w:overflowPunct/>
        <w:topLinePunct w:val="0"/>
        <w:autoSpaceDE/>
        <w:autoSpaceDN/>
        <w:bidi w:val="0"/>
        <w:spacing w:line="540" w:lineRule="exact"/>
        <w:ind w:firstLine="480" w:firstLineChars="200"/>
        <w:textAlignment w:val="auto"/>
        <w:outlineLvl w:val="9"/>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lang w:val="en-US" w:eastAsia="zh-CN"/>
        </w:rPr>
        <w:t>六</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rPr>
        <w:t>项目建设原始资料（包含地质灾害专业监测点建设实际材料图；监测点建设照片和影像资料；其他原始资料等）</w:t>
      </w:r>
      <w:r>
        <w:rPr>
          <w:rFonts w:hint="eastAsia" w:ascii="仿宋" w:hAnsi="仿宋" w:eastAsia="仿宋" w:cs="仿宋"/>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textAlignment w:val="auto"/>
        <w:outlineLvl w:val="1"/>
        <w:rPr>
          <w:rFonts w:hint="eastAsia" w:ascii="仿宋" w:hAnsi="仿宋" w:eastAsia="仿宋" w:cs="仿宋"/>
          <w:b w:val="0"/>
          <w:bCs w:val="0"/>
          <w:color w:val="auto"/>
          <w:sz w:val="24"/>
          <w:szCs w:val="24"/>
        </w:rPr>
      </w:pPr>
      <w:bookmarkStart w:id="355" w:name="_Toc1590"/>
      <w:r>
        <w:rPr>
          <w:rFonts w:hint="eastAsia" w:ascii="仿宋" w:hAnsi="仿宋" w:eastAsia="仿宋" w:cs="仿宋"/>
          <w:b w:val="0"/>
          <w:bCs w:val="0"/>
          <w:color w:val="auto"/>
          <w:sz w:val="24"/>
          <w:szCs w:val="24"/>
        </w:rPr>
        <w:t>十、工作周期</w:t>
      </w:r>
      <w:bookmarkEnd w:id="355"/>
    </w:p>
    <w:p>
      <w:pPr>
        <w:keepNext w:val="0"/>
        <w:keepLines w:val="0"/>
        <w:pageBreakBefore w:val="0"/>
        <w:widowControl w:val="0"/>
        <w:kinsoku/>
        <w:wordWrap/>
        <w:overflowPunct/>
        <w:topLinePunct w:val="0"/>
        <w:autoSpaceDE/>
        <w:autoSpaceDN/>
        <w:bidi w:val="0"/>
        <w:spacing w:line="540" w:lineRule="exact"/>
        <w:ind w:firstLine="480" w:firstLineChars="200"/>
        <w:textAlignment w:val="auto"/>
        <w:outlineLvl w:val="9"/>
        <w:rPr>
          <w:rFonts w:hint="eastAsia" w:ascii="仿宋" w:hAnsi="仿宋" w:eastAsia="仿宋" w:cs="仿宋"/>
          <w:color w:val="auto"/>
          <w:sz w:val="24"/>
          <w:szCs w:val="24"/>
          <w:lang w:eastAsia="zh-CN"/>
        </w:rPr>
      </w:pPr>
      <w:r>
        <w:rPr>
          <w:rFonts w:hint="eastAsia" w:ascii="仿宋" w:hAnsi="仿宋" w:eastAsia="仿宋" w:cs="仿宋"/>
          <w:b w:val="0"/>
          <w:bCs w:val="0"/>
          <w:color w:val="auto"/>
          <w:sz w:val="24"/>
          <w:szCs w:val="24"/>
          <w:lang w:eastAsia="zh-CN"/>
        </w:rPr>
        <w:t>2023年5月31日前完成监测点建设工作，2023年5月31日-2026年5月31日开展运行维护工作。</w:t>
      </w:r>
    </w:p>
    <w:p>
      <w:pPr>
        <w:ind w:firstLine="480" w:firstLineChars="200"/>
        <w:rPr>
          <w:rFonts w:hint="eastAsia" w:ascii="仿宋" w:hAnsi="仿宋" w:eastAsia="仿宋" w:cs="仿宋"/>
          <w:color w:val="auto"/>
          <w:sz w:val="24"/>
        </w:rPr>
      </w:pPr>
      <w:r>
        <w:rPr>
          <w:rFonts w:hint="eastAsia" w:ascii="仿宋" w:hAnsi="仿宋" w:eastAsia="仿宋" w:cs="仿宋"/>
          <w:color w:val="auto"/>
          <w:sz w:val="24"/>
        </w:rPr>
        <w:br w:type="page"/>
      </w:r>
    </w:p>
    <w:bookmarkEnd w:id="285"/>
    <w:bookmarkEnd w:id="286"/>
    <w:bookmarkEnd w:id="287"/>
    <w:bookmarkEnd w:id="288"/>
    <w:p>
      <w:pPr>
        <w:keepNext w:val="0"/>
        <w:keepLines w:val="0"/>
        <w:pageBreakBefore w:val="0"/>
        <w:widowControl w:val="0"/>
        <w:kinsoku/>
        <w:wordWrap/>
        <w:overflowPunct/>
        <w:topLinePunct w:val="0"/>
        <w:autoSpaceDE/>
        <w:autoSpaceDN/>
        <w:bidi w:val="0"/>
        <w:adjustRightInd/>
        <w:snapToGrid/>
        <w:spacing w:line="440" w:lineRule="exact"/>
        <w:ind w:firstLine="482"/>
        <w:jc w:val="center"/>
        <w:textAlignment w:val="auto"/>
        <w:outlineLvl w:val="1"/>
        <w:rPr>
          <w:rFonts w:ascii="仿宋" w:hAnsi="仿宋" w:eastAsia="仿宋"/>
          <w:b/>
          <w:bCs/>
          <w:color w:val="auto"/>
          <w:sz w:val="36"/>
          <w:szCs w:val="36"/>
        </w:rPr>
      </w:pPr>
      <w:bookmarkStart w:id="356" w:name="_Toc3668"/>
      <w:bookmarkStart w:id="357" w:name="_Toc10168"/>
      <w:bookmarkStart w:id="358" w:name="_Toc216582826"/>
      <w:bookmarkStart w:id="359" w:name="_Toc219175639"/>
      <w:bookmarkStart w:id="360" w:name="_Toc218935355"/>
      <w:r>
        <w:rPr>
          <w:rFonts w:hint="eastAsia" w:ascii="仿宋" w:hAnsi="仿宋" w:eastAsia="仿宋"/>
          <w:b/>
          <w:bCs/>
          <w:color w:val="auto"/>
          <w:sz w:val="28"/>
          <w:szCs w:val="28"/>
        </w:rPr>
        <w:t>标项</w:t>
      </w:r>
      <w:r>
        <w:rPr>
          <w:rFonts w:hint="eastAsia" w:ascii="仿宋" w:hAnsi="仿宋" w:eastAsia="仿宋"/>
          <w:b/>
          <w:bCs/>
          <w:color w:val="auto"/>
          <w:sz w:val="28"/>
          <w:szCs w:val="28"/>
          <w:lang w:val="en-US" w:eastAsia="zh-CN"/>
        </w:rPr>
        <w:t>六</w:t>
      </w:r>
      <w:r>
        <w:rPr>
          <w:rFonts w:hint="eastAsia" w:ascii="仿宋" w:hAnsi="仿宋" w:eastAsia="仿宋"/>
          <w:b/>
          <w:bCs/>
          <w:color w:val="auto"/>
          <w:sz w:val="28"/>
          <w:szCs w:val="28"/>
        </w:rPr>
        <w:t>：</w:t>
      </w:r>
      <w:r>
        <w:rPr>
          <w:rFonts w:hint="eastAsia" w:ascii="仿宋" w:hAnsi="仿宋" w:eastAsia="仿宋"/>
          <w:b/>
          <w:bCs/>
          <w:color w:val="auto"/>
          <w:sz w:val="28"/>
          <w:szCs w:val="28"/>
          <w:lang w:eastAsia="zh-CN"/>
        </w:rPr>
        <w:t>克州2023年自然灾害防治体系建设补助资金项目</w:t>
      </w:r>
      <w:r>
        <w:rPr>
          <w:rFonts w:hint="eastAsia" w:ascii="仿宋" w:hAnsi="仿宋" w:eastAsia="仿宋"/>
          <w:b/>
          <w:bCs/>
          <w:color w:val="auto"/>
          <w:sz w:val="28"/>
          <w:szCs w:val="28"/>
        </w:rPr>
        <w:t>监理</w:t>
      </w:r>
      <w:bookmarkEnd w:id="356"/>
      <w:bookmarkEnd w:id="357"/>
    </w:p>
    <w:p>
      <w:pPr>
        <w:spacing w:line="500" w:lineRule="exact"/>
        <w:ind w:firstLine="482" w:firstLineChars="200"/>
        <w:rPr>
          <w:rFonts w:ascii="仿宋" w:hAnsi="仿宋" w:eastAsia="仿宋" w:cs="仿宋"/>
          <w:b/>
          <w:bCs/>
          <w:color w:val="auto"/>
          <w:sz w:val="24"/>
        </w:rPr>
      </w:pPr>
    </w:p>
    <w:p>
      <w:pPr>
        <w:spacing w:line="500" w:lineRule="exact"/>
        <w:ind w:firstLine="480" w:firstLineChars="200"/>
        <w:outlineLvl w:val="1"/>
        <w:rPr>
          <w:rFonts w:ascii="仿宋" w:hAnsi="仿宋" w:eastAsia="仿宋" w:cs="仿宋"/>
          <w:b w:val="0"/>
          <w:bCs w:val="0"/>
          <w:color w:val="auto"/>
          <w:sz w:val="24"/>
        </w:rPr>
      </w:pPr>
      <w:bookmarkStart w:id="361" w:name="_Toc16013"/>
      <w:r>
        <w:rPr>
          <w:rFonts w:hint="eastAsia" w:ascii="仿宋" w:hAnsi="仿宋" w:eastAsia="仿宋" w:cs="仿宋"/>
          <w:b w:val="0"/>
          <w:bCs w:val="0"/>
          <w:color w:val="auto"/>
          <w:sz w:val="24"/>
        </w:rPr>
        <w:t>一、项目名称和编号</w:t>
      </w:r>
      <w:bookmarkEnd w:id="361"/>
    </w:p>
    <w:p>
      <w:pPr>
        <w:spacing w:line="500" w:lineRule="exact"/>
        <w:ind w:left="1733" w:leftChars="254" w:hanging="1200" w:hangingChars="500"/>
        <w:rPr>
          <w:rFonts w:ascii="仿宋" w:hAnsi="仿宋" w:eastAsia="仿宋" w:cs="仿宋"/>
          <w:b w:val="0"/>
          <w:bCs w:val="0"/>
          <w:color w:val="auto"/>
          <w:kern w:val="0"/>
          <w:sz w:val="24"/>
          <w:lang w:eastAsia="en-US"/>
        </w:rPr>
      </w:pPr>
      <w:r>
        <w:rPr>
          <w:rFonts w:hint="eastAsia" w:ascii="仿宋" w:hAnsi="仿宋" w:eastAsia="仿宋" w:cs="仿宋"/>
          <w:b w:val="0"/>
          <w:bCs w:val="0"/>
          <w:color w:val="auto"/>
          <w:kern w:val="0"/>
          <w:sz w:val="24"/>
          <w:lang w:eastAsia="en-US"/>
        </w:rPr>
        <w:t>项目名称：</w:t>
      </w:r>
      <w:bookmarkStart w:id="362" w:name="项目编号：YLZFZJL"/>
      <w:bookmarkEnd w:id="362"/>
      <w:r>
        <w:rPr>
          <w:rFonts w:hint="eastAsia" w:ascii="仿宋" w:hAnsi="仿宋" w:eastAsia="仿宋"/>
          <w:b w:val="0"/>
          <w:bCs w:val="0"/>
          <w:color w:val="auto"/>
          <w:sz w:val="24"/>
          <w:lang w:eastAsia="zh-CN"/>
        </w:rPr>
        <w:t>克州2023年自然灾害防治体系建设补助资金项目</w:t>
      </w:r>
      <w:r>
        <w:rPr>
          <w:rFonts w:hint="eastAsia" w:ascii="仿宋" w:hAnsi="仿宋" w:eastAsia="仿宋"/>
          <w:b w:val="0"/>
          <w:bCs w:val="0"/>
          <w:color w:val="auto"/>
          <w:sz w:val="24"/>
        </w:rPr>
        <w:t>监理</w:t>
      </w:r>
    </w:p>
    <w:p>
      <w:pPr>
        <w:spacing w:line="500" w:lineRule="exact"/>
        <w:ind w:firstLine="480" w:firstLineChars="200"/>
        <w:rPr>
          <w:rStyle w:val="73"/>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kern w:val="0"/>
          <w:sz w:val="24"/>
          <w:lang w:eastAsia="en-US"/>
        </w:rPr>
        <w:t>项目编号：</w:t>
      </w:r>
      <w:r>
        <w:rPr>
          <w:rStyle w:val="73"/>
          <w:rFonts w:ascii="仿宋" w:hAnsi="仿宋" w:eastAsia="仿宋" w:cs="仿宋"/>
          <w:b w:val="0"/>
          <w:bCs w:val="0"/>
          <w:color w:val="auto"/>
          <w:sz w:val="24"/>
          <w:szCs w:val="24"/>
          <w:lang w:eastAsia="zh-CN"/>
        </w:rPr>
        <w:t>GYZB-KZDZFZ2023</w:t>
      </w:r>
      <w:r>
        <w:rPr>
          <w:rStyle w:val="73"/>
          <w:rFonts w:hint="eastAsia" w:ascii="仿宋" w:hAnsi="仿宋" w:eastAsia="仿宋" w:cs="仿宋"/>
          <w:b w:val="0"/>
          <w:bCs w:val="0"/>
          <w:color w:val="auto"/>
          <w:sz w:val="24"/>
          <w:szCs w:val="24"/>
          <w:lang w:val="en-US" w:eastAsia="zh-CN"/>
        </w:rPr>
        <w:t>-01</w:t>
      </w:r>
      <w:r>
        <w:rPr>
          <w:rStyle w:val="73"/>
          <w:rFonts w:ascii="仿宋" w:hAnsi="仿宋" w:eastAsia="仿宋" w:cs="仿宋"/>
          <w:b w:val="0"/>
          <w:bCs w:val="0"/>
          <w:color w:val="auto"/>
          <w:sz w:val="24"/>
          <w:szCs w:val="24"/>
        </w:rPr>
        <w:t>-0</w:t>
      </w:r>
      <w:r>
        <w:rPr>
          <w:rStyle w:val="73"/>
          <w:rFonts w:hint="eastAsia" w:ascii="仿宋" w:hAnsi="仿宋" w:eastAsia="仿宋" w:cs="仿宋"/>
          <w:b w:val="0"/>
          <w:bCs w:val="0"/>
          <w:color w:val="auto"/>
          <w:sz w:val="24"/>
          <w:szCs w:val="24"/>
          <w:lang w:val="en-US" w:eastAsia="zh-CN"/>
        </w:rPr>
        <w:t>6</w:t>
      </w:r>
    </w:p>
    <w:p>
      <w:pPr>
        <w:spacing w:line="500" w:lineRule="exact"/>
        <w:ind w:firstLine="480" w:firstLineChars="200"/>
        <w:rPr>
          <w:rFonts w:ascii="仿宋" w:hAnsi="仿宋" w:eastAsia="仿宋" w:cs="仿宋"/>
          <w:b w:val="0"/>
          <w:bCs w:val="0"/>
          <w:color w:val="auto"/>
          <w:kern w:val="0"/>
          <w:sz w:val="24"/>
        </w:rPr>
      </w:pPr>
      <w:r>
        <w:rPr>
          <w:rFonts w:hint="eastAsia" w:ascii="仿宋" w:hAnsi="仿宋" w:eastAsia="仿宋" w:cs="仿宋"/>
          <w:b w:val="0"/>
          <w:bCs w:val="0"/>
          <w:color w:val="auto"/>
          <w:kern w:val="0"/>
          <w:sz w:val="24"/>
        </w:rPr>
        <w:t>项目费用</w:t>
      </w:r>
      <w:r>
        <w:rPr>
          <w:rStyle w:val="73"/>
          <w:rFonts w:hint="eastAsia" w:ascii="仿宋" w:hAnsi="仿宋" w:eastAsia="仿宋" w:cs="仿宋"/>
          <w:b w:val="0"/>
          <w:bCs w:val="0"/>
          <w:color w:val="auto"/>
          <w:sz w:val="24"/>
          <w:szCs w:val="24"/>
          <w:lang w:val="en-US" w:eastAsia="zh-CN"/>
        </w:rPr>
        <w:t>人民币</w:t>
      </w:r>
      <w:r>
        <w:rPr>
          <w:rFonts w:hint="eastAsia" w:ascii="仿宋" w:hAnsi="仿宋" w:eastAsia="仿宋" w:cs="仿宋"/>
          <w:b w:val="0"/>
          <w:bCs w:val="0"/>
          <w:color w:val="auto"/>
          <w:kern w:val="0"/>
          <w:sz w:val="24"/>
        </w:rPr>
        <w:t>：</w:t>
      </w:r>
      <w:r>
        <w:rPr>
          <w:rFonts w:hint="eastAsia" w:ascii="仿宋" w:hAnsi="仿宋" w:eastAsia="仿宋" w:cs="仿宋"/>
          <w:b w:val="0"/>
          <w:bCs w:val="0"/>
          <w:color w:val="auto"/>
          <w:sz w:val="24"/>
          <w:lang w:val="en-US" w:eastAsia="zh-CN"/>
        </w:rPr>
        <w:t>34.10</w:t>
      </w:r>
      <w:r>
        <w:rPr>
          <w:rFonts w:hint="eastAsia" w:ascii="仿宋" w:hAnsi="仿宋" w:eastAsia="仿宋" w:cs="仿宋"/>
          <w:b w:val="0"/>
          <w:bCs w:val="0"/>
          <w:color w:val="auto"/>
          <w:sz w:val="24"/>
        </w:rPr>
        <w:t>万元（</w:t>
      </w:r>
      <w:r>
        <w:rPr>
          <w:rFonts w:hint="eastAsia" w:ascii="仿宋" w:hAnsi="仿宋" w:eastAsia="仿宋" w:cs="仿宋"/>
          <w:b w:val="0"/>
          <w:bCs w:val="0"/>
          <w:color w:val="auto"/>
          <w:sz w:val="24"/>
          <w:lang w:val="en-US" w:eastAsia="zh-CN"/>
        </w:rPr>
        <w:t>叁拾肆万壹仟元整</w:t>
      </w:r>
      <w:r>
        <w:rPr>
          <w:rFonts w:hint="eastAsia" w:ascii="仿宋" w:hAnsi="仿宋" w:eastAsia="仿宋" w:cs="仿宋"/>
          <w:b w:val="0"/>
          <w:bCs w:val="0"/>
          <w:color w:val="auto"/>
          <w:sz w:val="24"/>
        </w:rPr>
        <w:t>）</w:t>
      </w:r>
    </w:p>
    <w:p>
      <w:pPr>
        <w:spacing w:line="500" w:lineRule="exact"/>
        <w:ind w:firstLine="480" w:firstLineChars="200"/>
        <w:outlineLvl w:val="1"/>
        <w:rPr>
          <w:rFonts w:ascii="仿宋" w:hAnsi="仿宋" w:eastAsia="仿宋" w:cs="仿宋"/>
          <w:b w:val="0"/>
          <w:bCs w:val="0"/>
          <w:color w:val="auto"/>
          <w:sz w:val="24"/>
        </w:rPr>
      </w:pPr>
      <w:bookmarkStart w:id="363" w:name="_Toc23342"/>
      <w:r>
        <w:rPr>
          <w:rFonts w:hint="eastAsia" w:ascii="仿宋" w:hAnsi="仿宋" w:eastAsia="仿宋" w:cs="仿宋"/>
          <w:b w:val="0"/>
          <w:bCs w:val="0"/>
          <w:color w:val="auto"/>
          <w:sz w:val="24"/>
        </w:rPr>
        <w:t>二、监理项目概况</w:t>
      </w:r>
      <w:bookmarkEnd w:id="363"/>
    </w:p>
    <w:p>
      <w:pPr>
        <w:spacing w:line="500" w:lineRule="exact"/>
        <w:ind w:firstLine="480" w:firstLineChars="200"/>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1.</w:t>
      </w:r>
      <w:r>
        <w:rPr>
          <w:rFonts w:hint="eastAsia" w:ascii="仿宋" w:hAnsi="仿宋" w:eastAsia="仿宋" w:cs="仿宋"/>
          <w:b w:val="0"/>
          <w:bCs w:val="0"/>
          <w:color w:val="auto"/>
          <w:sz w:val="24"/>
          <w:lang w:eastAsia="zh-CN"/>
        </w:rPr>
        <w:t>监理区</w:t>
      </w:r>
      <w:r>
        <w:rPr>
          <w:rFonts w:hint="eastAsia" w:ascii="仿宋" w:hAnsi="仿宋" w:eastAsia="仿宋" w:cs="仿宋"/>
          <w:b w:val="0"/>
          <w:bCs w:val="0"/>
          <w:color w:val="auto"/>
          <w:sz w:val="24"/>
        </w:rPr>
        <w:t>位于乌恰县吾合沙鲁乡政府东北侧。吾合沙鲁乡政府东距乌恰县公路里程约56千米，距阿图什市公路里程约156千米，中心地理坐标：东经74°47′26.69″、北纬39°40′29.73″。</w:t>
      </w:r>
    </w:p>
    <w:p>
      <w:pPr>
        <w:spacing w:line="500" w:lineRule="exact"/>
        <w:ind w:firstLine="480" w:firstLineChars="200"/>
        <w:rPr>
          <w:rFonts w:hint="eastAsia" w:ascii="仿宋" w:hAnsi="仿宋" w:eastAsia="仿宋" w:cs="仿宋"/>
          <w:b w:val="0"/>
          <w:bCs w:val="0"/>
          <w:color w:val="auto"/>
          <w:sz w:val="24"/>
          <w:lang w:val="en-US" w:eastAsia="zh-CN"/>
        </w:rPr>
      </w:pPr>
      <w:r>
        <w:rPr>
          <w:rFonts w:hint="eastAsia" w:ascii="仿宋" w:hAnsi="仿宋" w:eastAsia="仿宋" w:cs="仿宋"/>
          <w:b w:val="0"/>
          <w:bCs w:val="0"/>
          <w:color w:val="auto"/>
          <w:sz w:val="24"/>
          <w:lang w:val="en-US" w:eastAsia="zh-CN"/>
        </w:rPr>
        <w:t>2.监测区位于阿克陶县东南部山区，行政区划隶属于克孜勒苏柯尔克孜自治州阿克陶县克孜勒陶乡阿克达拉牧场2村管辖，防治区中心地理坐标为经度76°00′30.15″，纬度38°18′27.09″。</w:t>
      </w:r>
    </w:p>
    <w:p>
      <w:pPr>
        <w:spacing w:line="500" w:lineRule="exact"/>
        <w:ind w:firstLine="480" w:firstLineChars="200"/>
        <w:rPr>
          <w:rFonts w:hint="default" w:ascii="仿宋" w:hAnsi="仿宋" w:eastAsia="仿宋" w:cs="仿宋"/>
          <w:b w:val="0"/>
          <w:bCs w:val="0"/>
          <w:color w:val="auto"/>
          <w:sz w:val="24"/>
          <w:lang w:val="en-US" w:eastAsia="zh-CN"/>
        </w:rPr>
      </w:pPr>
      <w:r>
        <w:rPr>
          <w:rFonts w:hint="eastAsia" w:ascii="仿宋" w:hAnsi="仿宋" w:eastAsia="仿宋" w:cs="仿宋"/>
          <w:b w:val="0"/>
          <w:bCs w:val="0"/>
          <w:color w:val="auto"/>
          <w:sz w:val="24"/>
          <w:lang w:val="en-US" w:eastAsia="zh-CN"/>
        </w:rPr>
        <w:t>3.监测区涉及克孜勒苏柯尔克孜自治州整个行政区划范围。地理坐标北纬37°41'-41°49'，东经73°26'-78°59'。</w:t>
      </w:r>
    </w:p>
    <w:p>
      <w:pPr>
        <w:spacing w:line="480" w:lineRule="exact"/>
        <w:ind w:firstLine="480" w:firstLineChars="200"/>
        <w:rPr>
          <w:rFonts w:ascii="仿宋" w:hAnsi="仿宋" w:eastAsia="仿宋" w:cs="仿宋"/>
          <w:b w:val="0"/>
          <w:bCs w:val="0"/>
          <w:color w:val="auto"/>
          <w:sz w:val="24"/>
          <w:u w:val="single"/>
        </w:rPr>
      </w:pPr>
      <w:r>
        <w:rPr>
          <w:rFonts w:hint="eastAsia" w:ascii="仿宋" w:hAnsi="仿宋" w:eastAsia="仿宋" w:cs="仿宋"/>
          <w:b w:val="0"/>
          <w:bCs w:val="0"/>
          <w:color w:val="auto"/>
          <w:sz w:val="24"/>
          <w:u w:val="single"/>
        </w:rPr>
        <w:t>监理项目以批准的监理规划、监理实施细则确定的为准。</w:t>
      </w:r>
    </w:p>
    <w:p>
      <w:pPr>
        <w:spacing w:line="360" w:lineRule="auto"/>
        <w:ind w:firstLine="480" w:firstLineChars="200"/>
        <w:outlineLvl w:val="1"/>
        <w:rPr>
          <w:rFonts w:ascii="仿宋" w:hAnsi="仿宋" w:eastAsia="仿宋" w:cs="仿宋"/>
          <w:b w:val="0"/>
          <w:bCs w:val="0"/>
          <w:color w:val="auto"/>
          <w:sz w:val="24"/>
        </w:rPr>
      </w:pPr>
      <w:r>
        <w:rPr>
          <w:rFonts w:hint="eastAsia" w:ascii="仿宋" w:hAnsi="仿宋" w:eastAsia="仿宋" w:cs="仿宋"/>
          <w:b w:val="0"/>
          <w:bCs w:val="0"/>
          <w:color w:val="auto"/>
          <w:sz w:val="24"/>
        </w:rPr>
        <w:t xml:space="preserve"> </w:t>
      </w:r>
      <w:bookmarkStart w:id="364" w:name="_Toc10335"/>
      <w:r>
        <w:rPr>
          <w:rFonts w:hint="eastAsia" w:ascii="仿宋" w:hAnsi="仿宋" w:eastAsia="仿宋" w:cs="仿宋"/>
          <w:b w:val="0"/>
          <w:bCs w:val="0"/>
          <w:color w:val="auto"/>
          <w:sz w:val="24"/>
        </w:rPr>
        <w:t>三、监理主要内容</w:t>
      </w:r>
      <w:bookmarkEnd w:id="364"/>
    </w:p>
    <w:p>
      <w:pPr>
        <w:spacing w:line="360" w:lineRule="auto"/>
        <w:ind w:firstLine="480" w:firstLineChars="200"/>
        <w:rPr>
          <w:rFonts w:ascii="仿宋" w:hAnsi="仿宋" w:eastAsia="仿宋" w:cs="仿宋"/>
          <w:b w:val="0"/>
          <w:bCs w:val="0"/>
          <w:color w:val="auto"/>
          <w:sz w:val="24"/>
        </w:rPr>
      </w:pPr>
      <w:bookmarkStart w:id="365" w:name="（一）目标"/>
      <w:bookmarkEnd w:id="365"/>
      <w:r>
        <w:rPr>
          <w:rFonts w:hint="eastAsia" w:ascii="仿宋" w:hAnsi="仿宋" w:eastAsia="仿宋" w:cs="仿宋"/>
          <w:b w:val="0"/>
          <w:bCs w:val="0"/>
          <w:color w:val="auto"/>
          <w:sz w:val="24"/>
        </w:rPr>
        <w:t xml:space="preserve">（一）目标 </w:t>
      </w:r>
      <w:bookmarkStart w:id="366" w:name="通过项目监理工作的实施，达到项目的工期目标、质量目标及安全目标。"/>
      <w:bookmarkEnd w:id="366"/>
    </w:p>
    <w:p>
      <w:pPr>
        <w:spacing w:line="360" w:lineRule="auto"/>
        <w:ind w:firstLine="480" w:firstLineChars="200"/>
        <w:rPr>
          <w:rFonts w:ascii="仿宋" w:hAnsi="仿宋" w:eastAsia="仿宋" w:cs="仿宋"/>
          <w:b w:val="0"/>
          <w:bCs w:val="0"/>
          <w:color w:val="auto"/>
          <w:sz w:val="24"/>
        </w:rPr>
      </w:pPr>
      <w:r>
        <w:rPr>
          <w:rFonts w:hint="eastAsia" w:ascii="仿宋" w:hAnsi="仿宋" w:eastAsia="仿宋" w:cs="仿宋"/>
          <w:b w:val="0"/>
          <w:bCs w:val="0"/>
          <w:color w:val="auto"/>
          <w:sz w:val="24"/>
        </w:rPr>
        <w:t>通过监理工作的实施，达到项目工期目标、质量目标及安全目标。</w:t>
      </w:r>
    </w:p>
    <w:p>
      <w:pPr>
        <w:spacing w:line="360" w:lineRule="auto"/>
        <w:ind w:firstLine="480" w:firstLineChars="200"/>
        <w:rPr>
          <w:rFonts w:ascii="仿宋" w:hAnsi="仿宋" w:eastAsia="仿宋" w:cs="仿宋"/>
          <w:b w:val="0"/>
          <w:bCs w:val="0"/>
          <w:color w:val="auto"/>
          <w:sz w:val="24"/>
        </w:rPr>
      </w:pPr>
      <w:bookmarkStart w:id="367" w:name="（二）任务"/>
      <w:bookmarkEnd w:id="367"/>
      <w:r>
        <w:rPr>
          <w:rFonts w:hint="eastAsia" w:ascii="仿宋" w:hAnsi="仿宋" w:eastAsia="仿宋" w:cs="仿宋"/>
          <w:b w:val="0"/>
          <w:bCs w:val="0"/>
          <w:color w:val="auto"/>
          <w:sz w:val="24"/>
        </w:rPr>
        <w:t>（二）任务</w:t>
      </w:r>
    </w:p>
    <w:p>
      <w:pPr>
        <w:spacing w:line="360" w:lineRule="auto"/>
        <w:ind w:firstLine="480" w:firstLineChars="200"/>
        <w:rPr>
          <w:rFonts w:ascii="仿宋" w:hAnsi="仿宋" w:eastAsia="仿宋" w:cs="仿宋"/>
          <w:b w:val="0"/>
          <w:bCs w:val="0"/>
          <w:color w:val="auto"/>
          <w:sz w:val="24"/>
        </w:rPr>
      </w:pPr>
      <w:bookmarkStart w:id="368" w:name="（三）工作方法和主要技术要求"/>
      <w:bookmarkEnd w:id="368"/>
      <w:r>
        <w:rPr>
          <w:rFonts w:hint="eastAsia" w:ascii="仿宋" w:hAnsi="仿宋" w:eastAsia="仿宋" w:cs="仿宋"/>
          <w:b w:val="0"/>
          <w:bCs w:val="0"/>
          <w:color w:val="auto"/>
          <w:sz w:val="24"/>
        </w:rPr>
        <w:t>1.监测预警点建设项目：根据实际需要,专业预警点建设监理主要内容包括对专业预警点建设项目基础施工、监测对象基础资料录入、预警模型初设、并网运行、初验、终验、资料整理归档等监督检查，做好项目质量、进度、安全与环境保护、保修期、信息管理、工作量审核等各阶段控制及组织协调工作。</w:t>
      </w:r>
    </w:p>
    <w:p>
      <w:pPr>
        <w:spacing w:line="360" w:lineRule="auto"/>
        <w:ind w:firstLine="480" w:firstLineChars="200"/>
        <w:rPr>
          <w:rFonts w:ascii="仿宋" w:hAnsi="仿宋" w:eastAsia="仿宋" w:cs="仿宋"/>
          <w:b w:val="0"/>
          <w:bCs w:val="0"/>
          <w:color w:val="auto"/>
          <w:sz w:val="24"/>
        </w:rPr>
      </w:pPr>
      <w:r>
        <w:rPr>
          <w:rFonts w:hint="eastAsia" w:ascii="仿宋" w:hAnsi="仿宋" w:eastAsia="仿宋" w:cs="仿宋"/>
          <w:b w:val="0"/>
          <w:bCs w:val="0"/>
          <w:color w:val="auto"/>
          <w:sz w:val="24"/>
        </w:rPr>
        <w:t>2.协助自然资源局按时完成项目进度汇总上报工作。</w:t>
      </w:r>
    </w:p>
    <w:p>
      <w:pPr>
        <w:spacing w:line="360" w:lineRule="auto"/>
        <w:ind w:firstLine="480" w:firstLineChars="200"/>
        <w:rPr>
          <w:rFonts w:ascii="仿宋" w:hAnsi="仿宋" w:eastAsia="仿宋" w:cs="仿宋"/>
          <w:b w:val="0"/>
          <w:bCs w:val="0"/>
          <w:color w:val="auto"/>
          <w:sz w:val="24"/>
        </w:rPr>
      </w:pPr>
      <w:r>
        <w:rPr>
          <w:rFonts w:hint="eastAsia" w:ascii="仿宋" w:hAnsi="仿宋" w:eastAsia="仿宋" w:cs="仿宋"/>
          <w:b w:val="0"/>
          <w:bCs w:val="0"/>
          <w:color w:val="auto"/>
          <w:sz w:val="24"/>
        </w:rPr>
        <w:t>3.协助自然资源局完成项目初验工作。</w:t>
      </w:r>
    </w:p>
    <w:p>
      <w:pPr>
        <w:spacing w:line="360" w:lineRule="auto"/>
        <w:ind w:firstLine="480" w:firstLineChars="200"/>
        <w:rPr>
          <w:rFonts w:ascii="仿宋" w:hAnsi="仿宋" w:eastAsia="仿宋" w:cs="仿宋"/>
          <w:b w:val="0"/>
          <w:bCs w:val="0"/>
          <w:color w:val="auto"/>
          <w:sz w:val="24"/>
        </w:rPr>
      </w:pPr>
      <w:r>
        <w:rPr>
          <w:rFonts w:hint="eastAsia" w:ascii="仿宋" w:hAnsi="仿宋" w:eastAsia="仿宋" w:cs="仿宋"/>
          <w:b w:val="0"/>
          <w:bCs w:val="0"/>
          <w:color w:val="auto"/>
          <w:sz w:val="24"/>
        </w:rPr>
        <w:t>（三）工作方法和主要技术要求</w:t>
      </w:r>
    </w:p>
    <w:p>
      <w:pPr>
        <w:spacing w:line="360" w:lineRule="auto"/>
        <w:ind w:firstLine="480" w:firstLineChars="200"/>
        <w:rPr>
          <w:rFonts w:ascii="仿宋" w:hAnsi="仿宋" w:eastAsia="仿宋" w:cs="仿宋"/>
          <w:b w:val="0"/>
          <w:bCs w:val="0"/>
          <w:color w:val="auto"/>
          <w:sz w:val="24"/>
        </w:rPr>
      </w:pPr>
      <w:r>
        <w:rPr>
          <w:rFonts w:hint="eastAsia" w:ascii="仿宋" w:hAnsi="仿宋" w:eastAsia="仿宋" w:cs="仿宋"/>
          <w:b w:val="0"/>
          <w:bCs w:val="0"/>
          <w:color w:val="auto"/>
          <w:sz w:val="24"/>
        </w:rPr>
        <w:t xml:space="preserve"> </w:t>
      </w:r>
      <w:bookmarkStart w:id="369" w:name="1.工作方法"/>
      <w:bookmarkEnd w:id="369"/>
      <w:r>
        <w:rPr>
          <w:rFonts w:hint="eastAsia" w:ascii="仿宋" w:hAnsi="仿宋" w:eastAsia="仿宋" w:cs="仿宋"/>
          <w:b w:val="0"/>
          <w:bCs w:val="0"/>
          <w:color w:val="auto"/>
          <w:sz w:val="24"/>
        </w:rPr>
        <w:t>1.工作方法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b w:val="0"/>
          <w:bCs w:val="0"/>
          <w:color w:val="auto"/>
          <w:sz w:val="24"/>
        </w:rPr>
      </w:pPr>
      <w:r>
        <w:rPr>
          <w:rFonts w:hint="eastAsia" w:ascii="仿宋" w:hAnsi="仿宋" w:eastAsia="仿宋" w:cs="仿宋"/>
          <w:b w:val="0"/>
          <w:bCs w:val="0"/>
          <w:color w:val="auto"/>
          <w:sz w:val="24"/>
        </w:rPr>
        <w:t>采用监理巡查、旁站、测量和计量、指令性文件、抽查、现场记录、工序控制、协调及验收签证等工作方法，对建设项目质量、进度、安全及工作量进行控制。监测预警点建设项目应根据项目承担单位工作组情况派驻现场监理人员，每个工作组不少于1人，防治工程项目派驻现场监理人数，应保证每个项目不少于 1 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b w:val="0"/>
          <w:bCs w:val="0"/>
          <w:color w:val="auto"/>
          <w:sz w:val="24"/>
        </w:rPr>
      </w:pPr>
      <w:bookmarkStart w:id="370" w:name="2.主要技术要求"/>
      <w:bookmarkEnd w:id="370"/>
      <w:r>
        <w:rPr>
          <w:rFonts w:hint="eastAsia" w:ascii="仿宋" w:hAnsi="仿宋" w:eastAsia="仿宋" w:cs="仿宋"/>
          <w:b w:val="0"/>
          <w:bCs w:val="0"/>
          <w:color w:val="auto"/>
          <w:sz w:val="24"/>
        </w:rPr>
        <w:t>2.主要技术要求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b w:val="0"/>
          <w:bCs w:val="0"/>
          <w:color w:val="auto"/>
          <w:sz w:val="24"/>
        </w:rPr>
      </w:pPr>
      <w:r>
        <w:rPr>
          <w:rFonts w:hint="eastAsia" w:ascii="仿宋" w:hAnsi="仿宋" w:eastAsia="仿宋" w:cs="仿宋"/>
          <w:b w:val="0"/>
          <w:bCs w:val="0"/>
          <w:color w:val="auto"/>
          <w:sz w:val="24"/>
        </w:rPr>
        <w:t>（1）《地质灾害防治工程监理规范》（DZ/T 0222-2006）；</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b w:val="0"/>
          <w:bCs w:val="0"/>
          <w:color w:val="auto"/>
          <w:sz w:val="24"/>
        </w:rPr>
      </w:pPr>
      <w:r>
        <w:rPr>
          <w:rFonts w:hint="eastAsia" w:ascii="仿宋" w:hAnsi="仿宋" w:eastAsia="仿宋" w:cs="仿宋"/>
          <w:b w:val="0"/>
          <w:bCs w:val="0"/>
          <w:color w:val="auto"/>
          <w:sz w:val="24"/>
        </w:rPr>
        <w:t>（2）《建设工程监理规范》（GB/T 50319-2013）；</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b w:val="0"/>
          <w:bCs w:val="0"/>
          <w:color w:val="auto"/>
          <w:sz w:val="24"/>
        </w:rPr>
      </w:pPr>
      <w:r>
        <w:rPr>
          <w:rFonts w:hint="eastAsia" w:ascii="仿宋" w:hAnsi="仿宋" w:eastAsia="仿宋" w:cs="仿宋"/>
          <w:b w:val="0"/>
          <w:bCs w:val="0"/>
          <w:color w:val="auto"/>
          <w:sz w:val="24"/>
        </w:rPr>
        <w:t>（3）《地质灾害监测预警通讯技术要求》；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b w:val="0"/>
          <w:bCs w:val="0"/>
          <w:color w:val="auto"/>
          <w:sz w:val="24"/>
        </w:rPr>
      </w:pPr>
      <w:r>
        <w:rPr>
          <w:rFonts w:hint="eastAsia" w:ascii="仿宋" w:hAnsi="仿宋" w:eastAsia="仿宋" w:cs="仿宋"/>
          <w:b w:val="0"/>
          <w:bCs w:val="0"/>
          <w:color w:val="auto"/>
          <w:sz w:val="24"/>
        </w:rPr>
        <w:t>（4）《地质灾害专群结合监测预警技术规范》；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b w:val="0"/>
          <w:bCs w:val="0"/>
          <w:color w:val="auto"/>
          <w:sz w:val="24"/>
        </w:rPr>
      </w:pPr>
      <w:r>
        <w:rPr>
          <w:rFonts w:hint="eastAsia" w:ascii="仿宋" w:hAnsi="仿宋" w:eastAsia="仿宋" w:cs="仿宋"/>
          <w:b w:val="0"/>
          <w:bCs w:val="0"/>
          <w:color w:val="auto"/>
          <w:sz w:val="24"/>
        </w:rPr>
        <w:t>（5）《泥石流灾害防治工程勘查规范》（DZ/T 0220-2006）；</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仿宋" w:hAnsi="仿宋" w:eastAsia="仿宋" w:cs="仿宋"/>
          <w:b w:val="0"/>
          <w:bCs w:val="0"/>
          <w:color w:val="auto"/>
          <w:sz w:val="24"/>
        </w:rPr>
      </w:pPr>
      <w:r>
        <w:rPr>
          <w:rFonts w:hint="eastAsia" w:ascii="仿宋" w:hAnsi="仿宋" w:eastAsia="仿宋" w:cs="仿宋"/>
          <w:b w:val="0"/>
          <w:bCs w:val="0"/>
          <w:color w:val="auto"/>
          <w:sz w:val="24"/>
        </w:rPr>
        <w:t>（6）《 泥石流防治工程施工技术规范（ 试 行 ）》（ T/CAGHP 061-2019）；</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b w:val="0"/>
          <w:bCs w:val="0"/>
          <w:color w:val="auto"/>
          <w:sz w:val="24"/>
        </w:rPr>
      </w:pPr>
      <w:r>
        <w:rPr>
          <w:rFonts w:hint="eastAsia" w:ascii="仿宋" w:hAnsi="仿宋" w:eastAsia="仿宋" w:cs="仿宋"/>
          <w:b w:val="0"/>
          <w:bCs w:val="0"/>
          <w:color w:val="auto"/>
          <w:sz w:val="24"/>
        </w:rPr>
        <w:t>（7）《建筑机械使用安全技术规程》（JGJ 33-2012）；</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b w:val="0"/>
          <w:bCs w:val="0"/>
          <w:color w:val="auto"/>
          <w:sz w:val="24"/>
        </w:rPr>
      </w:pPr>
      <w:r>
        <w:rPr>
          <w:rFonts w:hint="eastAsia" w:ascii="仿宋" w:hAnsi="仿宋" w:eastAsia="仿宋" w:cs="仿宋"/>
          <w:b w:val="0"/>
          <w:bCs w:val="0"/>
          <w:color w:val="auto"/>
          <w:sz w:val="24"/>
        </w:rPr>
        <w:t>（8）《建设工程施工现场供用电安全规范》（GB50194-2014）；</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b w:val="0"/>
          <w:bCs w:val="0"/>
          <w:color w:val="auto"/>
          <w:sz w:val="24"/>
        </w:rPr>
      </w:pPr>
      <w:r>
        <w:rPr>
          <w:rFonts w:hint="eastAsia" w:ascii="仿宋" w:hAnsi="仿宋" w:eastAsia="仿宋" w:cs="仿宋"/>
          <w:b w:val="0"/>
          <w:bCs w:val="0"/>
          <w:color w:val="auto"/>
          <w:sz w:val="24"/>
        </w:rPr>
        <w:t>（9）《地质灾害防治工程监理预算标准》（T/CAGHP 015-2018）；</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b w:val="0"/>
          <w:bCs w:val="0"/>
          <w:color w:val="auto"/>
          <w:sz w:val="24"/>
        </w:rPr>
      </w:pPr>
      <w:r>
        <w:rPr>
          <w:rFonts w:hint="eastAsia" w:ascii="仿宋" w:hAnsi="仿宋" w:eastAsia="仿宋" w:cs="仿宋"/>
          <w:b w:val="0"/>
          <w:bCs w:val="0"/>
          <w:color w:val="auto"/>
          <w:sz w:val="24"/>
        </w:rPr>
        <w:t>（10）其他有关规范、规程和技术要求。</w:t>
      </w:r>
      <w:bookmarkStart w:id="371" w:name="四、地质灾害专项勘查预期提交的监理文件"/>
      <w:bookmarkEnd w:id="37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1"/>
        <w:rPr>
          <w:rFonts w:ascii="仿宋" w:hAnsi="仿宋" w:eastAsia="仿宋" w:cs="仿宋"/>
          <w:b w:val="0"/>
          <w:bCs w:val="0"/>
          <w:color w:val="auto"/>
          <w:sz w:val="24"/>
        </w:rPr>
      </w:pPr>
      <w:bookmarkStart w:id="372" w:name="_Toc17475"/>
      <w:r>
        <w:rPr>
          <w:rFonts w:hint="eastAsia" w:ascii="仿宋" w:hAnsi="仿宋" w:eastAsia="仿宋" w:cs="仿宋"/>
          <w:b w:val="0"/>
          <w:bCs w:val="0"/>
          <w:color w:val="auto"/>
          <w:sz w:val="24"/>
        </w:rPr>
        <w:t>四、预期提交的监理文件</w:t>
      </w:r>
      <w:bookmarkEnd w:id="372"/>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ascii="仿宋" w:hAnsi="仿宋" w:eastAsia="仿宋" w:cs="仿宋"/>
          <w:b w:val="0"/>
          <w:bCs w:val="0"/>
          <w:color w:val="auto"/>
          <w:sz w:val="24"/>
        </w:rPr>
      </w:pPr>
      <w:r>
        <w:rPr>
          <w:rFonts w:hint="eastAsia" w:ascii="仿宋" w:hAnsi="仿宋" w:eastAsia="仿宋" w:cs="仿宋"/>
          <w:b w:val="0"/>
          <w:bCs w:val="0"/>
          <w:color w:val="auto"/>
          <w:sz w:val="24"/>
        </w:rPr>
        <w:t xml:space="preserve">（一）监理设计成果文件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b w:val="0"/>
          <w:bCs w:val="0"/>
          <w:color w:val="auto"/>
          <w:sz w:val="24"/>
        </w:rPr>
      </w:pPr>
      <w:r>
        <w:rPr>
          <w:rFonts w:hint="eastAsia" w:ascii="仿宋" w:hAnsi="仿宋" w:eastAsia="仿宋" w:cs="仿宋"/>
          <w:b w:val="0"/>
          <w:bCs w:val="0"/>
          <w:color w:val="auto"/>
          <w:sz w:val="24"/>
        </w:rPr>
        <w:t>1.《监理规划》；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b w:val="0"/>
          <w:bCs w:val="0"/>
          <w:color w:val="auto"/>
          <w:sz w:val="24"/>
        </w:rPr>
      </w:pPr>
      <w:r>
        <w:rPr>
          <w:rFonts w:hint="eastAsia" w:ascii="仿宋" w:hAnsi="仿宋" w:eastAsia="仿宋" w:cs="仿宋"/>
          <w:b w:val="0"/>
          <w:bCs w:val="0"/>
          <w:color w:val="auto"/>
          <w:sz w:val="24"/>
        </w:rPr>
        <w:t>2.《监理实施细则》。</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ascii="仿宋" w:hAnsi="仿宋" w:eastAsia="仿宋" w:cs="仿宋"/>
          <w:b w:val="0"/>
          <w:bCs w:val="0"/>
          <w:color w:val="auto"/>
          <w:sz w:val="24"/>
        </w:rPr>
      </w:pPr>
      <w:r>
        <w:rPr>
          <w:rFonts w:hint="eastAsia" w:ascii="仿宋" w:hAnsi="仿宋" w:eastAsia="仿宋" w:cs="仿宋"/>
          <w:b w:val="0"/>
          <w:bCs w:val="0"/>
          <w:color w:val="auto"/>
          <w:sz w:val="24"/>
        </w:rPr>
        <w:t>（二）监理成果总结性文件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cs="仿宋"/>
          <w:b w:val="0"/>
          <w:bCs w:val="0"/>
          <w:color w:val="auto"/>
          <w:sz w:val="24"/>
        </w:rPr>
      </w:pPr>
      <w:r>
        <w:rPr>
          <w:rFonts w:hint="eastAsia" w:ascii="仿宋" w:hAnsi="仿宋" w:eastAsia="仿宋" w:cs="仿宋"/>
          <w:b w:val="0"/>
          <w:bCs w:val="0"/>
          <w:color w:val="auto"/>
          <w:sz w:val="24"/>
        </w:rPr>
        <w:t xml:space="preserve">    1.《监理工作总结》；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b w:val="0"/>
          <w:bCs w:val="0"/>
          <w:color w:val="auto"/>
          <w:sz w:val="24"/>
        </w:rPr>
      </w:pPr>
      <w:r>
        <w:rPr>
          <w:rFonts w:hint="eastAsia" w:ascii="仿宋" w:hAnsi="仿宋" w:eastAsia="仿宋" w:cs="仿宋"/>
          <w:b w:val="0"/>
          <w:bCs w:val="0"/>
          <w:color w:val="auto"/>
          <w:sz w:val="24"/>
        </w:rPr>
        <w:t>2.《监理质量评估报告》；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b w:val="0"/>
          <w:bCs w:val="0"/>
          <w:color w:val="auto"/>
          <w:sz w:val="24"/>
        </w:rPr>
      </w:pPr>
      <w:r>
        <w:rPr>
          <w:rFonts w:hint="eastAsia" w:ascii="仿宋" w:hAnsi="仿宋" w:eastAsia="仿宋" w:cs="仿宋"/>
          <w:b w:val="0"/>
          <w:bCs w:val="0"/>
          <w:color w:val="auto"/>
          <w:sz w:val="24"/>
        </w:rPr>
        <w:t>3.《监理工作照片集》。</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ascii="仿宋" w:hAnsi="仿宋" w:eastAsia="仿宋" w:cs="仿宋"/>
          <w:b w:val="0"/>
          <w:bCs w:val="0"/>
          <w:color w:val="auto"/>
          <w:sz w:val="24"/>
        </w:rPr>
      </w:pPr>
      <w:r>
        <w:rPr>
          <w:rFonts w:hint="eastAsia" w:ascii="仿宋" w:hAnsi="仿宋" w:eastAsia="仿宋" w:cs="仿宋"/>
          <w:b w:val="0"/>
          <w:bCs w:val="0"/>
          <w:color w:val="auto"/>
          <w:sz w:val="24"/>
        </w:rPr>
        <w:t xml:space="preserve">（三）实施过程中形成的文件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b w:val="0"/>
          <w:bCs w:val="0"/>
          <w:color w:val="auto"/>
          <w:sz w:val="24"/>
        </w:rPr>
      </w:pPr>
      <w:r>
        <w:rPr>
          <w:rFonts w:hint="eastAsia" w:ascii="仿宋" w:hAnsi="仿宋" w:eastAsia="仿宋" w:cs="仿宋"/>
          <w:b w:val="0"/>
          <w:bCs w:val="0"/>
          <w:color w:val="auto"/>
          <w:sz w:val="24"/>
        </w:rPr>
        <w:t>项目监理日志、监理月报、工地例会纪要、监理工程师通知单及回复单、工程报审表、工程验收文件等。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1"/>
        <w:rPr>
          <w:rFonts w:ascii="仿宋" w:hAnsi="仿宋" w:eastAsia="仿宋" w:cs="仿宋"/>
          <w:b w:val="0"/>
          <w:bCs w:val="0"/>
          <w:color w:val="auto"/>
          <w:sz w:val="24"/>
        </w:rPr>
      </w:pPr>
      <w:bookmarkStart w:id="373" w:name="_Toc24613"/>
      <w:r>
        <w:rPr>
          <w:rFonts w:hint="eastAsia" w:ascii="仿宋" w:hAnsi="仿宋" w:eastAsia="仿宋" w:cs="仿宋"/>
          <w:b w:val="0"/>
          <w:bCs w:val="0"/>
          <w:color w:val="auto"/>
          <w:sz w:val="24"/>
        </w:rPr>
        <w:t>五、监理汇交资料目录</w:t>
      </w:r>
      <w:bookmarkEnd w:id="37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b w:val="0"/>
          <w:bCs w:val="0"/>
          <w:color w:val="auto"/>
          <w:sz w:val="24"/>
        </w:rPr>
      </w:pPr>
      <w:r>
        <w:rPr>
          <w:rFonts w:hint="eastAsia" w:ascii="仿宋" w:hAnsi="仿宋" w:eastAsia="仿宋" w:cs="仿宋"/>
          <w:b w:val="0"/>
          <w:bCs w:val="0"/>
          <w:color w:val="auto"/>
          <w:sz w:val="24"/>
        </w:rPr>
        <w:t>监理资料整理应按照相关规范进行。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b w:val="0"/>
          <w:bCs w:val="0"/>
          <w:color w:val="auto"/>
          <w:sz w:val="24"/>
        </w:rPr>
      </w:pPr>
      <w:r>
        <w:rPr>
          <w:rFonts w:hint="eastAsia" w:ascii="仿宋" w:hAnsi="仿宋" w:eastAsia="仿宋" w:cs="仿宋"/>
          <w:b w:val="0"/>
          <w:bCs w:val="0"/>
          <w:color w:val="auto"/>
          <w:sz w:val="24"/>
        </w:rPr>
        <w:t>（一）监理规划、项目监理实施细则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b w:val="0"/>
          <w:bCs w:val="0"/>
          <w:color w:val="auto"/>
          <w:sz w:val="24"/>
        </w:rPr>
      </w:pPr>
      <w:r>
        <w:rPr>
          <w:rFonts w:hint="eastAsia" w:ascii="仿宋" w:hAnsi="仿宋" w:eastAsia="仿宋" w:cs="仿宋"/>
          <w:b w:val="0"/>
          <w:bCs w:val="0"/>
          <w:color w:val="auto"/>
          <w:sz w:val="24"/>
        </w:rPr>
        <w:t>（二）监理工作总结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b w:val="0"/>
          <w:bCs w:val="0"/>
          <w:color w:val="auto"/>
          <w:sz w:val="24"/>
        </w:rPr>
      </w:pPr>
      <w:r>
        <w:rPr>
          <w:rFonts w:hint="eastAsia" w:ascii="仿宋" w:hAnsi="仿宋" w:eastAsia="仿宋" w:cs="仿宋"/>
          <w:b w:val="0"/>
          <w:bCs w:val="0"/>
          <w:color w:val="auto"/>
          <w:sz w:val="24"/>
        </w:rPr>
        <w:t>（三）监理工作照片集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b w:val="0"/>
          <w:bCs w:val="0"/>
          <w:color w:val="auto"/>
          <w:sz w:val="24"/>
        </w:rPr>
      </w:pPr>
      <w:r>
        <w:rPr>
          <w:rFonts w:hint="eastAsia" w:ascii="仿宋" w:hAnsi="仿宋" w:eastAsia="仿宋" w:cs="仿宋"/>
          <w:b w:val="0"/>
          <w:bCs w:val="0"/>
          <w:color w:val="auto"/>
          <w:sz w:val="24"/>
        </w:rPr>
        <w:t>（四）工程质量评估报告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b w:val="0"/>
          <w:bCs w:val="0"/>
          <w:color w:val="auto"/>
          <w:sz w:val="24"/>
        </w:rPr>
      </w:pPr>
      <w:r>
        <w:rPr>
          <w:rFonts w:hint="eastAsia" w:ascii="仿宋" w:hAnsi="仿宋" w:eastAsia="仿宋" w:cs="仿宋"/>
          <w:b w:val="0"/>
          <w:bCs w:val="0"/>
          <w:color w:val="auto"/>
          <w:sz w:val="24"/>
        </w:rPr>
        <w:t>（五）项目监理日志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b w:val="0"/>
          <w:bCs w:val="0"/>
          <w:color w:val="auto"/>
          <w:sz w:val="24"/>
        </w:rPr>
      </w:pPr>
      <w:r>
        <w:rPr>
          <w:rFonts w:hint="eastAsia" w:ascii="仿宋" w:hAnsi="仿宋" w:eastAsia="仿宋" w:cs="仿宋"/>
          <w:b w:val="0"/>
          <w:bCs w:val="0"/>
          <w:color w:val="auto"/>
          <w:sz w:val="24"/>
        </w:rPr>
        <w:t>（六）监理月报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b w:val="0"/>
          <w:bCs w:val="0"/>
          <w:color w:val="auto"/>
          <w:sz w:val="24"/>
        </w:rPr>
      </w:pPr>
      <w:r>
        <w:rPr>
          <w:rFonts w:hint="eastAsia" w:ascii="仿宋" w:hAnsi="仿宋" w:eastAsia="仿宋" w:cs="仿宋"/>
          <w:b w:val="0"/>
          <w:bCs w:val="0"/>
          <w:color w:val="auto"/>
          <w:sz w:val="24"/>
        </w:rPr>
        <w:t>（七）第一次工地例会、工地例会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b w:val="0"/>
          <w:bCs w:val="0"/>
          <w:color w:val="auto"/>
          <w:sz w:val="24"/>
        </w:rPr>
      </w:pPr>
      <w:r>
        <w:rPr>
          <w:rFonts w:hint="eastAsia" w:ascii="仿宋" w:hAnsi="仿宋" w:eastAsia="仿宋" w:cs="仿宋"/>
          <w:b w:val="0"/>
          <w:bCs w:val="0"/>
          <w:color w:val="auto"/>
          <w:sz w:val="24"/>
        </w:rPr>
        <w:t>（八）监理工程师通知单、监理工程师回复单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b w:val="0"/>
          <w:bCs w:val="0"/>
          <w:color w:val="auto"/>
          <w:sz w:val="24"/>
        </w:rPr>
      </w:pPr>
      <w:r>
        <w:rPr>
          <w:rFonts w:hint="eastAsia" w:ascii="仿宋" w:hAnsi="仿宋" w:eastAsia="仿宋" w:cs="仿宋"/>
          <w:b w:val="0"/>
          <w:bCs w:val="0"/>
          <w:color w:val="auto"/>
          <w:sz w:val="24"/>
        </w:rPr>
        <w:t>（九）工程报审表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b w:val="0"/>
          <w:bCs w:val="0"/>
          <w:color w:val="auto"/>
          <w:sz w:val="24"/>
        </w:rPr>
      </w:pPr>
      <w:r>
        <w:rPr>
          <w:rFonts w:hint="eastAsia" w:ascii="仿宋" w:hAnsi="仿宋" w:eastAsia="仿宋" w:cs="仿宋"/>
          <w:b w:val="0"/>
          <w:bCs w:val="0"/>
          <w:color w:val="auto"/>
          <w:sz w:val="24"/>
        </w:rPr>
        <w:t>1.工程开工报审（开工报告报审表、开工报告、施工单位资质、人员资质证书、特种作业人员管理制度、特种作业人员花名册、 特种作业人员证件、施工现场管理检查记录）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b w:val="0"/>
          <w:bCs w:val="0"/>
          <w:color w:val="auto"/>
          <w:sz w:val="24"/>
        </w:rPr>
      </w:pPr>
      <w:r>
        <w:rPr>
          <w:rFonts w:hint="eastAsia" w:ascii="仿宋" w:hAnsi="仿宋" w:eastAsia="仿宋" w:cs="仿宋"/>
          <w:b w:val="0"/>
          <w:bCs w:val="0"/>
          <w:color w:val="auto"/>
          <w:sz w:val="24"/>
        </w:rPr>
        <w:t>2.工程进度计划报审（总进度报审表、总进度计划、月进度 报审表 月进度计划、旬进度计划报审表、旬进度计划）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b w:val="0"/>
          <w:bCs w:val="0"/>
          <w:color w:val="auto"/>
          <w:sz w:val="24"/>
        </w:rPr>
      </w:pPr>
      <w:r>
        <w:rPr>
          <w:rFonts w:hint="eastAsia" w:ascii="仿宋" w:hAnsi="仿宋" w:eastAsia="仿宋" w:cs="仿宋"/>
          <w:b w:val="0"/>
          <w:bCs w:val="0"/>
          <w:color w:val="auto"/>
          <w:sz w:val="24"/>
        </w:rPr>
        <w:t>（十）工程验收文件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b w:val="0"/>
          <w:bCs w:val="0"/>
          <w:color w:val="auto"/>
          <w:sz w:val="24"/>
        </w:rPr>
      </w:pPr>
      <w:r>
        <w:rPr>
          <w:rFonts w:hint="eastAsia" w:ascii="仿宋" w:hAnsi="仿宋" w:eastAsia="仿宋" w:cs="仿宋"/>
          <w:b w:val="0"/>
          <w:bCs w:val="0"/>
          <w:color w:val="auto"/>
          <w:sz w:val="24"/>
        </w:rPr>
        <w:t>1.工程竣工验收报验表 （竣工报验申请表、单位工程质量验收文件目录、单位工程质量控制资料记录、单位工程观感质量检查记录、单位质量竣工验收记录）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b w:val="0"/>
          <w:bCs w:val="0"/>
          <w:color w:val="auto"/>
          <w:sz w:val="24"/>
        </w:rPr>
      </w:pPr>
      <w:r>
        <w:rPr>
          <w:rFonts w:hint="eastAsia" w:ascii="仿宋" w:hAnsi="仿宋" w:eastAsia="仿宋" w:cs="仿宋"/>
          <w:b w:val="0"/>
          <w:bCs w:val="0"/>
          <w:color w:val="auto"/>
          <w:sz w:val="24"/>
        </w:rPr>
        <w:t>2.工程竣工报审（自检报告、工程竣工报告）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b w:val="0"/>
          <w:bCs w:val="0"/>
          <w:color w:val="auto"/>
          <w:sz w:val="24"/>
        </w:rPr>
      </w:pPr>
      <w:r>
        <w:rPr>
          <w:rFonts w:hint="eastAsia" w:ascii="仿宋" w:hAnsi="仿宋" w:eastAsia="仿宋" w:cs="仿宋"/>
          <w:b w:val="0"/>
          <w:bCs w:val="0"/>
          <w:color w:val="auto"/>
          <w:sz w:val="24"/>
        </w:rPr>
        <w:t>3.监理单位初验意见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b w:val="0"/>
          <w:bCs w:val="0"/>
          <w:color w:val="auto"/>
          <w:sz w:val="24"/>
        </w:rPr>
      </w:pPr>
      <w:r>
        <w:rPr>
          <w:rFonts w:hint="eastAsia" w:ascii="仿宋" w:hAnsi="仿宋" w:eastAsia="仿宋" w:cs="仿宋"/>
          <w:b w:val="0"/>
          <w:bCs w:val="0"/>
          <w:color w:val="auto"/>
          <w:sz w:val="24"/>
        </w:rPr>
        <w:t xml:space="preserve">4.局竣工验收意见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b w:val="0"/>
          <w:bCs w:val="0"/>
          <w:color w:val="auto"/>
          <w:sz w:val="24"/>
        </w:rPr>
      </w:pPr>
      <w:r>
        <w:rPr>
          <w:rFonts w:hint="eastAsia" w:ascii="仿宋" w:hAnsi="仿宋" w:eastAsia="仿宋" w:cs="仿宋"/>
          <w:b w:val="0"/>
          <w:bCs w:val="0"/>
          <w:color w:val="auto"/>
          <w:sz w:val="24"/>
        </w:rPr>
        <w:t>监理资料整理归档严格按照《地质资料汇交规范》DZ/T0273及相关管理办法规定执行。最终成果资料应按地质资料汇交要求向博州自然资源局汇交纸介质和电子版。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1"/>
        <w:rPr>
          <w:rFonts w:ascii="仿宋" w:hAnsi="仿宋" w:eastAsia="仿宋" w:cs="仿宋"/>
          <w:b w:val="0"/>
          <w:bCs w:val="0"/>
          <w:color w:val="auto"/>
          <w:sz w:val="24"/>
        </w:rPr>
      </w:pPr>
      <w:bookmarkStart w:id="374" w:name="_Toc4097"/>
      <w:r>
        <w:rPr>
          <w:rFonts w:hint="eastAsia" w:ascii="仿宋" w:hAnsi="仿宋" w:eastAsia="仿宋" w:cs="仿宋"/>
          <w:b w:val="0"/>
          <w:bCs w:val="0"/>
          <w:color w:val="auto"/>
          <w:sz w:val="24"/>
        </w:rPr>
        <w:t>六、工作周期</w:t>
      </w:r>
      <w:bookmarkEnd w:id="37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b w:val="0"/>
          <w:bCs w:val="0"/>
          <w:color w:val="auto"/>
          <w:sz w:val="24"/>
        </w:rPr>
      </w:pPr>
      <w:r>
        <w:rPr>
          <w:rStyle w:val="73"/>
          <w:rFonts w:ascii="仿宋" w:hAnsi="仿宋" w:eastAsia="仿宋" w:cs="仿宋"/>
          <w:b w:val="0"/>
          <w:bCs w:val="0"/>
          <w:color w:val="auto"/>
          <w:sz w:val="24"/>
          <w:szCs w:val="24"/>
        </w:rPr>
        <w:t>同项目施工期一致，</w:t>
      </w:r>
      <w:r>
        <w:rPr>
          <w:rFonts w:hint="eastAsia" w:ascii="仿宋" w:hAnsi="仿宋" w:eastAsia="仿宋" w:cs="仿宋"/>
          <w:b w:val="0"/>
          <w:bCs w:val="0"/>
          <w:color w:val="auto"/>
          <w:sz w:val="24"/>
        </w:rPr>
        <w:t>2023年4月20前完成设备安装及试运行，5月10日前完成野外工作初验，5月20日前全面完成监测对象基础资料录入、预警模型初设等工作，正式并网运行，10月底前完成项目运行维护工作；10月30日前提交项目年度成果报告。</w:t>
      </w:r>
    </w:p>
    <w:p>
      <w:pPr>
        <w:pStyle w:val="27"/>
        <w:rPr>
          <w:color w:val="auto"/>
        </w:rPr>
      </w:pPr>
    </w:p>
    <w:p>
      <w:pPr>
        <w:rPr>
          <w:rFonts w:ascii="仿宋" w:hAnsi="仿宋" w:eastAsia="仿宋" w:cs="仿宋"/>
          <w:color w:val="auto"/>
          <w:sz w:val="24"/>
        </w:rPr>
      </w:pPr>
      <w:r>
        <w:rPr>
          <w:rFonts w:hint="eastAsia" w:ascii="仿宋" w:hAnsi="仿宋" w:eastAsia="仿宋" w:cs="仿宋"/>
          <w:color w:val="auto"/>
          <w:sz w:val="24"/>
        </w:rPr>
        <w:br w:type="page"/>
      </w:r>
    </w:p>
    <w:p>
      <w:pPr>
        <w:pStyle w:val="27"/>
        <w:rPr>
          <w:color w:val="auto"/>
        </w:rPr>
      </w:pPr>
    </w:p>
    <w:p>
      <w:pPr>
        <w:spacing w:line="240" w:lineRule="atLeast"/>
        <w:jc w:val="center"/>
        <w:outlineLvl w:val="0"/>
        <w:rPr>
          <w:rFonts w:ascii="仿宋" w:hAnsi="仿宋" w:eastAsia="仿宋" w:cs="仿宋"/>
          <w:b/>
          <w:bCs/>
          <w:color w:val="auto"/>
          <w:sz w:val="28"/>
          <w:szCs w:val="28"/>
        </w:rPr>
      </w:pPr>
      <w:r>
        <w:rPr>
          <w:rFonts w:hint="eastAsia" w:ascii="仿宋" w:hAnsi="仿宋" w:eastAsia="仿宋" w:cs="仿宋"/>
          <w:b/>
          <w:bCs/>
          <w:color w:val="auto"/>
          <w:sz w:val="28"/>
          <w:szCs w:val="28"/>
        </w:rPr>
        <w:t xml:space="preserve">  </w:t>
      </w:r>
      <w:bookmarkStart w:id="375" w:name="_Toc16210"/>
      <w:bookmarkStart w:id="376" w:name="_Toc7572"/>
      <w:r>
        <w:rPr>
          <w:rFonts w:hint="eastAsia" w:ascii="仿宋" w:hAnsi="仿宋" w:eastAsia="仿宋" w:cs="仿宋"/>
          <w:b/>
          <w:bCs/>
          <w:color w:val="auto"/>
          <w:sz w:val="28"/>
          <w:szCs w:val="28"/>
        </w:rPr>
        <w:t>第6章</w:t>
      </w:r>
      <w:r>
        <w:rPr>
          <w:rFonts w:hint="eastAsia" w:ascii="仿宋" w:hAnsi="仿宋" w:eastAsia="仿宋" w:cs="仿宋"/>
          <w:color w:val="auto"/>
        </w:rPr>
        <w:t xml:space="preserve"> </w:t>
      </w:r>
      <w:r>
        <w:rPr>
          <w:rFonts w:hint="eastAsia" w:ascii="仿宋" w:hAnsi="仿宋" w:eastAsia="仿宋" w:cs="仿宋"/>
          <w:b/>
          <w:bCs/>
          <w:color w:val="auto"/>
          <w:sz w:val="28"/>
          <w:szCs w:val="28"/>
        </w:rPr>
        <w:t xml:space="preserve"> </w:t>
      </w:r>
      <w:bookmarkStart w:id="377" w:name="_Toc507399907"/>
      <w:bookmarkStart w:id="378" w:name="_Toc518923127"/>
      <w:r>
        <w:rPr>
          <w:rFonts w:hint="eastAsia" w:ascii="仿宋" w:hAnsi="仿宋" w:eastAsia="仿宋" w:cs="仿宋"/>
          <w:b/>
          <w:bCs/>
          <w:color w:val="auto"/>
          <w:sz w:val="28"/>
          <w:szCs w:val="28"/>
        </w:rPr>
        <w:t>评标方法和标准</w:t>
      </w:r>
      <w:bookmarkEnd w:id="358"/>
      <w:bookmarkEnd w:id="359"/>
      <w:bookmarkEnd w:id="360"/>
      <w:bookmarkEnd w:id="375"/>
      <w:bookmarkEnd w:id="376"/>
      <w:bookmarkEnd w:id="377"/>
      <w:bookmarkEnd w:id="378"/>
    </w:p>
    <w:p>
      <w:pPr>
        <w:pStyle w:val="2"/>
        <w:tabs>
          <w:tab w:val="clear" w:pos="567"/>
        </w:tabs>
        <w:spacing w:before="0" w:line="240" w:lineRule="atLeast"/>
        <w:ind w:firstLine="540" w:firstLineChars="225"/>
        <w:rPr>
          <w:rFonts w:ascii="仿宋" w:hAnsi="仿宋" w:eastAsia="仿宋" w:cs="仿宋"/>
          <w:color w:val="auto"/>
        </w:rPr>
      </w:pPr>
    </w:p>
    <w:p>
      <w:pPr>
        <w:keepNext/>
        <w:keepLines/>
        <w:autoSpaceDE w:val="0"/>
        <w:autoSpaceDN w:val="0"/>
        <w:adjustRightInd w:val="0"/>
        <w:spacing w:line="240" w:lineRule="atLeast"/>
        <w:ind w:firstLine="562" w:firstLineChars="200"/>
        <w:rPr>
          <w:rFonts w:ascii="仿宋" w:hAnsi="仿宋" w:eastAsia="仿宋" w:cs="仿宋"/>
          <w:b/>
          <w:bCs/>
          <w:color w:val="auto"/>
          <w:sz w:val="28"/>
          <w:szCs w:val="36"/>
        </w:rPr>
      </w:pPr>
      <w:r>
        <w:rPr>
          <w:rFonts w:hint="eastAsia" w:ascii="仿宋" w:hAnsi="仿宋" w:eastAsia="仿宋" w:cs="仿宋"/>
          <w:b/>
          <w:bCs/>
          <w:color w:val="auto"/>
          <w:sz w:val="28"/>
          <w:szCs w:val="36"/>
        </w:rPr>
        <w:t>本项目将按照采购文件第一章供应商须知中“五 开标及评标”“六 确定中标”及本章的规定评标。</w:t>
      </w:r>
    </w:p>
    <w:p>
      <w:pPr>
        <w:pStyle w:val="2"/>
        <w:tabs>
          <w:tab w:val="clear" w:pos="567"/>
        </w:tabs>
        <w:spacing w:before="100" w:beforeAutospacing="1" w:after="100" w:afterAutospacing="1" w:line="240" w:lineRule="atLeast"/>
        <w:ind w:left="1080" w:leftChars="257" w:hanging="540"/>
        <w:outlineLvl w:val="1"/>
        <w:rPr>
          <w:rFonts w:ascii="仿宋" w:hAnsi="仿宋" w:eastAsia="仿宋" w:cs="仿宋"/>
          <w:iCs/>
          <w:color w:val="auto"/>
          <w:sz w:val="28"/>
          <w:szCs w:val="28"/>
        </w:rPr>
      </w:pPr>
      <w:bookmarkStart w:id="379" w:name="_Toc22625"/>
      <w:r>
        <w:rPr>
          <w:rFonts w:hint="eastAsia" w:ascii="仿宋" w:hAnsi="仿宋" w:eastAsia="仿宋" w:cs="仿宋"/>
          <w:iCs/>
          <w:color w:val="auto"/>
          <w:sz w:val="28"/>
          <w:szCs w:val="28"/>
        </w:rPr>
        <w:t>（内容包括</w:t>
      </w:r>
      <w:r>
        <w:rPr>
          <w:rFonts w:hint="eastAsia" w:ascii="仿宋" w:hAnsi="仿宋" w:eastAsia="仿宋" w:cs="仿宋"/>
          <w:b/>
          <w:iCs/>
          <w:color w:val="auto"/>
          <w:sz w:val="28"/>
          <w:szCs w:val="28"/>
        </w:rPr>
        <w:t>投标无效</w:t>
      </w:r>
      <w:r>
        <w:rPr>
          <w:rFonts w:hint="eastAsia" w:ascii="仿宋" w:hAnsi="仿宋" w:eastAsia="仿宋" w:cs="仿宋"/>
          <w:iCs/>
          <w:color w:val="auto"/>
          <w:sz w:val="28"/>
          <w:szCs w:val="28"/>
        </w:rPr>
        <w:t>界定和详细评标标准）</w:t>
      </w:r>
      <w:bookmarkEnd w:id="379"/>
    </w:p>
    <w:p>
      <w:pPr>
        <w:pStyle w:val="2"/>
        <w:tabs>
          <w:tab w:val="clear" w:pos="567"/>
        </w:tabs>
        <w:spacing w:before="0" w:line="360" w:lineRule="auto"/>
        <w:ind w:left="-181" w:leftChars="-86" w:firstLine="660" w:firstLineChars="275"/>
        <w:outlineLvl w:val="1"/>
        <w:rPr>
          <w:rFonts w:ascii="仿宋" w:hAnsi="仿宋" w:eastAsia="仿宋" w:cs="仿宋"/>
          <w:color w:val="auto"/>
          <w:kern w:val="0"/>
        </w:rPr>
      </w:pPr>
      <w:bookmarkStart w:id="380" w:name="_Toc11554"/>
      <w:r>
        <w:rPr>
          <w:rFonts w:hint="eastAsia" w:ascii="仿宋" w:hAnsi="仿宋" w:eastAsia="仿宋" w:cs="仿宋"/>
          <w:color w:val="auto"/>
          <w:kern w:val="0"/>
        </w:rPr>
        <w:t>1. 总则</w:t>
      </w:r>
      <w:bookmarkEnd w:id="380"/>
    </w:p>
    <w:p>
      <w:pPr>
        <w:pStyle w:val="2"/>
        <w:tabs>
          <w:tab w:val="clear" w:pos="567"/>
        </w:tabs>
        <w:spacing w:before="0" w:line="360" w:lineRule="auto"/>
        <w:ind w:left="-181" w:leftChars="-86" w:firstLine="660" w:firstLineChars="275"/>
        <w:rPr>
          <w:rFonts w:ascii="仿宋" w:hAnsi="仿宋" w:eastAsia="仿宋" w:cs="仿宋"/>
          <w:color w:val="auto"/>
          <w:kern w:val="0"/>
        </w:rPr>
      </w:pPr>
      <w:r>
        <w:rPr>
          <w:rFonts w:hint="eastAsia" w:ascii="仿宋" w:hAnsi="仿宋" w:eastAsia="仿宋" w:cs="仿宋"/>
          <w:color w:val="auto"/>
          <w:kern w:val="0"/>
        </w:rPr>
        <w:t>1.1 根据《中华人民共和国政府采购法》《中华人民共和国政府采购法实施条例》《政府采购货物和服务招标投标管理办法（财政部第87号令）》等法律制度，结合采购项目特点制定本评标办法。</w:t>
      </w:r>
    </w:p>
    <w:p>
      <w:pPr>
        <w:pStyle w:val="2"/>
        <w:tabs>
          <w:tab w:val="clear" w:pos="567"/>
        </w:tabs>
        <w:spacing w:before="0" w:line="360" w:lineRule="auto"/>
        <w:ind w:left="-181" w:leftChars="-86" w:firstLine="660" w:firstLineChars="275"/>
        <w:rPr>
          <w:rFonts w:hint="eastAsia" w:ascii="仿宋" w:hAnsi="仿宋" w:eastAsia="仿宋" w:cs="仿宋"/>
          <w:color w:val="auto"/>
          <w:kern w:val="0"/>
          <w:lang w:eastAsia="zh-CN"/>
        </w:rPr>
      </w:pPr>
      <w:r>
        <w:rPr>
          <w:rFonts w:hint="eastAsia" w:ascii="仿宋" w:hAnsi="仿宋" w:eastAsia="仿宋" w:cs="仿宋"/>
          <w:color w:val="auto"/>
          <w:kern w:val="0"/>
        </w:rPr>
        <w:t>1.2 评标工作由采购代理机构负责组织，具体评标事务由采购代理机构依法组建的评标委员会负责。评标委员会由采购人代表和有关技术、经济、法律等方面的专家组成。（本项目评标委员会由5人组成，从自然资源厅专家库中随机抽取后在政府采购网按3</w:t>
      </w:r>
      <w:r>
        <w:rPr>
          <w:rFonts w:hint="eastAsia" w:ascii="仿宋" w:hAnsi="仿宋" w:eastAsia="仿宋" w:cs="仿宋"/>
          <w:color w:val="auto"/>
          <w:kern w:val="0"/>
          <w:lang w:eastAsia="zh-CN"/>
        </w:rPr>
        <w:t>∶</w:t>
      </w:r>
      <w:r>
        <w:rPr>
          <w:rFonts w:hint="eastAsia" w:ascii="仿宋" w:hAnsi="仿宋" w:eastAsia="仿宋" w:cs="仿宋"/>
          <w:color w:val="auto"/>
          <w:kern w:val="0"/>
        </w:rPr>
        <w:t>1比例自行组建并随机抽取）</w:t>
      </w:r>
      <w:r>
        <w:rPr>
          <w:rFonts w:hint="eastAsia" w:ascii="仿宋" w:hAnsi="仿宋" w:eastAsia="仿宋" w:cs="仿宋"/>
          <w:color w:val="auto"/>
          <w:kern w:val="0"/>
          <w:lang w:eastAsia="zh-CN"/>
        </w:rPr>
        <w:t>。</w:t>
      </w:r>
    </w:p>
    <w:p>
      <w:pPr>
        <w:pStyle w:val="2"/>
        <w:tabs>
          <w:tab w:val="clear" w:pos="567"/>
        </w:tabs>
        <w:spacing w:before="0" w:line="360" w:lineRule="auto"/>
        <w:ind w:left="-181" w:leftChars="-86" w:firstLine="660" w:firstLineChars="275"/>
        <w:rPr>
          <w:rFonts w:ascii="仿宋" w:hAnsi="仿宋" w:eastAsia="仿宋" w:cs="仿宋"/>
          <w:color w:val="auto"/>
          <w:kern w:val="0"/>
        </w:rPr>
      </w:pPr>
      <w:r>
        <w:rPr>
          <w:rFonts w:hint="eastAsia" w:ascii="仿宋" w:hAnsi="仿宋" w:eastAsia="仿宋" w:cs="仿宋"/>
          <w:color w:val="auto"/>
          <w:kern w:val="0"/>
        </w:rPr>
        <w:t>1.3 评标工作应遵循公平、公正、科学及择优的原则，并以相同的评标程序和标准对待所有的供应商。</w:t>
      </w:r>
    </w:p>
    <w:p>
      <w:pPr>
        <w:pStyle w:val="2"/>
        <w:tabs>
          <w:tab w:val="clear" w:pos="567"/>
        </w:tabs>
        <w:spacing w:before="0" w:line="360" w:lineRule="auto"/>
        <w:ind w:left="-181" w:leftChars="-86" w:firstLine="660" w:firstLineChars="275"/>
        <w:rPr>
          <w:rFonts w:ascii="仿宋" w:hAnsi="仿宋" w:eastAsia="仿宋" w:cs="仿宋"/>
          <w:color w:val="auto"/>
          <w:kern w:val="0"/>
        </w:rPr>
      </w:pPr>
      <w:r>
        <w:rPr>
          <w:rFonts w:hint="eastAsia" w:ascii="仿宋" w:hAnsi="仿宋" w:eastAsia="仿宋" w:cs="仿宋"/>
          <w:color w:val="auto"/>
          <w:kern w:val="0"/>
        </w:rPr>
        <w:t>1.4 评标委员会按照采购文件规定的评标方法和标准进行评标，并独立履行下列职责：</w:t>
      </w:r>
    </w:p>
    <w:p>
      <w:pPr>
        <w:pStyle w:val="2"/>
        <w:tabs>
          <w:tab w:val="clear" w:pos="567"/>
        </w:tabs>
        <w:spacing w:before="0" w:line="360" w:lineRule="auto"/>
        <w:rPr>
          <w:rFonts w:ascii="仿宋" w:hAnsi="仿宋" w:eastAsia="仿宋" w:cs="仿宋"/>
          <w:color w:val="auto"/>
          <w:kern w:val="0"/>
        </w:rPr>
      </w:pPr>
      <w:r>
        <w:rPr>
          <w:rFonts w:hint="eastAsia" w:ascii="仿宋" w:hAnsi="仿宋" w:eastAsia="仿宋" w:cs="仿宋"/>
          <w:color w:val="auto"/>
          <w:kern w:val="0"/>
        </w:rPr>
        <w:t>（一）对供应商的资格性、符合性进行审查；</w:t>
      </w:r>
    </w:p>
    <w:p>
      <w:pPr>
        <w:pStyle w:val="2"/>
        <w:tabs>
          <w:tab w:val="clear" w:pos="567"/>
        </w:tabs>
        <w:spacing w:before="0" w:line="360" w:lineRule="auto"/>
        <w:rPr>
          <w:rFonts w:ascii="仿宋" w:hAnsi="仿宋" w:eastAsia="仿宋" w:cs="仿宋"/>
          <w:color w:val="auto"/>
          <w:kern w:val="0"/>
        </w:rPr>
      </w:pPr>
      <w:r>
        <w:rPr>
          <w:rFonts w:hint="eastAsia" w:ascii="仿宋" w:hAnsi="仿宋" w:eastAsia="仿宋" w:cs="仿宋"/>
          <w:color w:val="auto"/>
          <w:kern w:val="0"/>
        </w:rPr>
        <w:t>（二）审查、评价投标文件是否符合采购文件的商务、技术等实质性要求；</w:t>
      </w:r>
    </w:p>
    <w:p>
      <w:pPr>
        <w:pStyle w:val="2"/>
        <w:tabs>
          <w:tab w:val="clear" w:pos="567"/>
        </w:tabs>
        <w:spacing w:before="0" w:line="360" w:lineRule="auto"/>
        <w:rPr>
          <w:rFonts w:ascii="仿宋" w:hAnsi="仿宋" w:eastAsia="仿宋" w:cs="仿宋"/>
          <w:color w:val="auto"/>
          <w:kern w:val="0"/>
        </w:rPr>
      </w:pPr>
      <w:r>
        <w:rPr>
          <w:rFonts w:hint="eastAsia" w:ascii="仿宋" w:hAnsi="仿宋" w:eastAsia="仿宋" w:cs="仿宋"/>
          <w:color w:val="auto"/>
          <w:kern w:val="0"/>
        </w:rPr>
        <w:t>（三）要求供应商对投标文件有关事项作出澄清或者说明；</w:t>
      </w:r>
    </w:p>
    <w:p>
      <w:pPr>
        <w:pStyle w:val="2"/>
        <w:tabs>
          <w:tab w:val="clear" w:pos="567"/>
        </w:tabs>
        <w:spacing w:before="0" w:line="360" w:lineRule="auto"/>
        <w:rPr>
          <w:rFonts w:ascii="仿宋" w:hAnsi="仿宋" w:eastAsia="仿宋" w:cs="仿宋"/>
          <w:color w:val="auto"/>
          <w:kern w:val="0"/>
        </w:rPr>
      </w:pPr>
      <w:r>
        <w:rPr>
          <w:rFonts w:hint="eastAsia" w:ascii="仿宋" w:hAnsi="仿宋" w:eastAsia="仿宋" w:cs="仿宋"/>
          <w:color w:val="auto"/>
          <w:kern w:val="0"/>
        </w:rPr>
        <w:t>（四）对投标文件进行比较和评价；</w:t>
      </w:r>
    </w:p>
    <w:p>
      <w:pPr>
        <w:pStyle w:val="2"/>
        <w:tabs>
          <w:tab w:val="clear" w:pos="567"/>
        </w:tabs>
        <w:spacing w:before="0" w:line="360" w:lineRule="auto"/>
        <w:rPr>
          <w:rFonts w:ascii="仿宋" w:hAnsi="仿宋" w:eastAsia="仿宋" w:cs="仿宋"/>
          <w:color w:val="auto"/>
          <w:kern w:val="0"/>
        </w:rPr>
      </w:pPr>
      <w:r>
        <w:rPr>
          <w:rFonts w:hint="eastAsia" w:ascii="仿宋" w:hAnsi="仿宋" w:eastAsia="仿宋" w:cs="仿宋"/>
          <w:color w:val="auto"/>
          <w:kern w:val="0"/>
        </w:rPr>
        <w:t>（五）确定中标候选人名单，以及根据采购人委托直接确定中标人；</w:t>
      </w:r>
    </w:p>
    <w:p>
      <w:pPr>
        <w:pStyle w:val="2"/>
        <w:tabs>
          <w:tab w:val="clear" w:pos="567"/>
        </w:tabs>
        <w:spacing w:before="0" w:line="360" w:lineRule="auto"/>
        <w:rPr>
          <w:rFonts w:hint="eastAsia" w:ascii="仿宋" w:hAnsi="仿宋" w:eastAsia="仿宋" w:cs="仿宋"/>
          <w:color w:val="auto"/>
          <w:kern w:val="0"/>
          <w:lang w:eastAsia="zh-CN"/>
        </w:rPr>
      </w:pPr>
      <w:r>
        <w:rPr>
          <w:rFonts w:hint="eastAsia" w:ascii="仿宋" w:hAnsi="仿宋" w:eastAsia="仿宋" w:cs="仿宋"/>
          <w:color w:val="auto"/>
          <w:kern w:val="0"/>
        </w:rPr>
        <w:t>（六）向采购人、采购代理机构或者有关部门报告评标中发现的违法行为</w:t>
      </w:r>
      <w:r>
        <w:rPr>
          <w:rFonts w:hint="eastAsia" w:ascii="仿宋" w:hAnsi="仿宋" w:eastAsia="仿宋" w:cs="仿宋"/>
          <w:color w:val="auto"/>
          <w:kern w:val="0"/>
          <w:lang w:eastAsia="zh-CN"/>
        </w:rPr>
        <w:t>；</w:t>
      </w:r>
    </w:p>
    <w:p>
      <w:pPr>
        <w:pStyle w:val="2"/>
        <w:tabs>
          <w:tab w:val="clear" w:pos="567"/>
        </w:tabs>
        <w:spacing w:before="0" w:line="360" w:lineRule="auto"/>
        <w:rPr>
          <w:rFonts w:ascii="仿宋" w:hAnsi="仿宋" w:eastAsia="仿宋" w:cs="仿宋"/>
          <w:color w:val="auto"/>
          <w:kern w:val="0"/>
        </w:rPr>
      </w:pPr>
      <w:r>
        <w:rPr>
          <w:rFonts w:hint="eastAsia" w:ascii="仿宋" w:hAnsi="仿宋" w:eastAsia="仿宋" w:cs="仿宋"/>
          <w:color w:val="auto"/>
          <w:kern w:val="0"/>
        </w:rPr>
        <w:t>（七）法律、法规和规章规定的其他职责。</w:t>
      </w:r>
    </w:p>
    <w:p>
      <w:pPr>
        <w:pStyle w:val="2"/>
        <w:tabs>
          <w:tab w:val="clear" w:pos="567"/>
        </w:tabs>
        <w:spacing w:before="0" w:line="360" w:lineRule="auto"/>
        <w:ind w:left="-181" w:leftChars="-86" w:firstLine="660" w:firstLineChars="275"/>
        <w:rPr>
          <w:rFonts w:ascii="仿宋" w:hAnsi="仿宋" w:eastAsia="仿宋" w:cs="仿宋"/>
          <w:color w:val="auto"/>
          <w:kern w:val="0"/>
        </w:rPr>
      </w:pPr>
      <w:r>
        <w:rPr>
          <w:rFonts w:hint="eastAsia" w:ascii="仿宋" w:hAnsi="仿宋" w:eastAsia="仿宋" w:cs="仿宋"/>
          <w:color w:val="auto"/>
          <w:kern w:val="0"/>
        </w:rPr>
        <w:t>1.5 评标过程独立、保密。供应商非法干预评标过程的行为将导致其投标文件作为无效处理。</w:t>
      </w:r>
    </w:p>
    <w:p>
      <w:pPr>
        <w:pStyle w:val="2"/>
        <w:tabs>
          <w:tab w:val="clear" w:pos="567"/>
        </w:tabs>
        <w:spacing w:before="0" w:line="360" w:lineRule="auto"/>
        <w:ind w:left="-181" w:leftChars="-86" w:firstLine="660" w:firstLineChars="275"/>
        <w:rPr>
          <w:rFonts w:ascii="仿宋" w:hAnsi="仿宋" w:eastAsia="仿宋" w:cs="仿宋"/>
          <w:color w:val="auto"/>
          <w:kern w:val="0"/>
        </w:rPr>
      </w:pPr>
      <w:r>
        <w:rPr>
          <w:rFonts w:hint="eastAsia" w:ascii="仿宋" w:hAnsi="仿宋" w:eastAsia="仿宋" w:cs="仿宋"/>
          <w:color w:val="auto"/>
          <w:kern w:val="0"/>
        </w:rPr>
        <w:t>1.6评标委员会评价投标文件的响应性，对于供应商而言，除评标委员会要求其澄清、说明或者更正而提供的资料外，仅依据投标文件本身的内容，不寻求其他外部证据。</w:t>
      </w:r>
    </w:p>
    <w:p>
      <w:pPr>
        <w:pStyle w:val="2"/>
        <w:tabs>
          <w:tab w:val="clear" w:pos="567"/>
        </w:tabs>
        <w:spacing w:before="0" w:line="360" w:lineRule="auto"/>
        <w:ind w:firstLine="240" w:firstLineChars="100"/>
        <w:rPr>
          <w:rFonts w:ascii="仿宋" w:hAnsi="仿宋" w:eastAsia="仿宋" w:cs="仿宋"/>
          <w:color w:val="auto"/>
          <w:kern w:val="0"/>
        </w:rPr>
      </w:pPr>
      <w:r>
        <w:rPr>
          <w:rFonts w:hint="eastAsia" w:ascii="仿宋" w:hAnsi="仿宋" w:eastAsia="仿宋" w:cs="仿宋"/>
          <w:color w:val="auto"/>
          <w:kern w:val="0"/>
        </w:rPr>
        <w:t xml:space="preserve"> 1.7采购人或者采购代理机构负责组织评标工作，并履行下列职责：</w:t>
      </w:r>
    </w:p>
    <w:p>
      <w:pPr>
        <w:pStyle w:val="2"/>
        <w:tabs>
          <w:tab w:val="clear" w:pos="567"/>
        </w:tabs>
        <w:spacing w:before="0" w:line="360" w:lineRule="auto"/>
        <w:ind w:firstLine="240" w:firstLineChars="100"/>
        <w:rPr>
          <w:rFonts w:ascii="仿宋" w:hAnsi="仿宋" w:eastAsia="仿宋" w:cs="仿宋"/>
          <w:color w:val="auto"/>
          <w:kern w:val="0"/>
        </w:rPr>
      </w:pPr>
      <w:r>
        <w:rPr>
          <w:rFonts w:hint="eastAsia" w:ascii="仿宋" w:hAnsi="仿宋" w:eastAsia="仿宋" w:cs="仿宋"/>
          <w:color w:val="auto"/>
          <w:kern w:val="0"/>
        </w:rPr>
        <w:t>（一）核对评审专家身份和采购人代表信息，对评审专家在政府采购活动中的职责履行情况予以记录，并及时将有关违法违规行为向财政部门报告；</w:t>
      </w:r>
    </w:p>
    <w:p>
      <w:pPr>
        <w:pStyle w:val="2"/>
        <w:tabs>
          <w:tab w:val="clear" w:pos="567"/>
        </w:tabs>
        <w:spacing w:before="0" w:line="360" w:lineRule="auto"/>
        <w:ind w:firstLine="240" w:firstLineChars="100"/>
        <w:rPr>
          <w:rFonts w:ascii="仿宋" w:hAnsi="仿宋" w:eastAsia="仿宋" w:cs="仿宋"/>
          <w:color w:val="auto"/>
          <w:kern w:val="0"/>
        </w:rPr>
      </w:pPr>
      <w:r>
        <w:rPr>
          <w:rFonts w:hint="eastAsia" w:ascii="仿宋" w:hAnsi="仿宋" w:eastAsia="仿宋" w:cs="仿宋"/>
          <w:color w:val="auto"/>
          <w:kern w:val="0"/>
        </w:rPr>
        <w:t>（二）宣布评标纪律；</w:t>
      </w:r>
    </w:p>
    <w:p>
      <w:pPr>
        <w:pStyle w:val="2"/>
        <w:tabs>
          <w:tab w:val="clear" w:pos="567"/>
        </w:tabs>
        <w:spacing w:before="0" w:line="360" w:lineRule="auto"/>
        <w:ind w:firstLine="240" w:firstLineChars="100"/>
        <w:rPr>
          <w:rFonts w:ascii="仿宋" w:hAnsi="仿宋" w:eastAsia="仿宋" w:cs="仿宋"/>
          <w:color w:val="auto"/>
          <w:kern w:val="0"/>
        </w:rPr>
      </w:pPr>
      <w:r>
        <w:rPr>
          <w:rFonts w:hint="eastAsia" w:ascii="仿宋" w:hAnsi="仿宋" w:eastAsia="仿宋" w:cs="仿宋"/>
          <w:color w:val="auto"/>
          <w:kern w:val="0"/>
        </w:rPr>
        <w:t>（三）公布供应商名单，告知评审专家应当回避的情形；</w:t>
      </w:r>
    </w:p>
    <w:p>
      <w:pPr>
        <w:pStyle w:val="2"/>
        <w:tabs>
          <w:tab w:val="clear" w:pos="567"/>
        </w:tabs>
        <w:spacing w:before="0" w:line="360" w:lineRule="auto"/>
        <w:ind w:firstLine="240" w:firstLineChars="100"/>
        <w:rPr>
          <w:rFonts w:ascii="仿宋" w:hAnsi="仿宋" w:eastAsia="仿宋" w:cs="仿宋"/>
          <w:color w:val="auto"/>
          <w:kern w:val="0"/>
        </w:rPr>
      </w:pPr>
      <w:r>
        <w:rPr>
          <w:rFonts w:hint="eastAsia" w:ascii="仿宋" w:hAnsi="仿宋" w:eastAsia="仿宋" w:cs="仿宋"/>
          <w:color w:val="auto"/>
          <w:kern w:val="0"/>
        </w:rPr>
        <w:t>（四）组织评标委员会推选评标组长，采购人代表不得担任组长；</w:t>
      </w:r>
    </w:p>
    <w:p>
      <w:pPr>
        <w:pStyle w:val="2"/>
        <w:tabs>
          <w:tab w:val="clear" w:pos="567"/>
        </w:tabs>
        <w:spacing w:before="0" w:line="360" w:lineRule="auto"/>
        <w:ind w:firstLine="240" w:firstLineChars="100"/>
        <w:rPr>
          <w:rFonts w:ascii="仿宋" w:hAnsi="仿宋" w:eastAsia="仿宋" w:cs="仿宋"/>
          <w:color w:val="auto"/>
          <w:kern w:val="0"/>
        </w:rPr>
      </w:pPr>
      <w:r>
        <w:rPr>
          <w:rFonts w:hint="eastAsia" w:ascii="仿宋" w:hAnsi="仿宋" w:eastAsia="仿宋" w:cs="仿宋"/>
          <w:color w:val="auto"/>
          <w:kern w:val="0"/>
        </w:rPr>
        <w:t>（五）在评标期间采取必要的通讯管理措施，保证评标活动不受外界干扰；</w:t>
      </w:r>
    </w:p>
    <w:p>
      <w:pPr>
        <w:pStyle w:val="2"/>
        <w:tabs>
          <w:tab w:val="clear" w:pos="567"/>
        </w:tabs>
        <w:spacing w:before="0" w:line="360" w:lineRule="auto"/>
        <w:ind w:firstLine="240" w:firstLineChars="100"/>
        <w:rPr>
          <w:rFonts w:ascii="仿宋" w:hAnsi="仿宋" w:eastAsia="仿宋" w:cs="仿宋"/>
          <w:color w:val="auto"/>
          <w:kern w:val="0"/>
        </w:rPr>
      </w:pPr>
      <w:r>
        <w:rPr>
          <w:rFonts w:hint="eastAsia" w:ascii="仿宋" w:hAnsi="仿宋" w:eastAsia="仿宋" w:cs="仿宋"/>
          <w:color w:val="auto"/>
          <w:kern w:val="0"/>
        </w:rPr>
        <w:t>（六）根据评标委员会的要求介绍政府采购相关政策法规、采购文件；</w:t>
      </w:r>
    </w:p>
    <w:p>
      <w:pPr>
        <w:pStyle w:val="2"/>
        <w:tabs>
          <w:tab w:val="clear" w:pos="567"/>
        </w:tabs>
        <w:spacing w:before="0" w:line="360" w:lineRule="auto"/>
        <w:ind w:firstLine="240" w:firstLineChars="100"/>
        <w:rPr>
          <w:rFonts w:ascii="仿宋" w:hAnsi="仿宋" w:eastAsia="仿宋" w:cs="仿宋"/>
          <w:color w:val="auto"/>
          <w:kern w:val="0"/>
        </w:rPr>
      </w:pPr>
      <w:r>
        <w:rPr>
          <w:rFonts w:hint="eastAsia" w:ascii="仿宋" w:hAnsi="仿宋" w:eastAsia="仿宋" w:cs="仿宋"/>
          <w:color w:val="auto"/>
          <w:kern w:val="0"/>
        </w:rPr>
        <w:t>（七）维护评标秩序，监督评标委员会依照采购文件规定的评标程序、方法和标准进行独立评审，及时制止和纠正采购人代表、评审专家的倾向性言论或者违法违规行为；</w:t>
      </w:r>
    </w:p>
    <w:p>
      <w:pPr>
        <w:pStyle w:val="2"/>
        <w:tabs>
          <w:tab w:val="clear" w:pos="567"/>
        </w:tabs>
        <w:spacing w:before="0" w:line="360" w:lineRule="auto"/>
        <w:ind w:firstLine="240" w:firstLineChars="100"/>
        <w:rPr>
          <w:rFonts w:ascii="仿宋" w:hAnsi="仿宋" w:eastAsia="仿宋" w:cs="仿宋"/>
          <w:color w:val="auto"/>
          <w:kern w:val="0"/>
        </w:rPr>
      </w:pPr>
      <w:r>
        <w:rPr>
          <w:rFonts w:hint="eastAsia" w:ascii="仿宋" w:hAnsi="仿宋" w:eastAsia="仿宋" w:cs="仿宋"/>
          <w:color w:val="auto"/>
          <w:kern w:val="0"/>
        </w:rPr>
        <w:t>（八）核对评标结果，有财政部87号令第六十四条规定情形的，要求评标委员会复核或者书面说明理由，评标委员会拒绝的，应予记录并向本级财政部门报告；</w:t>
      </w:r>
    </w:p>
    <w:p>
      <w:pPr>
        <w:pStyle w:val="2"/>
        <w:tabs>
          <w:tab w:val="clear" w:pos="567"/>
        </w:tabs>
        <w:spacing w:before="0" w:line="360" w:lineRule="auto"/>
        <w:rPr>
          <w:rFonts w:ascii="仿宋" w:hAnsi="仿宋" w:eastAsia="仿宋" w:cs="仿宋"/>
          <w:color w:val="auto"/>
          <w:kern w:val="0"/>
        </w:rPr>
      </w:pPr>
      <w:r>
        <w:rPr>
          <w:rFonts w:hint="eastAsia" w:ascii="仿宋" w:hAnsi="仿宋" w:eastAsia="仿宋" w:cs="仿宋"/>
          <w:color w:val="auto"/>
          <w:kern w:val="0"/>
        </w:rPr>
        <w:t>　（九）处理与评标有关的其他事项。</w:t>
      </w:r>
    </w:p>
    <w:p>
      <w:pPr>
        <w:pStyle w:val="2"/>
        <w:tabs>
          <w:tab w:val="clear" w:pos="567"/>
        </w:tabs>
        <w:spacing w:before="0" w:line="360" w:lineRule="auto"/>
        <w:ind w:left="-181" w:leftChars="-86" w:firstLine="660" w:firstLineChars="275"/>
        <w:rPr>
          <w:rFonts w:ascii="仿宋" w:hAnsi="仿宋" w:eastAsia="仿宋" w:cs="仿宋"/>
          <w:color w:val="auto"/>
          <w:kern w:val="0"/>
        </w:rPr>
      </w:pPr>
      <w:r>
        <w:rPr>
          <w:rFonts w:hint="eastAsia" w:ascii="仿宋" w:hAnsi="仿宋" w:eastAsia="仿宋" w:cs="仿宋"/>
          <w:color w:val="auto"/>
          <w:kern w:val="0"/>
        </w:rPr>
        <w:t>采购人可以在评标前说明项目背景和采购需求，说明内容不得含有歧视性、倾向性意见，不得超出采购文件所述范围。说明应当提交书面材料，并随采购文件一并存档。</w:t>
      </w:r>
    </w:p>
    <w:p>
      <w:pPr>
        <w:pStyle w:val="2"/>
        <w:tabs>
          <w:tab w:val="clear" w:pos="567"/>
        </w:tabs>
        <w:spacing w:before="0" w:line="360" w:lineRule="auto"/>
        <w:ind w:left="-181" w:leftChars="-86" w:firstLine="663" w:firstLineChars="275"/>
        <w:outlineLvl w:val="1"/>
        <w:rPr>
          <w:rFonts w:ascii="仿宋" w:hAnsi="仿宋" w:eastAsia="仿宋" w:cs="仿宋"/>
          <w:b/>
          <w:bCs/>
          <w:color w:val="auto"/>
          <w:kern w:val="0"/>
        </w:rPr>
      </w:pPr>
      <w:bookmarkStart w:id="381" w:name="_Toc20547"/>
      <w:r>
        <w:rPr>
          <w:rFonts w:hint="eastAsia" w:ascii="仿宋" w:hAnsi="仿宋" w:eastAsia="仿宋" w:cs="仿宋"/>
          <w:b/>
          <w:bCs/>
          <w:color w:val="auto"/>
          <w:kern w:val="0"/>
        </w:rPr>
        <w:t>2.评标方法</w:t>
      </w:r>
      <w:bookmarkEnd w:id="381"/>
    </w:p>
    <w:p>
      <w:pPr>
        <w:pStyle w:val="28"/>
        <w:ind w:firstLine="482" w:firstLineChars="200"/>
        <w:rPr>
          <w:rFonts w:ascii="仿宋" w:hAnsi="仿宋" w:eastAsia="仿宋" w:cs="仿宋"/>
          <w:color w:val="auto"/>
          <w:kern w:val="0"/>
          <w:sz w:val="24"/>
          <w:szCs w:val="24"/>
        </w:rPr>
      </w:pPr>
      <w:r>
        <w:rPr>
          <w:rFonts w:hint="eastAsia" w:ascii="仿宋" w:hAnsi="仿宋" w:eastAsia="仿宋" w:cs="仿宋"/>
          <w:b/>
          <w:bCs/>
          <w:color w:val="auto"/>
          <w:kern w:val="0"/>
          <w:sz w:val="24"/>
          <w:szCs w:val="24"/>
        </w:rPr>
        <w:t>本项目评标方法为：综合评分法。</w:t>
      </w:r>
      <w:r>
        <w:rPr>
          <w:rFonts w:hint="eastAsia" w:ascii="仿宋" w:hAnsi="仿宋" w:eastAsia="仿宋" w:cs="仿宋"/>
          <w:b/>
          <w:bCs/>
          <w:color w:val="auto"/>
          <w:sz w:val="24"/>
          <w:szCs w:val="24"/>
        </w:rPr>
        <w:t xml:space="preserve">详细评标标准：采用综合评标法，则：评标结果按评审后得分由高到低顺序排列。得分相同的，按投标报价由低到高顺序排列。得分且投标报价相同的并列。投标文件满足采购文件全部实质性要求，且按照评审因素的量化指标评审得分最高的供应商为排名第一的中标候选人。 </w:t>
      </w:r>
    </w:p>
    <w:p>
      <w:pPr>
        <w:pStyle w:val="2"/>
        <w:tabs>
          <w:tab w:val="clear" w:pos="567"/>
        </w:tabs>
        <w:spacing w:before="0" w:line="360" w:lineRule="auto"/>
        <w:ind w:firstLine="482" w:firstLineChars="200"/>
        <w:outlineLvl w:val="1"/>
        <w:rPr>
          <w:rFonts w:ascii="仿宋" w:hAnsi="仿宋" w:eastAsia="仿宋" w:cs="仿宋"/>
          <w:b/>
          <w:bCs/>
          <w:color w:val="auto"/>
          <w:kern w:val="0"/>
        </w:rPr>
      </w:pPr>
      <w:bookmarkStart w:id="382" w:name="_Toc16162"/>
      <w:r>
        <w:rPr>
          <w:rFonts w:hint="eastAsia" w:ascii="仿宋" w:hAnsi="仿宋" w:eastAsia="仿宋" w:cs="仿宋"/>
          <w:b/>
          <w:bCs/>
          <w:color w:val="auto"/>
          <w:kern w:val="0"/>
        </w:rPr>
        <w:t>3.评标程序</w:t>
      </w:r>
      <w:bookmarkEnd w:id="382"/>
    </w:p>
    <w:p>
      <w:pPr>
        <w:pStyle w:val="2"/>
        <w:tabs>
          <w:tab w:val="clear" w:pos="567"/>
        </w:tabs>
        <w:spacing w:before="0" w:line="360" w:lineRule="auto"/>
        <w:ind w:left="-181" w:leftChars="-86" w:firstLine="660" w:firstLineChars="275"/>
        <w:rPr>
          <w:rFonts w:ascii="仿宋" w:hAnsi="仿宋" w:eastAsia="仿宋" w:cs="仿宋"/>
          <w:color w:val="auto"/>
          <w:kern w:val="0"/>
        </w:rPr>
      </w:pPr>
      <w:r>
        <w:rPr>
          <w:rFonts w:hint="eastAsia" w:ascii="仿宋" w:hAnsi="仿宋" w:eastAsia="仿宋" w:cs="仿宋"/>
          <w:color w:val="auto"/>
          <w:kern w:val="0"/>
        </w:rPr>
        <w:t>3.1熟悉和理解采购文件和停止评标。</w:t>
      </w:r>
    </w:p>
    <w:p>
      <w:pPr>
        <w:pStyle w:val="2"/>
        <w:tabs>
          <w:tab w:val="clear" w:pos="567"/>
        </w:tabs>
        <w:spacing w:before="0" w:line="360" w:lineRule="auto"/>
        <w:ind w:left="-181" w:leftChars="-86" w:firstLine="660" w:firstLineChars="275"/>
        <w:rPr>
          <w:rFonts w:ascii="仿宋" w:hAnsi="仿宋" w:eastAsia="仿宋" w:cs="仿宋"/>
          <w:color w:val="auto"/>
          <w:kern w:val="0"/>
        </w:rPr>
      </w:pPr>
      <w:r>
        <w:rPr>
          <w:rFonts w:hint="eastAsia" w:ascii="仿宋" w:hAnsi="仿宋" w:eastAsia="仿宋" w:cs="仿宋"/>
          <w:color w:val="auto"/>
          <w:kern w:val="0"/>
        </w:rPr>
        <w:t>3.1.1评标委员会正式评标前，应当对采购文件进行熟悉和理解，内容主要包括采购文件中采购项目技术、规格型号和商务要求、评标方法和标准以及可能涉及签订政府采购合同的内容等。</w:t>
      </w:r>
    </w:p>
    <w:p>
      <w:pPr>
        <w:pStyle w:val="2"/>
        <w:tabs>
          <w:tab w:val="clear" w:pos="567"/>
        </w:tabs>
        <w:spacing w:before="0" w:line="360" w:lineRule="auto"/>
        <w:ind w:left="-199" w:leftChars="-95" w:firstLine="199" w:firstLineChars="83"/>
        <w:rPr>
          <w:rFonts w:ascii="仿宋" w:hAnsi="仿宋" w:eastAsia="仿宋" w:cs="仿宋"/>
          <w:color w:val="auto"/>
          <w:kern w:val="0"/>
        </w:rPr>
      </w:pPr>
      <w:r>
        <w:rPr>
          <w:rFonts w:hint="eastAsia" w:ascii="仿宋" w:hAnsi="仿宋" w:eastAsia="仿宋" w:cs="仿宋"/>
          <w:color w:val="auto"/>
          <w:kern w:val="0"/>
        </w:rPr>
        <w:t xml:space="preserve"> 评标委员会发现采购文件存在歧义、重大缺陷导致评标工作无法进行，或者采购文件内容违反国家有关强制性规定的，应当停止评标工作，与采购人或者采购代理机构沟通并作书面记录。采购人或者采购代理机构确认后，应当修改采购文件，重新组织采购活动。</w:t>
      </w:r>
    </w:p>
    <w:p>
      <w:pPr>
        <w:pStyle w:val="2"/>
        <w:tabs>
          <w:tab w:val="clear" w:pos="567"/>
        </w:tabs>
        <w:spacing w:before="0" w:line="360" w:lineRule="auto"/>
        <w:ind w:left="-181" w:leftChars="-86" w:firstLine="660" w:firstLineChars="275"/>
        <w:rPr>
          <w:rFonts w:ascii="仿宋" w:hAnsi="仿宋" w:eastAsia="仿宋" w:cs="仿宋"/>
          <w:color w:val="auto"/>
          <w:kern w:val="0"/>
        </w:rPr>
      </w:pPr>
      <w:r>
        <w:rPr>
          <w:rFonts w:hint="eastAsia" w:ascii="仿宋" w:hAnsi="仿宋" w:eastAsia="仿宋" w:cs="仿宋"/>
          <w:color w:val="auto"/>
          <w:kern w:val="0"/>
        </w:rPr>
        <w:t>3.2资格性检查（见综合评分表前附表）。</w:t>
      </w:r>
    </w:p>
    <w:p>
      <w:pPr>
        <w:pStyle w:val="2"/>
        <w:tabs>
          <w:tab w:val="clear" w:pos="567"/>
        </w:tabs>
        <w:spacing w:before="0" w:line="360" w:lineRule="auto"/>
        <w:ind w:left="-181" w:leftChars="-86" w:firstLine="660" w:firstLineChars="275"/>
        <w:rPr>
          <w:rFonts w:ascii="仿宋" w:hAnsi="仿宋" w:eastAsia="仿宋" w:cs="仿宋"/>
          <w:color w:val="auto"/>
          <w:kern w:val="0"/>
        </w:rPr>
      </w:pPr>
      <w:r>
        <w:rPr>
          <w:rFonts w:hint="eastAsia" w:ascii="仿宋" w:hAnsi="仿宋" w:eastAsia="仿宋" w:cs="仿宋"/>
          <w:color w:val="auto"/>
          <w:kern w:val="0"/>
        </w:rPr>
        <w:t>3.3符合性检查（见综合评分表前附表）。</w:t>
      </w:r>
    </w:p>
    <w:p>
      <w:pPr>
        <w:pStyle w:val="2"/>
        <w:tabs>
          <w:tab w:val="clear" w:pos="567"/>
        </w:tabs>
        <w:spacing w:before="0" w:line="360" w:lineRule="auto"/>
        <w:ind w:left="-181" w:leftChars="-86" w:firstLine="660" w:firstLineChars="275"/>
        <w:rPr>
          <w:rFonts w:ascii="仿宋" w:hAnsi="仿宋" w:eastAsia="仿宋" w:cs="仿宋"/>
          <w:color w:val="auto"/>
          <w:kern w:val="0"/>
        </w:rPr>
      </w:pPr>
      <w:r>
        <w:rPr>
          <w:rFonts w:hint="eastAsia" w:ascii="仿宋" w:hAnsi="仿宋" w:eastAsia="仿宋" w:cs="仿宋"/>
          <w:color w:val="auto"/>
          <w:kern w:val="0"/>
        </w:rPr>
        <w:t>3.3.1评标委员会依据本采购文件的实质性要求，对符合资格的投标文件进行审查，以确定其是否满足本采购文件的实质性要求。</w:t>
      </w:r>
    </w:p>
    <w:p>
      <w:pPr>
        <w:pStyle w:val="2"/>
        <w:tabs>
          <w:tab w:val="clear" w:pos="567"/>
        </w:tabs>
        <w:spacing w:before="0" w:line="360" w:lineRule="auto"/>
        <w:ind w:left="-181" w:leftChars="-86" w:firstLine="660" w:firstLineChars="275"/>
        <w:rPr>
          <w:rFonts w:ascii="仿宋" w:hAnsi="仿宋" w:eastAsia="仿宋" w:cs="仿宋"/>
          <w:color w:val="auto"/>
          <w:kern w:val="0"/>
        </w:rPr>
      </w:pPr>
      <w:r>
        <w:rPr>
          <w:rFonts w:hint="eastAsia" w:ascii="仿宋" w:hAnsi="仿宋" w:eastAsia="仿宋" w:cs="仿宋"/>
          <w:color w:val="auto"/>
          <w:kern w:val="0"/>
        </w:rPr>
        <w:t>3.3.2本项目符合性审查事项仅限于本采购文件的明确规定。投标文件是否满足采购文件的实质性要求，必须以本采购文件的明确规定作为依据，否则，不能对投标文件作为无效处理，评标委员会不得臆测符合性审查事项。</w:t>
      </w:r>
    </w:p>
    <w:p>
      <w:pPr>
        <w:pStyle w:val="2"/>
        <w:tabs>
          <w:tab w:val="clear" w:pos="567"/>
        </w:tabs>
        <w:spacing w:before="0" w:line="360" w:lineRule="auto"/>
        <w:ind w:left="-181" w:leftChars="-86" w:firstLine="660" w:firstLineChars="275"/>
        <w:rPr>
          <w:rFonts w:ascii="仿宋" w:hAnsi="仿宋" w:eastAsia="仿宋" w:cs="仿宋"/>
          <w:color w:val="auto"/>
          <w:kern w:val="0"/>
        </w:rPr>
      </w:pPr>
      <w:r>
        <w:rPr>
          <w:rFonts w:hint="eastAsia" w:ascii="仿宋" w:hAnsi="仿宋" w:eastAsia="仿宋" w:cs="仿宋"/>
          <w:color w:val="auto"/>
          <w:kern w:val="0"/>
        </w:rPr>
        <w:t>3.3.3投标文件以骑缝章的形式代替投标文件内容逐页盖章的（但是骑缝章模糊不清，印章名称无法辨认的除外）本项目不作为实质性要求进行规定，即不作为符合性审查事项，不得作为无效投标处理：</w:t>
      </w:r>
    </w:p>
    <w:p>
      <w:pPr>
        <w:pStyle w:val="2"/>
        <w:tabs>
          <w:tab w:val="clear" w:pos="567"/>
        </w:tabs>
        <w:spacing w:before="0" w:line="360" w:lineRule="auto"/>
        <w:ind w:left="-181" w:leftChars="-86" w:firstLine="660" w:firstLineChars="275"/>
        <w:rPr>
          <w:rFonts w:ascii="仿宋" w:hAnsi="仿宋" w:eastAsia="仿宋" w:cs="仿宋"/>
          <w:color w:val="auto"/>
          <w:kern w:val="0"/>
        </w:rPr>
      </w:pPr>
      <w:r>
        <w:rPr>
          <w:rFonts w:hint="eastAsia" w:ascii="仿宋" w:hAnsi="仿宋" w:eastAsia="仿宋" w:cs="仿宋"/>
          <w:color w:val="auto"/>
          <w:kern w:val="0"/>
        </w:rPr>
        <w:t>3.4比较与评价。按采购文件中规定的评标方法和标准，对未作无效投标处理的投标文件进行技术、型号、商务等方面评估，综合比较与评价。</w:t>
      </w:r>
    </w:p>
    <w:p>
      <w:pPr>
        <w:pStyle w:val="2"/>
        <w:tabs>
          <w:tab w:val="clear" w:pos="567"/>
        </w:tabs>
        <w:spacing w:before="0" w:line="360" w:lineRule="auto"/>
        <w:ind w:left="-181" w:leftChars="-86" w:firstLine="660" w:firstLineChars="275"/>
        <w:rPr>
          <w:rFonts w:ascii="仿宋" w:hAnsi="仿宋" w:eastAsia="仿宋" w:cs="仿宋"/>
          <w:color w:val="auto"/>
          <w:kern w:val="0"/>
        </w:rPr>
      </w:pPr>
      <w:r>
        <w:rPr>
          <w:rFonts w:hint="eastAsia" w:ascii="仿宋" w:hAnsi="仿宋" w:eastAsia="仿宋" w:cs="仿宋"/>
          <w:color w:val="auto"/>
          <w:kern w:val="0"/>
        </w:rPr>
        <w:t>3.4.1评标委员会首先按照采购文件要求对投标文件中的供应商资格、供应商资格证明文件、重要技术指标以及技术和商务上要求的其它重要内容进行审核，审核合格后即视为实质性响应的投标文件，除考虑投标价格外，还应考虑以下因素：投标文件中所报交货期及付款方式；货物的技术水平、性能和供货能力；货物的质量和适用性；配套产品的安全性、先进性；投标方为其所供货物提供零备件及售后服务的可能性；零备件、专用工具及相关服务的费用。</w:t>
      </w:r>
    </w:p>
    <w:p>
      <w:pPr>
        <w:pStyle w:val="2"/>
        <w:tabs>
          <w:tab w:val="clear" w:pos="567"/>
        </w:tabs>
        <w:spacing w:before="0" w:line="360" w:lineRule="auto"/>
        <w:ind w:left="-181" w:leftChars="-86" w:firstLine="660" w:firstLineChars="275"/>
        <w:rPr>
          <w:rFonts w:ascii="仿宋" w:hAnsi="仿宋" w:eastAsia="仿宋" w:cs="仿宋"/>
          <w:color w:val="auto"/>
          <w:kern w:val="0"/>
        </w:rPr>
      </w:pPr>
      <w:r>
        <w:rPr>
          <w:rFonts w:hint="eastAsia" w:ascii="仿宋" w:hAnsi="仿宋" w:eastAsia="仿宋" w:cs="仿宋"/>
          <w:color w:val="auto"/>
          <w:kern w:val="0"/>
        </w:rPr>
        <w:t>评审完毕，评标委员会根据汇总各供应商的综合得分，按照得分高低进行排序，取前三名作为中标候选人推荐给招标委员会。如果两供应商的得分相同，投标价格低者排在前。</w:t>
      </w:r>
    </w:p>
    <w:p>
      <w:pPr>
        <w:pStyle w:val="2"/>
        <w:tabs>
          <w:tab w:val="clear" w:pos="567"/>
        </w:tabs>
        <w:spacing w:before="0" w:line="360" w:lineRule="auto"/>
        <w:ind w:left="-181" w:leftChars="-86" w:firstLine="660" w:firstLineChars="275"/>
        <w:rPr>
          <w:rFonts w:ascii="仿宋" w:hAnsi="仿宋" w:eastAsia="仿宋" w:cs="仿宋"/>
          <w:color w:val="auto"/>
          <w:kern w:val="0"/>
        </w:rPr>
      </w:pPr>
      <w:r>
        <w:rPr>
          <w:rFonts w:hint="eastAsia" w:ascii="仿宋" w:hAnsi="仿宋" w:eastAsia="仿宋" w:cs="仿宋"/>
          <w:color w:val="auto"/>
          <w:kern w:val="0"/>
        </w:rPr>
        <w:t>本项目参数要求、评审内容如有指向性，仅作为招标参考，投标服务不应低于招标要求，如有不符合要求，视为不响应采购文件规定。</w:t>
      </w:r>
    </w:p>
    <w:p>
      <w:pPr>
        <w:pStyle w:val="2"/>
        <w:tabs>
          <w:tab w:val="clear" w:pos="567"/>
        </w:tabs>
        <w:spacing w:before="0" w:line="360" w:lineRule="auto"/>
        <w:ind w:left="-181" w:leftChars="-86" w:firstLine="660" w:firstLineChars="275"/>
        <w:rPr>
          <w:rFonts w:ascii="仿宋" w:hAnsi="仿宋" w:eastAsia="仿宋" w:cs="仿宋"/>
          <w:color w:val="auto"/>
          <w:kern w:val="0"/>
        </w:rPr>
      </w:pPr>
      <w:r>
        <w:rPr>
          <w:rFonts w:hint="eastAsia" w:ascii="仿宋" w:hAnsi="仿宋" w:eastAsia="仿宋" w:cs="仿宋"/>
          <w:color w:val="auto"/>
          <w:kern w:val="0"/>
        </w:rPr>
        <w:t>3.5复核。评分汇总结束后，评标委员会应当进行复核，特别要对拟推荐为中标候选供应商的、报价最低的、投标文件被认定为无效的进行重点复核。</w:t>
      </w:r>
    </w:p>
    <w:p>
      <w:pPr>
        <w:pStyle w:val="2"/>
        <w:tabs>
          <w:tab w:val="clear" w:pos="567"/>
        </w:tabs>
        <w:spacing w:before="0" w:line="360" w:lineRule="auto"/>
        <w:ind w:left="-181" w:leftChars="-86" w:firstLine="660" w:firstLineChars="275"/>
        <w:rPr>
          <w:rFonts w:ascii="仿宋" w:hAnsi="仿宋" w:eastAsia="仿宋" w:cs="仿宋"/>
          <w:color w:val="auto"/>
          <w:kern w:val="0"/>
        </w:rPr>
      </w:pPr>
      <w:r>
        <w:rPr>
          <w:rFonts w:hint="eastAsia" w:ascii="仿宋" w:hAnsi="仿宋" w:eastAsia="仿宋" w:cs="仿宋"/>
          <w:color w:val="auto"/>
          <w:kern w:val="0"/>
        </w:rPr>
        <w:t>3.6推荐</w:t>
      </w:r>
      <w:r>
        <w:rPr>
          <w:rFonts w:hint="eastAsia" w:ascii="仿宋" w:hAnsi="仿宋" w:eastAsia="仿宋" w:cs="仿宋"/>
          <w:color w:val="auto"/>
          <w:kern w:val="0"/>
          <w:lang w:eastAsia="zh-CN"/>
        </w:rPr>
        <w:t>成交</w:t>
      </w:r>
      <w:r>
        <w:rPr>
          <w:rFonts w:hint="eastAsia" w:ascii="仿宋" w:hAnsi="仿宋" w:eastAsia="仿宋" w:cs="仿宋"/>
          <w:color w:val="auto"/>
          <w:kern w:val="0"/>
        </w:rPr>
        <w:t>候选供应商。</w:t>
      </w:r>
      <w:r>
        <w:rPr>
          <w:rFonts w:hint="eastAsia" w:ascii="仿宋" w:hAnsi="仿宋" w:eastAsia="仿宋" w:cs="仿宋"/>
          <w:color w:val="auto"/>
          <w:kern w:val="0"/>
          <w:lang w:eastAsia="zh-CN"/>
        </w:rPr>
        <w:t>成交</w:t>
      </w:r>
      <w:r>
        <w:rPr>
          <w:rFonts w:hint="eastAsia" w:ascii="仿宋" w:hAnsi="仿宋" w:eastAsia="仿宋" w:cs="仿宋"/>
          <w:color w:val="auto"/>
          <w:kern w:val="0"/>
        </w:rPr>
        <w:t>候选供应商应当排序。</w:t>
      </w:r>
    </w:p>
    <w:p>
      <w:pPr>
        <w:pStyle w:val="2"/>
        <w:tabs>
          <w:tab w:val="clear" w:pos="567"/>
        </w:tabs>
        <w:spacing w:before="0" w:line="360" w:lineRule="auto"/>
        <w:ind w:left="-181" w:leftChars="-86" w:firstLine="660" w:firstLineChars="275"/>
        <w:rPr>
          <w:rFonts w:ascii="仿宋" w:hAnsi="仿宋" w:eastAsia="仿宋" w:cs="仿宋"/>
          <w:color w:val="auto"/>
          <w:kern w:val="0"/>
        </w:rPr>
      </w:pPr>
      <w:r>
        <w:rPr>
          <w:rFonts w:hint="eastAsia" w:ascii="仿宋" w:hAnsi="仿宋" w:eastAsia="仿宋" w:cs="仿宋"/>
          <w:color w:val="auto"/>
          <w:kern w:val="0"/>
        </w:rPr>
        <w:t>3.7出具评</w:t>
      </w:r>
      <w:r>
        <w:rPr>
          <w:rFonts w:hint="eastAsia" w:ascii="仿宋" w:hAnsi="仿宋" w:eastAsia="仿宋" w:cs="仿宋"/>
          <w:color w:val="auto"/>
          <w:kern w:val="0"/>
          <w:lang w:eastAsia="zh-CN"/>
        </w:rPr>
        <w:t>审</w:t>
      </w:r>
      <w:r>
        <w:rPr>
          <w:rFonts w:hint="eastAsia" w:ascii="仿宋" w:hAnsi="仿宋" w:eastAsia="仿宋" w:cs="仿宋"/>
          <w:color w:val="auto"/>
          <w:kern w:val="0"/>
        </w:rPr>
        <w:t>报告。评标委员会推荐</w:t>
      </w:r>
      <w:r>
        <w:rPr>
          <w:rFonts w:hint="eastAsia" w:ascii="仿宋" w:hAnsi="仿宋" w:eastAsia="仿宋" w:cs="仿宋"/>
          <w:color w:val="auto"/>
          <w:kern w:val="0"/>
          <w:lang w:eastAsia="zh-CN"/>
        </w:rPr>
        <w:t>成交</w:t>
      </w:r>
      <w:r>
        <w:rPr>
          <w:rFonts w:hint="eastAsia" w:ascii="仿宋" w:hAnsi="仿宋" w:eastAsia="仿宋" w:cs="仿宋"/>
          <w:color w:val="auto"/>
          <w:kern w:val="0"/>
        </w:rPr>
        <w:t>候选供应商后，应当向采购单位出具评</w:t>
      </w:r>
      <w:r>
        <w:rPr>
          <w:rFonts w:hint="eastAsia" w:ascii="仿宋" w:hAnsi="仿宋" w:eastAsia="仿宋" w:cs="仿宋"/>
          <w:color w:val="auto"/>
          <w:kern w:val="0"/>
          <w:lang w:eastAsia="zh-CN"/>
        </w:rPr>
        <w:t>审</w:t>
      </w:r>
      <w:r>
        <w:rPr>
          <w:rFonts w:hint="eastAsia" w:ascii="仿宋" w:hAnsi="仿宋" w:eastAsia="仿宋" w:cs="仿宋"/>
          <w:color w:val="auto"/>
          <w:kern w:val="0"/>
        </w:rPr>
        <w:t>报告。评</w:t>
      </w:r>
      <w:r>
        <w:rPr>
          <w:rFonts w:hint="eastAsia" w:ascii="仿宋" w:hAnsi="仿宋" w:eastAsia="仿宋" w:cs="仿宋"/>
          <w:color w:val="auto"/>
          <w:kern w:val="0"/>
          <w:lang w:eastAsia="zh-CN"/>
        </w:rPr>
        <w:t>审</w:t>
      </w:r>
      <w:r>
        <w:rPr>
          <w:rFonts w:hint="eastAsia" w:ascii="仿宋" w:hAnsi="仿宋" w:eastAsia="仿宋" w:cs="仿宋"/>
          <w:color w:val="auto"/>
          <w:kern w:val="0"/>
        </w:rPr>
        <w:t>报告应当包括下列内容：</w:t>
      </w:r>
    </w:p>
    <w:p>
      <w:pPr>
        <w:pStyle w:val="2"/>
        <w:tabs>
          <w:tab w:val="clear" w:pos="567"/>
        </w:tabs>
        <w:spacing w:before="0" w:line="360" w:lineRule="auto"/>
        <w:ind w:left="-181" w:leftChars="-86" w:firstLine="660" w:firstLineChars="275"/>
        <w:rPr>
          <w:rFonts w:ascii="仿宋" w:hAnsi="仿宋" w:eastAsia="仿宋" w:cs="仿宋"/>
          <w:color w:val="auto"/>
          <w:kern w:val="0"/>
        </w:rPr>
      </w:pPr>
      <w:r>
        <w:rPr>
          <w:rFonts w:hint="eastAsia" w:ascii="仿宋" w:hAnsi="仿宋" w:eastAsia="仿宋" w:cs="仿宋"/>
          <w:color w:val="auto"/>
          <w:kern w:val="0"/>
        </w:rPr>
        <w:t>（一）招标公告刊登的媒体名称、开标日期和地点；</w:t>
      </w:r>
    </w:p>
    <w:p>
      <w:pPr>
        <w:pStyle w:val="2"/>
        <w:tabs>
          <w:tab w:val="clear" w:pos="567"/>
        </w:tabs>
        <w:spacing w:before="0" w:line="360" w:lineRule="auto"/>
        <w:ind w:left="-181" w:leftChars="-86" w:firstLine="660" w:firstLineChars="275"/>
        <w:rPr>
          <w:rFonts w:ascii="仿宋" w:hAnsi="仿宋" w:eastAsia="仿宋" w:cs="仿宋"/>
          <w:color w:val="auto"/>
          <w:kern w:val="0"/>
        </w:rPr>
      </w:pPr>
      <w:r>
        <w:rPr>
          <w:rFonts w:hint="eastAsia" w:ascii="仿宋" w:hAnsi="仿宋" w:eastAsia="仿宋" w:cs="仿宋"/>
          <w:color w:val="auto"/>
          <w:kern w:val="0"/>
        </w:rPr>
        <w:t>（二）评标委员会成员名单；</w:t>
      </w:r>
    </w:p>
    <w:p>
      <w:pPr>
        <w:pStyle w:val="2"/>
        <w:tabs>
          <w:tab w:val="clear" w:pos="567"/>
        </w:tabs>
        <w:spacing w:before="0" w:line="360" w:lineRule="auto"/>
        <w:ind w:left="-181" w:leftChars="-86" w:firstLine="660" w:firstLineChars="275"/>
        <w:rPr>
          <w:rFonts w:ascii="仿宋" w:hAnsi="仿宋" w:eastAsia="仿宋" w:cs="仿宋"/>
          <w:color w:val="auto"/>
          <w:kern w:val="0"/>
        </w:rPr>
      </w:pPr>
      <w:r>
        <w:rPr>
          <w:rFonts w:hint="eastAsia" w:ascii="仿宋" w:hAnsi="仿宋" w:eastAsia="仿宋" w:cs="仿宋"/>
          <w:color w:val="auto"/>
          <w:kern w:val="0"/>
        </w:rPr>
        <w:t>（三）评标方法和标准；</w:t>
      </w:r>
    </w:p>
    <w:p>
      <w:pPr>
        <w:pStyle w:val="2"/>
        <w:tabs>
          <w:tab w:val="clear" w:pos="567"/>
        </w:tabs>
        <w:spacing w:before="0" w:line="360" w:lineRule="auto"/>
        <w:ind w:left="-181" w:leftChars="-86" w:firstLine="660" w:firstLineChars="275"/>
        <w:rPr>
          <w:rFonts w:ascii="仿宋" w:hAnsi="仿宋" w:eastAsia="仿宋" w:cs="仿宋"/>
          <w:color w:val="auto"/>
          <w:kern w:val="0"/>
        </w:rPr>
      </w:pPr>
      <w:r>
        <w:rPr>
          <w:rFonts w:hint="eastAsia" w:ascii="仿宋" w:hAnsi="仿宋" w:eastAsia="仿宋" w:cs="仿宋"/>
          <w:color w:val="auto"/>
          <w:kern w:val="0"/>
        </w:rPr>
        <w:t>（四）开标记录和评标情况及说明，包括无效供应商名单及原因；</w:t>
      </w:r>
    </w:p>
    <w:p>
      <w:pPr>
        <w:pStyle w:val="2"/>
        <w:tabs>
          <w:tab w:val="clear" w:pos="567"/>
        </w:tabs>
        <w:spacing w:before="0" w:line="360" w:lineRule="auto"/>
        <w:ind w:left="-181" w:leftChars="-86" w:firstLine="660" w:firstLineChars="275"/>
        <w:rPr>
          <w:rFonts w:ascii="仿宋" w:hAnsi="仿宋" w:eastAsia="仿宋" w:cs="仿宋"/>
          <w:color w:val="auto"/>
          <w:kern w:val="0"/>
        </w:rPr>
      </w:pPr>
      <w:r>
        <w:rPr>
          <w:rFonts w:hint="eastAsia" w:ascii="仿宋" w:hAnsi="仿宋" w:eastAsia="仿宋" w:cs="仿宋"/>
          <w:color w:val="auto"/>
          <w:kern w:val="0"/>
        </w:rPr>
        <w:t>（五）评标结果，确定的中标候选人名单或者经采购人委托直接确定的中标人；</w:t>
      </w:r>
    </w:p>
    <w:p>
      <w:pPr>
        <w:pStyle w:val="2"/>
        <w:tabs>
          <w:tab w:val="clear" w:pos="567"/>
        </w:tabs>
        <w:spacing w:before="0" w:line="360" w:lineRule="auto"/>
        <w:ind w:left="-181" w:leftChars="-86" w:firstLine="660" w:firstLineChars="275"/>
        <w:rPr>
          <w:rFonts w:ascii="仿宋" w:hAnsi="仿宋" w:eastAsia="仿宋" w:cs="仿宋"/>
          <w:color w:val="auto"/>
          <w:kern w:val="0"/>
        </w:rPr>
      </w:pPr>
      <w:r>
        <w:rPr>
          <w:rFonts w:hint="eastAsia" w:ascii="仿宋" w:hAnsi="仿宋" w:eastAsia="仿宋" w:cs="仿宋"/>
          <w:color w:val="auto"/>
          <w:kern w:val="0"/>
        </w:rPr>
        <w:t>（六）其他需要说明的情况，包括评标过程中供应商根据评标委员会要求进行的澄清、说明或者补正，评标委员会成员的更换等。</w:t>
      </w:r>
    </w:p>
    <w:p>
      <w:pPr>
        <w:pStyle w:val="2"/>
        <w:tabs>
          <w:tab w:val="clear" w:pos="567"/>
        </w:tabs>
        <w:spacing w:before="0" w:line="360" w:lineRule="auto"/>
        <w:ind w:left="-181" w:leftChars="-86" w:firstLine="660" w:firstLineChars="275"/>
        <w:rPr>
          <w:rFonts w:ascii="仿宋" w:hAnsi="仿宋" w:eastAsia="仿宋" w:cs="仿宋"/>
          <w:color w:val="auto"/>
          <w:kern w:val="0"/>
        </w:rPr>
      </w:pPr>
      <w:r>
        <w:rPr>
          <w:rFonts w:hint="eastAsia" w:ascii="仿宋" w:hAnsi="仿宋" w:eastAsia="仿宋" w:cs="仿宋"/>
          <w:color w:val="auto"/>
          <w:kern w:val="0"/>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2"/>
        <w:tabs>
          <w:tab w:val="clear" w:pos="567"/>
        </w:tabs>
        <w:spacing w:before="0" w:line="360" w:lineRule="auto"/>
        <w:ind w:left="-181" w:leftChars="-86" w:firstLine="660" w:firstLineChars="275"/>
        <w:rPr>
          <w:rFonts w:ascii="仿宋" w:hAnsi="仿宋" w:eastAsia="仿宋" w:cs="仿宋"/>
          <w:color w:val="auto"/>
          <w:kern w:val="0"/>
        </w:rPr>
      </w:pPr>
      <w:r>
        <w:rPr>
          <w:rFonts w:hint="eastAsia" w:ascii="仿宋" w:hAnsi="仿宋" w:eastAsia="仿宋" w:cs="仿宋"/>
          <w:color w:val="auto"/>
          <w:kern w:val="0"/>
        </w:rPr>
        <w:t>3.8评标争议处理规则。评标委员会在评审过程中，对于符合性审查、对供应商投标文件做无效投标处理及其他需要共同认定的事项存在争议的，应当以少数服从多数的原则做出结论，但不得违背法律法规和采购文件规定。有不同意见的评标委员会成员认为认定过程和结果不符合法律法规或者采购文件规定的，应当及时向招标采购单位书面反映。招标采购单位收到书面反映后，应当书面报告采购项目同级财政部门依法处理。</w:t>
      </w:r>
    </w:p>
    <w:p>
      <w:pPr>
        <w:pStyle w:val="2"/>
        <w:tabs>
          <w:tab w:val="clear" w:pos="567"/>
        </w:tabs>
        <w:spacing w:before="0" w:line="360" w:lineRule="auto"/>
        <w:ind w:left="-181" w:leftChars="-86" w:firstLine="660" w:firstLineChars="275"/>
        <w:rPr>
          <w:rFonts w:ascii="仿宋" w:hAnsi="仿宋" w:eastAsia="仿宋" w:cs="仿宋"/>
          <w:color w:val="auto"/>
          <w:kern w:val="0"/>
        </w:rPr>
      </w:pPr>
      <w:r>
        <w:rPr>
          <w:rFonts w:hint="eastAsia" w:ascii="仿宋" w:hAnsi="仿宋" w:eastAsia="仿宋" w:cs="仿宋"/>
          <w:color w:val="auto"/>
          <w:kern w:val="0"/>
        </w:rPr>
        <w:t>3.9供应商应当书面澄清、说明或者更正。</w:t>
      </w:r>
    </w:p>
    <w:p>
      <w:pPr>
        <w:pStyle w:val="2"/>
        <w:tabs>
          <w:tab w:val="clear" w:pos="567"/>
        </w:tabs>
        <w:spacing w:before="0" w:line="360" w:lineRule="auto"/>
        <w:ind w:left="-181" w:leftChars="-86" w:firstLine="660" w:firstLineChars="275"/>
        <w:rPr>
          <w:rFonts w:ascii="仿宋" w:hAnsi="仿宋" w:eastAsia="仿宋" w:cs="仿宋"/>
          <w:color w:val="auto"/>
          <w:kern w:val="0"/>
        </w:rPr>
      </w:pPr>
      <w:r>
        <w:rPr>
          <w:rFonts w:hint="eastAsia" w:ascii="仿宋" w:hAnsi="仿宋" w:eastAsia="仿宋" w:cs="仿宋"/>
          <w:color w:val="auto"/>
          <w:kern w:val="0"/>
        </w:rPr>
        <w:t>3.9.1在评标过程中，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pStyle w:val="2"/>
        <w:tabs>
          <w:tab w:val="clear" w:pos="567"/>
        </w:tabs>
        <w:spacing w:before="0" w:line="360" w:lineRule="auto"/>
        <w:ind w:left="-181" w:leftChars="-86" w:firstLine="660" w:firstLineChars="275"/>
        <w:rPr>
          <w:rFonts w:ascii="仿宋" w:hAnsi="仿宋" w:eastAsia="仿宋" w:cs="仿宋"/>
          <w:color w:val="auto"/>
          <w:kern w:val="0"/>
        </w:rPr>
      </w:pPr>
      <w:r>
        <w:rPr>
          <w:rFonts w:hint="eastAsia" w:ascii="仿宋" w:hAnsi="仿宋" w:eastAsia="仿宋" w:cs="仿宋"/>
          <w:color w:val="auto"/>
          <w:kern w:val="0"/>
        </w:rPr>
        <w:t xml:space="preserve">  3.9.2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但供应商的澄清、说明或者补正不得超出投标文件的范围或者改变投标文件的实质性内容。</w:t>
      </w:r>
    </w:p>
    <w:p>
      <w:pPr>
        <w:pStyle w:val="2"/>
        <w:tabs>
          <w:tab w:val="clear" w:pos="567"/>
        </w:tabs>
        <w:spacing w:before="0" w:line="360" w:lineRule="auto"/>
        <w:ind w:left="-181" w:leftChars="-86" w:firstLine="660" w:firstLineChars="275"/>
        <w:rPr>
          <w:rFonts w:ascii="仿宋" w:hAnsi="仿宋" w:eastAsia="仿宋" w:cs="仿宋"/>
          <w:color w:val="auto"/>
          <w:kern w:val="0"/>
        </w:rPr>
      </w:pPr>
      <w:r>
        <w:rPr>
          <w:rFonts w:hint="eastAsia" w:ascii="仿宋" w:hAnsi="仿宋" w:eastAsia="仿宋" w:cs="仿宋"/>
          <w:color w:val="auto"/>
          <w:kern w:val="0"/>
        </w:rPr>
        <w:t>3.9.3评标委员会要求供应商澄清、说明或者更正，不得超出采购文件的范围，不得以此让供应商实质改变投标文件的内容，不得影响供应商公平竞争。本项目下列内容不得澄清：</w:t>
      </w:r>
    </w:p>
    <w:p>
      <w:pPr>
        <w:pStyle w:val="2"/>
        <w:tabs>
          <w:tab w:val="clear" w:pos="567"/>
        </w:tabs>
        <w:spacing w:before="0" w:line="360" w:lineRule="auto"/>
        <w:ind w:left="-181" w:leftChars="-86" w:firstLine="660" w:firstLineChars="275"/>
        <w:rPr>
          <w:rFonts w:ascii="仿宋" w:hAnsi="仿宋" w:eastAsia="仿宋" w:cs="仿宋"/>
          <w:color w:val="auto"/>
          <w:kern w:val="0"/>
        </w:rPr>
      </w:pPr>
      <w:r>
        <w:rPr>
          <w:rFonts w:hint="eastAsia" w:ascii="仿宋" w:hAnsi="仿宋" w:eastAsia="仿宋" w:cs="仿宋"/>
          <w:color w:val="auto"/>
          <w:kern w:val="0"/>
        </w:rPr>
        <w:t>（一）按财政部规定应当在评标时不予承认的投标文件内容事项；</w:t>
      </w:r>
    </w:p>
    <w:p>
      <w:pPr>
        <w:pStyle w:val="2"/>
        <w:tabs>
          <w:tab w:val="clear" w:pos="567"/>
        </w:tabs>
        <w:spacing w:before="0" w:line="360" w:lineRule="auto"/>
        <w:ind w:left="-181" w:leftChars="-86" w:firstLine="660" w:firstLineChars="275"/>
        <w:rPr>
          <w:rFonts w:ascii="仿宋" w:hAnsi="仿宋" w:eastAsia="仿宋" w:cs="仿宋"/>
          <w:color w:val="auto"/>
          <w:kern w:val="0"/>
        </w:rPr>
      </w:pPr>
      <w:r>
        <w:rPr>
          <w:rFonts w:hint="eastAsia" w:ascii="仿宋" w:hAnsi="仿宋" w:eastAsia="仿宋" w:cs="仿宋"/>
          <w:color w:val="auto"/>
          <w:kern w:val="0"/>
        </w:rPr>
        <w:t>（二）投标文件中已经明确的内容事项；</w:t>
      </w:r>
    </w:p>
    <w:p>
      <w:pPr>
        <w:pStyle w:val="2"/>
        <w:tabs>
          <w:tab w:val="clear" w:pos="567"/>
        </w:tabs>
        <w:spacing w:before="0" w:line="360" w:lineRule="auto"/>
        <w:ind w:left="-181" w:leftChars="-86" w:firstLine="660" w:firstLineChars="275"/>
        <w:rPr>
          <w:rFonts w:ascii="仿宋" w:hAnsi="仿宋" w:eastAsia="仿宋" w:cs="仿宋"/>
          <w:color w:val="auto"/>
          <w:kern w:val="0"/>
        </w:rPr>
      </w:pPr>
      <w:r>
        <w:rPr>
          <w:rFonts w:hint="eastAsia" w:ascii="仿宋" w:hAnsi="仿宋" w:eastAsia="仿宋" w:cs="仿宋"/>
          <w:color w:val="auto"/>
          <w:kern w:val="0"/>
        </w:rPr>
        <w:t>（三）投标文件未提供的材料。</w:t>
      </w:r>
    </w:p>
    <w:p>
      <w:pPr>
        <w:pStyle w:val="2"/>
        <w:tabs>
          <w:tab w:val="clear" w:pos="567"/>
        </w:tabs>
        <w:spacing w:before="0" w:line="360" w:lineRule="auto"/>
        <w:ind w:left="-181" w:leftChars="-86" w:firstLine="660" w:firstLineChars="275"/>
        <w:rPr>
          <w:rFonts w:ascii="仿宋" w:hAnsi="仿宋" w:eastAsia="仿宋" w:cs="仿宋"/>
          <w:color w:val="auto"/>
          <w:kern w:val="0"/>
        </w:rPr>
      </w:pPr>
      <w:r>
        <w:rPr>
          <w:rFonts w:hint="eastAsia" w:ascii="仿宋" w:hAnsi="仿宋" w:eastAsia="仿宋" w:cs="仿宋"/>
          <w:color w:val="auto"/>
          <w:kern w:val="0"/>
        </w:rPr>
        <w:t>3.10评标委员会认为供应商的报价明显低于其他通过符合性审查供应商的报价，有可能影响产品质量或者不能诚信履约的，评标委员会组长在评标现场发起“在线询标”，必要时提交相关证明材料；供应商不能证明其报价合理性的，评标委员会应当将其作为无效投标处理。</w:t>
      </w:r>
    </w:p>
    <w:p>
      <w:pPr>
        <w:pStyle w:val="2"/>
        <w:tabs>
          <w:tab w:val="clear" w:pos="567"/>
        </w:tabs>
        <w:spacing w:before="0" w:line="360" w:lineRule="auto"/>
        <w:ind w:left="-181" w:leftChars="-86" w:firstLine="660" w:firstLineChars="275"/>
        <w:rPr>
          <w:rFonts w:ascii="仿宋" w:hAnsi="仿宋" w:eastAsia="仿宋" w:cs="仿宋"/>
          <w:color w:val="auto"/>
          <w:kern w:val="0"/>
        </w:rPr>
      </w:pPr>
      <w:r>
        <w:rPr>
          <w:rFonts w:hint="eastAsia" w:ascii="仿宋" w:hAnsi="仿宋" w:eastAsia="仿宋" w:cs="仿宋"/>
          <w:color w:val="auto"/>
          <w:kern w:val="0"/>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2"/>
        <w:tabs>
          <w:tab w:val="clear" w:pos="567"/>
        </w:tabs>
        <w:spacing w:before="0" w:line="360" w:lineRule="auto"/>
        <w:ind w:left="-181" w:leftChars="-86" w:firstLine="660" w:firstLineChars="275"/>
        <w:rPr>
          <w:rFonts w:ascii="仿宋" w:hAnsi="仿宋" w:eastAsia="仿宋" w:cs="仿宋"/>
          <w:color w:val="auto"/>
          <w:kern w:val="0"/>
        </w:rPr>
      </w:pPr>
      <w:r>
        <w:rPr>
          <w:rFonts w:hint="eastAsia" w:ascii="仿宋" w:hAnsi="仿宋" w:eastAsia="仿宋" w:cs="仿宋"/>
          <w:color w:val="auto"/>
          <w:kern w:val="0"/>
        </w:rPr>
        <w:t>3.11招标采购单位现场复核评标结果。</w:t>
      </w:r>
    </w:p>
    <w:p>
      <w:pPr>
        <w:pStyle w:val="2"/>
        <w:tabs>
          <w:tab w:val="clear" w:pos="567"/>
        </w:tabs>
        <w:spacing w:before="0" w:line="360" w:lineRule="auto"/>
        <w:ind w:left="-181" w:leftChars="-86" w:firstLine="660" w:firstLineChars="275"/>
        <w:rPr>
          <w:rFonts w:ascii="仿宋" w:hAnsi="仿宋" w:eastAsia="仿宋" w:cs="仿宋"/>
          <w:color w:val="auto"/>
          <w:kern w:val="0"/>
        </w:rPr>
      </w:pPr>
      <w:r>
        <w:rPr>
          <w:rFonts w:hint="eastAsia" w:ascii="仿宋" w:hAnsi="仿宋" w:eastAsia="仿宋" w:cs="仿宋"/>
          <w:color w:val="auto"/>
          <w:kern w:val="0"/>
        </w:rPr>
        <w:t>3.11.1评标报告签署前，经复核发现存在实质性错误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2"/>
        <w:tabs>
          <w:tab w:val="clear" w:pos="567"/>
        </w:tabs>
        <w:spacing w:before="0" w:line="360" w:lineRule="auto"/>
        <w:ind w:left="-181" w:leftChars="-86" w:firstLine="663" w:firstLineChars="275"/>
        <w:outlineLvl w:val="1"/>
        <w:rPr>
          <w:rFonts w:ascii="仿宋" w:hAnsi="仿宋" w:eastAsia="仿宋" w:cs="仿宋"/>
          <w:b/>
          <w:bCs/>
          <w:color w:val="auto"/>
          <w:kern w:val="0"/>
        </w:rPr>
      </w:pPr>
      <w:bookmarkStart w:id="383" w:name="_Toc29806"/>
      <w:r>
        <w:rPr>
          <w:rFonts w:hint="eastAsia" w:ascii="仿宋" w:hAnsi="仿宋" w:eastAsia="仿宋" w:cs="仿宋"/>
          <w:b/>
          <w:bCs/>
          <w:color w:val="auto"/>
          <w:kern w:val="0"/>
        </w:rPr>
        <w:t>4.废标</w:t>
      </w:r>
      <w:bookmarkEnd w:id="383"/>
    </w:p>
    <w:p>
      <w:pPr>
        <w:pStyle w:val="2"/>
        <w:tabs>
          <w:tab w:val="clear" w:pos="567"/>
        </w:tabs>
        <w:spacing w:before="0" w:line="360" w:lineRule="auto"/>
        <w:ind w:left="-181" w:leftChars="-86" w:firstLine="660" w:firstLineChars="275"/>
        <w:rPr>
          <w:rFonts w:ascii="仿宋" w:hAnsi="仿宋" w:eastAsia="仿宋" w:cs="仿宋"/>
          <w:color w:val="auto"/>
          <w:kern w:val="0"/>
        </w:rPr>
      </w:pPr>
      <w:r>
        <w:rPr>
          <w:rFonts w:hint="eastAsia" w:ascii="仿宋" w:hAnsi="仿宋" w:eastAsia="仿宋" w:cs="仿宋"/>
          <w:color w:val="auto"/>
          <w:kern w:val="0"/>
        </w:rPr>
        <w:t>废标后，采购代理机构应在网上公告。供应商需要知晓导致废标情形的具体原因和理由的，可以通过书面形式询问招标采购单位。</w:t>
      </w:r>
    </w:p>
    <w:p>
      <w:pPr>
        <w:pStyle w:val="2"/>
        <w:tabs>
          <w:tab w:val="clear" w:pos="567"/>
        </w:tabs>
        <w:spacing w:before="0" w:line="360" w:lineRule="auto"/>
        <w:ind w:left="-181" w:leftChars="-86" w:firstLine="660" w:firstLineChars="275"/>
        <w:rPr>
          <w:rFonts w:ascii="仿宋" w:hAnsi="仿宋" w:eastAsia="仿宋" w:cs="仿宋"/>
          <w:b/>
          <w:bCs/>
          <w:color w:val="auto"/>
          <w:kern w:val="0"/>
        </w:rPr>
      </w:pPr>
      <w:r>
        <w:rPr>
          <w:rFonts w:hint="eastAsia" w:ascii="仿宋" w:hAnsi="仿宋" w:eastAsia="仿宋" w:cs="仿宋"/>
          <w:color w:val="auto"/>
          <w:kern w:val="0"/>
        </w:rPr>
        <w:t>对于评标过程中废标的采购项目，评标委员会应当对采购文件是否存在倾向性和歧视性、是否存在不合理条款进行论证，并出具书面论证意见。</w:t>
      </w:r>
    </w:p>
    <w:p>
      <w:pPr>
        <w:pStyle w:val="2"/>
        <w:tabs>
          <w:tab w:val="clear" w:pos="567"/>
        </w:tabs>
        <w:spacing w:before="0" w:line="360" w:lineRule="auto"/>
        <w:ind w:left="-181" w:leftChars="-86" w:firstLine="663" w:firstLineChars="275"/>
        <w:rPr>
          <w:rFonts w:ascii="仿宋" w:hAnsi="仿宋" w:eastAsia="仿宋" w:cs="仿宋"/>
          <w:b/>
          <w:bCs/>
          <w:color w:val="auto"/>
          <w:kern w:val="0"/>
        </w:rPr>
      </w:pPr>
      <w:r>
        <w:rPr>
          <w:rFonts w:hint="eastAsia" w:ascii="仿宋" w:hAnsi="仿宋" w:eastAsia="仿宋" w:cs="仿宋"/>
          <w:b/>
          <w:bCs/>
          <w:color w:val="auto"/>
          <w:kern w:val="0"/>
        </w:rPr>
        <w:t>如发现下列情况之一的，其投标将被认定为投标无效：</w:t>
      </w:r>
    </w:p>
    <w:p>
      <w:pPr>
        <w:pStyle w:val="2"/>
        <w:tabs>
          <w:tab w:val="clear" w:pos="567"/>
        </w:tabs>
        <w:spacing w:before="0" w:line="360" w:lineRule="auto"/>
        <w:ind w:left="-181" w:leftChars="-86" w:firstLine="663" w:firstLineChars="275"/>
        <w:rPr>
          <w:rFonts w:ascii="仿宋" w:hAnsi="仿宋" w:eastAsia="仿宋" w:cs="仿宋"/>
          <w:b/>
          <w:bCs/>
          <w:color w:val="auto"/>
          <w:kern w:val="0"/>
        </w:rPr>
      </w:pPr>
      <w:r>
        <w:rPr>
          <w:rFonts w:hint="eastAsia" w:ascii="仿宋" w:hAnsi="仿宋" w:eastAsia="仿宋" w:cs="仿宋"/>
          <w:b/>
          <w:bCs/>
          <w:color w:val="auto"/>
          <w:kern w:val="0"/>
        </w:rPr>
        <w:t>①未按采购文件规定的形式和金额提交投标保证金的；</w:t>
      </w:r>
    </w:p>
    <w:p>
      <w:pPr>
        <w:pStyle w:val="2"/>
        <w:tabs>
          <w:tab w:val="clear" w:pos="567"/>
        </w:tabs>
        <w:spacing w:before="0" w:line="360" w:lineRule="auto"/>
        <w:ind w:left="-181" w:leftChars="-86" w:firstLine="663" w:firstLineChars="275"/>
        <w:rPr>
          <w:rFonts w:ascii="仿宋" w:hAnsi="仿宋" w:eastAsia="仿宋" w:cs="仿宋"/>
          <w:b/>
          <w:bCs/>
          <w:color w:val="auto"/>
          <w:kern w:val="0"/>
        </w:rPr>
      </w:pPr>
      <w:r>
        <w:rPr>
          <w:rFonts w:hint="eastAsia" w:ascii="仿宋" w:hAnsi="仿宋" w:eastAsia="仿宋" w:cs="仿宋"/>
          <w:b/>
          <w:bCs/>
          <w:color w:val="auto"/>
          <w:kern w:val="0"/>
        </w:rPr>
        <w:t>②未按照采购文件规定要求签署、盖章的；</w:t>
      </w:r>
    </w:p>
    <w:p>
      <w:pPr>
        <w:pStyle w:val="2"/>
        <w:tabs>
          <w:tab w:val="clear" w:pos="567"/>
        </w:tabs>
        <w:spacing w:before="0" w:line="360" w:lineRule="auto"/>
        <w:ind w:left="-181" w:leftChars="-86" w:firstLine="663" w:firstLineChars="275"/>
        <w:rPr>
          <w:rFonts w:ascii="仿宋" w:hAnsi="仿宋" w:eastAsia="仿宋" w:cs="仿宋"/>
          <w:b/>
          <w:bCs/>
          <w:color w:val="auto"/>
          <w:kern w:val="0"/>
        </w:rPr>
      </w:pPr>
      <w:r>
        <w:rPr>
          <w:rFonts w:hint="eastAsia" w:ascii="仿宋" w:hAnsi="仿宋" w:eastAsia="仿宋" w:cs="仿宋"/>
          <w:b/>
          <w:bCs/>
          <w:color w:val="auto"/>
          <w:kern w:val="0"/>
        </w:rPr>
        <w:t>③未满足采购文件中技术条款的实质性要求；</w:t>
      </w:r>
    </w:p>
    <w:p>
      <w:pPr>
        <w:pStyle w:val="2"/>
        <w:tabs>
          <w:tab w:val="clear" w:pos="567"/>
        </w:tabs>
        <w:spacing w:before="0" w:line="360" w:lineRule="auto"/>
        <w:ind w:left="-181" w:leftChars="-86" w:firstLine="663" w:firstLineChars="275"/>
        <w:rPr>
          <w:rFonts w:ascii="仿宋" w:hAnsi="仿宋" w:eastAsia="仿宋" w:cs="仿宋"/>
          <w:b/>
          <w:bCs/>
          <w:color w:val="auto"/>
          <w:kern w:val="0"/>
        </w:rPr>
      </w:pPr>
      <w:r>
        <w:rPr>
          <w:rFonts w:hint="eastAsia" w:ascii="仿宋" w:hAnsi="仿宋" w:eastAsia="仿宋" w:cs="仿宋"/>
          <w:b/>
          <w:bCs/>
          <w:color w:val="auto"/>
          <w:kern w:val="0"/>
        </w:rPr>
        <w:t>④与其他供应商串通投标，或者与招标人串通投标；</w:t>
      </w:r>
    </w:p>
    <w:p>
      <w:pPr>
        <w:pStyle w:val="2"/>
        <w:tabs>
          <w:tab w:val="clear" w:pos="567"/>
        </w:tabs>
        <w:spacing w:before="0" w:line="360" w:lineRule="auto"/>
        <w:ind w:left="-181" w:leftChars="-86" w:firstLine="663" w:firstLineChars="275"/>
        <w:rPr>
          <w:rFonts w:ascii="仿宋" w:hAnsi="仿宋" w:eastAsia="仿宋" w:cs="仿宋"/>
          <w:b/>
          <w:bCs/>
          <w:color w:val="auto"/>
          <w:kern w:val="0"/>
        </w:rPr>
      </w:pPr>
      <w:r>
        <w:rPr>
          <w:rFonts w:hint="eastAsia" w:ascii="仿宋" w:hAnsi="仿宋" w:eastAsia="仿宋" w:cs="仿宋"/>
          <w:b/>
          <w:bCs/>
          <w:color w:val="auto"/>
          <w:kern w:val="0"/>
        </w:rPr>
        <w:t>⑤属于采购文件规定的其他投标无效情形；</w:t>
      </w:r>
    </w:p>
    <w:p>
      <w:pPr>
        <w:pStyle w:val="2"/>
        <w:tabs>
          <w:tab w:val="clear" w:pos="567"/>
        </w:tabs>
        <w:spacing w:before="0" w:line="360" w:lineRule="auto"/>
        <w:ind w:left="-181" w:leftChars="-86" w:firstLine="663" w:firstLineChars="275"/>
        <w:rPr>
          <w:rFonts w:ascii="仿宋" w:hAnsi="仿宋" w:eastAsia="仿宋" w:cs="仿宋"/>
          <w:b/>
          <w:bCs/>
          <w:color w:val="auto"/>
          <w:kern w:val="0"/>
        </w:rPr>
      </w:pPr>
      <w:r>
        <w:rPr>
          <w:rFonts w:hint="eastAsia" w:ascii="仿宋" w:hAnsi="仿宋" w:eastAsia="仿宋" w:cs="仿宋"/>
          <w:b/>
          <w:bCs/>
          <w:color w:val="auto"/>
          <w:kern w:val="0"/>
        </w:rPr>
        <w:t>⑥评标委员会认为供应商的报价明显低于其他通过符合性检查供应商的报价，有可能影响履约的，且供应商未按照规定证明其报价合理性的；</w:t>
      </w:r>
    </w:p>
    <w:p>
      <w:pPr>
        <w:pStyle w:val="2"/>
        <w:tabs>
          <w:tab w:val="clear" w:pos="567"/>
        </w:tabs>
        <w:spacing w:before="0" w:line="360" w:lineRule="auto"/>
        <w:ind w:left="-181" w:leftChars="-86" w:firstLine="663" w:firstLineChars="275"/>
        <w:rPr>
          <w:rFonts w:ascii="仿宋" w:hAnsi="仿宋" w:eastAsia="仿宋" w:cs="仿宋"/>
          <w:b/>
          <w:bCs/>
          <w:color w:val="auto"/>
          <w:kern w:val="0"/>
        </w:rPr>
      </w:pPr>
      <w:r>
        <w:rPr>
          <w:rFonts w:hint="eastAsia" w:ascii="仿宋" w:hAnsi="仿宋" w:eastAsia="仿宋" w:cs="仿宋"/>
          <w:b/>
          <w:bCs/>
          <w:color w:val="auto"/>
          <w:kern w:val="0"/>
        </w:rPr>
        <w:t>⑦投标文件含有采购人不能接受的附加条件的；</w:t>
      </w:r>
    </w:p>
    <w:p>
      <w:pPr>
        <w:pStyle w:val="2"/>
        <w:tabs>
          <w:tab w:val="clear" w:pos="567"/>
        </w:tabs>
        <w:spacing w:before="0" w:line="360" w:lineRule="auto"/>
        <w:ind w:left="-181" w:leftChars="-86" w:firstLine="663" w:firstLineChars="275"/>
        <w:rPr>
          <w:rFonts w:ascii="仿宋" w:hAnsi="仿宋" w:eastAsia="仿宋" w:cs="仿宋"/>
          <w:b/>
          <w:bCs/>
          <w:color w:val="auto"/>
          <w:kern w:val="0"/>
        </w:rPr>
      </w:pPr>
      <w:r>
        <w:rPr>
          <w:rFonts w:hint="eastAsia" w:ascii="仿宋" w:hAnsi="仿宋" w:eastAsia="仿宋" w:cs="仿宋"/>
          <w:b/>
          <w:bCs/>
          <w:color w:val="auto"/>
          <w:kern w:val="0"/>
        </w:rPr>
        <w:t>⑧不符合法规和采购文件中规定的其他实质性要求的。</w:t>
      </w:r>
    </w:p>
    <w:p>
      <w:pPr>
        <w:pStyle w:val="2"/>
        <w:tabs>
          <w:tab w:val="clear" w:pos="567"/>
        </w:tabs>
        <w:spacing w:before="0" w:line="360" w:lineRule="auto"/>
        <w:ind w:left="-181" w:leftChars="-86" w:firstLine="663" w:firstLineChars="275"/>
        <w:outlineLvl w:val="1"/>
        <w:rPr>
          <w:rFonts w:ascii="仿宋" w:hAnsi="仿宋" w:eastAsia="仿宋" w:cs="仿宋"/>
          <w:b/>
          <w:bCs/>
          <w:color w:val="auto"/>
          <w:kern w:val="0"/>
        </w:rPr>
      </w:pPr>
      <w:bookmarkStart w:id="384" w:name="_Toc28357"/>
      <w:r>
        <w:rPr>
          <w:rFonts w:hint="eastAsia" w:ascii="仿宋" w:hAnsi="仿宋" w:eastAsia="仿宋" w:cs="仿宋"/>
          <w:b/>
          <w:bCs/>
          <w:color w:val="auto"/>
          <w:kern w:val="0"/>
        </w:rPr>
        <w:t>5.定标</w:t>
      </w:r>
      <w:bookmarkEnd w:id="384"/>
    </w:p>
    <w:p>
      <w:pPr>
        <w:pStyle w:val="2"/>
        <w:tabs>
          <w:tab w:val="clear" w:pos="567"/>
        </w:tabs>
        <w:spacing w:before="0" w:line="360" w:lineRule="auto"/>
        <w:ind w:left="-181" w:leftChars="-86" w:firstLine="660" w:firstLineChars="275"/>
        <w:rPr>
          <w:rFonts w:ascii="仿宋" w:hAnsi="仿宋" w:eastAsia="仿宋" w:cs="仿宋"/>
          <w:color w:val="auto"/>
          <w:kern w:val="0"/>
        </w:rPr>
      </w:pPr>
      <w:r>
        <w:rPr>
          <w:rFonts w:hint="eastAsia" w:ascii="仿宋" w:hAnsi="仿宋" w:eastAsia="仿宋" w:cs="仿宋"/>
          <w:color w:val="auto"/>
          <w:kern w:val="0"/>
        </w:rPr>
        <w:t>5.1. 定标原则：由采购人根据评标委员会的推荐意见确定</w:t>
      </w:r>
      <w:r>
        <w:rPr>
          <w:rFonts w:hint="eastAsia" w:ascii="仿宋" w:hAnsi="仿宋" w:eastAsia="仿宋" w:cs="仿宋"/>
          <w:color w:val="auto"/>
          <w:kern w:val="0"/>
          <w:lang w:eastAsia="zh-CN"/>
        </w:rPr>
        <w:t>成交</w:t>
      </w:r>
      <w:r>
        <w:rPr>
          <w:rFonts w:hint="eastAsia" w:ascii="仿宋" w:hAnsi="仿宋" w:eastAsia="仿宋" w:cs="仿宋"/>
          <w:color w:val="auto"/>
          <w:kern w:val="0"/>
        </w:rPr>
        <w:t>供应商。</w:t>
      </w:r>
    </w:p>
    <w:p>
      <w:pPr>
        <w:pStyle w:val="2"/>
        <w:tabs>
          <w:tab w:val="clear" w:pos="567"/>
        </w:tabs>
        <w:spacing w:before="0" w:line="360" w:lineRule="auto"/>
        <w:ind w:left="-181" w:leftChars="-86" w:firstLine="660" w:firstLineChars="275"/>
        <w:rPr>
          <w:rFonts w:ascii="仿宋" w:hAnsi="仿宋" w:eastAsia="仿宋" w:cs="仿宋"/>
          <w:color w:val="auto"/>
          <w:kern w:val="0"/>
        </w:rPr>
      </w:pPr>
      <w:r>
        <w:rPr>
          <w:rFonts w:hint="eastAsia" w:ascii="仿宋" w:hAnsi="仿宋" w:eastAsia="仿宋" w:cs="仿宋"/>
          <w:color w:val="auto"/>
          <w:kern w:val="0"/>
        </w:rPr>
        <w:t>5.2. 定标程序</w:t>
      </w:r>
    </w:p>
    <w:p>
      <w:pPr>
        <w:pStyle w:val="2"/>
        <w:tabs>
          <w:tab w:val="clear" w:pos="567"/>
        </w:tabs>
        <w:spacing w:before="0" w:line="360" w:lineRule="auto"/>
        <w:ind w:left="-181" w:leftChars="-86" w:firstLine="660" w:firstLineChars="275"/>
        <w:rPr>
          <w:rFonts w:ascii="仿宋" w:hAnsi="仿宋" w:eastAsia="仿宋" w:cs="仿宋"/>
          <w:color w:val="auto"/>
          <w:kern w:val="0"/>
        </w:rPr>
      </w:pPr>
      <w:r>
        <w:rPr>
          <w:rFonts w:hint="eastAsia" w:ascii="仿宋" w:hAnsi="仿宋" w:eastAsia="仿宋" w:cs="仿宋"/>
          <w:color w:val="auto"/>
          <w:kern w:val="0"/>
        </w:rPr>
        <w:t>5.2.1 评标委员会将评标情况写出书面报告，推荐</w:t>
      </w:r>
      <w:r>
        <w:rPr>
          <w:rFonts w:hint="eastAsia" w:ascii="仿宋" w:hAnsi="仿宋" w:eastAsia="仿宋" w:cs="仿宋"/>
          <w:color w:val="auto"/>
          <w:kern w:val="0"/>
          <w:lang w:eastAsia="zh-CN"/>
        </w:rPr>
        <w:t>成交</w:t>
      </w:r>
      <w:r>
        <w:rPr>
          <w:rFonts w:hint="eastAsia" w:ascii="仿宋" w:hAnsi="仿宋" w:eastAsia="仿宋" w:cs="仿宋"/>
          <w:color w:val="auto"/>
          <w:kern w:val="0"/>
        </w:rPr>
        <w:t>候选供应商。</w:t>
      </w:r>
    </w:p>
    <w:p>
      <w:pPr>
        <w:pStyle w:val="2"/>
        <w:tabs>
          <w:tab w:val="clear" w:pos="567"/>
        </w:tabs>
        <w:spacing w:before="0" w:line="360" w:lineRule="auto"/>
        <w:ind w:left="-181" w:leftChars="-86" w:firstLine="660" w:firstLineChars="275"/>
        <w:rPr>
          <w:rFonts w:ascii="仿宋" w:hAnsi="仿宋" w:eastAsia="仿宋" w:cs="仿宋"/>
          <w:color w:val="auto"/>
          <w:kern w:val="0"/>
        </w:rPr>
      </w:pPr>
      <w:r>
        <w:rPr>
          <w:rFonts w:hint="eastAsia" w:ascii="仿宋" w:hAnsi="仿宋" w:eastAsia="仿宋" w:cs="仿宋"/>
          <w:color w:val="auto"/>
          <w:kern w:val="0"/>
        </w:rPr>
        <w:t>5.2.2 采购代理机构在评标结束后2个工作日内将采购结果确认单和评标报告发至采购人处。</w:t>
      </w:r>
    </w:p>
    <w:p>
      <w:pPr>
        <w:pStyle w:val="2"/>
        <w:tabs>
          <w:tab w:val="clear" w:pos="567"/>
        </w:tabs>
        <w:spacing w:before="0" w:line="360" w:lineRule="auto"/>
        <w:ind w:left="-181" w:leftChars="-86" w:firstLine="660" w:firstLineChars="275"/>
        <w:rPr>
          <w:rFonts w:ascii="仿宋" w:hAnsi="仿宋" w:eastAsia="仿宋" w:cs="仿宋"/>
          <w:color w:val="auto"/>
          <w:kern w:val="0"/>
        </w:rPr>
      </w:pPr>
      <w:r>
        <w:rPr>
          <w:rFonts w:hint="eastAsia" w:ascii="仿宋" w:hAnsi="仿宋" w:eastAsia="仿宋" w:cs="仿宋"/>
          <w:color w:val="auto"/>
          <w:kern w:val="0"/>
        </w:rPr>
        <w:t>5.2.3 采购人在收到后5个工作日内，按照评标报告中推荐的</w:t>
      </w:r>
      <w:r>
        <w:rPr>
          <w:rFonts w:hint="eastAsia" w:ascii="仿宋" w:hAnsi="仿宋" w:eastAsia="仿宋" w:cs="仿宋"/>
          <w:color w:val="auto"/>
          <w:kern w:val="0"/>
          <w:lang w:eastAsia="zh-CN"/>
        </w:rPr>
        <w:t>成交</w:t>
      </w:r>
      <w:r>
        <w:rPr>
          <w:rFonts w:hint="eastAsia" w:ascii="仿宋" w:hAnsi="仿宋" w:eastAsia="仿宋" w:cs="仿宋"/>
          <w:color w:val="auto"/>
          <w:kern w:val="0"/>
        </w:rPr>
        <w:t>候选供应商顺序确定中标供应商。采用综合评分法的，评标结果按投标报价由低到高顺序排列；投标报价相同的并列，投标文件满足采购文件全部实质性要求且投标报价最低的供应商为</w:t>
      </w:r>
      <w:r>
        <w:rPr>
          <w:rFonts w:hint="eastAsia" w:ascii="仿宋" w:hAnsi="仿宋" w:eastAsia="仿宋" w:cs="仿宋"/>
          <w:color w:val="auto"/>
          <w:kern w:val="0"/>
          <w:lang w:eastAsia="zh-CN"/>
        </w:rPr>
        <w:t>成交</w:t>
      </w:r>
      <w:r>
        <w:rPr>
          <w:rFonts w:hint="eastAsia" w:ascii="仿宋" w:hAnsi="仿宋" w:eastAsia="仿宋" w:cs="仿宋"/>
          <w:color w:val="auto"/>
          <w:kern w:val="0"/>
        </w:rPr>
        <w:t>候选供应商；报价相同且满足采购文件全部实质性要求的并列，由采购人自主采取公平、择优的方式选择</w:t>
      </w:r>
      <w:r>
        <w:rPr>
          <w:rFonts w:hint="eastAsia" w:ascii="仿宋" w:hAnsi="仿宋" w:eastAsia="仿宋" w:cs="仿宋"/>
          <w:color w:val="auto"/>
          <w:kern w:val="0"/>
          <w:lang w:eastAsia="zh-CN"/>
        </w:rPr>
        <w:t>成交</w:t>
      </w:r>
      <w:r>
        <w:rPr>
          <w:rFonts w:hint="eastAsia" w:ascii="仿宋" w:hAnsi="仿宋" w:eastAsia="仿宋" w:cs="仿宋"/>
          <w:color w:val="auto"/>
          <w:kern w:val="0"/>
        </w:rPr>
        <w:t>供应商。</w:t>
      </w:r>
    </w:p>
    <w:p>
      <w:pPr>
        <w:pStyle w:val="2"/>
        <w:tabs>
          <w:tab w:val="clear" w:pos="567"/>
        </w:tabs>
        <w:spacing w:before="0" w:line="360" w:lineRule="auto"/>
        <w:ind w:left="-181" w:leftChars="-86" w:firstLine="660" w:firstLineChars="275"/>
        <w:rPr>
          <w:rFonts w:ascii="仿宋" w:hAnsi="仿宋" w:eastAsia="仿宋" w:cs="仿宋"/>
          <w:color w:val="auto"/>
          <w:kern w:val="0"/>
        </w:rPr>
      </w:pPr>
      <w:r>
        <w:rPr>
          <w:rFonts w:hint="eastAsia" w:ascii="仿宋" w:hAnsi="仿宋" w:eastAsia="仿宋" w:cs="仿宋"/>
          <w:color w:val="auto"/>
          <w:kern w:val="0"/>
        </w:rPr>
        <w:t>5.2.4 根据采购人确定的</w:t>
      </w:r>
      <w:r>
        <w:rPr>
          <w:rFonts w:hint="eastAsia" w:ascii="仿宋" w:hAnsi="仿宋" w:eastAsia="仿宋" w:cs="仿宋"/>
          <w:color w:val="auto"/>
          <w:kern w:val="0"/>
          <w:lang w:eastAsia="zh-CN"/>
        </w:rPr>
        <w:t>成交</w:t>
      </w:r>
      <w:r>
        <w:rPr>
          <w:rFonts w:hint="eastAsia" w:ascii="仿宋" w:hAnsi="仿宋" w:eastAsia="仿宋" w:cs="仿宋"/>
          <w:color w:val="auto"/>
          <w:kern w:val="0"/>
        </w:rPr>
        <w:t>供应商，采购代理机构在新疆政府采购网上发布</w:t>
      </w:r>
      <w:r>
        <w:rPr>
          <w:rFonts w:hint="eastAsia" w:ascii="仿宋" w:hAnsi="仿宋" w:eastAsia="仿宋" w:cs="仿宋"/>
          <w:color w:val="auto"/>
          <w:kern w:val="0"/>
          <w:lang w:eastAsia="zh-CN"/>
        </w:rPr>
        <w:t>成交结果</w:t>
      </w:r>
      <w:r>
        <w:rPr>
          <w:rFonts w:hint="eastAsia" w:ascii="仿宋" w:hAnsi="仿宋" w:eastAsia="仿宋" w:cs="仿宋"/>
          <w:color w:val="auto"/>
          <w:kern w:val="0"/>
        </w:rPr>
        <w:t>公告，并自采购人确定中标之日起3个工作日内向</w:t>
      </w:r>
      <w:r>
        <w:rPr>
          <w:rFonts w:hint="eastAsia" w:ascii="仿宋" w:hAnsi="仿宋" w:eastAsia="仿宋" w:cs="仿宋"/>
          <w:color w:val="auto"/>
          <w:kern w:val="0"/>
          <w:lang w:eastAsia="zh-CN"/>
        </w:rPr>
        <w:t>成交</w:t>
      </w:r>
      <w:r>
        <w:rPr>
          <w:rFonts w:hint="eastAsia" w:ascii="仿宋" w:hAnsi="仿宋" w:eastAsia="仿宋" w:cs="仿宋"/>
          <w:color w:val="auto"/>
          <w:kern w:val="0"/>
        </w:rPr>
        <w:t>供应商发出中标通知书。</w:t>
      </w:r>
    </w:p>
    <w:p>
      <w:pPr>
        <w:pStyle w:val="2"/>
        <w:tabs>
          <w:tab w:val="clear" w:pos="567"/>
        </w:tabs>
        <w:spacing w:before="0" w:line="360" w:lineRule="auto"/>
        <w:ind w:left="-181" w:leftChars="-86" w:firstLine="660" w:firstLineChars="275"/>
        <w:rPr>
          <w:rFonts w:ascii="仿宋" w:hAnsi="仿宋" w:eastAsia="仿宋" w:cs="仿宋"/>
          <w:color w:val="auto"/>
          <w:kern w:val="0"/>
        </w:rPr>
      </w:pPr>
      <w:r>
        <w:rPr>
          <w:rFonts w:hint="eastAsia" w:ascii="仿宋" w:hAnsi="仿宋" w:eastAsia="仿宋" w:cs="仿宋"/>
          <w:color w:val="auto"/>
          <w:kern w:val="0"/>
        </w:rPr>
        <w:t>5.2.5 招标采购单位不退回供应商投标文件和其他投标资料。</w:t>
      </w:r>
    </w:p>
    <w:p>
      <w:pPr>
        <w:pStyle w:val="2"/>
        <w:tabs>
          <w:tab w:val="clear" w:pos="567"/>
        </w:tabs>
        <w:spacing w:before="0" w:line="360" w:lineRule="auto"/>
        <w:ind w:left="-181" w:leftChars="-86" w:firstLine="663" w:firstLineChars="275"/>
        <w:outlineLvl w:val="1"/>
        <w:rPr>
          <w:rFonts w:ascii="仿宋" w:hAnsi="仿宋" w:eastAsia="仿宋" w:cs="仿宋"/>
          <w:color w:val="auto"/>
          <w:kern w:val="0"/>
        </w:rPr>
      </w:pPr>
      <w:bookmarkStart w:id="385" w:name="_Toc4417"/>
      <w:r>
        <w:rPr>
          <w:rFonts w:hint="eastAsia" w:ascii="仿宋" w:hAnsi="仿宋" w:eastAsia="仿宋" w:cs="仿宋"/>
          <w:b/>
          <w:bCs/>
          <w:color w:val="auto"/>
          <w:kern w:val="0"/>
        </w:rPr>
        <w:t>6.详细的评标标准：（具体内容详见综合评分表）</w:t>
      </w:r>
      <w:bookmarkEnd w:id="385"/>
    </w:p>
    <w:p>
      <w:pPr>
        <w:pStyle w:val="2"/>
        <w:tabs>
          <w:tab w:val="clear" w:pos="567"/>
        </w:tabs>
        <w:spacing w:before="0" w:line="360" w:lineRule="auto"/>
        <w:ind w:left="-181" w:leftChars="-86" w:firstLine="660" w:firstLineChars="275"/>
        <w:rPr>
          <w:rFonts w:ascii="仿宋" w:hAnsi="仿宋" w:eastAsia="仿宋" w:cs="仿宋"/>
          <w:color w:val="auto"/>
          <w:kern w:val="0"/>
        </w:rPr>
      </w:pPr>
      <w:r>
        <w:rPr>
          <w:rFonts w:hint="eastAsia" w:ascii="仿宋" w:hAnsi="仿宋" w:eastAsia="仿宋" w:cs="仿宋"/>
          <w:color w:val="auto"/>
          <w:kern w:val="0"/>
        </w:rPr>
        <w:t>各供应商的价格得分的计算公式：采用低价优先法计算，即满足采购文件要求且投标价格最低的投标报价为评标基准价，其价格分为满分。其他供应商的价格分统一按照下列公式计算：</w:t>
      </w:r>
    </w:p>
    <w:p>
      <w:pPr>
        <w:pStyle w:val="2"/>
        <w:tabs>
          <w:tab w:val="clear" w:pos="567"/>
        </w:tabs>
        <w:spacing w:before="0" w:line="360" w:lineRule="auto"/>
        <w:ind w:left="-181" w:leftChars="-86" w:firstLine="660" w:firstLineChars="275"/>
        <w:outlineLvl w:val="0"/>
        <w:rPr>
          <w:rFonts w:ascii="仿宋" w:hAnsi="仿宋" w:eastAsia="仿宋" w:cs="仿宋"/>
          <w:color w:val="auto"/>
          <w:kern w:val="0"/>
        </w:rPr>
      </w:pPr>
      <w:bookmarkStart w:id="386" w:name="_Toc11069"/>
      <w:r>
        <w:rPr>
          <w:rFonts w:hint="eastAsia" w:ascii="仿宋" w:hAnsi="仿宋" w:eastAsia="仿宋" w:cs="仿宋"/>
          <w:color w:val="auto"/>
          <w:kern w:val="0"/>
        </w:rPr>
        <w:t>投标报价得分=(评标基准价／投标报价)×价格权值</w:t>
      </w:r>
      <w:bookmarkEnd w:id="386"/>
    </w:p>
    <w:p>
      <w:pPr>
        <w:pStyle w:val="2"/>
        <w:tabs>
          <w:tab w:val="clear" w:pos="567"/>
        </w:tabs>
        <w:spacing w:before="0" w:line="360" w:lineRule="auto"/>
        <w:ind w:left="-181" w:leftChars="-86" w:firstLine="660" w:firstLineChars="275"/>
        <w:rPr>
          <w:rFonts w:ascii="仿宋" w:hAnsi="仿宋" w:eastAsia="仿宋" w:cs="仿宋"/>
          <w:color w:val="auto"/>
          <w:kern w:val="0"/>
        </w:rPr>
      </w:pPr>
      <w:r>
        <w:rPr>
          <w:rFonts w:hint="eastAsia" w:ascii="仿宋" w:hAnsi="仿宋" w:eastAsia="仿宋" w:cs="仿宋"/>
          <w:color w:val="auto"/>
          <w:kern w:val="0"/>
        </w:rPr>
        <w:t>计算分数时四舍五入取小数点后两位,标项一、二、三、四分数最高不超过10分。由监标人员负责核准每个合格供应商的价格得分。</w:t>
      </w:r>
    </w:p>
    <w:p>
      <w:pPr>
        <w:pStyle w:val="2"/>
        <w:tabs>
          <w:tab w:val="clear" w:pos="567"/>
        </w:tabs>
        <w:spacing w:before="0" w:line="360" w:lineRule="auto"/>
        <w:ind w:left="-181" w:leftChars="-86" w:firstLine="660" w:firstLineChars="275"/>
        <w:rPr>
          <w:rFonts w:ascii="仿宋" w:hAnsi="仿宋" w:eastAsia="仿宋" w:cs="仿宋"/>
          <w:color w:val="auto"/>
          <w:kern w:val="0"/>
        </w:rPr>
      </w:pPr>
      <w:r>
        <w:rPr>
          <w:rFonts w:hint="eastAsia" w:ascii="仿宋" w:hAnsi="仿宋" w:eastAsia="仿宋" w:cs="仿宋"/>
          <w:color w:val="auto"/>
          <w:kern w:val="0"/>
        </w:rPr>
        <w:t>注：若为中小企业，其投标报价扣除10%后参与评审，提供相关证明资料，否则无效。</w:t>
      </w:r>
    </w:p>
    <w:p>
      <w:pPr>
        <w:pStyle w:val="2"/>
        <w:tabs>
          <w:tab w:val="clear" w:pos="567"/>
        </w:tabs>
        <w:spacing w:before="0" w:line="360" w:lineRule="auto"/>
        <w:ind w:left="-181" w:leftChars="-86" w:firstLine="660" w:firstLineChars="275"/>
        <w:rPr>
          <w:rFonts w:ascii="仿宋" w:hAnsi="仿宋" w:eastAsia="仿宋" w:cs="仿宋"/>
          <w:color w:val="auto"/>
          <w:kern w:val="0"/>
        </w:rPr>
      </w:pPr>
      <w:r>
        <w:rPr>
          <w:rFonts w:hint="eastAsia" w:ascii="仿宋" w:hAnsi="仿宋" w:eastAsia="仿宋" w:cs="仿宋"/>
          <w:color w:val="auto"/>
          <w:kern w:val="0"/>
        </w:rPr>
        <w:t>标项一、二、三</w:t>
      </w:r>
      <w:r>
        <w:rPr>
          <w:rFonts w:hint="eastAsia" w:ascii="仿宋" w:hAnsi="仿宋" w:eastAsia="仿宋" w:cs="仿宋"/>
          <w:color w:val="auto"/>
          <w:kern w:val="0"/>
          <w:lang w:eastAsia="zh-CN"/>
        </w:rPr>
        <w:t>、</w:t>
      </w:r>
      <w:r>
        <w:rPr>
          <w:rFonts w:hint="eastAsia" w:ascii="仿宋" w:hAnsi="仿宋" w:eastAsia="仿宋" w:cs="仿宋"/>
          <w:color w:val="auto"/>
          <w:kern w:val="0"/>
          <w:lang w:val="en-US" w:eastAsia="zh-CN"/>
        </w:rPr>
        <w:t>四、五</w:t>
      </w:r>
      <w:r>
        <w:rPr>
          <w:rFonts w:hint="eastAsia" w:ascii="仿宋" w:hAnsi="仿宋" w:eastAsia="仿宋" w:cs="仿宋"/>
          <w:color w:val="auto"/>
          <w:kern w:val="0"/>
        </w:rPr>
        <w:t>技术占70%，商务20%；标项</w:t>
      </w:r>
      <w:r>
        <w:rPr>
          <w:rFonts w:hint="eastAsia" w:ascii="仿宋" w:hAnsi="仿宋" w:eastAsia="仿宋" w:cs="仿宋"/>
          <w:color w:val="auto"/>
          <w:kern w:val="0"/>
          <w:lang w:val="en-US" w:eastAsia="zh-CN"/>
        </w:rPr>
        <w:t>六</w:t>
      </w:r>
      <w:r>
        <w:rPr>
          <w:rFonts w:hint="eastAsia" w:ascii="仿宋" w:hAnsi="仿宋" w:eastAsia="仿宋" w:cs="仿宋"/>
          <w:color w:val="auto"/>
          <w:kern w:val="0"/>
        </w:rPr>
        <w:t>技术占80%，商务占10%。</w:t>
      </w:r>
    </w:p>
    <w:p>
      <w:pPr>
        <w:pStyle w:val="4"/>
        <w:ind w:firstLine="0" w:firstLineChars="0"/>
        <w:rPr>
          <w:rFonts w:ascii="仿宋" w:hAnsi="仿宋" w:eastAsia="仿宋" w:cs="仿宋"/>
          <w:b/>
          <w:bCs/>
          <w:color w:val="auto"/>
          <w:kern w:val="0"/>
          <w:sz w:val="32"/>
          <w:szCs w:val="32"/>
        </w:rPr>
      </w:pPr>
      <w:bookmarkStart w:id="387" w:name="_Toc507399904"/>
      <w:r>
        <w:rPr>
          <w:rFonts w:hint="eastAsia" w:ascii="仿宋" w:hAnsi="仿宋" w:eastAsia="仿宋" w:cs="仿宋"/>
          <w:b/>
          <w:bCs/>
          <w:color w:val="auto"/>
          <w:kern w:val="0"/>
          <w:sz w:val="32"/>
          <w:szCs w:val="32"/>
        </w:rPr>
        <w:br w:type="page"/>
      </w:r>
    </w:p>
    <w:p>
      <w:pPr>
        <w:jc w:val="left"/>
        <w:outlineLvl w:val="2"/>
        <w:rPr>
          <w:rFonts w:hint="eastAsia" w:ascii="仿宋" w:hAnsi="仿宋" w:eastAsia="仿宋" w:cs="仿宋"/>
          <w:b/>
          <w:bCs/>
          <w:color w:val="auto"/>
          <w:kern w:val="0"/>
          <w:sz w:val="32"/>
          <w:szCs w:val="32"/>
        </w:rPr>
      </w:pPr>
      <w:bookmarkStart w:id="388" w:name="_Toc16683"/>
      <w:r>
        <w:rPr>
          <w:rFonts w:hint="eastAsia" w:ascii="仿宋" w:hAnsi="仿宋" w:eastAsia="仿宋" w:cs="宋体"/>
          <w:b/>
          <w:bCs/>
          <w:color w:val="auto"/>
          <w:kern w:val="0"/>
          <w:sz w:val="32"/>
          <w:szCs w:val="32"/>
        </w:rPr>
        <w:t>综合评分表</w:t>
      </w:r>
      <w:bookmarkEnd w:id="388"/>
    </w:p>
    <w:p>
      <w:pPr>
        <w:widowControl/>
        <w:jc w:val="center"/>
        <w:outlineLvl w:val="2"/>
        <w:rPr>
          <w:rFonts w:ascii="仿宋" w:hAnsi="仿宋" w:eastAsia="仿宋" w:cs="仿宋"/>
          <w:b/>
          <w:color w:val="auto"/>
          <w:kern w:val="0"/>
          <w:sz w:val="32"/>
          <w:szCs w:val="32"/>
        </w:rPr>
      </w:pPr>
      <w:bookmarkStart w:id="389" w:name="_Toc14934"/>
      <w:r>
        <w:rPr>
          <w:rFonts w:hint="eastAsia" w:ascii="仿宋" w:hAnsi="仿宋" w:eastAsia="仿宋" w:cs="仿宋"/>
          <w:b/>
          <w:bCs/>
          <w:color w:val="auto"/>
          <w:kern w:val="0"/>
          <w:sz w:val="32"/>
          <w:szCs w:val="32"/>
        </w:rPr>
        <w:t>资格审查表</w:t>
      </w:r>
      <w:bookmarkEnd w:id="389"/>
    </w:p>
    <w:tbl>
      <w:tblPr>
        <w:tblStyle w:val="37"/>
        <w:tblW w:w="8716" w:type="dxa"/>
        <w:tblInd w:w="113" w:type="dxa"/>
        <w:tblLayout w:type="fixed"/>
        <w:tblCellMar>
          <w:top w:w="0" w:type="dxa"/>
          <w:left w:w="108" w:type="dxa"/>
          <w:bottom w:w="0" w:type="dxa"/>
          <w:right w:w="108" w:type="dxa"/>
        </w:tblCellMar>
      </w:tblPr>
      <w:tblGrid>
        <w:gridCol w:w="740"/>
        <w:gridCol w:w="6114"/>
        <w:gridCol w:w="925"/>
        <w:gridCol w:w="937"/>
      </w:tblGrid>
      <w:tr>
        <w:tblPrEx>
          <w:tblCellMar>
            <w:top w:w="0" w:type="dxa"/>
            <w:left w:w="108" w:type="dxa"/>
            <w:bottom w:w="0" w:type="dxa"/>
            <w:right w:w="108" w:type="dxa"/>
          </w:tblCellMar>
        </w:tblPrEx>
        <w:trPr>
          <w:trHeight w:val="410" w:hRule="atLeast"/>
        </w:trPr>
        <w:tc>
          <w:tcPr>
            <w:tcW w:w="740" w:type="dxa"/>
            <w:vMerge w:val="restart"/>
            <w:tcBorders>
              <w:top w:val="single" w:color="auto" w:sz="4" w:space="0"/>
              <w:left w:val="single" w:color="auto" w:sz="4" w:space="0"/>
              <w:bottom w:val="single" w:color="000000" w:sz="4" w:space="0"/>
              <w:right w:val="single" w:color="auto" w:sz="4" w:space="0"/>
            </w:tcBorders>
            <w:shd w:val="clear" w:color="auto" w:fill="FFFFFF" w:themeFill="background1"/>
            <w:vAlign w:val="center"/>
          </w:tcPr>
          <w:p>
            <w:pPr>
              <w:widowControl/>
              <w:jc w:val="center"/>
              <w:rPr>
                <w:rFonts w:ascii="仿宋" w:hAnsi="仿宋" w:eastAsia="仿宋" w:cs="仿宋"/>
                <w:b/>
                <w:bCs/>
                <w:color w:val="auto"/>
                <w:kern w:val="0"/>
                <w:sz w:val="22"/>
                <w:szCs w:val="22"/>
              </w:rPr>
            </w:pPr>
            <w:r>
              <w:rPr>
                <w:rFonts w:hint="eastAsia" w:ascii="仿宋" w:hAnsi="仿宋" w:eastAsia="仿宋" w:cs="仿宋"/>
                <w:b/>
                <w:bCs/>
                <w:color w:val="auto"/>
                <w:kern w:val="0"/>
                <w:sz w:val="22"/>
                <w:szCs w:val="22"/>
              </w:rPr>
              <w:t>序号</w:t>
            </w:r>
          </w:p>
        </w:tc>
        <w:tc>
          <w:tcPr>
            <w:tcW w:w="6114" w:type="dxa"/>
            <w:vMerge w:val="restart"/>
            <w:tcBorders>
              <w:top w:val="single" w:color="auto" w:sz="4" w:space="0"/>
              <w:left w:val="single" w:color="auto" w:sz="4" w:space="0"/>
              <w:bottom w:val="single" w:color="000000" w:sz="4" w:space="0"/>
              <w:right w:val="single" w:color="auto" w:sz="4" w:space="0"/>
            </w:tcBorders>
            <w:shd w:val="clear" w:color="auto" w:fill="FFFFFF" w:themeFill="background1"/>
            <w:vAlign w:val="center"/>
          </w:tcPr>
          <w:p>
            <w:pPr>
              <w:widowControl/>
              <w:jc w:val="center"/>
              <w:rPr>
                <w:rFonts w:ascii="仿宋" w:hAnsi="仿宋" w:eastAsia="仿宋" w:cs="仿宋"/>
                <w:b/>
                <w:bCs/>
                <w:color w:val="auto"/>
                <w:kern w:val="0"/>
                <w:sz w:val="22"/>
                <w:szCs w:val="22"/>
              </w:rPr>
            </w:pPr>
            <w:r>
              <w:rPr>
                <w:rFonts w:hint="eastAsia" w:ascii="仿宋" w:hAnsi="仿宋" w:eastAsia="仿宋" w:cs="仿宋"/>
                <w:b/>
                <w:bCs/>
                <w:color w:val="auto"/>
                <w:kern w:val="0"/>
                <w:sz w:val="22"/>
                <w:szCs w:val="22"/>
              </w:rPr>
              <w:t>审核项目</w:t>
            </w:r>
          </w:p>
        </w:tc>
        <w:tc>
          <w:tcPr>
            <w:tcW w:w="1862"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widowControl/>
              <w:jc w:val="center"/>
              <w:rPr>
                <w:rFonts w:ascii="仿宋" w:hAnsi="仿宋" w:eastAsia="仿宋" w:cs="仿宋"/>
                <w:b/>
                <w:bCs/>
                <w:color w:val="auto"/>
                <w:kern w:val="0"/>
                <w:sz w:val="22"/>
                <w:szCs w:val="22"/>
              </w:rPr>
            </w:pPr>
            <w:r>
              <w:rPr>
                <w:rFonts w:hint="eastAsia" w:ascii="仿宋" w:hAnsi="仿宋" w:eastAsia="仿宋" w:cs="仿宋"/>
                <w:b/>
                <w:bCs/>
                <w:color w:val="auto"/>
                <w:kern w:val="0"/>
                <w:sz w:val="22"/>
                <w:szCs w:val="22"/>
              </w:rPr>
              <w:t>供应商</w:t>
            </w:r>
          </w:p>
        </w:tc>
      </w:tr>
      <w:tr>
        <w:tblPrEx>
          <w:tblCellMar>
            <w:top w:w="0" w:type="dxa"/>
            <w:left w:w="108" w:type="dxa"/>
            <w:bottom w:w="0" w:type="dxa"/>
            <w:right w:w="108" w:type="dxa"/>
          </w:tblCellMar>
        </w:tblPrEx>
        <w:trPr>
          <w:trHeight w:val="410" w:hRule="atLeast"/>
        </w:trPr>
        <w:tc>
          <w:tcPr>
            <w:tcW w:w="740" w:type="dxa"/>
            <w:vMerge w:val="continue"/>
            <w:tcBorders>
              <w:top w:val="single" w:color="auto" w:sz="4" w:space="0"/>
              <w:left w:val="single" w:color="auto" w:sz="4" w:space="0"/>
              <w:bottom w:val="single" w:color="000000" w:sz="4" w:space="0"/>
              <w:right w:val="single" w:color="auto" w:sz="4" w:space="0"/>
            </w:tcBorders>
            <w:shd w:val="clear" w:color="auto" w:fill="FFFFFF" w:themeFill="background1"/>
            <w:vAlign w:val="center"/>
          </w:tcPr>
          <w:p>
            <w:pPr>
              <w:widowControl/>
              <w:jc w:val="left"/>
              <w:rPr>
                <w:rFonts w:ascii="仿宋" w:hAnsi="仿宋" w:eastAsia="仿宋" w:cs="仿宋"/>
                <w:b/>
                <w:bCs/>
                <w:color w:val="auto"/>
                <w:kern w:val="0"/>
                <w:sz w:val="22"/>
                <w:szCs w:val="22"/>
              </w:rPr>
            </w:pPr>
          </w:p>
        </w:tc>
        <w:tc>
          <w:tcPr>
            <w:tcW w:w="6114" w:type="dxa"/>
            <w:vMerge w:val="continue"/>
            <w:tcBorders>
              <w:top w:val="single" w:color="auto" w:sz="4" w:space="0"/>
              <w:left w:val="single" w:color="auto" w:sz="4" w:space="0"/>
              <w:bottom w:val="single" w:color="000000" w:sz="4" w:space="0"/>
              <w:right w:val="single" w:color="auto" w:sz="4" w:space="0"/>
            </w:tcBorders>
            <w:shd w:val="clear" w:color="auto" w:fill="FFFFFF" w:themeFill="background1"/>
            <w:vAlign w:val="center"/>
          </w:tcPr>
          <w:p>
            <w:pPr>
              <w:widowControl/>
              <w:jc w:val="left"/>
              <w:rPr>
                <w:rFonts w:ascii="仿宋" w:hAnsi="仿宋" w:eastAsia="仿宋" w:cs="仿宋"/>
                <w:b/>
                <w:bCs/>
                <w:color w:val="auto"/>
                <w:kern w:val="0"/>
                <w:sz w:val="22"/>
                <w:szCs w:val="22"/>
              </w:rPr>
            </w:pPr>
          </w:p>
        </w:tc>
        <w:tc>
          <w:tcPr>
            <w:tcW w:w="925"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 w:hAnsi="仿宋" w:eastAsia="仿宋" w:cs="仿宋"/>
                <w:b/>
                <w:bCs/>
                <w:color w:val="auto"/>
                <w:kern w:val="0"/>
                <w:sz w:val="22"/>
                <w:szCs w:val="22"/>
              </w:rPr>
            </w:pPr>
            <w:r>
              <w:rPr>
                <w:rFonts w:hint="eastAsia" w:ascii="仿宋" w:hAnsi="仿宋" w:eastAsia="仿宋" w:cs="仿宋"/>
                <w:b/>
                <w:bCs/>
                <w:color w:val="auto"/>
                <w:kern w:val="0"/>
                <w:sz w:val="22"/>
                <w:szCs w:val="22"/>
              </w:rPr>
              <w:t>是</w:t>
            </w:r>
          </w:p>
        </w:tc>
        <w:tc>
          <w:tcPr>
            <w:tcW w:w="93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仿宋" w:hAnsi="仿宋" w:eastAsia="仿宋" w:cs="仿宋"/>
                <w:b/>
                <w:bCs/>
                <w:color w:val="auto"/>
                <w:kern w:val="0"/>
                <w:sz w:val="22"/>
                <w:szCs w:val="22"/>
              </w:rPr>
            </w:pPr>
            <w:r>
              <w:rPr>
                <w:rFonts w:hint="eastAsia" w:ascii="仿宋" w:hAnsi="仿宋" w:eastAsia="仿宋" w:cs="仿宋"/>
                <w:b/>
                <w:bCs/>
                <w:color w:val="auto"/>
                <w:kern w:val="0"/>
                <w:sz w:val="22"/>
                <w:szCs w:val="22"/>
              </w:rPr>
              <w:t>否</w:t>
            </w:r>
          </w:p>
        </w:tc>
      </w:tr>
      <w:tr>
        <w:tblPrEx>
          <w:tblCellMar>
            <w:top w:w="0" w:type="dxa"/>
            <w:left w:w="108" w:type="dxa"/>
            <w:bottom w:w="0" w:type="dxa"/>
            <w:right w:w="108" w:type="dxa"/>
          </w:tblCellMar>
        </w:tblPrEx>
        <w:trPr>
          <w:trHeight w:val="682"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w:t>
            </w:r>
          </w:p>
        </w:tc>
        <w:tc>
          <w:tcPr>
            <w:tcW w:w="6114"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有效的营业执照正本或副本；</w:t>
            </w:r>
          </w:p>
        </w:tc>
        <w:tc>
          <w:tcPr>
            <w:tcW w:w="925"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auto"/>
                <w:kern w:val="0"/>
                <w:sz w:val="22"/>
                <w:szCs w:val="22"/>
              </w:rPr>
            </w:pPr>
            <w:r>
              <w:rPr>
                <w:rFonts w:hint="eastAsia" w:ascii="仿宋" w:hAnsi="仿宋" w:eastAsia="仿宋" w:cs="仿宋"/>
                <w:color w:val="auto"/>
                <w:kern w:val="0"/>
                <w:sz w:val="22"/>
                <w:szCs w:val="22"/>
              </w:rPr>
              <w:t xml:space="preserve">  </w:t>
            </w:r>
          </w:p>
        </w:tc>
        <w:tc>
          <w:tcPr>
            <w:tcW w:w="937"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auto"/>
                <w:kern w:val="0"/>
                <w:sz w:val="22"/>
                <w:szCs w:val="22"/>
              </w:rPr>
            </w:pPr>
            <w:r>
              <w:rPr>
                <w:rFonts w:hint="eastAsia" w:ascii="仿宋" w:hAnsi="仿宋" w:eastAsia="仿宋" w:cs="仿宋"/>
                <w:color w:val="auto"/>
                <w:kern w:val="0"/>
                <w:sz w:val="22"/>
                <w:szCs w:val="22"/>
              </w:rPr>
              <w:t xml:space="preserve">  </w:t>
            </w:r>
          </w:p>
        </w:tc>
      </w:tr>
      <w:tr>
        <w:tblPrEx>
          <w:tblCellMar>
            <w:top w:w="0" w:type="dxa"/>
            <w:left w:w="108" w:type="dxa"/>
            <w:bottom w:w="0" w:type="dxa"/>
            <w:right w:w="108" w:type="dxa"/>
          </w:tblCellMar>
        </w:tblPrEx>
        <w:trPr>
          <w:trHeight w:val="605"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2"/>
                <w:szCs w:val="22"/>
                <w:lang w:val="en-US" w:eastAsia="zh-CN"/>
              </w:rPr>
            </w:pPr>
            <w:r>
              <w:rPr>
                <w:rFonts w:hint="eastAsia" w:ascii="仿宋" w:hAnsi="仿宋" w:eastAsia="仿宋" w:cs="仿宋"/>
                <w:color w:val="auto"/>
                <w:kern w:val="0"/>
                <w:sz w:val="22"/>
                <w:szCs w:val="22"/>
                <w:lang w:val="en-US" w:eastAsia="zh-CN"/>
              </w:rPr>
              <w:t>2</w:t>
            </w:r>
          </w:p>
        </w:tc>
        <w:tc>
          <w:tcPr>
            <w:tcW w:w="6114"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lang w:eastAsia="zh-CN"/>
              </w:rPr>
            </w:pPr>
            <w:r>
              <w:rPr>
                <w:rFonts w:hint="eastAsia" w:ascii="仿宋" w:hAnsi="仿宋" w:eastAsia="仿宋" w:cs="仿宋"/>
                <w:color w:val="auto"/>
                <w:kern w:val="0"/>
                <w:sz w:val="22"/>
                <w:szCs w:val="22"/>
                <w:lang w:val="en-US" w:eastAsia="zh-CN"/>
              </w:rPr>
              <w:t>供应商</w:t>
            </w:r>
            <w:r>
              <w:rPr>
                <w:rFonts w:hint="eastAsia" w:ascii="仿宋" w:hAnsi="仿宋" w:eastAsia="仿宋" w:cs="仿宋"/>
                <w:color w:val="auto"/>
                <w:kern w:val="0"/>
                <w:sz w:val="22"/>
                <w:szCs w:val="22"/>
              </w:rPr>
              <w:t>未被列入“信用中国”网站(www.creditchina.gov.cn)、中国政府采购网(www.ccgp.gov.cn)渠道信用记录失信被执行人、重大税收违法案件当事人名单、政府采购严重违法失信行为记录名单的投标人，国家企业公示信息系统（www.gsxt.gov.cn）查询诚信记录如有严重行政处罚信息、重大严重失信记录不得参加本项目</w:t>
            </w:r>
            <w:r>
              <w:rPr>
                <w:rFonts w:hint="eastAsia" w:ascii="仿宋" w:hAnsi="仿宋" w:eastAsia="仿宋" w:cs="仿宋"/>
                <w:color w:val="auto"/>
                <w:kern w:val="0"/>
                <w:sz w:val="22"/>
                <w:szCs w:val="22"/>
                <w:lang w:eastAsia="zh-CN"/>
              </w:rPr>
              <w:t>；</w:t>
            </w:r>
          </w:p>
        </w:tc>
        <w:tc>
          <w:tcPr>
            <w:tcW w:w="92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937"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605"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2"/>
                <w:szCs w:val="22"/>
                <w:lang w:val="en-US" w:eastAsia="zh-CN"/>
              </w:rPr>
            </w:pPr>
            <w:r>
              <w:rPr>
                <w:rFonts w:hint="eastAsia" w:ascii="仿宋" w:hAnsi="仿宋" w:eastAsia="仿宋" w:cs="仿宋"/>
                <w:color w:val="auto"/>
                <w:kern w:val="0"/>
                <w:sz w:val="22"/>
                <w:szCs w:val="22"/>
                <w:lang w:val="en-US" w:eastAsia="zh-CN"/>
              </w:rPr>
              <w:t>3</w:t>
            </w:r>
          </w:p>
        </w:tc>
        <w:tc>
          <w:tcPr>
            <w:tcW w:w="6114"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供应商投标标项一、二提供地质灾害治理工程勘查乙级（含乙级）以上资质；标项三、四提供地质灾害治理工程设计和施工乙级（含乙级）以上资质；标项五提供地质灾害治理工程勘查乙级（含乙级）以上资质并与设备供应商（一家或多家）组成联合体投标,所采购设备技术参数应符合《地质灾害监测预警通讯技术要求》和《地质灾害群专结合监测预警技术指南（试行）》；标项六提供地质灾害防治工程监理乙级（含乙级）以上资质；</w:t>
            </w:r>
          </w:p>
        </w:tc>
        <w:tc>
          <w:tcPr>
            <w:tcW w:w="92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937"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605"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2"/>
                <w:szCs w:val="22"/>
                <w:lang w:val="en-US" w:eastAsia="zh-CN"/>
              </w:rPr>
            </w:pPr>
            <w:r>
              <w:rPr>
                <w:rFonts w:hint="eastAsia" w:ascii="仿宋" w:hAnsi="仿宋" w:eastAsia="仿宋" w:cs="仿宋"/>
                <w:color w:val="auto"/>
                <w:kern w:val="0"/>
                <w:sz w:val="22"/>
                <w:szCs w:val="22"/>
                <w:lang w:val="en-US" w:eastAsia="zh-CN"/>
              </w:rPr>
              <w:t>4</w:t>
            </w:r>
          </w:p>
        </w:tc>
        <w:tc>
          <w:tcPr>
            <w:tcW w:w="6114"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lang w:val="en-US" w:eastAsia="zh-CN"/>
              </w:rPr>
              <w:t>提供针对本次项目的反商业贿赂承诺书；</w:t>
            </w:r>
          </w:p>
        </w:tc>
        <w:tc>
          <w:tcPr>
            <w:tcW w:w="92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937"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605"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hint="default" w:ascii="仿宋" w:hAnsi="仿宋" w:eastAsia="仿宋" w:cs="仿宋"/>
                <w:color w:val="auto"/>
                <w:kern w:val="0"/>
                <w:sz w:val="22"/>
                <w:szCs w:val="22"/>
                <w:lang w:val="en-US" w:eastAsia="zh-CN"/>
              </w:rPr>
            </w:pPr>
            <w:r>
              <w:rPr>
                <w:rFonts w:hint="eastAsia" w:ascii="仿宋" w:hAnsi="仿宋" w:eastAsia="仿宋" w:cs="仿宋"/>
                <w:color w:val="auto"/>
                <w:kern w:val="0"/>
                <w:sz w:val="22"/>
                <w:szCs w:val="22"/>
                <w:lang w:val="en-US" w:eastAsia="zh-CN"/>
              </w:rPr>
              <w:t>5</w:t>
            </w:r>
          </w:p>
        </w:tc>
        <w:tc>
          <w:tcPr>
            <w:tcW w:w="6114"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lang w:val="en-US" w:eastAsia="zh-CN"/>
              </w:rPr>
            </w:pPr>
            <w:r>
              <w:rPr>
                <w:rFonts w:hint="eastAsia" w:ascii="仿宋" w:hAnsi="仿宋" w:eastAsia="仿宋" w:cs="仿宋"/>
                <w:color w:val="auto"/>
                <w:kern w:val="0"/>
                <w:sz w:val="22"/>
                <w:szCs w:val="22"/>
                <w:lang w:val="en-US" w:eastAsia="zh-CN"/>
              </w:rPr>
              <w:t>具有良好的商业信誉和健全的财务会计制度；</w:t>
            </w:r>
          </w:p>
        </w:tc>
        <w:tc>
          <w:tcPr>
            <w:tcW w:w="92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937"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605"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hint="default" w:ascii="仿宋" w:hAnsi="仿宋" w:eastAsia="仿宋" w:cs="仿宋"/>
                <w:color w:val="auto"/>
                <w:kern w:val="0"/>
                <w:sz w:val="22"/>
                <w:szCs w:val="22"/>
                <w:lang w:val="en-US" w:eastAsia="zh-CN"/>
              </w:rPr>
            </w:pPr>
            <w:r>
              <w:rPr>
                <w:rFonts w:hint="eastAsia" w:ascii="仿宋" w:hAnsi="仿宋" w:eastAsia="仿宋" w:cs="仿宋"/>
                <w:color w:val="auto"/>
                <w:kern w:val="0"/>
                <w:sz w:val="22"/>
                <w:szCs w:val="22"/>
                <w:lang w:val="en-US" w:eastAsia="zh-CN"/>
              </w:rPr>
              <w:t>6</w:t>
            </w:r>
          </w:p>
        </w:tc>
        <w:tc>
          <w:tcPr>
            <w:tcW w:w="6114"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lang w:val="en-US" w:eastAsia="zh-CN"/>
              </w:rPr>
            </w:pPr>
            <w:r>
              <w:rPr>
                <w:rFonts w:hint="eastAsia" w:ascii="仿宋" w:hAnsi="仿宋" w:eastAsia="仿宋" w:cs="仿宋"/>
                <w:color w:val="auto"/>
                <w:kern w:val="0"/>
                <w:sz w:val="22"/>
                <w:szCs w:val="22"/>
                <w:lang w:val="en-US" w:eastAsia="zh-CN"/>
              </w:rPr>
              <w:t>具有履行合同所必需的设备和专业技术能力；</w:t>
            </w:r>
          </w:p>
        </w:tc>
        <w:tc>
          <w:tcPr>
            <w:tcW w:w="92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937"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605"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hint="default" w:ascii="仿宋" w:hAnsi="仿宋" w:eastAsia="仿宋" w:cs="仿宋"/>
                <w:color w:val="auto"/>
                <w:kern w:val="0"/>
                <w:sz w:val="22"/>
                <w:szCs w:val="22"/>
                <w:lang w:val="en-US" w:eastAsia="zh-CN"/>
              </w:rPr>
            </w:pPr>
            <w:r>
              <w:rPr>
                <w:rFonts w:hint="eastAsia" w:ascii="仿宋" w:hAnsi="仿宋" w:eastAsia="仿宋" w:cs="仿宋"/>
                <w:color w:val="auto"/>
                <w:kern w:val="0"/>
                <w:sz w:val="22"/>
                <w:szCs w:val="22"/>
                <w:lang w:val="en-US" w:eastAsia="zh-CN"/>
              </w:rPr>
              <w:t>7</w:t>
            </w:r>
          </w:p>
        </w:tc>
        <w:tc>
          <w:tcPr>
            <w:tcW w:w="6114" w:type="dxa"/>
            <w:tcBorders>
              <w:top w:val="nil"/>
              <w:left w:val="nil"/>
              <w:bottom w:val="single" w:color="auto" w:sz="4" w:space="0"/>
              <w:right w:val="single" w:color="auto" w:sz="4" w:space="0"/>
            </w:tcBorders>
            <w:vAlign w:val="center"/>
          </w:tcPr>
          <w:p>
            <w:pPr>
              <w:widowControl/>
              <w:jc w:val="left"/>
              <w:rPr>
                <w:rFonts w:hint="default" w:ascii="仿宋" w:hAnsi="仿宋" w:eastAsia="仿宋" w:cs="仿宋"/>
                <w:color w:val="auto"/>
                <w:kern w:val="0"/>
                <w:sz w:val="22"/>
                <w:szCs w:val="22"/>
                <w:lang w:val="en-US" w:eastAsia="zh-CN"/>
              </w:rPr>
            </w:pPr>
            <w:r>
              <w:rPr>
                <w:rFonts w:hint="eastAsia" w:ascii="仿宋" w:hAnsi="仿宋" w:eastAsia="仿宋" w:cs="仿宋"/>
                <w:color w:val="auto"/>
                <w:kern w:val="0"/>
                <w:sz w:val="22"/>
                <w:szCs w:val="22"/>
                <w:lang w:val="en-US" w:eastAsia="zh-CN"/>
              </w:rPr>
              <w:t>有依法缴纳税收和社会保障资金的良好记录；(需提供近期3个月社保部门出具的投标单位的缴纳社保证明和依法纳税的相关证明文件)</w:t>
            </w:r>
          </w:p>
        </w:tc>
        <w:tc>
          <w:tcPr>
            <w:tcW w:w="92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937"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605"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2"/>
                <w:szCs w:val="22"/>
                <w:lang w:val="en-US" w:eastAsia="zh-CN"/>
              </w:rPr>
            </w:pPr>
            <w:r>
              <w:rPr>
                <w:rFonts w:hint="eastAsia" w:ascii="仿宋" w:hAnsi="仿宋" w:eastAsia="仿宋" w:cs="仿宋"/>
                <w:color w:val="auto"/>
                <w:kern w:val="0"/>
                <w:sz w:val="22"/>
                <w:szCs w:val="22"/>
                <w:lang w:val="en-US" w:eastAsia="zh-CN"/>
              </w:rPr>
              <w:t>8</w:t>
            </w:r>
          </w:p>
        </w:tc>
        <w:tc>
          <w:tcPr>
            <w:tcW w:w="6114"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lang w:val="en-US" w:eastAsia="zh-CN"/>
              </w:rPr>
              <w:t>参加政府采购活动前三年内，在经营活动中没有重大违法记录承诺书；</w:t>
            </w:r>
          </w:p>
        </w:tc>
        <w:tc>
          <w:tcPr>
            <w:tcW w:w="92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c>
          <w:tcPr>
            <w:tcW w:w="937"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690"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hint="default" w:ascii="仿宋" w:hAnsi="仿宋" w:eastAsia="仿宋" w:cs="仿宋"/>
                <w:color w:val="auto"/>
                <w:kern w:val="0"/>
                <w:sz w:val="22"/>
                <w:szCs w:val="22"/>
                <w:lang w:val="en-US" w:eastAsia="zh-CN"/>
              </w:rPr>
            </w:pPr>
            <w:r>
              <w:rPr>
                <w:rFonts w:hint="eastAsia" w:ascii="仿宋" w:hAnsi="仿宋" w:eastAsia="仿宋" w:cs="仿宋"/>
                <w:color w:val="auto"/>
                <w:kern w:val="0"/>
                <w:sz w:val="22"/>
                <w:szCs w:val="22"/>
                <w:lang w:val="en-US" w:eastAsia="zh-CN"/>
              </w:rPr>
              <w:t>9</w:t>
            </w:r>
          </w:p>
        </w:tc>
        <w:tc>
          <w:tcPr>
            <w:tcW w:w="6114"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lang w:val="en-US" w:eastAsia="zh-CN"/>
              </w:rPr>
            </w:pPr>
            <w:r>
              <w:rPr>
                <w:rFonts w:hint="eastAsia" w:ascii="仿宋" w:hAnsi="仿宋" w:eastAsia="仿宋" w:cs="仿宋"/>
                <w:color w:val="auto"/>
                <w:kern w:val="0"/>
                <w:sz w:val="22"/>
                <w:szCs w:val="22"/>
              </w:rPr>
              <w:t>供应商为中小企业/小微企业声明函</w:t>
            </w:r>
            <w:r>
              <w:rPr>
                <w:rFonts w:hint="eastAsia" w:ascii="仿宋" w:hAnsi="仿宋" w:eastAsia="仿宋" w:cs="仿宋"/>
                <w:color w:val="auto"/>
                <w:kern w:val="0"/>
                <w:sz w:val="22"/>
                <w:szCs w:val="22"/>
                <w:lang w:eastAsia="zh-CN"/>
              </w:rPr>
              <w:t>；（</w:t>
            </w:r>
            <w:r>
              <w:rPr>
                <w:rFonts w:hint="eastAsia" w:ascii="仿宋" w:hAnsi="仿宋" w:eastAsia="仿宋" w:cs="仿宋"/>
                <w:color w:val="auto"/>
                <w:kern w:val="0"/>
                <w:sz w:val="22"/>
                <w:szCs w:val="22"/>
                <w:lang w:val="en-US" w:eastAsia="zh-CN"/>
              </w:rPr>
              <w:t>如有）</w:t>
            </w:r>
          </w:p>
        </w:tc>
        <w:tc>
          <w:tcPr>
            <w:tcW w:w="925"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auto"/>
                <w:kern w:val="0"/>
                <w:sz w:val="22"/>
                <w:szCs w:val="22"/>
              </w:rPr>
            </w:pPr>
          </w:p>
        </w:tc>
        <w:tc>
          <w:tcPr>
            <w:tcW w:w="937"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auto"/>
                <w:kern w:val="0"/>
                <w:sz w:val="22"/>
                <w:szCs w:val="22"/>
              </w:rPr>
            </w:pPr>
          </w:p>
        </w:tc>
      </w:tr>
      <w:tr>
        <w:tblPrEx>
          <w:tblCellMar>
            <w:top w:w="0" w:type="dxa"/>
            <w:left w:w="108" w:type="dxa"/>
            <w:bottom w:w="0" w:type="dxa"/>
            <w:right w:w="108" w:type="dxa"/>
          </w:tblCellMar>
        </w:tblPrEx>
        <w:trPr>
          <w:trHeight w:val="690"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hint="default" w:ascii="仿宋" w:hAnsi="仿宋" w:eastAsia="仿宋" w:cs="仿宋"/>
                <w:color w:val="auto"/>
                <w:kern w:val="0"/>
                <w:sz w:val="22"/>
                <w:szCs w:val="22"/>
                <w:lang w:val="en-US" w:eastAsia="zh-CN"/>
              </w:rPr>
            </w:pPr>
            <w:r>
              <w:rPr>
                <w:rFonts w:hint="eastAsia" w:ascii="仿宋" w:hAnsi="仿宋" w:eastAsia="仿宋" w:cs="仿宋"/>
                <w:color w:val="auto"/>
                <w:kern w:val="0"/>
                <w:sz w:val="22"/>
                <w:szCs w:val="22"/>
                <w:lang w:val="en-US" w:eastAsia="zh-CN"/>
              </w:rPr>
              <w:t>10</w:t>
            </w:r>
          </w:p>
        </w:tc>
        <w:tc>
          <w:tcPr>
            <w:tcW w:w="6114"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有效的投标保证金缴纳凭证；</w:t>
            </w:r>
          </w:p>
        </w:tc>
        <w:tc>
          <w:tcPr>
            <w:tcW w:w="925"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auto"/>
                <w:kern w:val="0"/>
                <w:sz w:val="22"/>
                <w:szCs w:val="22"/>
              </w:rPr>
            </w:pPr>
          </w:p>
        </w:tc>
        <w:tc>
          <w:tcPr>
            <w:tcW w:w="937"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auto"/>
                <w:kern w:val="0"/>
                <w:sz w:val="22"/>
                <w:szCs w:val="22"/>
              </w:rPr>
            </w:pPr>
          </w:p>
        </w:tc>
      </w:tr>
      <w:tr>
        <w:tblPrEx>
          <w:tblCellMar>
            <w:top w:w="0" w:type="dxa"/>
            <w:left w:w="108" w:type="dxa"/>
            <w:bottom w:w="0" w:type="dxa"/>
            <w:right w:w="108" w:type="dxa"/>
          </w:tblCellMar>
        </w:tblPrEx>
        <w:trPr>
          <w:trHeight w:val="690"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hint="default" w:ascii="仿宋" w:hAnsi="仿宋" w:eastAsia="仿宋" w:cs="仿宋"/>
                <w:color w:val="auto"/>
                <w:kern w:val="0"/>
                <w:sz w:val="22"/>
                <w:szCs w:val="22"/>
                <w:lang w:val="en-US" w:eastAsia="zh-CN"/>
              </w:rPr>
            </w:pPr>
            <w:r>
              <w:rPr>
                <w:rFonts w:hint="eastAsia" w:ascii="仿宋" w:hAnsi="仿宋" w:eastAsia="仿宋" w:cs="仿宋"/>
                <w:color w:val="auto"/>
                <w:kern w:val="0"/>
                <w:sz w:val="22"/>
                <w:szCs w:val="22"/>
                <w:lang w:val="en-US" w:eastAsia="zh-CN"/>
              </w:rPr>
              <w:t>11</w:t>
            </w:r>
          </w:p>
        </w:tc>
        <w:tc>
          <w:tcPr>
            <w:tcW w:w="6114"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联合体协议书（如有）。</w:t>
            </w:r>
          </w:p>
        </w:tc>
        <w:tc>
          <w:tcPr>
            <w:tcW w:w="925"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auto"/>
                <w:kern w:val="0"/>
                <w:sz w:val="22"/>
                <w:szCs w:val="22"/>
              </w:rPr>
            </w:pPr>
            <w:r>
              <w:rPr>
                <w:rFonts w:hint="eastAsia" w:ascii="仿宋" w:hAnsi="仿宋" w:eastAsia="仿宋" w:cs="仿宋"/>
                <w:color w:val="auto"/>
                <w:kern w:val="0"/>
                <w:sz w:val="22"/>
                <w:szCs w:val="22"/>
              </w:rPr>
              <w:t xml:space="preserve">  </w:t>
            </w:r>
          </w:p>
        </w:tc>
        <w:tc>
          <w:tcPr>
            <w:tcW w:w="937" w:type="dxa"/>
            <w:tcBorders>
              <w:top w:val="nil"/>
              <w:left w:val="nil"/>
              <w:bottom w:val="single" w:color="auto" w:sz="4" w:space="0"/>
              <w:right w:val="single" w:color="auto" w:sz="4" w:space="0"/>
            </w:tcBorders>
            <w:vAlign w:val="center"/>
          </w:tcPr>
          <w:p>
            <w:pPr>
              <w:widowControl/>
              <w:jc w:val="left"/>
              <w:rPr>
                <w:rFonts w:ascii="仿宋" w:hAnsi="仿宋" w:eastAsia="仿宋" w:cs="仿宋"/>
                <w:color w:val="auto"/>
                <w:kern w:val="0"/>
                <w:sz w:val="22"/>
                <w:szCs w:val="22"/>
              </w:rPr>
            </w:pPr>
            <w:r>
              <w:rPr>
                <w:rFonts w:hint="eastAsia" w:ascii="仿宋" w:hAnsi="仿宋" w:eastAsia="仿宋" w:cs="仿宋"/>
                <w:color w:val="auto"/>
                <w:kern w:val="0"/>
                <w:sz w:val="22"/>
                <w:szCs w:val="22"/>
              </w:rPr>
              <w:t xml:space="preserve">  </w:t>
            </w:r>
          </w:p>
        </w:tc>
      </w:tr>
      <w:tr>
        <w:tblPrEx>
          <w:tblCellMar>
            <w:top w:w="0" w:type="dxa"/>
            <w:left w:w="108" w:type="dxa"/>
            <w:bottom w:w="0" w:type="dxa"/>
            <w:right w:w="108" w:type="dxa"/>
          </w:tblCellMar>
        </w:tblPrEx>
        <w:trPr>
          <w:trHeight w:val="631" w:hRule="atLeast"/>
        </w:trPr>
        <w:tc>
          <w:tcPr>
            <w:tcW w:w="685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结论</w:t>
            </w:r>
          </w:p>
        </w:tc>
        <w:tc>
          <w:tcPr>
            <w:tcW w:w="925"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color w:val="auto"/>
                <w:kern w:val="0"/>
                <w:sz w:val="22"/>
                <w:szCs w:val="22"/>
              </w:rPr>
            </w:pPr>
          </w:p>
        </w:tc>
        <w:tc>
          <w:tcPr>
            <w:tcW w:w="937"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color w:val="auto"/>
                <w:kern w:val="0"/>
                <w:sz w:val="22"/>
                <w:szCs w:val="22"/>
              </w:rPr>
            </w:pPr>
          </w:p>
        </w:tc>
      </w:tr>
      <w:tr>
        <w:tblPrEx>
          <w:tblCellMar>
            <w:top w:w="0" w:type="dxa"/>
            <w:left w:w="108" w:type="dxa"/>
            <w:bottom w:w="0" w:type="dxa"/>
            <w:right w:w="108" w:type="dxa"/>
          </w:tblCellMar>
        </w:tblPrEx>
        <w:trPr>
          <w:trHeight w:val="728" w:hRule="atLeast"/>
        </w:trPr>
        <w:tc>
          <w:tcPr>
            <w:tcW w:w="685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结论：是否通过评审（须填写通过或不通过）</w:t>
            </w:r>
          </w:p>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注：如有一项不合格，作废标处理。</w:t>
            </w:r>
          </w:p>
        </w:tc>
        <w:tc>
          <w:tcPr>
            <w:tcW w:w="925"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color w:val="auto"/>
                <w:kern w:val="0"/>
                <w:sz w:val="22"/>
                <w:szCs w:val="22"/>
              </w:rPr>
            </w:pPr>
          </w:p>
        </w:tc>
        <w:tc>
          <w:tcPr>
            <w:tcW w:w="937"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color w:val="auto"/>
                <w:kern w:val="0"/>
                <w:sz w:val="22"/>
                <w:szCs w:val="22"/>
              </w:rPr>
            </w:pPr>
          </w:p>
        </w:tc>
      </w:tr>
    </w:tbl>
    <w:p>
      <w:pPr>
        <w:rPr>
          <w:rFonts w:ascii="仿宋" w:hAnsi="仿宋" w:eastAsia="仿宋" w:cs="仿宋"/>
          <w:color w:val="auto"/>
        </w:rPr>
      </w:pPr>
    </w:p>
    <w:p>
      <w:pPr>
        <w:rPr>
          <w:color w:val="auto"/>
        </w:rPr>
      </w:pPr>
      <w:r>
        <w:rPr>
          <w:rFonts w:hint="eastAsia"/>
          <w:color w:val="auto"/>
        </w:rPr>
        <w:br w:type="page"/>
      </w:r>
    </w:p>
    <w:p>
      <w:pPr>
        <w:widowControl/>
        <w:jc w:val="center"/>
        <w:outlineLvl w:val="2"/>
        <w:rPr>
          <w:rFonts w:ascii="仿宋" w:hAnsi="仿宋" w:eastAsia="仿宋" w:cs="仿宋"/>
          <w:b/>
          <w:bCs/>
          <w:color w:val="auto"/>
          <w:kern w:val="0"/>
          <w:sz w:val="32"/>
          <w:szCs w:val="32"/>
        </w:rPr>
      </w:pPr>
      <w:bookmarkStart w:id="390" w:name="_Toc23346"/>
      <w:r>
        <w:rPr>
          <w:rFonts w:hint="eastAsia" w:ascii="仿宋" w:hAnsi="仿宋" w:eastAsia="仿宋" w:cs="仿宋"/>
          <w:b/>
          <w:bCs/>
          <w:color w:val="auto"/>
          <w:kern w:val="0"/>
          <w:sz w:val="32"/>
          <w:szCs w:val="32"/>
        </w:rPr>
        <w:t>符合性检查表</w:t>
      </w:r>
      <w:bookmarkEnd w:id="390"/>
    </w:p>
    <w:tbl>
      <w:tblPr>
        <w:tblStyle w:val="3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8"/>
        <w:gridCol w:w="1766"/>
        <w:gridCol w:w="4542"/>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41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color w:val="auto"/>
                <w:kern w:val="0"/>
                <w:sz w:val="22"/>
                <w:szCs w:val="22"/>
              </w:rPr>
            </w:pPr>
            <w:r>
              <w:rPr>
                <w:rFonts w:hint="eastAsia" w:ascii="仿宋" w:hAnsi="仿宋" w:eastAsia="仿宋" w:cs="仿宋"/>
                <w:b/>
                <w:bCs/>
                <w:color w:val="auto"/>
                <w:kern w:val="0"/>
                <w:sz w:val="22"/>
                <w:szCs w:val="22"/>
              </w:rPr>
              <w:t>序号</w:t>
            </w:r>
          </w:p>
        </w:tc>
        <w:tc>
          <w:tcPr>
            <w:tcW w:w="3714"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color w:val="auto"/>
                <w:kern w:val="0"/>
                <w:sz w:val="22"/>
                <w:szCs w:val="22"/>
              </w:rPr>
            </w:pPr>
            <w:r>
              <w:rPr>
                <w:rFonts w:hint="eastAsia" w:ascii="仿宋" w:hAnsi="仿宋" w:eastAsia="仿宋" w:cs="仿宋"/>
                <w:b/>
                <w:bCs/>
                <w:color w:val="auto"/>
                <w:kern w:val="0"/>
                <w:sz w:val="22"/>
                <w:szCs w:val="22"/>
              </w:rPr>
              <w:t>审核内容</w:t>
            </w:r>
          </w:p>
        </w:tc>
        <w:tc>
          <w:tcPr>
            <w:tcW w:w="874"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cs="仿宋"/>
                <w:b/>
                <w:bCs/>
                <w:color w:val="auto"/>
                <w:kern w:val="0"/>
                <w:sz w:val="22"/>
                <w:szCs w:val="22"/>
                <w:lang w:val="en-US" w:eastAsia="zh-CN"/>
              </w:rPr>
            </w:pPr>
            <w:r>
              <w:rPr>
                <w:rFonts w:hint="eastAsia" w:ascii="仿宋" w:hAnsi="仿宋" w:eastAsia="仿宋" w:cs="仿宋"/>
                <w:b/>
                <w:bCs/>
                <w:color w:val="auto"/>
                <w:kern w:val="0"/>
                <w:sz w:val="22"/>
                <w:szCs w:val="22"/>
                <w:lang w:val="en-US" w:eastAsia="zh-CN"/>
              </w:rPr>
              <w:t>偏差标记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41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1</w:t>
            </w:r>
          </w:p>
        </w:tc>
        <w:tc>
          <w:tcPr>
            <w:tcW w:w="104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供应商名称</w:t>
            </w:r>
          </w:p>
        </w:tc>
        <w:tc>
          <w:tcPr>
            <w:tcW w:w="267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与营业执照一致</w:t>
            </w:r>
          </w:p>
        </w:tc>
        <w:tc>
          <w:tcPr>
            <w:tcW w:w="87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41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2</w:t>
            </w:r>
          </w:p>
        </w:tc>
        <w:tc>
          <w:tcPr>
            <w:tcW w:w="104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投标文件的格式</w:t>
            </w:r>
          </w:p>
        </w:tc>
        <w:tc>
          <w:tcPr>
            <w:tcW w:w="267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投标文件按照采购文件格式完整提供</w:t>
            </w:r>
          </w:p>
        </w:tc>
        <w:tc>
          <w:tcPr>
            <w:tcW w:w="87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41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3</w:t>
            </w:r>
          </w:p>
        </w:tc>
        <w:tc>
          <w:tcPr>
            <w:tcW w:w="104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投标文件签署</w:t>
            </w:r>
          </w:p>
        </w:tc>
        <w:tc>
          <w:tcPr>
            <w:tcW w:w="267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投标文件的签章符合采购文件规定</w:t>
            </w:r>
          </w:p>
        </w:tc>
        <w:tc>
          <w:tcPr>
            <w:tcW w:w="87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41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4</w:t>
            </w:r>
          </w:p>
        </w:tc>
        <w:tc>
          <w:tcPr>
            <w:tcW w:w="104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投标报价</w:t>
            </w:r>
          </w:p>
        </w:tc>
        <w:tc>
          <w:tcPr>
            <w:tcW w:w="267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投标报价未超过项目预算</w:t>
            </w:r>
          </w:p>
        </w:tc>
        <w:tc>
          <w:tcPr>
            <w:tcW w:w="87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41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5</w:t>
            </w:r>
          </w:p>
        </w:tc>
        <w:tc>
          <w:tcPr>
            <w:tcW w:w="104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合同条款</w:t>
            </w:r>
          </w:p>
        </w:tc>
        <w:tc>
          <w:tcPr>
            <w:tcW w:w="267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对采购文件规定的服务条款作出响应</w:t>
            </w:r>
          </w:p>
        </w:tc>
        <w:tc>
          <w:tcPr>
            <w:tcW w:w="87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41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6</w:t>
            </w:r>
          </w:p>
        </w:tc>
        <w:tc>
          <w:tcPr>
            <w:tcW w:w="104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投标文件制作</w:t>
            </w:r>
          </w:p>
        </w:tc>
        <w:tc>
          <w:tcPr>
            <w:tcW w:w="267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满足采购文件规定</w:t>
            </w:r>
          </w:p>
        </w:tc>
        <w:tc>
          <w:tcPr>
            <w:tcW w:w="87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41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7</w:t>
            </w:r>
          </w:p>
        </w:tc>
        <w:tc>
          <w:tcPr>
            <w:tcW w:w="104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投标有效期</w:t>
            </w:r>
          </w:p>
        </w:tc>
        <w:tc>
          <w:tcPr>
            <w:tcW w:w="267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满足采购文件规定</w:t>
            </w:r>
          </w:p>
        </w:tc>
        <w:tc>
          <w:tcPr>
            <w:tcW w:w="87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41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8</w:t>
            </w:r>
          </w:p>
        </w:tc>
        <w:tc>
          <w:tcPr>
            <w:tcW w:w="104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其他</w:t>
            </w:r>
          </w:p>
        </w:tc>
        <w:tc>
          <w:tcPr>
            <w:tcW w:w="267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投标文件未附有采购人不能接受的附加条件及法律、法规和采购文件规定的其他无效情形</w:t>
            </w:r>
          </w:p>
        </w:tc>
        <w:tc>
          <w:tcPr>
            <w:tcW w:w="87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41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9</w:t>
            </w:r>
          </w:p>
        </w:tc>
        <w:tc>
          <w:tcPr>
            <w:tcW w:w="104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响应实质性条款</w:t>
            </w:r>
          </w:p>
        </w:tc>
        <w:tc>
          <w:tcPr>
            <w:tcW w:w="267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2"/>
                <w:szCs w:val="22"/>
              </w:rPr>
            </w:pPr>
            <w:r>
              <w:rPr>
                <w:rFonts w:hint="eastAsia" w:ascii="仿宋" w:hAnsi="仿宋" w:eastAsia="仿宋" w:cs="仿宋"/>
                <w:color w:val="auto"/>
                <w:kern w:val="0"/>
                <w:sz w:val="22"/>
                <w:szCs w:val="22"/>
              </w:rPr>
              <w:t>对采购文件实质性条款作出响应</w:t>
            </w:r>
          </w:p>
        </w:tc>
        <w:tc>
          <w:tcPr>
            <w:tcW w:w="87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4125"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lang w:val="en-US" w:eastAsia="zh-CN"/>
              </w:rPr>
              <w:t>检查结果</w:t>
            </w:r>
          </w:p>
        </w:tc>
        <w:tc>
          <w:tcPr>
            <w:tcW w:w="87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5000" w:type="pct"/>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注：投标文件有不符合上述情形之一的，作废标处理。出现偏差的标记“×”，没有出现偏差的标记“√” 。</w:t>
            </w:r>
          </w:p>
        </w:tc>
      </w:tr>
    </w:tbl>
    <w:p>
      <w:pPr>
        <w:spacing w:line="240" w:lineRule="atLeast"/>
        <w:jc w:val="center"/>
        <w:rPr>
          <w:rFonts w:ascii="仿宋" w:hAnsi="仿宋" w:eastAsia="仿宋" w:cs="仿宋"/>
          <w:color w:val="auto"/>
        </w:rPr>
      </w:pPr>
    </w:p>
    <w:p>
      <w:pPr>
        <w:rPr>
          <w:rFonts w:ascii="仿宋" w:hAnsi="仿宋" w:eastAsia="仿宋" w:cs="仿宋"/>
          <w:color w:val="auto"/>
        </w:rPr>
      </w:pPr>
      <w:r>
        <w:rPr>
          <w:rFonts w:hint="eastAsia" w:ascii="仿宋" w:hAnsi="仿宋" w:eastAsia="仿宋" w:cs="仿宋"/>
          <w:color w:val="auto"/>
        </w:rPr>
        <w:br w:type="page"/>
      </w:r>
    </w:p>
    <w:p>
      <w:pPr>
        <w:spacing w:line="360" w:lineRule="auto"/>
        <w:outlineLvl w:val="1"/>
        <w:rPr>
          <w:rFonts w:ascii="楷体" w:hAnsi="楷体" w:eastAsia="楷体" w:cs="楷体"/>
          <w:b/>
          <w:color w:val="auto"/>
          <w:sz w:val="24"/>
        </w:rPr>
      </w:pPr>
      <w:bookmarkStart w:id="391" w:name="_Toc8159"/>
      <w:bookmarkStart w:id="392" w:name="_Toc27379"/>
      <w:r>
        <w:rPr>
          <w:rFonts w:hint="eastAsia" w:ascii="楷体" w:hAnsi="楷体" w:eastAsia="楷体" w:cs="楷体"/>
          <w:b/>
          <w:color w:val="auto"/>
          <w:sz w:val="24"/>
        </w:rPr>
        <w:t>详细评审表：</w:t>
      </w:r>
      <w:bookmarkEnd w:id="391"/>
      <w:bookmarkEnd w:id="392"/>
    </w:p>
    <w:p>
      <w:pPr>
        <w:spacing w:line="360" w:lineRule="auto"/>
        <w:outlineLvl w:val="1"/>
        <w:rPr>
          <w:rFonts w:ascii="楷体" w:hAnsi="楷体" w:eastAsia="楷体" w:cs="楷体"/>
          <w:b/>
          <w:color w:val="auto"/>
          <w:sz w:val="24"/>
        </w:rPr>
      </w:pPr>
      <w:bookmarkStart w:id="393" w:name="_Toc24168"/>
      <w:bookmarkStart w:id="394" w:name="_Toc2196"/>
      <w:r>
        <w:rPr>
          <w:rFonts w:hint="eastAsia" w:ascii="楷体" w:hAnsi="楷体" w:eastAsia="楷体" w:cs="楷体"/>
          <w:b/>
          <w:color w:val="auto"/>
          <w:sz w:val="24"/>
        </w:rPr>
        <w:t>标项一、二评分标准</w:t>
      </w:r>
      <w:bookmarkEnd w:id="393"/>
      <w:bookmarkEnd w:id="394"/>
    </w:p>
    <w:p>
      <w:pPr>
        <w:tabs>
          <w:tab w:val="right" w:pos="9213"/>
        </w:tabs>
        <w:jc w:val="center"/>
        <w:rPr>
          <w:rFonts w:ascii="仿宋" w:hAnsi="仿宋" w:eastAsia="仿宋" w:cs="仿宋"/>
          <w:b/>
          <w:color w:val="auto"/>
          <w:sz w:val="24"/>
          <w:szCs w:val="20"/>
        </w:rPr>
      </w:pPr>
      <w:bookmarkStart w:id="395" w:name="_Toc17812"/>
      <w:bookmarkStart w:id="396" w:name="_Toc21584"/>
      <w:bookmarkStart w:id="397" w:name="_Toc27405"/>
      <w:r>
        <w:rPr>
          <w:rFonts w:hint="eastAsia" w:ascii="仿宋" w:hAnsi="仿宋" w:eastAsia="仿宋" w:cs="仿宋"/>
          <w:b/>
          <w:color w:val="auto"/>
          <w:sz w:val="24"/>
          <w:szCs w:val="20"/>
        </w:rPr>
        <w:t>商务评分表</w:t>
      </w:r>
      <w:bookmarkEnd w:id="395"/>
      <w:bookmarkEnd w:id="396"/>
      <w:bookmarkEnd w:id="397"/>
    </w:p>
    <w:tbl>
      <w:tblPr>
        <w:tblStyle w:val="37"/>
        <w:tblW w:w="9423" w:type="dxa"/>
        <w:tblInd w:w="0" w:type="dxa"/>
        <w:tblLayout w:type="fixed"/>
        <w:tblCellMar>
          <w:top w:w="0" w:type="dxa"/>
          <w:left w:w="108" w:type="dxa"/>
          <w:bottom w:w="0" w:type="dxa"/>
          <w:right w:w="108" w:type="dxa"/>
        </w:tblCellMar>
      </w:tblPr>
      <w:tblGrid>
        <w:gridCol w:w="457"/>
        <w:gridCol w:w="1340"/>
        <w:gridCol w:w="6745"/>
        <w:gridCol w:w="881"/>
      </w:tblGrid>
      <w:tr>
        <w:tblPrEx>
          <w:tblCellMar>
            <w:top w:w="0" w:type="dxa"/>
            <w:left w:w="108" w:type="dxa"/>
            <w:bottom w:w="0" w:type="dxa"/>
            <w:right w:w="108" w:type="dxa"/>
          </w:tblCellMar>
        </w:tblPrEx>
        <w:trPr>
          <w:trHeight w:val="285" w:hRule="atLeast"/>
        </w:trPr>
        <w:tc>
          <w:tcPr>
            <w:tcW w:w="45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序号</w:t>
            </w:r>
          </w:p>
        </w:tc>
        <w:tc>
          <w:tcPr>
            <w:tcW w:w="13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评分内容</w:t>
            </w:r>
          </w:p>
        </w:tc>
        <w:tc>
          <w:tcPr>
            <w:tcW w:w="674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评分标准</w:t>
            </w:r>
          </w:p>
        </w:tc>
        <w:tc>
          <w:tcPr>
            <w:tcW w:w="8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满分</w:t>
            </w:r>
          </w:p>
        </w:tc>
      </w:tr>
      <w:tr>
        <w:tblPrEx>
          <w:tblCellMar>
            <w:top w:w="0" w:type="dxa"/>
            <w:left w:w="108" w:type="dxa"/>
            <w:bottom w:w="0" w:type="dxa"/>
            <w:right w:w="108" w:type="dxa"/>
          </w:tblCellMar>
        </w:tblPrEx>
        <w:trPr>
          <w:trHeight w:val="285" w:hRule="atLeast"/>
        </w:trPr>
        <w:tc>
          <w:tcPr>
            <w:tcW w:w="4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auto"/>
                <w:sz w:val="24"/>
              </w:rPr>
            </w:pPr>
          </w:p>
        </w:tc>
        <w:tc>
          <w:tcPr>
            <w:tcW w:w="13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b/>
                <w:bCs/>
                <w:color w:val="auto"/>
                <w:sz w:val="24"/>
              </w:rPr>
            </w:pPr>
          </w:p>
        </w:tc>
        <w:tc>
          <w:tcPr>
            <w:tcW w:w="67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auto"/>
                <w:sz w:val="24"/>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20分</w:t>
            </w:r>
          </w:p>
        </w:tc>
      </w:tr>
      <w:tr>
        <w:tblPrEx>
          <w:tblCellMar>
            <w:top w:w="0" w:type="dxa"/>
            <w:left w:w="108" w:type="dxa"/>
            <w:bottom w:w="0" w:type="dxa"/>
            <w:right w:w="108" w:type="dxa"/>
          </w:tblCellMar>
        </w:tblPrEx>
        <w:trPr>
          <w:trHeight w:val="84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0"/>
                <w:szCs w:val="20"/>
              </w:rPr>
            </w:pPr>
            <w:r>
              <w:rPr>
                <w:rFonts w:hint="eastAsia" w:ascii="仿宋" w:hAnsi="仿宋" w:eastAsia="仿宋" w:cs="仿宋"/>
                <w:b/>
                <w:bCs/>
                <w:color w:val="auto"/>
                <w:kern w:val="0"/>
                <w:sz w:val="20"/>
                <w:szCs w:val="20"/>
              </w:rPr>
              <w:t>1</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送审材料</w:t>
            </w:r>
          </w:p>
        </w:tc>
        <w:tc>
          <w:tcPr>
            <w:tcW w:w="674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 w:hAnsi="仿宋" w:eastAsia="仿宋" w:cs="仿宋"/>
                <w:color w:val="auto"/>
                <w:sz w:val="20"/>
                <w:szCs w:val="20"/>
              </w:rPr>
            </w:pPr>
            <w:r>
              <w:rPr>
                <w:rFonts w:hint="eastAsia" w:ascii="仿宋" w:hAnsi="仿宋" w:eastAsia="仿宋" w:cs="仿宋"/>
                <w:color w:val="auto"/>
                <w:kern w:val="0"/>
                <w:sz w:val="20"/>
                <w:szCs w:val="20"/>
              </w:rPr>
              <w:t>有独立的、按要求编制的商务标，得1分；有独立的商务标标书，但部分预算内容或资料混入其他标中但可审，扣0.1分；未单独编制商务标而在技术标中作为独立章节且可审，扣0.4分；没有商务标或实质性内容的为0分，且以下各项均不得分。</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1</w:t>
            </w:r>
          </w:p>
        </w:tc>
      </w:tr>
      <w:tr>
        <w:tblPrEx>
          <w:tblCellMar>
            <w:top w:w="0" w:type="dxa"/>
            <w:left w:w="108" w:type="dxa"/>
            <w:bottom w:w="0" w:type="dxa"/>
            <w:right w:w="108" w:type="dxa"/>
          </w:tblCellMar>
        </w:tblPrEx>
        <w:trPr>
          <w:trHeight w:val="56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0"/>
                <w:szCs w:val="20"/>
              </w:rPr>
            </w:pPr>
            <w:r>
              <w:rPr>
                <w:rFonts w:hint="eastAsia" w:ascii="仿宋" w:hAnsi="仿宋" w:eastAsia="仿宋" w:cs="仿宋"/>
                <w:b/>
                <w:bCs/>
                <w:color w:val="auto"/>
                <w:kern w:val="0"/>
                <w:sz w:val="20"/>
                <w:szCs w:val="20"/>
              </w:rPr>
              <w:t>2</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适用表式</w:t>
            </w:r>
          </w:p>
        </w:tc>
        <w:tc>
          <w:tcPr>
            <w:tcW w:w="6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表式正确且齐全1分；相应表号、项目名称、计量单位、技术条件等每缺一项扣0.1分，单表最大扣分0.2分。本项分值扣完为止。</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1</w:t>
            </w:r>
          </w:p>
        </w:tc>
      </w:tr>
      <w:tr>
        <w:tblPrEx>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0"/>
                <w:szCs w:val="20"/>
              </w:rPr>
            </w:pPr>
            <w:r>
              <w:rPr>
                <w:rFonts w:hint="eastAsia" w:ascii="仿宋" w:hAnsi="仿宋" w:eastAsia="仿宋" w:cs="仿宋"/>
                <w:b/>
                <w:bCs/>
                <w:color w:val="auto"/>
                <w:kern w:val="0"/>
                <w:sz w:val="20"/>
                <w:szCs w:val="20"/>
              </w:rPr>
              <w:t>3</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编制方法</w:t>
            </w:r>
          </w:p>
        </w:tc>
        <w:tc>
          <w:tcPr>
            <w:tcW w:w="6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选用正确的工作项目、费用项目按规定顺序进行编制，逐级汇总全部正确得2分，每错（漏）一处扣0.2分。单表扣分不超过1分。本项分值扣完为止。</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2</w:t>
            </w:r>
          </w:p>
        </w:tc>
      </w:tr>
      <w:tr>
        <w:tblPrEx>
          <w:tblCellMar>
            <w:top w:w="0" w:type="dxa"/>
            <w:left w:w="108" w:type="dxa"/>
            <w:bottom w:w="0" w:type="dxa"/>
            <w:right w:w="108" w:type="dxa"/>
          </w:tblCellMar>
        </w:tblPrEx>
        <w:trPr>
          <w:trHeight w:val="58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0"/>
                <w:szCs w:val="20"/>
              </w:rPr>
            </w:pPr>
            <w:r>
              <w:rPr>
                <w:rFonts w:hint="eastAsia" w:ascii="仿宋" w:hAnsi="仿宋" w:eastAsia="仿宋" w:cs="仿宋"/>
                <w:b/>
                <w:bCs/>
                <w:color w:val="auto"/>
                <w:kern w:val="0"/>
                <w:sz w:val="20"/>
                <w:szCs w:val="20"/>
              </w:rPr>
              <w:t>4</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预算标准</w:t>
            </w:r>
          </w:p>
        </w:tc>
        <w:tc>
          <w:tcPr>
            <w:tcW w:w="6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每错用预算标准1处扣0.5分，采用采购文件指定标准以外的标准又未作相应说明或使用标准明显不合理的，每处扣0.5分，本项分值扣完为止。</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3</w:t>
            </w:r>
          </w:p>
        </w:tc>
      </w:tr>
      <w:tr>
        <w:tblPrEx>
          <w:tblCellMar>
            <w:top w:w="0" w:type="dxa"/>
            <w:left w:w="108" w:type="dxa"/>
            <w:bottom w:w="0" w:type="dxa"/>
            <w:right w:w="108" w:type="dxa"/>
          </w:tblCellMar>
        </w:tblPrEx>
        <w:trPr>
          <w:trHeight w:val="56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0"/>
                <w:szCs w:val="20"/>
              </w:rPr>
            </w:pPr>
            <w:r>
              <w:rPr>
                <w:rFonts w:hint="eastAsia" w:ascii="仿宋" w:hAnsi="仿宋" w:eastAsia="仿宋" w:cs="仿宋"/>
                <w:b/>
                <w:bCs/>
                <w:color w:val="auto"/>
                <w:kern w:val="0"/>
                <w:sz w:val="20"/>
                <w:szCs w:val="20"/>
              </w:rPr>
              <w:t>5</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预算内容</w:t>
            </w:r>
          </w:p>
        </w:tc>
        <w:tc>
          <w:tcPr>
            <w:tcW w:w="6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预算内容设置不重复、不扩大、不遗漏的得满分，每重复、扩大或遗漏1处扣0.5分，本项分值扣完为止。</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4</w:t>
            </w:r>
          </w:p>
        </w:tc>
      </w:tr>
      <w:tr>
        <w:tblPrEx>
          <w:tblCellMar>
            <w:top w:w="0" w:type="dxa"/>
            <w:left w:w="108" w:type="dxa"/>
            <w:bottom w:w="0" w:type="dxa"/>
            <w:right w:w="108" w:type="dxa"/>
          </w:tblCellMar>
        </w:tblPrEx>
        <w:trPr>
          <w:trHeight w:val="285"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0"/>
                <w:szCs w:val="20"/>
              </w:rPr>
            </w:pPr>
            <w:r>
              <w:rPr>
                <w:rFonts w:hint="eastAsia" w:ascii="仿宋" w:hAnsi="仿宋" w:eastAsia="仿宋" w:cs="仿宋"/>
                <w:b/>
                <w:bCs/>
                <w:color w:val="auto"/>
                <w:kern w:val="0"/>
                <w:sz w:val="20"/>
                <w:szCs w:val="20"/>
              </w:rPr>
              <w:t>6</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计算和勾稽关系</w:t>
            </w:r>
          </w:p>
        </w:tc>
        <w:tc>
          <w:tcPr>
            <w:tcW w:w="6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预算表内、表间数据勾稽关系完全正确得满分，每错1处扣0.1分，本项分值扣完为止。</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sz w:val="24"/>
              </w:rPr>
              <w:t>1</w:t>
            </w:r>
          </w:p>
        </w:tc>
      </w:tr>
      <w:tr>
        <w:tblPrEx>
          <w:tblCellMar>
            <w:top w:w="0" w:type="dxa"/>
            <w:left w:w="108" w:type="dxa"/>
            <w:bottom w:w="0" w:type="dxa"/>
            <w:right w:w="108" w:type="dxa"/>
          </w:tblCellMar>
        </w:tblPrEx>
        <w:trPr>
          <w:trHeight w:val="74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0"/>
                <w:szCs w:val="20"/>
              </w:rPr>
            </w:pPr>
            <w:r>
              <w:rPr>
                <w:rFonts w:hint="eastAsia" w:ascii="仿宋" w:hAnsi="仿宋" w:eastAsia="仿宋" w:cs="仿宋"/>
                <w:b/>
                <w:bCs/>
                <w:color w:val="auto"/>
                <w:kern w:val="0"/>
                <w:sz w:val="20"/>
                <w:szCs w:val="20"/>
              </w:rPr>
              <w:t>7</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与技术方案工作量平衡</w:t>
            </w:r>
          </w:p>
        </w:tc>
        <w:tc>
          <w:tcPr>
            <w:tcW w:w="6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工作方法、工作部署、工作量布置及其他相关技术指标等与技术方案完全一致得满分，每错1处扣0.5分，本项分值扣完为止。</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2</w:t>
            </w:r>
          </w:p>
        </w:tc>
      </w:tr>
      <w:tr>
        <w:tblPrEx>
          <w:tblCellMar>
            <w:top w:w="0" w:type="dxa"/>
            <w:left w:w="108" w:type="dxa"/>
            <w:bottom w:w="0" w:type="dxa"/>
            <w:right w:w="108" w:type="dxa"/>
          </w:tblCellMar>
        </w:tblPrEx>
        <w:trPr>
          <w:trHeight w:val="144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0"/>
                <w:szCs w:val="20"/>
              </w:rPr>
            </w:pPr>
            <w:r>
              <w:rPr>
                <w:rFonts w:hint="eastAsia" w:ascii="仿宋" w:hAnsi="仿宋" w:eastAsia="仿宋" w:cs="仿宋"/>
                <w:b/>
                <w:bCs/>
                <w:color w:val="auto"/>
                <w:kern w:val="0"/>
                <w:sz w:val="20"/>
                <w:szCs w:val="20"/>
              </w:rPr>
              <w:t>8</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预算编制说明</w:t>
            </w:r>
          </w:p>
        </w:tc>
        <w:tc>
          <w:tcPr>
            <w:tcW w:w="6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项目投标报价及承诺、项目概况、项目设计预算编制依据、工程方案内容及工作量情况、采用的费用标准和计算方法、工程技术指标分析及需要说明的问题等方面完整4分。其中：缺少项目投标报价及承诺扣1分；项目概况、项目设计预算编制依据、工程方案内容及工作量情况、采用的费用标准和计算方法、工程技术指标分析、需要说明的问题等6项，每缺一方面内容扣0.5分。每个方面内容不详细、不全面或不正确者扣0.1分。本项分值扣完为止。</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4</w:t>
            </w:r>
          </w:p>
        </w:tc>
      </w:tr>
      <w:tr>
        <w:tblPrEx>
          <w:tblCellMar>
            <w:top w:w="0" w:type="dxa"/>
            <w:left w:w="108" w:type="dxa"/>
            <w:bottom w:w="0" w:type="dxa"/>
            <w:right w:w="108" w:type="dxa"/>
          </w:tblCellMar>
        </w:tblPrEx>
        <w:trPr>
          <w:trHeight w:val="72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0"/>
                <w:szCs w:val="20"/>
              </w:rPr>
            </w:pPr>
            <w:r>
              <w:rPr>
                <w:rFonts w:hint="eastAsia" w:ascii="仿宋" w:hAnsi="仿宋" w:eastAsia="仿宋" w:cs="仿宋"/>
                <w:b/>
                <w:bCs/>
                <w:color w:val="auto"/>
                <w:sz w:val="20"/>
                <w:szCs w:val="20"/>
              </w:rPr>
              <w:t>9</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kern w:val="0"/>
                <w:sz w:val="20"/>
                <w:szCs w:val="20"/>
              </w:rPr>
            </w:pPr>
            <w:r>
              <w:rPr>
                <w:rFonts w:hint="eastAsia" w:ascii="仿宋" w:hAnsi="仿宋" w:eastAsia="仿宋" w:cs="仿宋"/>
                <w:color w:val="auto"/>
                <w:kern w:val="0"/>
                <w:sz w:val="20"/>
                <w:szCs w:val="20"/>
              </w:rPr>
              <w:t>主要工作业绩</w:t>
            </w:r>
          </w:p>
        </w:tc>
        <w:tc>
          <w:tcPr>
            <w:tcW w:w="6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kern w:val="0"/>
                <w:sz w:val="20"/>
                <w:szCs w:val="20"/>
              </w:rPr>
            </w:pPr>
            <w:r>
              <w:rPr>
                <w:rFonts w:hint="eastAsia" w:ascii="仿宋" w:hAnsi="仿宋" w:eastAsia="仿宋" w:cs="仿宋"/>
                <w:color w:val="auto"/>
                <w:kern w:val="0"/>
                <w:sz w:val="20"/>
                <w:szCs w:val="20"/>
              </w:rPr>
              <w:t>每提供近三年一项类似业绩并提供证明材料得0.2分，未提供证明材料不得分，本项最高得1分。</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kern w:val="0"/>
                <w:sz w:val="24"/>
              </w:rPr>
            </w:pPr>
            <w:r>
              <w:rPr>
                <w:rFonts w:hint="eastAsia" w:ascii="仿宋" w:hAnsi="仿宋" w:eastAsia="仿宋" w:cs="仿宋"/>
                <w:b/>
                <w:bCs/>
                <w:color w:val="auto"/>
                <w:kern w:val="0"/>
                <w:sz w:val="24"/>
              </w:rPr>
              <w:t>1</w:t>
            </w:r>
          </w:p>
        </w:tc>
      </w:tr>
      <w:tr>
        <w:tblPrEx>
          <w:tblCellMar>
            <w:top w:w="0" w:type="dxa"/>
            <w:left w:w="108" w:type="dxa"/>
            <w:bottom w:w="0" w:type="dxa"/>
            <w:right w:w="108" w:type="dxa"/>
          </w:tblCellMar>
        </w:tblPrEx>
        <w:trPr>
          <w:trHeight w:val="72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0"/>
                <w:szCs w:val="20"/>
              </w:rPr>
            </w:pPr>
            <w:r>
              <w:rPr>
                <w:rFonts w:hint="eastAsia" w:ascii="仿宋" w:hAnsi="仿宋" w:eastAsia="仿宋" w:cs="仿宋"/>
                <w:b/>
                <w:bCs/>
                <w:color w:val="auto"/>
                <w:sz w:val="20"/>
                <w:szCs w:val="20"/>
              </w:rPr>
              <w:t>10</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kern w:val="0"/>
                <w:sz w:val="20"/>
                <w:szCs w:val="20"/>
              </w:rPr>
            </w:pPr>
            <w:r>
              <w:rPr>
                <w:rFonts w:hint="eastAsia" w:ascii="仿宋" w:hAnsi="仿宋" w:eastAsia="仿宋" w:cs="仿宋"/>
                <w:color w:val="auto"/>
                <w:kern w:val="0"/>
                <w:sz w:val="20"/>
                <w:szCs w:val="20"/>
              </w:rPr>
              <w:t>相关承诺</w:t>
            </w:r>
          </w:p>
        </w:tc>
        <w:tc>
          <w:tcPr>
            <w:tcW w:w="6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kern w:val="0"/>
                <w:sz w:val="20"/>
                <w:szCs w:val="20"/>
              </w:rPr>
            </w:pPr>
            <w:r>
              <w:rPr>
                <w:rFonts w:hint="eastAsia" w:ascii="仿宋" w:hAnsi="仿宋" w:eastAsia="仿宋" w:cs="仿宋"/>
                <w:color w:val="auto"/>
                <w:kern w:val="0"/>
                <w:sz w:val="20"/>
                <w:szCs w:val="20"/>
              </w:rPr>
              <w:t>承诺全面1分，基本全面0.5分，无承诺不得分。</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kern w:val="0"/>
                <w:sz w:val="24"/>
              </w:rPr>
            </w:pPr>
            <w:r>
              <w:rPr>
                <w:rFonts w:hint="eastAsia" w:ascii="仿宋" w:hAnsi="仿宋" w:eastAsia="仿宋" w:cs="仿宋"/>
                <w:b/>
                <w:bCs/>
                <w:color w:val="auto"/>
                <w:kern w:val="0"/>
                <w:sz w:val="24"/>
              </w:rPr>
              <w:t>1</w:t>
            </w:r>
          </w:p>
        </w:tc>
      </w:tr>
      <w:tr>
        <w:tblPrEx>
          <w:tblCellMar>
            <w:top w:w="0" w:type="dxa"/>
            <w:left w:w="108" w:type="dxa"/>
            <w:bottom w:w="0" w:type="dxa"/>
            <w:right w:w="108" w:type="dxa"/>
          </w:tblCellMar>
        </w:tblPrEx>
        <w:trPr>
          <w:trHeight w:val="285" w:hRule="atLeast"/>
        </w:trPr>
        <w:tc>
          <w:tcPr>
            <w:tcW w:w="8542" w:type="dxa"/>
            <w:gridSpan w:val="3"/>
            <w:tcBorders>
              <w:top w:val="single" w:color="000000" w:sz="4" w:space="0"/>
              <w:left w:val="single" w:color="000000" w:sz="4" w:space="0"/>
              <w:bottom w:val="single" w:color="000000" w:sz="4" w:space="0"/>
              <w:right w:val="single" w:color="000000" w:sz="4" w:space="0"/>
            </w:tcBorders>
          </w:tcPr>
          <w:p>
            <w:pPr>
              <w:widowControl/>
              <w:jc w:val="center"/>
              <w:textAlignment w:val="top"/>
              <w:rPr>
                <w:rFonts w:ascii="仿宋" w:hAnsi="仿宋" w:eastAsia="仿宋" w:cs="仿宋"/>
                <w:b/>
                <w:bCs/>
                <w:color w:val="auto"/>
                <w:sz w:val="24"/>
              </w:rPr>
            </w:pPr>
            <w:r>
              <w:rPr>
                <w:rFonts w:hint="eastAsia" w:ascii="仿宋" w:hAnsi="仿宋" w:eastAsia="仿宋" w:cs="仿宋"/>
                <w:b/>
                <w:bCs/>
                <w:color w:val="auto"/>
                <w:kern w:val="0"/>
                <w:sz w:val="24"/>
              </w:rPr>
              <w:t>总得分V</w:t>
            </w:r>
          </w:p>
        </w:tc>
        <w:tc>
          <w:tcPr>
            <w:tcW w:w="8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20</w:t>
            </w:r>
          </w:p>
        </w:tc>
      </w:tr>
    </w:tbl>
    <w:p>
      <w:pPr>
        <w:pStyle w:val="28"/>
        <w:rPr>
          <w:color w:val="auto"/>
        </w:rPr>
      </w:pPr>
    </w:p>
    <w:p>
      <w:pPr>
        <w:spacing w:line="440" w:lineRule="exact"/>
        <w:jc w:val="center"/>
        <w:rPr>
          <w:rFonts w:ascii="仿宋" w:hAnsi="仿宋" w:eastAsia="仿宋" w:cs="仿宋"/>
          <w:color w:val="auto"/>
          <w:sz w:val="24"/>
        </w:rPr>
      </w:pPr>
      <w:r>
        <w:rPr>
          <w:rFonts w:hint="eastAsia" w:ascii="仿宋" w:hAnsi="仿宋" w:eastAsia="仿宋" w:cs="仿宋"/>
          <w:color w:val="auto"/>
          <w:sz w:val="24"/>
        </w:rPr>
        <w:br w:type="page"/>
      </w:r>
    </w:p>
    <w:p>
      <w:pPr>
        <w:tabs>
          <w:tab w:val="right" w:pos="9213"/>
        </w:tabs>
        <w:jc w:val="center"/>
        <w:rPr>
          <w:rFonts w:ascii="仿宋" w:hAnsi="仿宋" w:eastAsia="仿宋" w:cs="仿宋"/>
          <w:b/>
          <w:color w:val="auto"/>
          <w:sz w:val="24"/>
          <w:szCs w:val="20"/>
        </w:rPr>
      </w:pPr>
      <w:bookmarkStart w:id="398" w:name="_Toc21762"/>
      <w:bookmarkStart w:id="399" w:name="_Toc24632"/>
      <w:bookmarkStart w:id="400" w:name="_Toc22692"/>
      <w:r>
        <w:rPr>
          <w:rFonts w:hint="eastAsia" w:ascii="仿宋" w:hAnsi="仿宋" w:eastAsia="仿宋" w:cs="仿宋"/>
          <w:b/>
          <w:color w:val="auto"/>
          <w:sz w:val="24"/>
          <w:szCs w:val="20"/>
        </w:rPr>
        <w:t>技术评分表</w:t>
      </w:r>
      <w:bookmarkEnd w:id="398"/>
      <w:bookmarkEnd w:id="399"/>
      <w:bookmarkEnd w:id="400"/>
    </w:p>
    <w:tbl>
      <w:tblPr>
        <w:tblStyle w:val="37"/>
        <w:tblW w:w="9423" w:type="dxa"/>
        <w:tblInd w:w="0" w:type="dxa"/>
        <w:tblLayout w:type="fixed"/>
        <w:tblCellMar>
          <w:top w:w="0" w:type="dxa"/>
          <w:left w:w="108" w:type="dxa"/>
          <w:bottom w:w="0" w:type="dxa"/>
          <w:right w:w="108" w:type="dxa"/>
        </w:tblCellMar>
      </w:tblPr>
      <w:tblGrid>
        <w:gridCol w:w="457"/>
        <w:gridCol w:w="4895"/>
        <w:gridCol w:w="3190"/>
        <w:gridCol w:w="881"/>
      </w:tblGrid>
      <w:tr>
        <w:tblPrEx>
          <w:tblCellMar>
            <w:top w:w="0" w:type="dxa"/>
            <w:left w:w="108" w:type="dxa"/>
            <w:bottom w:w="0" w:type="dxa"/>
            <w:right w:w="108" w:type="dxa"/>
          </w:tblCellMar>
        </w:tblPrEx>
        <w:trPr>
          <w:trHeight w:val="285" w:hRule="atLeast"/>
        </w:trPr>
        <w:tc>
          <w:tcPr>
            <w:tcW w:w="45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序号</w:t>
            </w:r>
          </w:p>
        </w:tc>
        <w:tc>
          <w:tcPr>
            <w:tcW w:w="489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cs="仿宋"/>
                <w:b/>
                <w:bCs/>
                <w:color w:val="auto"/>
                <w:sz w:val="24"/>
              </w:rPr>
            </w:pPr>
            <w:r>
              <w:rPr>
                <w:rFonts w:hint="eastAsia" w:ascii="仿宋" w:hAnsi="仿宋" w:eastAsia="仿宋" w:cs="仿宋"/>
                <w:b/>
                <w:bCs/>
                <w:color w:val="auto"/>
                <w:kern w:val="0"/>
                <w:sz w:val="24"/>
              </w:rPr>
              <w:t>评分内容</w:t>
            </w:r>
          </w:p>
        </w:tc>
        <w:tc>
          <w:tcPr>
            <w:tcW w:w="31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b/>
                <w:bCs/>
                <w:color w:val="auto"/>
                <w:sz w:val="24"/>
              </w:rPr>
            </w:pPr>
            <w:r>
              <w:rPr>
                <w:rFonts w:hint="eastAsia" w:ascii="仿宋" w:hAnsi="仿宋" w:eastAsia="仿宋" w:cs="仿宋"/>
                <w:b/>
                <w:bCs/>
                <w:color w:val="auto"/>
                <w:kern w:val="0"/>
                <w:sz w:val="24"/>
              </w:rPr>
              <w:t>评分标准</w:t>
            </w:r>
          </w:p>
        </w:tc>
        <w:tc>
          <w:tcPr>
            <w:tcW w:w="8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满分</w:t>
            </w:r>
          </w:p>
        </w:tc>
      </w:tr>
      <w:tr>
        <w:tblPrEx>
          <w:tblCellMar>
            <w:top w:w="0" w:type="dxa"/>
            <w:left w:w="108" w:type="dxa"/>
            <w:bottom w:w="0" w:type="dxa"/>
            <w:right w:w="108" w:type="dxa"/>
          </w:tblCellMar>
        </w:tblPrEx>
        <w:trPr>
          <w:trHeight w:val="285" w:hRule="atLeast"/>
        </w:trPr>
        <w:tc>
          <w:tcPr>
            <w:tcW w:w="4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auto"/>
                <w:sz w:val="24"/>
              </w:rPr>
            </w:pPr>
          </w:p>
        </w:tc>
        <w:tc>
          <w:tcPr>
            <w:tcW w:w="4895"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rPr>
                <w:rFonts w:ascii="仿宋" w:hAnsi="仿宋" w:eastAsia="仿宋" w:cs="仿宋"/>
                <w:b/>
                <w:bCs/>
                <w:color w:val="auto"/>
                <w:sz w:val="24"/>
              </w:rPr>
            </w:pPr>
          </w:p>
        </w:tc>
        <w:tc>
          <w:tcPr>
            <w:tcW w:w="319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b/>
                <w:bCs/>
                <w:color w:val="auto"/>
                <w:sz w:val="24"/>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70分</w:t>
            </w:r>
          </w:p>
        </w:tc>
      </w:tr>
      <w:tr>
        <w:tblPrEx>
          <w:tblCellMar>
            <w:top w:w="0" w:type="dxa"/>
            <w:left w:w="108" w:type="dxa"/>
            <w:bottom w:w="0" w:type="dxa"/>
            <w:right w:w="108" w:type="dxa"/>
          </w:tblCellMar>
        </w:tblPrEx>
        <w:trPr>
          <w:trHeight w:val="48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0"/>
                <w:szCs w:val="20"/>
              </w:rPr>
            </w:pPr>
            <w:r>
              <w:rPr>
                <w:rFonts w:hint="eastAsia" w:ascii="仿宋" w:hAnsi="仿宋" w:eastAsia="仿宋" w:cs="仿宋"/>
                <w:b/>
                <w:bCs/>
                <w:color w:val="auto"/>
                <w:kern w:val="0"/>
                <w:sz w:val="20"/>
                <w:szCs w:val="20"/>
              </w:rPr>
              <w:t>1</w:t>
            </w:r>
          </w:p>
        </w:tc>
        <w:tc>
          <w:tcPr>
            <w:tcW w:w="48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依据充分，且目标任务明确。</w:t>
            </w:r>
          </w:p>
        </w:tc>
        <w:tc>
          <w:tcPr>
            <w:tcW w:w="3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完全符合要求3.5分；基本符合要求1-2分；不符合0分。</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3.5</w:t>
            </w:r>
          </w:p>
        </w:tc>
      </w:tr>
      <w:tr>
        <w:tblPrEx>
          <w:tblCellMar>
            <w:top w:w="0" w:type="dxa"/>
            <w:left w:w="108" w:type="dxa"/>
            <w:bottom w:w="0" w:type="dxa"/>
            <w:right w:w="108" w:type="dxa"/>
          </w:tblCellMar>
        </w:tblPrEx>
        <w:trPr>
          <w:trHeight w:val="48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0"/>
                <w:szCs w:val="20"/>
              </w:rPr>
            </w:pPr>
            <w:r>
              <w:rPr>
                <w:rFonts w:hint="eastAsia" w:ascii="仿宋" w:hAnsi="仿宋" w:eastAsia="仿宋" w:cs="仿宋"/>
                <w:b/>
                <w:bCs/>
                <w:color w:val="auto"/>
                <w:kern w:val="0"/>
                <w:sz w:val="20"/>
                <w:szCs w:val="20"/>
              </w:rPr>
              <w:t>2</w:t>
            </w:r>
          </w:p>
        </w:tc>
        <w:tc>
          <w:tcPr>
            <w:tcW w:w="48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全面收集了调查区自然地理、地质、社会经济、规划等方面的资料，并结合调查工作进行了阐述。</w:t>
            </w:r>
          </w:p>
        </w:tc>
        <w:tc>
          <w:tcPr>
            <w:tcW w:w="3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资料收集完整、内容全面5-7分；资料收集基本完整、内容基本全面1-4分；无资料收集和阐述内容0分。</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7</w:t>
            </w:r>
          </w:p>
        </w:tc>
      </w:tr>
      <w:tr>
        <w:tblPrEx>
          <w:tblCellMar>
            <w:top w:w="0" w:type="dxa"/>
            <w:left w:w="108" w:type="dxa"/>
            <w:bottom w:w="0" w:type="dxa"/>
            <w:right w:w="108" w:type="dxa"/>
          </w:tblCellMar>
        </w:tblPrEx>
        <w:trPr>
          <w:trHeight w:val="192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0"/>
                <w:szCs w:val="20"/>
              </w:rPr>
            </w:pPr>
            <w:r>
              <w:rPr>
                <w:rFonts w:hint="eastAsia" w:ascii="仿宋" w:hAnsi="仿宋" w:eastAsia="仿宋" w:cs="仿宋"/>
                <w:b/>
                <w:bCs/>
                <w:color w:val="auto"/>
                <w:kern w:val="0"/>
                <w:sz w:val="20"/>
                <w:szCs w:val="20"/>
              </w:rPr>
              <w:t>3</w:t>
            </w:r>
          </w:p>
        </w:tc>
        <w:tc>
          <w:tcPr>
            <w:tcW w:w="48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kern w:val="0"/>
                <w:sz w:val="20"/>
                <w:szCs w:val="20"/>
              </w:rPr>
            </w:pPr>
            <w:r>
              <w:rPr>
                <w:rFonts w:hint="eastAsia" w:ascii="仿宋" w:hAnsi="仿宋" w:eastAsia="仿宋" w:cs="仿宋"/>
                <w:color w:val="auto"/>
                <w:kern w:val="0"/>
                <w:sz w:val="20"/>
                <w:szCs w:val="20"/>
              </w:rPr>
              <w:t>工作思路、工作部署、工作量布置、进度安排明确清晰。主要内容包括：</w:t>
            </w:r>
          </w:p>
          <w:p>
            <w:pPr>
              <w:widowControl/>
              <w:numPr>
                <w:ilvl w:val="0"/>
                <w:numId w:val="8"/>
              </w:numPr>
              <w:jc w:val="left"/>
              <w:textAlignment w:val="center"/>
              <w:rPr>
                <w:rFonts w:ascii="仿宋" w:hAnsi="仿宋" w:eastAsia="仿宋" w:cs="仿宋"/>
                <w:color w:val="auto"/>
                <w:kern w:val="0"/>
                <w:sz w:val="20"/>
                <w:szCs w:val="20"/>
              </w:rPr>
            </w:pPr>
            <w:r>
              <w:rPr>
                <w:rFonts w:hint="eastAsia" w:ascii="仿宋" w:hAnsi="仿宋" w:eastAsia="仿宋" w:cs="仿宋"/>
                <w:color w:val="auto"/>
                <w:kern w:val="0"/>
                <w:sz w:val="20"/>
                <w:szCs w:val="20"/>
              </w:rPr>
              <w:t>调查、评价和预测滑坡、崩塌、泥石流发展趋势，进行环境工程地质条件区划；</w:t>
            </w:r>
          </w:p>
          <w:p>
            <w:pPr>
              <w:widowControl/>
              <w:numPr>
                <w:ilvl w:val="0"/>
                <w:numId w:val="8"/>
              </w:numPr>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调查潜在和已发生滑坡、崩塌、泥石流等地质灾害点并评估复活性、危险性、危害性，提出防治措施建议；</w:t>
            </w:r>
          </w:p>
          <w:p>
            <w:pPr>
              <w:widowControl/>
              <w:numPr>
                <w:ilvl w:val="0"/>
                <w:numId w:val="8"/>
              </w:numPr>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部署重大单体地质灾害初步勘查，工作部署和量科学合理；</w:t>
            </w:r>
          </w:p>
          <w:p>
            <w:pPr>
              <w:widowControl/>
              <w:numPr>
                <w:ilvl w:val="0"/>
                <w:numId w:val="8"/>
              </w:numPr>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开展地质灾害信息系统建设；</w:t>
            </w:r>
          </w:p>
          <w:p>
            <w:pPr>
              <w:widowControl/>
              <w:numPr>
                <w:ilvl w:val="0"/>
                <w:numId w:val="8"/>
              </w:numPr>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进行地质灾害分区评价，圈定易发区和危险区，编制（或完善）地质灾害防治区划（建议）；协助地方政府完善地质灾害群测群防网络，编制重要地质灾害隐患点防灾预案，对重大地质灾害点推荐应急搬迁避让新址，并进行工程建设适宜性初步评估等。</w:t>
            </w:r>
          </w:p>
        </w:tc>
        <w:tc>
          <w:tcPr>
            <w:tcW w:w="3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内容全面、合理21分，每缺1项扣3.5分。</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21</w:t>
            </w:r>
          </w:p>
        </w:tc>
      </w:tr>
      <w:tr>
        <w:tblPrEx>
          <w:tblCellMar>
            <w:top w:w="0" w:type="dxa"/>
            <w:left w:w="108" w:type="dxa"/>
            <w:bottom w:w="0" w:type="dxa"/>
            <w:right w:w="108" w:type="dxa"/>
          </w:tblCellMar>
        </w:tblPrEx>
        <w:trPr>
          <w:trHeight w:val="72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0"/>
                <w:szCs w:val="20"/>
              </w:rPr>
            </w:pPr>
            <w:r>
              <w:rPr>
                <w:rFonts w:hint="eastAsia" w:ascii="仿宋" w:hAnsi="仿宋" w:eastAsia="仿宋" w:cs="仿宋"/>
                <w:b/>
                <w:bCs/>
                <w:color w:val="auto"/>
                <w:kern w:val="0"/>
                <w:sz w:val="20"/>
                <w:szCs w:val="20"/>
              </w:rPr>
              <w:t>4</w:t>
            </w:r>
          </w:p>
        </w:tc>
        <w:tc>
          <w:tcPr>
            <w:tcW w:w="48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工作方法手段得当、适宜，技术要求明确，采用遥感解译、地面调查等工作手段等。完善地质灾害信息系统，健全完善群测群防的监测网络，为减灾防灾和制定防灾规划提供基础地质依据。</w:t>
            </w:r>
          </w:p>
        </w:tc>
        <w:tc>
          <w:tcPr>
            <w:tcW w:w="3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工作方法具有针对性，符合技术规范要求，适宜明确10-14分；针对性较好、基本符合规范要5-9分；无针对性、不符合规范要求0分。</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14</w:t>
            </w:r>
          </w:p>
        </w:tc>
      </w:tr>
      <w:tr>
        <w:tblPrEx>
          <w:tblCellMar>
            <w:top w:w="0" w:type="dxa"/>
            <w:left w:w="108" w:type="dxa"/>
            <w:bottom w:w="0" w:type="dxa"/>
            <w:right w:w="108" w:type="dxa"/>
          </w:tblCellMar>
        </w:tblPrEx>
        <w:trPr>
          <w:trHeight w:val="48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0"/>
                <w:szCs w:val="20"/>
              </w:rPr>
            </w:pPr>
            <w:r>
              <w:rPr>
                <w:rFonts w:hint="eastAsia" w:ascii="仿宋" w:hAnsi="仿宋" w:eastAsia="仿宋" w:cs="仿宋"/>
                <w:b/>
                <w:bCs/>
                <w:color w:val="auto"/>
                <w:kern w:val="0"/>
                <w:sz w:val="20"/>
                <w:szCs w:val="20"/>
              </w:rPr>
              <w:t>5</w:t>
            </w:r>
          </w:p>
        </w:tc>
        <w:tc>
          <w:tcPr>
            <w:tcW w:w="48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绩效目标明确合理。</w:t>
            </w:r>
          </w:p>
        </w:tc>
        <w:tc>
          <w:tcPr>
            <w:tcW w:w="3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预期成果与招标任务书要求完全一致5分，基本一致2-4分，完全不一致0分。</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5</w:t>
            </w:r>
          </w:p>
        </w:tc>
      </w:tr>
      <w:tr>
        <w:tblPrEx>
          <w:tblCellMar>
            <w:top w:w="0" w:type="dxa"/>
            <w:left w:w="108" w:type="dxa"/>
            <w:bottom w:w="0" w:type="dxa"/>
            <w:right w:w="108" w:type="dxa"/>
          </w:tblCellMar>
        </w:tblPrEx>
        <w:trPr>
          <w:trHeight w:val="48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0"/>
                <w:szCs w:val="20"/>
              </w:rPr>
            </w:pPr>
            <w:r>
              <w:rPr>
                <w:rFonts w:hint="eastAsia" w:ascii="仿宋" w:hAnsi="仿宋" w:eastAsia="仿宋" w:cs="仿宋"/>
                <w:b/>
                <w:bCs/>
                <w:color w:val="auto"/>
                <w:kern w:val="0"/>
                <w:sz w:val="20"/>
                <w:szCs w:val="20"/>
              </w:rPr>
              <w:t>6</w:t>
            </w:r>
          </w:p>
        </w:tc>
        <w:tc>
          <w:tcPr>
            <w:tcW w:w="48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预期成果应对提交的成果报告、附图、附件、信息系统建设等予以明确。</w:t>
            </w:r>
          </w:p>
        </w:tc>
        <w:tc>
          <w:tcPr>
            <w:tcW w:w="3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预期成果与招标任务书要求完全一致7分，基本一致3-6分，完全不一致0分。</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7</w:t>
            </w:r>
          </w:p>
        </w:tc>
      </w:tr>
      <w:tr>
        <w:tblPrEx>
          <w:tblCellMar>
            <w:top w:w="0" w:type="dxa"/>
            <w:left w:w="108" w:type="dxa"/>
            <w:bottom w:w="0" w:type="dxa"/>
            <w:right w:w="108" w:type="dxa"/>
          </w:tblCellMar>
        </w:tblPrEx>
        <w:trPr>
          <w:trHeight w:val="48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kern w:val="0"/>
                <w:sz w:val="20"/>
                <w:szCs w:val="20"/>
              </w:rPr>
            </w:pPr>
            <w:r>
              <w:rPr>
                <w:rFonts w:hint="eastAsia" w:ascii="仿宋" w:hAnsi="仿宋" w:eastAsia="仿宋" w:cs="仿宋"/>
                <w:b/>
                <w:bCs/>
                <w:color w:val="auto"/>
                <w:kern w:val="0"/>
                <w:sz w:val="20"/>
                <w:szCs w:val="20"/>
              </w:rPr>
              <w:t>7</w:t>
            </w:r>
          </w:p>
        </w:tc>
        <w:tc>
          <w:tcPr>
            <w:tcW w:w="48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kern w:val="0"/>
                <w:sz w:val="20"/>
                <w:szCs w:val="20"/>
              </w:rPr>
            </w:pPr>
            <w:r>
              <w:rPr>
                <w:rFonts w:hint="eastAsia" w:ascii="仿宋" w:hAnsi="仿宋" w:eastAsia="仿宋" w:cs="仿宋"/>
                <w:color w:val="auto"/>
                <w:kern w:val="0"/>
                <w:sz w:val="20"/>
                <w:szCs w:val="20"/>
                <w:lang w:val="zh-CN"/>
              </w:rPr>
              <w:t>组织管理机构</w:t>
            </w:r>
            <w:r>
              <w:rPr>
                <w:rFonts w:hint="eastAsia" w:ascii="仿宋" w:hAnsi="仿宋" w:eastAsia="仿宋" w:cs="仿宋"/>
                <w:color w:val="auto"/>
                <w:kern w:val="0"/>
                <w:sz w:val="20"/>
                <w:szCs w:val="20"/>
              </w:rPr>
              <w:t>和</w:t>
            </w:r>
            <w:r>
              <w:rPr>
                <w:rFonts w:hint="eastAsia" w:ascii="仿宋" w:hAnsi="仿宋" w:eastAsia="仿宋" w:cs="仿宋"/>
                <w:color w:val="auto"/>
                <w:kern w:val="0"/>
                <w:sz w:val="20"/>
                <w:szCs w:val="20"/>
                <w:lang w:val="zh-CN"/>
              </w:rPr>
              <w:t>主要技术人员配备</w:t>
            </w:r>
          </w:p>
        </w:tc>
        <w:tc>
          <w:tcPr>
            <w:tcW w:w="3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kern w:val="0"/>
                <w:sz w:val="20"/>
                <w:szCs w:val="20"/>
              </w:rPr>
            </w:pPr>
            <w:r>
              <w:rPr>
                <w:rFonts w:hint="eastAsia" w:ascii="仿宋" w:hAnsi="仿宋" w:eastAsia="仿宋" w:cs="仿宋"/>
                <w:color w:val="auto"/>
                <w:kern w:val="0"/>
                <w:sz w:val="20"/>
                <w:szCs w:val="20"/>
              </w:rPr>
              <w:t>管理机构健全明确、项目人员专业组成全面、分工合理4分，基本健全明确、基本全面、合理、基本满足1-3分，无内容0分.</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kern w:val="0"/>
                <w:sz w:val="24"/>
              </w:rPr>
            </w:pPr>
            <w:r>
              <w:rPr>
                <w:rFonts w:hint="eastAsia" w:ascii="仿宋" w:hAnsi="仿宋" w:eastAsia="仿宋" w:cs="仿宋"/>
                <w:b/>
                <w:bCs/>
                <w:color w:val="auto"/>
                <w:kern w:val="0"/>
                <w:sz w:val="24"/>
              </w:rPr>
              <w:t>4</w:t>
            </w:r>
          </w:p>
        </w:tc>
      </w:tr>
      <w:tr>
        <w:tblPrEx>
          <w:tblCellMar>
            <w:top w:w="0" w:type="dxa"/>
            <w:left w:w="108" w:type="dxa"/>
            <w:bottom w:w="0" w:type="dxa"/>
            <w:right w:w="108" w:type="dxa"/>
          </w:tblCellMar>
        </w:tblPrEx>
        <w:trPr>
          <w:trHeight w:val="48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0"/>
                <w:szCs w:val="20"/>
              </w:rPr>
            </w:pPr>
            <w:r>
              <w:rPr>
                <w:rFonts w:hint="eastAsia" w:ascii="仿宋" w:hAnsi="仿宋" w:eastAsia="仿宋" w:cs="仿宋"/>
                <w:b/>
                <w:bCs/>
                <w:color w:val="auto"/>
                <w:sz w:val="20"/>
                <w:szCs w:val="20"/>
              </w:rPr>
              <w:t>8</w:t>
            </w:r>
          </w:p>
        </w:tc>
        <w:tc>
          <w:tcPr>
            <w:tcW w:w="48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主要设备配置应齐备。</w:t>
            </w:r>
          </w:p>
        </w:tc>
        <w:tc>
          <w:tcPr>
            <w:tcW w:w="3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符合项目技术要求、齐备3.5分，基本符合1-3分，不符合0分。</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3.5</w:t>
            </w:r>
          </w:p>
        </w:tc>
      </w:tr>
      <w:tr>
        <w:tblPrEx>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0"/>
                <w:szCs w:val="20"/>
              </w:rPr>
            </w:pPr>
            <w:r>
              <w:rPr>
                <w:rFonts w:hint="eastAsia" w:ascii="仿宋" w:hAnsi="仿宋" w:eastAsia="仿宋" w:cs="仿宋"/>
                <w:b/>
                <w:bCs/>
                <w:color w:val="auto"/>
                <w:sz w:val="20"/>
                <w:szCs w:val="20"/>
              </w:rPr>
              <w:t>9</w:t>
            </w:r>
          </w:p>
        </w:tc>
        <w:tc>
          <w:tcPr>
            <w:tcW w:w="48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质量、进度、安全的保障体系应健全，主要措施应明确。</w:t>
            </w:r>
          </w:p>
        </w:tc>
        <w:tc>
          <w:tcPr>
            <w:tcW w:w="31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健全明确5分，基本健全明确1-4分，无内容0分</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5</w:t>
            </w:r>
          </w:p>
        </w:tc>
      </w:tr>
      <w:tr>
        <w:tblPrEx>
          <w:tblCellMar>
            <w:top w:w="0" w:type="dxa"/>
            <w:left w:w="108" w:type="dxa"/>
            <w:bottom w:w="0" w:type="dxa"/>
            <w:right w:w="108" w:type="dxa"/>
          </w:tblCellMar>
        </w:tblPrEx>
        <w:trPr>
          <w:trHeight w:val="315" w:hRule="atLeast"/>
        </w:trPr>
        <w:tc>
          <w:tcPr>
            <w:tcW w:w="854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仿宋" w:hAnsi="仿宋" w:eastAsia="仿宋" w:cs="仿宋"/>
                <w:b/>
                <w:bCs/>
                <w:color w:val="auto"/>
                <w:sz w:val="20"/>
                <w:szCs w:val="20"/>
              </w:rPr>
            </w:pPr>
            <w:r>
              <w:rPr>
                <w:rFonts w:hint="eastAsia" w:ascii="仿宋" w:hAnsi="仿宋" w:eastAsia="仿宋" w:cs="仿宋"/>
                <w:b/>
                <w:bCs/>
                <w:color w:val="auto"/>
                <w:kern w:val="0"/>
                <w:sz w:val="20"/>
                <w:szCs w:val="20"/>
              </w:rPr>
              <w:t>总得分V</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0"/>
                <w:szCs w:val="20"/>
              </w:rPr>
            </w:pPr>
            <w:r>
              <w:rPr>
                <w:rFonts w:hint="eastAsia" w:ascii="仿宋" w:hAnsi="仿宋" w:eastAsia="仿宋" w:cs="仿宋"/>
                <w:b/>
                <w:bCs/>
                <w:color w:val="auto"/>
                <w:kern w:val="0"/>
                <w:sz w:val="20"/>
                <w:szCs w:val="20"/>
              </w:rPr>
              <w:t>70</w:t>
            </w:r>
          </w:p>
        </w:tc>
      </w:tr>
    </w:tbl>
    <w:p>
      <w:pPr>
        <w:tabs>
          <w:tab w:val="right" w:pos="9213"/>
        </w:tabs>
        <w:jc w:val="center"/>
        <w:rPr>
          <w:rFonts w:ascii="仿宋" w:hAnsi="仿宋" w:eastAsia="仿宋" w:cs="仿宋"/>
          <w:b/>
          <w:color w:val="auto"/>
          <w:sz w:val="24"/>
          <w:szCs w:val="20"/>
        </w:rPr>
      </w:pPr>
      <w:r>
        <w:rPr>
          <w:rFonts w:hint="eastAsia"/>
          <w:color w:val="auto"/>
        </w:rPr>
        <w:br w:type="page"/>
      </w:r>
    </w:p>
    <w:p>
      <w:pPr>
        <w:tabs>
          <w:tab w:val="right" w:pos="9213"/>
        </w:tabs>
        <w:jc w:val="center"/>
        <w:rPr>
          <w:rFonts w:ascii="仿宋" w:hAnsi="仿宋" w:eastAsia="仿宋" w:cs="仿宋"/>
          <w:b/>
          <w:color w:val="auto"/>
          <w:sz w:val="24"/>
          <w:szCs w:val="20"/>
        </w:rPr>
      </w:pPr>
      <w:bookmarkStart w:id="401" w:name="_Toc1538"/>
      <w:bookmarkStart w:id="402" w:name="_Toc32741"/>
      <w:bookmarkStart w:id="403" w:name="_Toc18406"/>
      <w:bookmarkStart w:id="404" w:name="_Toc4943"/>
      <w:bookmarkStart w:id="405" w:name="_Toc32388"/>
      <w:r>
        <w:rPr>
          <w:rFonts w:hint="eastAsia" w:ascii="仿宋" w:hAnsi="仿宋" w:eastAsia="仿宋" w:cs="仿宋"/>
          <w:b/>
          <w:color w:val="auto"/>
          <w:sz w:val="24"/>
          <w:szCs w:val="20"/>
        </w:rPr>
        <w:t>报价评分表</w:t>
      </w:r>
      <w:bookmarkEnd w:id="401"/>
      <w:bookmarkEnd w:id="402"/>
      <w:bookmarkEnd w:id="403"/>
      <w:bookmarkEnd w:id="404"/>
      <w:bookmarkEnd w:id="405"/>
    </w:p>
    <w:p>
      <w:pPr>
        <w:pStyle w:val="27"/>
        <w:rPr>
          <w:color w:val="auto"/>
        </w:rPr>
      </w:pPr>
    </w:p>
    <w:tbl>
      <w:tblPr>
        <w:tblStyle w:val="37"/>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681"/>
        <w:gridCol w:w="6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4" w:hRule="atLeast"/>
          <w:jc w:val="center"/>
        </w:trPr>
        <w:tc>
          <w:tcPr>
            <w:tcW w:w="1263" w:type="dxa"/>
            <w:vAlign w:val="center"/>
          </w:tcPr>
          <w:p>
            <w:pPr>
              <w:jc w:val="center"/>
              <w:rPr>
                <w:rFonts w:ascii="仿宋" w:hAnsi="仿宋" w:eastAsia="仿宋" w:cs="仿宋"/>
                <w:color w:val="auto"/>
              </w:rPr>
            </w:pPr>
            <w:r>
              <w:rPr>
                <w:rFonts w:hint="eastAsia" w:ascii="仿宋" w:hAnsi="仿宋" w:eastAsia="仿宋" w:cs="仿宋"/>
                <w:color w:val="auto"/>
              </w:rPr>
              <w:t>报价评审</w:t>
            </w:r>
          </w:p>
        </w:tc>
        <w:tc>
          <w:tcPr>
            <w:tcW w:w="681" w:type="dxa"/>
            <w:vAlign w:val="center"/>
          </w:tcPr>
          <w:p>
            <w:pPr>
              <w:jc w:val="center"/>
              <w:rPr>
                <w:rFonts w:ascii="仿宋" w:hAnsi="仿宋" w:eastAsia="仿宋" w:cs="仿宋"/>
                <w:color w:val="auto"/>
              </w:rPr>
            </w:pPr>
            <w:r>
              <w:rPr>
                <w:rFonts w:hint="eastAsia" w:ascii="仿宋" w:hAnsi="仿宋" w:eastAsia="仿宋" w:cs="仿宋"/>
                <w:color w:val="auto"/>
              </w:rPr>
              <w:t>10</w:t>
            </w:r>
          </w:p>
        </w:tc>
        <w:tc>
          <w:tcPr>
            <w:tcW w:w="6698" w:type="dxa"/>
            <w:vAlign w:val="center"/>
          </w:tcPr>
          <w:p>
            <w:pPr>
              <w:spacing w:line="440" w:lineRule="exact"/>
              <w:rPr>
                <w:rFonts w:ascii="仿宋" w:hAnsi="仿宋" w:eastAsia="仿宋" w:cs="仿宋"/>
                <w:color w:val="auto"/>
              </w:rPr>
            </w:pPr>
            <w:r>
              <w:rPr>
                <w:rFonts w:hint="eastAsia" w:ascii="仿宋" w:hAnsi="仿宋" w:eastAsia="仿宋" w:cs="仿宋"/>
                <w:color w:val="auto"/>
              </w:rPr>
              <w:t>各供应商的价格得分的计算公式：采用低价优先法计算，即满足采购文件要求且投标价格最低的投标报价为评标基准价，其价格分为满分。其他供应商的价格分统一按照下列公式计算：投标报价得分=(评标基准价／投标报价)×价格权值；计算分数时四舍五入取小数点后两位。由监标人员负责核准每个合格供应商的价格得分。（注：若报价单位为中小企业，其投标报价扣除10%后参与评审，提供相关证明资料，否则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944" w:type="dxa"/>
            <w:gridSpan w:val="2"/>
            <w:vAlign w:val="center"/>
          </w:tcPr>
          <w:p>
            <w:pPr>
              <w:jc w:val="center"/>
              <w:rPr>
                <w:rFonts w:ascii="仿宋" w:hAnsi="仿宋" w:eastAsia="仿宋" w:cs="仿宋"/>
                <w:color w:val="auto"/>
              </w:rPr>
            </w:pPr>
            <w:r>
              <w:rPr>
                <w:rFonts w:hint="eastAsia" w:ascii="仿宋" w:hAnsi="仿宋" w:eastAsia="仿宋" w:cs="仿宋"/>
                <w:color w:val="auto"/>
              </w:rPr>
              <w:t>报价分合计</w:t>
            </w:r>
          </w:p>
        </w:tc>
        <w:tc>
          <w:tcPr>
            <w:tcW w:w="6698" w:type="dxa"/>
            <w:vAlign w:val="center"/>
          </w:tcPr>
          <w:p>
            <w:pPr>
              <w:jc w:val="center"/>
              <w:rPr>
                <w:rFonts w:ascii="仿宋" w:hAnsi="仿宋" w:eastAsia="仿宋" w:cs="仿宋"/>
                <w:color w:val="auto"/>
              </w:rPr>
            </w:pPr>
            <w:r>
              <w:rPr>
                <w:rFonts w:hint="eastAsia" w:ascii="仿宋" w:hAnsi="仿宋" w:eastAsia="仿宋" w:cs="仿宋"/>
                <w:color w:val="auto"/>
              </w:rPr>
              <w:t>10</w:t>
            </w:r>
          </w:p>
        </w:tc>
      </w:tr>
    </w:tbl>
    <w:p>
      <w:pPr>
        <w:spacing w:line="240" w:lineRule="atLeast"/>
        <w:jc w:val="center"/>
        <w:rPr>
          <w:rFonts w:ascii="仿宋" w:hAnsi="仿宋" w:eastAsia="仿宋" w:cs="仿宋"/>
          <w:b/>
          <w:bCs/>
          <w:color w:val="auto"/>
          <w:sz w:val="28"/>
          <w:szCs w:val="28"/>
        </w:rPr>
      </w:pPr>
    </w:p>
    <w:p>
      <w:pPr>
        <w:spacing w:line="240" w:lineRule="atLeast"/>
        <w:jc w:val="left"/>
        <w:outlineLvl w:val="1"/>
        <w:rPr>
          <w:rFonts w:ascii="楷体" w:hAnsi="楷体" w:eastAsia="楷体" w:cs="楷体"/>
          <w:b/>
          <w:color w:val="auto"/>
          <w:sz w:val="24"/>
        </w:rPr>
      </w:pPr>
      <w:r>
        <w:rPr>
          <w:rFonts w:hint="eastAsia" w:ascii="楷体" w:hAnsi="楷体" w:eastAsia="楷体" w:cs="楷体"/>
          <w:b/>
          <w:color w:val="auto"/>
          <w:sz w:val="24"/>
        </w:rPr>
        <w:br w:type="page"/>
      </w:r>
      <w:bookmarkStart w:id="406" w:name="_Toc28369"/>
      <w:bookmarkStart w:id="407" w:name="_Toc27928"/>
      <w:r>
        <w:rPr>
          <w:rFonts w:hint="eastAsia" w:ascii="楷体" w:hAnsi="楷体" w:eastAsia="楷体" w:cs="楷体"/>
          <w:b/>
          <w:color w:val="auto"/>
          <w:sz w:val="24"/>
        </w:rPr>
        <w:t>标项三、四评分标准</w:t>
      </w:r>
      <w:bookmarkEnd w:id="406"/>
      <w:bookmarkEnd w:id="407"/>
    </w:p>
    <w:p>
      <w:pPr>
        <w:tabs>
          <w:tab w:val="right" w:pos="9213"/>
        </w:tabs>
        <w:jc w:val="center"/>
        <w:rPr>
          <w:rFonts w:ascii="仿宋" w:hAnsi="仿宋" w:eastAsia="仿宋" w:cs="仿宋"/>
          <w:b/>
          <w:color w:val="auto"/>
          <w:sz w:val="24"/>
          <w:szCs w:val="20"/>
        </w:rPr>
      </w:pPr>
      <w:bookmarkStart w:id="408" w:name="_Toc26151"/>
      <w:bookmarkStart w:id="409" w:name="_Toc1728"/>
      <w:bookmarkStart w:id="410" w:name="_Toc17358"/>
      <w:r>
        <w:rPr>
          <w:rFonts w:hint="eastAsia" w:ascii="仿宋" w:hAnsi="仿宋" w:eastAsia="仿宋" w:cs="仿宋"/>
          <w:b/>
          <w:color w:val="auto"/>
          <w:sz w:val="24"/>
          <w:szCs w:val="20"/>
        </w:rPr>
        <w:t>商务评分表</w:t>
      </w:r>
      <w:bookmarkEnd w:id="408"/>
      <w:bookmarkEnd w:id="409"/>
      <w:bookmarkEnd w:id="410"/>
    </w:p>
    <w:p>
      <w:pPr>
        <w:pStyle w:val="28"/>
        <w:rPr>
          <w:color w:val="auto"/>
        </w:rPr>
      </w:pPr>
    </w:p>
    <w:tbl>
      <w:tblPr>
        <w:tblStyle w:val="37"/>
        <w:tblW w:w="9423" w:type="dxa"/>
        <w:tblInd w:w="0" w:type="dxa"/>
        <w:tblLayout w:type="fixed"/>
        <w:tblCellMar>
          <w:top w:w="0" w:type="dxa"/>
          <w:left w:w="108" w:type="dxa"/>
          <w:bottom w:w="0" w:type="dxa"/>
          <w:right w:w="108" w:type="dxa"/>
        </w:tblCellMar>
      </w:tblPr>
      <w:tblGrid>
        <w:gridCol w:w="457"/>
        <w:gridCol w:w="1340"/>
        <w:gridCol w:w="6745"/>
        <w:gridCol w:w="881"/>
      </w:tblGrid>
      <w:tr>
        <w:tblPrEx>
          <w:tblCellMar>
            <w:top w:w="0" w:type="dxa"/>
            <w:left w:w="108" w:type="dxa"/>
            <w:bottom w:w="0" w:type="dxa"/>
            <w:right w:w="108" w:type="dxa"/>
          </w:tblCellMar>
        </w:tblPrEx>
        <w:trPr>
          <w:trHeight w:val="285" w:hRule="atLeast"/>
        </w:trPr>
        <w:tc>
          <w:tcPr>
            <w:tcW w:w="45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序号</w:t>
            </w:r>
          </w:p>
        </w:tc>
        <w:tc>
          <w:tcPr>
            <w:tcW w:w="13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评分内容</w:t>
            </w:r>
          </w:p>
        </w:tc>
        <w:tc>
          <w:tcPr>
            <w:tcW w:w="674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评分标准</w:t>
            </w:r>
          </w:p>
        </w:tc>
        <w:tc>
          <w:tcPr>
            <w:tcW w:w="8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满分</w:t>
            </w:r>
          </w:p>
        </w:tc>
      </w:tr>
      <w:tr>
        <w:tblPrEx>
          <w:tblCellMar>
            <w:top w:w="0" w:type="dxa"/>
            <w:left w:w="108" w:type="dxa"/>
            <w:bottom w:w="0" w:type="dxa"/>
            <w:right w:w="108" w:type="dxa"/>
          </w:tblCellMar>
        </w:tblPrEx>
        <w:trPr>
          <w:trHeight w:val="285" w:hRule="atLeast"/>
        </w:trPr>
        <w:tc>
          <w:tcPr>
            <w:tcW w:w="4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auto"/>
                <w:sz w:val="24"/>
              </w:rPr>
            </w:pPr>
          </w:p>
        </w:tc>
        <w:tc>
          <w:tcPr>
            <w:tcW w:w="13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b/>
                <w:bCs/>
                <w:color w:val="auto"/>
                <w:sz w:val="24"/>
              </w:rPr>
            </w:pPr>
          </w:p>
        </w:tc>
        <w:tc>
          <w:tcPr>
            <w:tcW w:w="67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auto"/>
                <w:sz w:val="24"/>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20分</w:t>
            </w:r>
          </w:p>
        </w:tc>
      </w:tr>
      <w:tr>
        <w:tblPrEx>
          <w:tblCellMar>
            <w:top w:w="0" w:type="dxa"/>
            <w:left w:w="108" w:type="dxa"/>
            <w:bottom w:w="0" w:type="dxa"/>
            <w:right w:w="108" w:type="dxa"/>
          </w:tblCellMar>
        </w:tblPrEx>
        <w:trPr>
          <w:trHeight w:val="84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0"/>
                <w:szCs w:val="20"/>
              </w:rPr>
            </w:pPr>
            <w:r>
              <w:rPr>
                <w:rFonts w:hint="eastAsia" w:ascii="仿宋" w:hAnsi="仿宋" w:eastAsia="仿宋" w:cs="仿宋"/>
                <w:b/>
                <w:bCs/>
                <w:color w:val="auto"/>
                <w:kern w:val="0"/>
                <w:sz w:val="20"/>
                <w:szCs w:val="20"/>
              </w:rPr>
              <w:t>1</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送审材料</w:t>
            </w:r>
          </w:p>
        </w:tc>
        <w:tc>
          <w:tcPr>
            <w:tcW w:w="674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 w:hAnsi="仿宋" w:eastAsia="仿宋" w:cs="仿宋"/>
                <w:color w:val="auto"/>
                <w:sz w:val="20"/>
                <w:szCs w:val="20"/>
              </w:rPr>
            </w:pPr>
            <w:r>
              <w:rPr>
                <w:rFonts w:hint="eastAsia" w:ascii="仿宋" w:hAnsi="仿宋" w:eastAsia="仿宋" w:cs="仿宋"/>
                <w:color w:val="auto"/>
                <w:kern w:val="0"/>
                <w:sz w:val="20"/>
                <w:szCs w:val="20"/>
              </w:rPr>
              <w:t>有独立的、按要求编制的商务标，得1分；有独立的商务标标书，但部分预算内容或资料混入其他标中但可审，扣0.1分；未单独编制商务标而在技术标中作为独立章节且可审，扣0.4分；没有商务标或实质性内容的为0分，且以下各项均不得分。</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1</w:t>
            </w:r>
          </w:p>
        </w:tc>
      </w:tr>
      <w:tr>
        <w:tblPrEx>
          <w:tblCellMar>
            <w:top w:w="0" w:type="dxa"/>
            <w:left w:w="108" w:type="dxa"/>
            <w:bottom w:w="0" w:type="dxa"/>
            <w:right w:w="108" w:type="dxa"/>
          </w:tblCellMar>
        </w:tblPrEx>
        <w:trPr>
          <w:trHeight w:val="56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0"/>
                <w:szCs w:val="20"/>
              </w:rPr>
            </w:pPr>
            <w:r>
              <w:rPr>
                <w:rFonts w:hint="eastAsia" w:ascii="仿宋" w:hAnsi="仿宋" w:eastAsia="仿宋" w:cs="仿宋"/>
                <w:b/>
                <w:bCs/>
                <w:color w:val="auto"/>
                <w:kern w:val="0"/>
                <w:sz w:val="20"/>
                <w:szCs w:val="20"/>
              </w:rPr>
              <w:t>2</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适用表式</w:t>
            </w:r>
          </w:p>
        </w:tc>
        <w:tc>
          <w:tcPr>
            <w:tcW w:w="6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表式正确且齐全1分；相应表号、项目名称、计量单位、技术条件等每缺一项扣0.1分，单表最大扣分0.2分。本项分值扣完为止。</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1</w:t>
            </w:r>
          </w:p>
        </w:tc>
      </w:tr>
      <w:tr>
        <w:tblPrEx>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0"/>
                <w:szCs w:val="20"/>
              </w:rPr>
            </w:pPr>
            <w:r>
              <w:rPr>
                <w:rFonts w:hint="eastAsia" w:ascii="仿宋" w:hAnsi="仿宋" w:eastAsia="仿宋" w:cs="仿宋"/>
                <w:b/>
                <w:bCs/>
                <w:color w:val="auto"/>
                <w:kern w:val="0"/>
                <w:sz w:val="20"/>
                <w:szCs w:val="20"/>
              </w:rPr>
              <w:t>3</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编制方法</w:t>
            </w:r>
          </w:p>
        </w:tc>
        <w:tc>
          <w:tcPr>
            <w:tcW w:w="6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选用正确的工作项目、费用项目按规定顺序进行编制，逐级汇总全部正确得2分，每错（漏）一处扣0.2分。单表扣分不超过1分。本项分值扣完为止。</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2</w:t>
            </w:r>
          </w:p>
        </w:tc>
      </w:tr>
      <w:tr>
        <w:tblPrEx>
          <w:tblCellMar>
            <w:top w:w="0" w:type="dxa"/>
            <w:left w:w="108" w:type="dxa"/>
            <w:bottom w:w="0" w:type="dxa"/>
            <w:right w:w="108" w:type="dxa"/>
          </w:tblCellMar>
        </w:tblPrEx>
        <w:trPr>
          <w:trHeight w:val="58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0"/>
                <w:szCs w:val="20"/>
              </w:rPr>
            </w:pPr>
            <w:r>
              <w:rPr>
                <w:rFonts w:hint="eastAsia" w:ascii="仿宋" w:hAnsi="仿宋" w:eastAsia="仿宋" w:cs="仿宋"/>
                <w:b/>
                <w:bCs/>
                <w:color w:val="auto"/>
                <w:kern w:val="0"/>
                <w:sz w:val="20"/>
                <w:szCs w:val="20"/>
              </w:rPr>
              <w:t>4</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预算标准</w:t>
            </w:r>
          </w:p>
        </w:tc>
        <w:tc>
          <w:tcPr>
            <w:tcW w:w="6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每错用预算标准1处扣0.5分，采用采购文件指定标准以外的标准又未作相应说明或使用标准明显不合理的，每处扣0.5分，本项分值扣完为止。</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3</w:t>
            </w:r>
          </w:p>
        </w:tc>
      </w:tr>
      <w:tr>
        <w:tblPrEx>
          <w:tblCellMar>
            <w:top w:w="0" w:type="dxa"/>
            <w:left w:w="108" w:type="dxa"/>
            <w:bottom w:w="0" w:type="dxa"/>
            <w:right w:w="108" w:type="dxa"/>
          </w:tblCellMar>
        </w:tblPrEx>
        <w:trPr>
          <w:trHeight w:val="56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0"/>
                <w:szCs w:val="20"/>
              </w:rPr>
            </w:pPr>
            <w:r>
              <w:rPr>
                <w:rFonts w:hint="eastAsia" w:ascii="仿宋" w:hAnsi="仿宋" w:eastAsia="仿宋" w:cs="仿宋"/>
                <w:b/>
                <w:bCs/>
                <w:color w:val="auto"/>
                <w:kern w:val="0"/>
                <w:sz w:val="20"/>
                <w:szCs w:val="20"/>
              </w:rPr>
              <w:t>5</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预算内容</w:t>
            </w:r>
          </w:p>
        </w:tc>
        <w:tc>
          <w:tcPr>
            <w:tcW w:w="6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预算内容设置不重复、不扩大、不遗漏的得满分，每重复、扩大或遗漏1处扣0.5分，本项分值扣完为止。</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4</w:t>
            </w:r>
          </w:p>
        </w:tc>
      </w:tr>
      <w:tr>
        <w:tblPrEx>
          <w:tblCellMar>
            <w:top w:w="0" w:type="dxa"/>
            <w:left w:w="108" w:type="dxa"/>
            <w:bottom w:w="0" w:type="dxa"/>
            <w:right w:w="108" w:type="dxa"/>
          </w:tblCellMar>
        </w:tblPrEx>
        <w:trPr>
          <w:trHeight w:val="285"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0"/>
                <w:szCs w:val="20"/>
              </w:rPr>
            </w:pPr>
            <w:r>
              <w:rPr>
                <w:rFonts w:hint="eastAsia" w:ascii="仿宋" w:hAnsi="仿宋" w:eastAsia="仿宋" w:cs="仿宋"/>
                <w:b/>
                <w:bCs/>
                <w:color w:val="auto"/>
                <w:kern w:val="0"/>
                <w:sz w:val="20"/>
                <w:szCs w:val="20"/>
              </w:rPr>
              <w:t>6</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计算和勾稽关系</w:t>
            </w:r>
          </w:p>
        </w:tc>
        <w:tc>
          <w:tcPr>
            <w:tcW w:w="6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预算表内、表间数据勾稽关系完全正确得满分，每错1处扣0.1分，本项分值扣完为止。</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sz w:val="24"/>
              </w:rPr>
              <w:t>1</w:t>
            </w:r>
          </w:p>
        </w:tc>
      </w:tr>
      <w:tr>
        <w:tblPrEx>
          <w:tblCellMar>
            <w:top w:w="0" w:type="dxa"/>
            <w:left w:w="108" w:type="dxa"/>
            <w:bottom w:w="0" w:type="dxa"/>
            <w:right w:w="108" w:type="dxa"/>
          </w:tblCellMar>
        </w:tblPrEx>
        <w:trPr>
          <w:trHeight w:val="74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0"/>
                <w:szCs w:val="20"/>
              </w:rPr>
            </w:pPr>
            <w:r>
              <w:rPr>
                <w:rFonts w:hint="eastAsia" w:ascii="仿宋" w:hAnsi="仿宋" w:eastAsia="仿宋" w:cs="仿宋"/>
                <w:b/>
                <w:bCs/>
                <w:color w:val="auto"/>
                <w:kern w:val="0"/>
                <w:sz w:val="20"/>
                <w:szCs w:val="20"/>
              </w:rPr>
              <w:t>7</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与技术方案工作量平衡</w:t>
            </w:r>
          </w:p>
        </w:tc>
        <w:tc>
          <w:tcPr>
            <w:tcW w:w="6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工作方法、工作部署、工作量布置及其他相关技术指标等与技术方案完全一致得满分，每错1处扣0.5分，本项分值扣完为止。</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2</w:t>
            </w:r>
          </w:p>
        </w:tc>
      </w:tr>
      <w:tr>
        <w:tblPrEx>
          <w:tblCellMar>
            <w:top w:w="0" w:type="dxa"/>
            <w:left w:w="108" w:type="dxa"/>
            <w:bottom w:w="0" w:type="dxa"/>
            <w:right w:w="108" w:type="dxa"/>
          </w:tblCellMar>
        </w:tblPrEx>
        <w:trPr>
          <w:trHeight w:val="144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0"/>
                <w:szCs w:val="20"/>
              </w:rPr>
            </w:pPr>
            <w:r>
              <w:rPr>
                <w:rFonts w:hint="eastAsia" w:ascii="仿宋" w:hAnsi="仿宋" w:eastAsia="仿宋" w:cs="仿宋"/>
                <w:b/>
                <w:bCs/>
                <w:color w:val="auto"/>
                <w:kern w:val="0"/>
                <w:sz w:val="20"/>
                <w:szCs w:val="20"/>
              </w:rPr>
              <w:t>8</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预算编制说明</w:t>
            </w:r>
          </w:p>
        </w:tc>
        <w:tc>
          <w:tcPr>
            <w:tcW w:w="6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项目投标报价及承诺、项目概况、项目设计预算编制依据、工程方案内容及工作量情况、采用的费用标准和计算方法、工程技术指标分析及需要说明的问题等方面完整4分。其中：缺少项目投标报价及承诺扣1分；项目概况、项目设计预算编制依据、工程方案内容及工作量情况、采用的费用标准和计算方法、工程技术指标分析、需要说明的问题等6项，每缺一方面内容扣0.5分。每个方面内容不详细、不全面或不正确者扣0.1分。本项分值扣完为止。</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4</w:t>
            </w:r>
          </w:p>
        </w:tc>
      </w:tr>
      <w:tr>
        <w:tblPrEx>
          <w:tblCellMar>
            <w:top w:w="0" w:type="dxa"/>
            <w:left w:w="108" w:type="dxa"/>
            <w:bottom w:w="0" w:type="dxa"/>
            <w:right w:w="108" w:type="dxa"/>
          </w:tblCellMar>
        </w:tblPrEx>
        <w:trPr>
          <w:trHeight w:val="72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0"/>
                <w:szCs w:val="20"/>
              </w:rPr>
            </w:pPr>
            <w:r>
              <w:rPr>
                <w:rFonts w:hint="eastAsia" w:ascii="仿宋" w:hAnsi="仿宋" w:eastAsia="仿宋" w:cs="仿宋"/>
                <w:b/>
                <w:bCs/>
                <w:color w:val="auto"/>
                <w:sz w:val="20"/>
                <w:szCs w:val="20"/>
              </w:rPr>
              <w:t>9</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kern w:val="0"/>
                <w:sz w:val="20"/>
                <w:szCs w:val="20"/>
              </w:rPr>
            </w:pPr>
            <w:r>
              <w:rPr>
                <w:rFonts w:hint="eastAsia" w:ascii="仿宋" w:hAnsi="仿宋" w:eastAsia="仿宋" w:cs="仿宋"/>
                <w:color w:val="auto"/>
                <w:kern w:val="0"/>
                <w:sz w:val="20"/>
                <w:szCs w:val="20"/>
              </w:rPr>
              <w:t>主要工作业绩</w:t>
            </w:r>
          </w:p>
        </w:tc>
        <w:tc>
          <w:tcPr>
            <w:tcW w:w="6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kern w:val="0"/>
                <w:sz w:val="20"/>
                <w:szCs w:val="20"/>
              </w:rPr>
            </w:pPr>
            <w:r>
              <w:rPr>
                <w:rFonts w:hint="eastAsia" w:ascii="仿宋" w:hAnsi="仿宋" w:eastAsia="仿宋" w:cs="仿宋"/>
                <w:color w:val="auto"/>
                <w:kern w:val="0"/>
                <w:sz w:val="20"/>
                <w:szCs w:val="20"/>
              </w:rPr>
              <w:t>每提供近三年一项类似业绩并提供证明材料得0.2分，未提供证明材料不得分，本项最高得1分。</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kern w:val="0"/>
                <w:sz w:val="24"/>
              </w:rPr>
            </w:pPr>
            <w:r>
              <w:rPr>
                <w:rFonts w:hint="eastAsia" w:ascii="仿宋" w:hAnsi="仿宋" w:eastAsia="仿宋" w:cs="仿宋"/>
                <w:b/>
                <w:bCs/>
                <w:color w:val="auto"/>
                <w:kern w:val="0"/>
                <w:sz w:val="24"/>
              </w:rPr>
              <w:t>1</w:t>
            </w:r>
          </w:p>
        </w:tc>
      </w:tr>
      <w:tr>
        <w:tblPrEx>
          <w:tblCellMar>
            <w:top w:w="0" w:type="dxa"/>
            <w:left w:w="108" w:type="dxa"/>
            <w:bottom w:w="0" w:type="dxa"/>
            <w:right w:w="108" w:type="dxa"/>
          </w:tblCellMar>
        </w:tblPrEx>
        <w:trPr>
          <w:trHeight w:val="72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0"/>
                <w:szCs w:val="20"/>
              </w:rPr>
            </w:pPr>
            <w:r>
              <w:rPr>
                <w:rFonts w:hint="eastAsia" w:ascii="仿宋" w:hAnsi="仿宋" w:eastAsia="仿宋" w:cs="仿宋"/>
                <w:b/>
                <w:bCs/>
                <w:color w:val="auto"/>
                <w:sz w:val="20"/>
                <w:szCs w:val="20"/>
              </w:rPr>
              <w:t>10</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kern w:val="0"/>
                <w:sz w:val="20"/>
                <w:szCs w:val="20"/>
              </w:rPr>
            </w:pPr>
            <w:r>
              <w:rPr>
                <w:rFonts w:hint="eastAsia" w:ascii="仿宋" w:hAnsi="仿宋" w:eastAsia="仿宋" w:cs="仿宋"/>
                <w:color w:val="auto"/>
                <w:kern w:val="0"/>
                <w:sz w:val="20"/>
                <w:szCs w:val="20"/>
              </w:rPr>
              <w:t>相关承诺</w:t>
            </w:r>
          </w:p>
        </w:tc>
        <w:tc>
          <w:tcPr>
            <w:tcW w:w="6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kern w:val="0"/>
                <w:sz w:val="20"/>
                <w:szCs w:val="20"/>
              </w:rPr>
            </w:pPr>
            <w:r>
              <w:rPr>
                <w:rFonts w:hint="eastAsia" w:ascii="仿宋" w:hAnsi="仿宋" w:eastAsia="仿宋" w:cs="仿宋"/>
                <w:color w:val="auto"/>
                <w:kern w:val="0"/>
                <w:sz w:val="20"/>
                <w:szCs w:val="20"/>
              </w:rPr>
              <w:t>承诺全面1分，基本全面0.5分，无承诺不得分。</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kern w:val="0"/>
                <w:sz w:val="24"/>
              </w:rPr>
            </w:pPr>
            <w:r>
              <w:rPr>
                <w:rFonts w:hint="eastAsia" w:ascii="仿宋" w:hAnsi="仿宋" w:eastAsia="仿宋" w:cs="仿宋"/>
                <w:b/>
                <w:bCs/>
                <w:color w:val="auto"/>
                <w:kern w:val="0"/>
                <w:sz w:val="24"/>
              </w:rPr>
              <w:t>1</w:t>
            </w:r>
          </w:p>
        </w:tc>
      </w:tr>
      <w:tr>
        <w:tblPrEx>
          <w:tblCellMar>
            <w:top w:w="0" w:type="dxa"/>
            <w:left w:w="108" w:type="dxa"/>
            <w:bottom w:w="0" w:type="dxa"/>
            <w:right w:w="108" w:type="dxa"/>
          </w:tblCellMar>
        </w:tblPrEx>
        <w:trPr>
          <w:trHeight w:val="285" w:hRule="atLeast"/>
        </w:trPr>
        <w:tc>
          <w:tcPr>
            <w:tcW w:w="8542" w:type="dxa"/>
            <w:gridSpan w:val="3"/>
            <w:tcBorders>
              <w:top w:val="single" w:color="000000" w:sz="4" w:space="0"/>
              <w:left w:val="single" w:color="000000" w:sz="4" w:space="0"/>
              <w:bottom w:val="single" w:color="000000" w:sz="4" w:space="0"/>
              <w:right w:val="single" w:color="000000" w:sz="4" w:space="0"/>
            </w:tcBorders>
          </w:tcPr>
          <w:p>
            <w:pPr>
              <w:widowControl/>
              <w:jc w:val="center"/>
              <w:textAlignment w:val="top"/>
              <w:rPr>
                <w:rFonts w:ascii="仿宋" w:hAnsi="仿宋" w:eastAsia="仿宋" w:cs="仿宋"/>
                <w:b/>
                <w:bCs/>
                <w:color w:val="auto"/>
                <w:sz w:val="24"/>
              </w:rPr>
            </w:pPr>
            <w:r>
              <w:rPr>
                <w:rFonts w:hint="eastAsia" w:ascii="仿宋" w:hAnsi="仿宋" w:eastAsia="仿宋" w:cs="仿宋"/>
                <w:b/>
                <w:bCs/>
                <w:color w:val="auto"/>
                <w:kern w:val="0"/>
                <w:sz w:val="24"/>
              </w:rPr>
              <w:t>总得分V</w:t>
            </w:r>
          </w:p>
        </w:tc>
        <w:tc>
          <w:tcPr>
            <w:tcW w:w="8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20</w:t>
            </w:r>
          </w:p>
        </w:tc>
      </w:tr>
    </w:tbl>
    <w:p>
      <w:pPr>
        <w:spacing w:line="440" w:lineRule="exact"/>
        <w:jc w:val="center"/>
        <w:rPr>
          <w:rFonts w:ascii="仿宋" w:hAnsi="仿宋" w:eastAsia="仿宋" w:cs="仿宋"/>
          <w:color w:val="auto"/>
          <w:sz w:val="24"/>
        </w:rPr>
      </w:pPr>
      <w:r>
        <w:rPr>
          <w:rFonts w:hint="eastAsia" w:ascii="仿宋" w:hAnsi="仿宋" w:eastAsia="仿宋" w:cs="仿宋"/>
          <w:color w:val="auto"/>
          <w:sz w:val="24"/>
        </w:rPr>
        <w:br w:type="page"/>
      </w:r>
    </w:p>
    <w:p>
      <w:pPr>
        <w:tabs>
          <w:tab w:val="right" w:pos="9213"/>
        </w:tabs>
        <w:jc w:val="center"/>
        <w:rPr>
          <w:rFonts w:ascii="仿宋" w:hAnsi="仿宋" w:eastAsia="仿宋" w:cs="仿宋"/>
          <w:b/>
          <w:color w:val="auto"/>
          <w:sz w:val="24"/>
          <w:szCs w:val="20"/>
        </w:rPr>
      </w:pPr>
      <w:bookmarkStart w:id="411" w:name="_Toc8799"/>
      <w:bookmarkStart w:id="412" w:name="_Toc17451"/>
      <w:bookmarkStart w:id="413" w:name="_Toc19788"/>
      <w:r>
        <w:rPr>
          <w:rFonts w:hint="eastAsia" w:ascii="仿宋" w:hAnsi="仿宋" w:eastAsia="仿宋" w:cs="仿宋"/>
          <w:b/>
          <w:color w:val="auto"/>
          <w:sz w:val="24"/>
          <w:szCs w:val="20"/>
        </w:rPr>
        <w:t>技术评分表</w:t>
      </w:r>
      <w:bookmarkEnd w:id="411"/>
      <w:bookmarkEnd w:id="412"/>
      <w:bookmarkEnd w:id="413"/>
    </w:p>
    <w:tbl>
      <w:tblPr>
        <w:tblStyle w:val="37"/>
        <w:tblW w:w="9237" w:type="dxa"/>
        <w:tblInd w:w="0" w:type="dxa"/>
        <w:tblLayout w:type="fixed"/>
        <w:tblCellMar>
          <w:top w:w="0" w:type="dxa"/>
          <w:left w:w="0" w:type="dxa"/>
          <w:bottom w:w="0" w:type="dxa"/>
          <w:right w:w="0" w:type="dxa"/>
        </w:tblCellMar>
      </w:tblPr>
      <w:tblGrid>
        <w:gridCol w:w="576"/>
        <w:gridCol w:w="3766"/>
        <w:gridCol w:w="3760"/>
        <w:gridCol w:w="1135"/>
      </w:tblGrid>
      <w:tr>
        <w:tblPrEx>
          <w:tblCellMar>
            <w:top w:w="0" w:type="dxa"/>
            <w:left w:w="0" w:type="dxa"/>
            <w:bottom w:w="0" w:type="dxa"/>
            <w:right w:w="0" w:type="dxa"/>
          </w:tblCellMar>
        </w:tblPrEx>
        <w:trPr>
          <w:trHeight w:val="312" w:hRule="atLeast"/>
        </w:trPr>
        <w:tc>
          <w:tcPr>
            <w:tcW w:w="57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sz w:val="24"/>
              </w:rPr>
            </w:pPr>
            <w:r>
              <w:rPr>
                <w:rFonts w:hint="eastAsia" w:ascii="仿宋" w:hAnsi="仿宋" w:eastAsia="仿宋" w:cs="仿宋"/>
                <w:b/>
                <w:color w:val="auto"/>
                <w:kern w:val="0"/>
                <w:sz w:val="24"/>
              </w:rPr>
              <w:t>序号</w:t>
            </w:r>
          </w:p>
        </w:tc>
        <w:tc>
          <w:tcPr>
            <w:tcW w:w="3766"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color w:val="auto"/>
                <w:sz w:val="24"/>
              </w:rPr>
            </w:pPr>
            <w:r>
              <w:rPr>
                <w:rFonts w:hint="eastAsia" w:ascii="仿宋" w:hAnsi="仿宋" w:eastAsia="仿宋" w:cs="仿宋"/>
                <w:b/>
                <w:color w:val="auto"/>
                <w:kern w:val="0"/>
                <w:sz w:val="24"/>
              </w:rPr>
              <w:t>评分内容</w:t>
            </w:r>
          </w:p>
        </w:tc>
        <w:tc>
          <w:tcPr>
            <w:tcW w:w="37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sz w:val="24"/>
              </w:rPr>
            </w:pPr>
            <w:r>
              <w:rPr>
                <w:rFonts w:hint="eastAsia" w:ascii="仿宋" w:hAnsi="仿宋" w:eastAsia="仿宋" w:cs="仿宋"/>
                <w:b/>
                <w:color w:val="auto"/>
                <w:kern w:val="0"/>
                <w:sz w:val="24"/>
              </w:rPr>
              <w:t>评分标准</w:t>
            </w:r>
          </w:p>
        </w:tc>
        <w:tc>
          <w:tcPr>
            <w:tcW w:w="11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color w:val="auto"/>
                <w:sz w:val="24"/>
              </w:rPr>
            </w:pPr>
            <w:r>
              <w:rPr>
                <w:rFonts w:hint="eastAsia" w:ascii="仿宋" w:hAnsi="仿宋" w:eastAsia="仿宋" w:cs="仿宋"/>
                <w:b/>
                <w:color w:val="auto"/>
                <w:kern w:val="0"/>
                <w:sz w:val="24"/>
              </w:rPr>
              <w:t>满分</w:t>
            </w:r>
          </w:p>
        </w:tc>
      </w:tr>
      <w:tr>
        <w:tblPrEx>
          <w:tblCellMar>
            <w:top w:w="0" w:type="dxa"/>
            <w:left w:w="0" w:type="dxa"/>
            <w:bottom w:w="0" w:type="dxa"/>
            <w:right w:w="0" w:type="dxa"/>
          </w:tblCellMar>
        </w:tblPrEx>
        <w:trPr>
          <w:trHeight w:val="312" w:hRule="atLeast"/>
        </w:trPr>
        <w:tc>
          <w:tcPr>
            <w:tcW w:w="5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auto"/>
                <w:sz w:val="24"/>
              </w:rPr>
            </w:pPr>
          </w:p>
        </w:tc>
        <w:tc>
          <w:tcPr>
            <w:tcW w:w="3766"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仿宋" w:hAnsi="仿宋" w:eastAsia="仿宋" w:cs="仿宋"/>
                <w:b/>
                <w:color w:val="auto"/>
                <w:sz w:val="24"/>
              </w:rPr>
            </w:pPr>
          </w:p>
        </w:tc>
        <w:tc>
          <w:tcPr>
            <w:tcW w:w="37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auto"/>
                <w:sz w:val="24"/>
              </w:rPr>
            </w:pPr>
          </w:p>
        </w:tc>
        <w:tc>
          <w:tcPr>
            <w:tcW w:w="11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color w:val="auto"/>
                <w:sz w:val="24"/>
              </w:rPr>
            </w:pPr>
            <w:r>
              <w:rPr>
                <w:rFonts w:hint="eastAsia" w:ascii="仿宋" w:hAnsi="仿宋" w:eastAsia="仿宋" w:cs="仿宋"/>
                <w:b/>
                <w:color w:val="auto"/>
                <w:kern w:val="0"/>
                <w:sz w:val="24"/>
              </w:rPr>
              <w:t>70分</w:t>
            </w:r>
          </w:p>
        </w:tc>
      </w:tr>
      <w:tr>
        <w:tblPrEx>
          <w:tblCellMar>
            <w:top w:w="0" w:type="dxa"/>
            <w:left w:w="0" w:type="dxa"/>
            <w:bottom w:w="0" w:type="dxa"/>
            <w:right w:w="0" w:type="dxa"/>
          </w:tblCellMar>
        </w:tblPrEx>
        <w:trPr>
          <w:trHeight w:val="720" w:hRule="atLeast"/>
        </w:trPr>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sz w:val="20"/>
                <w:szCs w:val="20"/>
              </w:rPr>
            </w:pPr>
            <w:r>
              <w:rPr>
                <w:rFonts w:hint="eastAsia" w:ascii="仿宋" w:hAnsi="仿宋" w:eastAsia="仿宋" w:cs="仿宋"/>
                <w:b/>
                <w:color w:val="auto"/>
                <w:kern w:val="0"/>
                <w:sz w:val="20"/>
                <w:szCs w:val="20"/>
              </w:rPr>
              <w:t>1</w:t>
            </w:r>
          </w:p>
        </w:tc>
        <w:tc>
          <w:tcPr>
            <w:tcW w:w="37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标书的完整性及与采购文件的响应性。</w:t>
            </w:r>
          </w:p>
        </w:tc>
        <w:tc>
          <w:tcPr>
            <w:tcW w:w="37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完全响应和完整3.5分；部分未响应或不完整1.5-3分；未响应部分份额较大且不完整≤1分。</w:t>
            </w:r>
          </w:p>
        </w:tc>
        <w:tc>
          <w:tcPr>
            <w:tcW w:w="11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sz w:val="24"/>
              </w:rPr>
            </w:pPr>
            <w:r>
              <w:rPr>
                <w:rFonts w:hint="eastAsia" w:ascii="仿宋" w:hAnsi="仿宋" w:eastAsia="仿宋" w:cs="仿宋"/>
                <w:b/>
                <w:color w:val="auto"/>
                <w:kern w:val="0"/>
                <w:sz w:val="24"/>
              </w:rPr>
              <w:t>3.5</w:t>
            </w:r>
          </w:p>
        </w:tc>
      </w:tr>
      <w:tr>
        <w:tblPrEx>
          <w:tblCellMar>
            <w:top w:w="0" w:type="dxa"/>
            <w:left w:w="0" w:type="dxa"/>
            <w:bottom w:w="0" w:type="dxa"/>
            <w:right w:w="0" w:type="dxa"/>
          </w:tblCellMar>
        </w:tblPrEx>
        <w:trPr>
          <w:trHeight w:val="1920" w:hRule="atLeast"/>
        </w:trPr>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sz w:val="20"/>
                <w:szCs w:val="20"/>
              </w:rPr>
            </w:pPr>
            <w:r>
              <w:rPr>
                <w:rFonts w:hint="eastAsia" w:ascii="仿宋" w:hAnsi="仿宋" w:eastAsia="仿宋" w:cs="仿宋"/>
                <w:b/>
                <w:color w:val="auto"/>
                <w:kern w:val="0"/>
                <w:sz w:val="20"/>
                <w:szCs w:val="20"/>
              </w:rPr>
              <w:t>2</w:t>
            </w:r>
          </w:p>
        </w:tc>
        <w:tc>
          <w:tcPr>
            <w:tcW w:w="37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仿宋" w:hAnsi="仿宋" w:eastAsia="仿宋" w:cs="仿宋"/>
                <w:color w:val="auto"/>
                <w:kern w:val="0"/>
                <w:sz w:val="20"/>
                <w:szCs w:val="20"/>
              </w:rPr>
            </w:pPr>
            <w:r>
              <w:rPr>
                <w:rFonts w:hint="eastAsia" w:ascii="仿宋" w:hAnsi="仿宋" w:eastAsia="仿宋" w:cs="仿宋"/>
                <w:color w:val="auto"/>
                <w:kern w:val="0"/>
                <w:sz w:val="20"/>
                <w:szCs w:val="20"/>
              </w:rPr>
              <w:t>施工设计目标任务、工作内容、工程布置、施工方案、工程量、进度安排的明确清晰程度及合理性；工作方法的可行性、技术要求的明确程度。</w:t>
            </w:r>
          </w:p>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施工设计图内容是否齐全；设计图规范、图面美观，设计参数标注是否齐全完整。</w:t>
            </w:r>
          </w:p>
        </w:tc>
        <w:tc>
          <w:tcPr>
            <w:tcW w:w="37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施工设计目标任务、工作内容、工程布置、施工方案、工程量、进度安排明确合理0—7分；施工图设计齐全0－3.5分；设计指标明确，技术要求全面、明确0—3.5分；设计工作量与采购文件响应0－3.5分；设计图规范、图面美观，设计参数标注齐全完整0－3.5分。</w:t>
            </w:r>
          </w:p>
        </w:tc>
        <w:tc>
          <w:tcPr>
            <w:tcW w:w="11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sz w:val="24"/>
              </w:rPr>
            </w:pPr>
            <w:r>
              <w:rPr>
                <w:rFonts w:hint="eastAsia" w:ascii="仿宋" w:hAnsi="仿宋" w:eastAsia="仿宋" w:cs="仿宋"/>
                <w:b/>
                <w:color w:val="auto"/>
                <w:kern w:val="0"/>
                <w:sz w:val="24"/>
              </w:rPr>
              <w:t>21</w:t>
            </w:r>
          </w:p>
        </w:tc>
      </w:tr>
      <w:tr>
        <w:tblPrEx>
          <w:tblCellMar>
            <w:top w:w="0" w:type="dxa"/>
            <w:left w:w="0" w:type="dxa"/>
            <w:bottom w:w="0" w:type="dxa"/>
            <w:right w:w="0" w:type="dxa"/>
          </w:tblCellMar>
        </w:tblPrEx>
        <w:trPr>
          <w:trHeight w:val="1920" w:hRule="atLeast"/>
        </w:trPr>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sz w:val="20"/>
                <w:szCs w:val="20"/>
              </w:rPr>
            </w:pPr>
            <w:r>
              <w:rPr>
                <w:rFonts w:hint="eastAsia" w:ascii="仿宋" w:hAnsi="仿宋" w:eastAsia="仿宋" w:cs="仿宋"/>
                <w:b/>
                <w:color w:val="auto"/>
                <w:kern w:val="0"/>
                <w:sz w:val="20"/>
                <w:szCs w:val="20"/>
              </w:rPr>
              <w:t>3</w:t>
            </w:r>
          </w:p>
        </w:tc>
        <w:tc>
          <w:tcPr>
            <w:tcW w:w="37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施工组织设计内容是否齐全完整；工作方法应与施工图设计相衔接，技术要求应符合当地实际，满足相关标准、规范，施工组织严密，附施工平面图。</w:t>
            </w:r>
          </w:p>
        </w:tc>
        <w:tc>
          <w:tcPr>
            <w:tcW w:w="37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仿宋" w:hAnsi="仿宋" w:eastAsia="仿宋" w:cs="仿宋"/>
                <w:color w:val="auto"/>
                <w:kern w:val="0"/>
                <w:sz w:val="20"/>
                <w:szCs w:val="20"/>
              </w:rPr>
            </w:pPr>
            <w:r>
              <w:rPr>
                <w:rFonts w:hint="eastAsia" w:ascii="仿宋" w:hAnsi="仿宋" w:eastAsia="仿宋" w:cs="仿宋"/>
                <w:color w:val="auto"/>
                <w:kern w:val="0"/>
                <w:sz w:val="20"/>
                <w:szCs w:val="20"/>
              </w:rPr>
              <w:t>施工组织设计内容齐全完整0－3.5分；</w:t>
            </w:r>
          </w:p>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工作方法可行、技术要求明确，工作方法与施工图设计衔接0－7分；技术要求符合项目治理方案和实际，满足相关标准、规范，施工组织严密，并附施工平面图0－7分，安全施工0-1.5分，环保施工0-2分。</w:t>
            </w:r>
          </w:p>
        </w:tc>
        <w:tc>
          <w:tcPr>
            <w:tcW w:w="11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sz w:val="24"/>
              </w:rPr>
            </w:pPr>
            <w:r>
              <w:rPr>
                <w:rFonts w:hint="eastAsia" w:ascii="仿宋" w:hAnsi="仿宋" w:eastAsia="仿宋" w:cs="仿宋"/>
                <w:b/>
                <w:color w:val="auto"/>
                <w:kern w:val="0"/>
                <w:sz w:val="24"/>
              </w:rPr>
              <w:t>21</w:t>
            </w:r>
          </w:p>
        </w:tc>
      </w:tr>
      <w:tr>
        <w:tblPrEx>
          <w:tblCellMar>
            <w:top w:w="0" w:type="dxa"/>
            <w:left w:w="0" w:type="dxa"/>
            <w:bottom w:w="0" w:type="dxa"/>
            <w:right w:w="0" w:type="dxa"/>
          </w:tblCellMar>
        </w:tblPrEx>
        <w:trPr>
          <w:trHeight w:val="720" w:hRule="atLeast"/>
        </w:trPr>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sz w:val="20"/>
                <w:szCs w:val="20"/>
              </w:rPr>
            </w:pPr>
            <w:r>
              <w:rPr>
                <w:rFonts w:hint="eastAsia" w:ascii="仿宋" w:hAnsi="仿宋" w:eastAsia="仿宋" w:cs="仿宋"/>
                <w:b/>
                <w:color w:val="auto"/>
                <w:kern w:val="0"/>
                <w:sz w:val="20"/>
                <w:szCs w:val="20"/>
              </w:rPr>
              <w:t>4</w:t>
            </w:r>
          </w:p>
        </w:tc>
        <w:tc>
          <w:tcPr>
            <w:tcW w:w="37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预期成果的全面程度。</w:t>
            </w:r>
          </w:p>
        </w:tc>
        <w:tc>
          <w:tcPr>
            <w:tcW w:w="37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预期成果包括治理效果和提交的成果资料全面3.5分；基本全面2-3分；不全面≤1分。</w:t>
            </w:r>
          </w:p>
        </w:tc>
        <w:tc>
          <w:tcPr>
            <w:tcW w:w="11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sz w:val="24"/>
              </w:rPr>
            </w:pPr>
            <w:r>
              <w:rPr>
                <w:rFonts w:hint="eastAsia" w:ascii="仿宋" w:hAnsi="仿宋" w:eastAsia="仿宋" w:cs="仿宋"/>
                <w:b/>
                <w:color w:val="auto"/>
                <w:kern w:val="0"/>
                <w:sz w:val="24"/>
              </w:rPr>
              <w:t xml:space="preserve"> 3.5</w:t>
            </w:r>
          </w:p>
        </w:tc>
      </w:tr>
      <w:tr>
        <w:tblPrEx>
          <w:tblCellMar>
            <w:top w:w="0" w:type="dxa"/>
            <w:left w:w="0" w:type="dxa"/>
            <w:bottom w:w="0" w:type="dxa"/>
            <w:right w:w="0" w:type="dxa"/>
          </w:tblCellMar>
        </w:tblPrEx>
        <w:trPr>
          <w:trHeight w:val="720" w:hRule="atLeast"/>
        </w:trPr>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sz w:val="20"/>
                <w:szCs w:val="20"/>
              </w:rPr>
            </w:pPr>
            <w:r>
              <w:rPr>
                <w:rFonts w:hint="eastAsia" w:ascii="仿宋" w:hAnsi="仿宋" w:eastAsia="仿宋" w:cs="仿宋"/>
                <w:b/>
                <w:color w:val="auto"/>
                <w:kern w:val="0"/>
                <w:sz w:val="20"/>
                <w:szCs w:val="20"/>
              </w:rPr>
              <w:t>5</w:t>
            </w:r>
          </w:p>
        </w:tc>
        <w:tc>
          <w:tcPr>
            <w:tcW w:w="37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组织管理、质量、进度、安全、环境的保障体系及主要措施。</w:t>
            </w:r>
          </w:p>
        </w:tc>
        <w:tc>
          <w:tcPr>
            <w:tcW w:w="37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保障体系齐全、措施有效7分；保障体系基本齐全、措施基本有效3-6分；保障体系不健全≤2分。</w:t>
            </w:r>
          </w:p>
        </w:tc>
        <w:tc>
          <w:tcPr>
            <w:tcW w:w="11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auto"/>
                <w:sz w:val="24"/>
              </w:rPr>
            </w:pPr>
            <w:r>
              <w:rPr>
                <w:rFonts w:hint="eastAsia" w:ascii="仿宋" w:hAnsi="仿宋" w:eastAsia="仿宋" w:cs="仿宋"/>
                <w:b/>
                <w:color w:val="auto"/>
                <w:sz w:val="24"/>
              </w:rPr>
              <w:t>7</w:t>
            </w:r>
          </w:p>
        </w:tc>
      </w:tr>
      <w:tr>
        <w:tblPrEx>
          <w:tblCellMar>
            <w:top w:w="0" w:type="dxa"/>
            <w:left w:w="0" w:type="dxa"/>
            <w:bottom w:w="0" w:type="dxa"/>
            <w:right w:w="0" w:type="dxa"/>
          </w:tblCellMar>
        </w:tblPrEx>
        <w:trPr>
          <w:trHeight w:val="480" w:hRule="atLeast"/>
        </w:trPr>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sz w:val="20"/>
                <w:szCs w:val="20"/>
              </w:rPr>
            </w:pPr>
            <w:r>
              <w:rPr>
                <w:rFonts w:hint="eastAsia" w:ascii="仿宋" w:hAnsi="仿宋" w:eastAsia="仿宋" w:cs="仿宋"/>
                <w:b/>
                <w:color w:val="auto"/>
                <w:kern w:val="0"/>
                <w:sz w:val="20"/>
                <w:szCs w:val="20"/>
              </w:rPr>
              <w:t>6</w:t>
            </w:r>
          </w:p>
        </w:tc>
        <w:tc>
          <w:tcPr>
            <w:tcW w:w="37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人员数量满足施工要求，工种齐全，人员专业结构配备合理。</w:t>
            </w:r>
          </w:p>
        </w:tc>
        <w:tc>
          <w:tcPr>
            <w:tcW w:w="37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人员数量情况0—3分；工种搭配情况0—2分；专业结构情况0—2分。</w:t>
            </w:r>
          </w:p>
        </w:tc>
        <w:tc>
          <w:tcPr>
            <w:tcW w:w="11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auto"/>
                <w:sz w:val="24"/>
              </w:rPr>
            </w:pPr>
            <w:r>
              <w:rPr>
                <w:rFonts w:hint="eastAsia" w:ascii="仿宋" w:hAnsi="仿宋" w:eastAsia="仿宋" w:cs="仿宋"/>
                <w:b/>
                <w:color w:val="auto"/>
                <w:sz w:val="24"/>
              </w:rPr>
              <w:t>7</w:t>
            </w:r>
          </w:p>
        </w:tc>
      </w:tr>
      <w:tr>
        <w:tblPrEx>
          <w:tblCellMar>
            <w:top w:w="0" w:type="dxa"/>
            <w:left w:w="0" w:type="dxa"/>
            <w:bottom w:w="0" w:type="dxa"/>
            <w:right w:w="0" w:type="dxa"/>
          </w:tblCellMar>
        </w:tblPrEx>
        <w:trPr>
          <w:trHeight w:val="480" w:hRule="atLeast"/>
        </w:trPr>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sz w:val="20"/>
                <w:szCs w:val="20"/>
              </w:rPr>
            </w:pPr>
            <w:r>
              <w:rPr>
                <w:rFonts w:hint="eastAsia" w:ascii="仿宋" w:hAnsi="仿宋" w:eastAsia="仿宋" w:cs="仿宋"/>
                <w:b/>
                <w:color w:val="auto"/>
                <w:kern w:val="0"/>
                <w:sz w:val="20"/>
                <w:szCs w:val="20"/>
              </w:rPr>
              <w:t>7</w:t>
            </w:r>
          </w:p>
        </w:tc>
        <w:tc>
          <w:tcPr>
            <w:tcW w:w="37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仪器、设备配置</w:t>
            </w:r>
          </w:p>
        </w:tc>
        <w:tc>
          <w:tcPr>
            <w:tcW w:w="37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设备齐全且符合要求3.5分；设备较齐全2-3分；其他情况≤1分。</w:t>
            </w:r>
          </w:p>
        </w:tc>
        <w:tc>
          <w:tcPr>
            <w:tcW w:w="11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auto"/>
                <w:sz w:val="24"/>
              </w:rPr>
            </w:pPr>
            <w:r>
              <w:rPr>
                <w:rFonts w:hint="eastAsia" w:ascii="仿宋" w:hAnsi="仿宋" w:eastAsia="仿宋" w:cs="仿宋"/>
                <w:b/>
                <w:color w:val="auto"/>
                <w:sz w:val="24"/>
              </w:rPr>
              <w:t>3.5</w:t>
            </w:r>
          </w:p>
        </w:tc>
      </w:tr>
      <w:tr>
        <w:tblPrEx>
          <w:tblCellMar>
            <w:top w:w="0" w:type="dxa"/>
            <w:left w:w="0" w:type="dxa"/>
            <w:bottom w:w="0" w:type="dxa"/>
            <w:right w:w="0" w:type="dxa"/>
          </w:tblCellMar>
        </w:tblPrEx>
        <w:trPr>
          <w:trHeight w:val="480" w:hRule="atLeast"/>
        </w:trPr>
        <w:tc>
          <w:tcPr>
            <w:tcW w:w="5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sz w:val="20"/>
                <w:szCs w:val="20"/>
              </w:rPr>
            </w:pPr>
            <w:r>
              <w:rPr>
                <w:rFonts w:hint="eastAsia" w:ascii="仿宋" w:hAnsi="仿宋" w:eastAsia="仿宋" w:cs="仿宋"/>
                <w:b/>
                <w:color w:val="auto"/>
                <w:kern w:val="0"/>
                <w:sz w:val="20"/>
                <w:szCs w:val="20"/>
              </w:rPr>
              <w:t>8</w:t>
            </w:r>
          </w:p>
        </w:tc>
        <w:tc>
          <w:tcPr>
            <w:tcW w:w="37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组织管理机构应健全，应建立领导小组。</w:t>
            </w:r>
          </w:p>
        </w:tc>
        <w:tc>
          <w:tcPr>
            <w:tcW w:w="37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健全明确3.5分，基本健全明确1-3分，无内容0分。</w:t>
            </w:r>
          </w:p>
        </w:tc>
        <w:tc>
          <w:tcPr>
            <w:tcW w:w="11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auto"/>
                <w:sz w:val="24"/>
              </w:rPr>
            </w:pPr>
            <w:r>
              <w:rPr>
                <w:rFonts w:hint="eastAsia" w:ascii="仿宋" w:hAnsi="仿宋" w:eastAsia="仿宋" w:cs="仿宋"/>
                <w:b/>
                <w:color w:val="auto"/>
                <w:sz w:val="24"/>
              </w:rPr>
              <w:t>3.5</w:t>
            </w:r>
          </w:p>
        </w:tc>
      </w:tr>
      <w:tr>
        <w:tblPrEx>
          <w:tblCellMar>
            <w:top w:w="0" w:type="dxa"/>
            <w:left w:w="0" w:type="dxa"/>
            <w:bottom w:w="0" w:type="dxa"/>
            <w:right w:w="0" w:type="dxa"/>
          </w:tblCellMar>
        </w:tblPrEx>
        <w:trPr>
          <w:trHeight w:val="480" w:hRule="atLeast"/>
        </w:trPr>
        <w:tc>
          <w:tcPr>
            <w:tcW w:w="810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color w:val="auto"/>
                <w:kern w:val="0"/>
                <w:sz w:val="20"/>
                <w:szCs w:val="20"/>
              </w:rPr>
            </w:pPr>
            <w:r>
              <w:rPr>
                <w:rFonts w:hint="eastAsia" w:ascii="仿宋" w:hAnsi="仿宋" w:eastAsia="仿宋" w:cs="仿宋"/>
                <w:b/>
                <w:bCs/>
                <w:color w:val="auto"/>
                <w:kern w:val="0"/>
                <w:sz w:val="24"/>
              </w:rPr>
              <w:t>总得分V</w:t>
            </w:r>
          </w:p>
        </w:tc>
        <w:tc>
          <w:tcPr>
            <w:tcW w:w="113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auto"/>
                <w:sz w:val="24"/>
              </w:rPr>
            </w:pPr>
            <w:r>
              <w:rPr>
                <w:rFonts w:hint="eastAsia" w:ascii="仿宋" w:hAnsi="仿宋" w:eastAsia="仿宋" w:cs="仿宋"/>
                <w:b/>
                <w:color w:val="auto"/>
                <w:sz w:val="24"/>
              </w:rPr>
              <w:t>70</w:t>
            </w:r>
          </w:p>
        </w:tc>
      </w:tr>
    </w:tbl>
    <w:p>
      <w:pPr>
        <w:pStyle w:val="27"/>
        <w:rPr>
          <w:rFonts w:ascii="仿宋" w:hAnsi="仿宋" w:eastAsia="仿宋" w:cs="仿宋"/>
          <w:color w:val="auto"/>
        </w:rPr>
      </w:pPr>
    </w:p>
    <w:p>
      <w:pPr>
        <w:rPr>
          <w:color w:val="auto"/>
        </w:rPr>
      </w:pPr>
    </w:p>
    <w:p>
      <w:pPr>
        <w:rPr>
          <w:color w:val="auto"/>
        </w:rPr>
      </w:pPr>
    </w:p>
    <w:p>
      <w:pPr>
        <w:tabs>
          <w:tab w:val="right" w:pos="9213"/>
        </w:tabs>
        <w:jc w:val="center"/>
        <w:rPr>
          <w:color w:val="auto"/>
        </w:rPr>
      </w:pPr>
      <w:r>
        <w:rPr>
          <w:rFonts w:hint="eastAsia"/>
          <w:color w:val="auto"/>
        </w:rPr>
        <w:br w:type="page"/>
      </w:r>
    </w:p>
    <w:p>
      <w:pPr>
        <w:tabs>
          <w:tab w:val="right" w:pos="9213"/>
        </w:tabs>
        <w:jc w:val="center"/>
        <w:rPr>
          <w:rFonts w:ascii="仿宋" w:hAnsi="仿宋" w:eastAsia="仿宋" w:cs="仿宋"/>
          <w:b/>
          <w:color w:val="auto"/>
          <w:sz w:val="24"/>
          <w:szCs w:val="20"/>
        </w:rPr>
      </w:pPr>
      <w:bookmarkStart w:id="414" w:name="_Toc20213"/>
      <w:r>
        <w:rPr>
          <w:rFonts w:hint="eastAsia" w:ascii="仿宋" w:hAnsi="仿宋" w:eastAsia="仿宋" w:cs="仿宋"/>
          <w:b/>
          <w:color w:val="auto"/>
          <w:sz w:val="24"/>
          <w:szCs w:val="20"/>
        </w:rPr>
        <w:t>报价评分表</w:t>
      </w:r>
      <w:bookmarkEnd w:id="414"/>
    </w:p>
    <w:p>
      <w:pPr>
        <w:pStyle w:val="27"/>
        <w:rPr>
          <w:color w:val="auto"/>
        </w:rPr>
      </w:pPr>
    </w:p>
    <w:tbl>
      <w:tblPr>
        <w:tblStyle w:val="37"/>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681"/>
        <w:gridCol w:w="6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4" w:hRule="atLeast"/>
          <w:jc w:val="center"/>
        </w:trPr>
        <w:tc>
          <w:tcPr>
            <w:tcW w:w="1263" w:type="dxa"/>
            <w:vAlign w:val="center"/>
          </w:tcPr>
          <w:p>
            <w:pPr>
              <w:jc w:val="center"/>
              <w:rPr>
                <w:rFonts w:ascii="仿宋" w:hAnsi="仿宋" w:eastAsia="仿宋" w:cs="仿宋"/>
                <w:color w:val="auto"/>
              </w:rPr>
            </w:pPr>
            <w:r>
              <w:rPr>
                <w:rFonts w:hint="eastAsia" w:ascii="仿宋" w:hAnsi="仿宋" w:eastAsia="仿宋" w:cs="仿宋"/>
                <w:color w:val="auto"/>
              </w:rPr>
              <w:t>报价评审</w:t>
            </w:r>
          </w:p>
        </w:tc>
        <w:tc>
          <w:tcPr>
            <w:tcW w:w="681" w:type="dxa"/>
            <w:vAlign w:val="center"/>
          </w:tcPr>
          <w:p>
            <w:pPr>
              <w:jc w:val="center"/>
              <w:rPr>
                <w:rFonts w:ascii="仿宋" w:hAnsi="仿宋" w:eastAsia="仿宋" w:cs="仿宋"/>
                <w:color w:val="auto"/>
              </w:rPr>
            </w:pPr>
            <w:r>
              <w:rPr>
                <w:rFonts w:hint="eastAsia" w:ascii="仿宋" w:hAnsi="仿宋" w:eastAsia="仿宋" w:cs="仿宋"/>
                <w:color w:val="auto"/>
              </w:rPr>
              <w:t>10</w:t>
            </w:r>
          </w:p>
        </w:tc>
        <w:tc>
          <w:tcPr>
            <w:tcW w:w="6698" w:type="dxa"/>
            <w:vAlign w:val="center"/>
          </w:tcPr>
          <w:p>
            <w:pPr>
              <w:spacing w:line="440" w:lineRule="exact"/>
              <w:rPr>
                <w:rFonts w:ascii="仿宋" w:hAnsi="仿宋" w:eastAsia="仿宋" w:cs="仿宋"/>
                <w:color w:val="auto"/>
              </w:rPr>
            </w:pPr>
            <w:r>
              <w:rPr>
                <w:rFonts w:hint="eastAsia" w:ascii="仿宋" w:hAnsi="仿宋" w:eastAsia="仿宋" w:cs="仿宋"/>
                <w:color w:val="auto"/>
              </w:rPr>
              <w:t>各供应商的价格得分的计算公式：采用低价优先法计算，即满足采购文件要求且投标价格最低的投标报价为评标基准价，其价格分为满分。其他供应商的价格分统一按照下列公式计算：投标报价得分=(评标基准价／投标报价)×价格权值；计算分数时四舍五入取小数点后两位。由监标人员负责核准每个合格供应商的价格得分。（注：若报价单位为中小企业，其投标报价扣除10 %后参与评审，提供相关证明资料，否则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944" w:type="dxa"/>
            <w:gridSpan w:val="2"/>
            <w:vAlign w:val="center"/>
          </w:tcPr>
          <w:p>
            <w:pPr>
              <w:jc w:val="center"/>
              <w:rPr>
                <w:rFonts w:ascii="仿宋" w:hAnsi="仿宋" w:eastAsia="仿宋" w:cs="仿宋"/>
                <w:color w:val="auto"/>
              </w:rPr>
            </w:pPr>
            <w:r>
              <w:rPr>
                <w:rFonts w:hint="eastAsia" w:ascii="仿宋" w:hAnsi="仿宋" w:eastAsia="仿宋" w:cs="仿宋"/>
                <w:color w:val="auto"/>
              </w:rPr>
              <w:t>报价分合计</w:t>
            </w:r>
          </w:p>
        </w:tc>
        <w:tc>
          <w:tcPr>
            <w:tcW w:w="6698" w:type="dxa"/>
            <w:vAlign w:val="center"/>
          </w:tcPr>
          <w:p>
            <w:pPr>
              <w:jc w:val="center"/>
              <w:rPr>
                <w:rFonts w:ascii="仿宋" w:hAnsi="仿宋" w:eastAsia="仿宋" w:cs="仿宋"/>
                <w:color w:val="auto"/>
              </w:rPr>
            </w:pPr>
            <w:r>
              <w:rPr>
                <w:rFonts w:hint="eastAsia" w:ascii="仿宋" w:hAnsi="仿宋" w:eastAsia="仿宋" w:cs="仿宋"/>
                <w:color w:val="auto"/>
              </w:rPr>
              <w:t>10</w:t>
            </w:r>
          </w:p>
        </w:tc>
      </w:tr>
    </w:tbl>
    <w:p>
      <w:pPr>
        <w:rPr>
          <w:rFonts w:ascii="楷体" w:hAnsi="楷体" w:eastAsia="楷体" w:cs="楷体"/>
          <w:b/>
          <w:color w:val="auto"/>
          <w:sz w:val="24"/>
        </w:rPr>
      </w:pPr>
      <w:r>
        <w:rPr>
          <w:rFonts w:hint="eastAsia" w:ascii="楷体" w:hAnsi="楷体" w:eastAsia="楷体" w:cs="楷体"/>
          <w:b/>
          <w:color w:val="auto"/>
          <w:sz w:val="24"/>
        </w:rPr>
        <w:br w:type="page"/>
      </w:r>
    </w:p>
    <w:p>
      <w:pPr>
        <w:spacing w:line="240" w:lineRule="atLeast"/>
        <w:jc w:val="left"/>
        <w:outlineLvl w:val="1"/>
        <w:rPr>
          <w:rFonts w:ascii="楷体" w:hAnsi="楷体" w:eastAsia="楷体" w:cs="楷体"/>
          <w:b/>
          <w:color w:val="auto"/>
          <w:sz w:val="24"/>
        </w:rPr>
      </w:pPr>
      <w:bookmarkStart w:id="415" w:name="_Toc17518"/>
      <w:bookmarkStart w:id="416" w:name="_Toc3641"/>
      <w:r>
        <w:rPr>
          <w:rFonts w:hint="eastAsia" w:ascii="楷体" w:hAnsi="楷体" w:eastAsia="楷体" w:cs="楷体"/>
          <w:b/>
          <w:color w:val="auto"/>
          <w:sz w:val="24"/>
        </w:rPr>
        <w:t>标项</w:t>
      </w:r>
      <w:r>
        <w:rPr>
          <w:rFonts w:hint="eastAsia" w:ascii="楷体" w:hAnsi="楷体" w:eastAsia="楷体" w:cs="楷体"/>
          <w:b/>
          <w:color w:val="auto"/>
          <w:sz w:val="24"/>
          <w:lang w:val="en-US" w:eastAsia="zh-CN"/>
        </w:rPr>
        <w:t>五</w:t>
      </w:r>
      <w:r>
        <w:rPr>
          <w:rFonts w:hint="eastAsia" w:ascii="楷体" w:hAnsi="楷体" w:eastAsia="楷体" w:cs="楷体"/>
          <w:b/>
          <w:color w:val="auto"/>
          <w:sz w:val="24"/>
        </w:rPr>
        <w:t>评分标准</w:t>
      </w:r>
      <w:bookmarkEnd w:id="415"/>
      <w:bookmarkEnd w:id="416"/>
    </w:p>
    <w:p>
      <w:pPr>
        <w:tabs>
          <w:tab w:val="right" w:pos="9213"/>
        </w:tabs>
        <w:jc w:val="center"/>
        <w:rPr>
          <w:rFonts w:ascii="仿宋" w:hAnsi="仿宋" w:eastAsia="仿宋" w:cs="仿宋"/>
          <w:b/>
          <w:color w:val="auto"/>
          <w:sz w:val="24"/>
          <w:szCs w:val="20"/>
        </w:rPr>
      </w:pPr>
      <w:bookmarkStart w:id="417" w:name="_Toc20946"/>
      <w:r>
        <w:rPr>
          <w:rFonts w:hint="eastAsia" w:ascii="仿宋" w:hAnsi="仿宋" w:eastAsia="仿宋" w:cs="仿宋"/>
          <w:b/>
          <w:color w:val="auto"/>
          <w:sz w:val="24"/>
          <w:szCs w:val="20"/>
        </w:rPr>
        <w:t>商务评分表</w:t>
      </w:r>
      <w:bookmarkEnd w:id="417"/>
    </w:p>
    <w:tbl>
      <w:tblPr>
        <w:tblStyle w:val="37"/>
        <w:tblW w:w="9423" w:type="dxa"/>
        <w:tblInd w:w="0" w:type="dxa"/>
        <w:tblLayout w:type="fixed"/>
        <w:tblCellMar>
          <w:top w:w="0" w:type="dxa"/>
          <w:left w:w="108" w:type="dxa"/>
          <w:bottom w:w="0" w:type="dxa"/>
          <w:right w:w="108" w:type="dxa"/>
        </w:tblCellMar>
      </w:tblPr>
      <w:tblGrid>
        <w:gridCol w:w="457"/>
        <w:gridCol w:w="1340"/>
        <w:gridCol w:w="6745"/>
        <w:gridCol w:w="881"/>
      </w:tblGrid>
      <w:tr>
        <w:trPr>
          <w:trHeight w:val="285" w:hRule="atLeast"/>
        </w:trPr>
        <w:tc>
          <w:tcPr>
            <w:tcW w:w="45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序号</w:t>
            </w:r>
          </w:p>
        </w:tc>
        <w:tc>
          <w:tcPr>
            <w:tcW w:w="13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评分内容</w:t>
            </w:r>
          </w:p>
        </w:tc>
        <w:tc>
          <w:tcPr>
            <w:tcW w:w="674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评分标准</w:t>
            </w:r>
          </w:p>
        </w:tc>
        <w:tc>
          <w:tcPr>
            <w:tcW w:w="8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满分</w:t>
            </w:r>
          </w:p>
        </w:tc>
      </w:tr>
      <w:tr>
        <w:tblPrEx>
          <w:tblCellMar>
            <w:top w:w="0" w:type="dxa"/>
            <w:left w:w="108" w:type="dxa"/>
            <w:bottom w:w="0" w:type="dxa"/>
            <w:right w:w="108" w:type="dxa"/>
          </w:tblCellMar>
        </w:tblPrEx>
        <w:trPr>
          <w:trHeight w:val="285" w:hRule="atLeast"/>
        </w:trPr>
        <w:tc>
          <w:tcPr>
            <w:tcW w:w="4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auto"/>
                <w:sz w:val="24"/>
              </w:rPr>
            </w:pPr>
          </w:p>
        </w:tc>
        <w:tc>
          <w:tcPr>
            <w:tcW w:w="13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b/>
                <w:bCs/>
                <w:color w:val="auto"/>
                <w:sz w:val="24"/>
              </w:rPr>
            </w:pPr>
          </w:p>
        </w:tc>
        <w:tc>
          <w:tcPr>
            <w:tcW w:w="67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auto"/>
                <w:sz w:val="24"/>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20分</w:t>
            </w:r>
          </w:p>
        </w:tc>
      </w:tr>
      <w:tr>
        <w:tblPrEx>
          <w:tblCellMar>
            <w:top w:w="0" w:type="dxa"/>
            <w:left w:w="108" w:type="dxa"/>
            <w:bottom w:w="0" w:type="dxa"/>
            <w:right w:w="108" w:type="dxa"/>
          </w:tblCellMar>
        </w:tblPrEx>
        <w:trPr>
          <w:trHeight w:val="84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0"/>
                <w:szCs w:val="20"/>
              </w:rPr>
            </w:pPr>
            <w:r>
              <w:rPr>
                <w:rFonts w:hint="eastAsia" w:ascii="仿宋" w:hAnsi="仿宋" w:eastAsia="仿宋" w:cs="仿宋"/>
                <w:b/>
                <w:bCs/>
                <w:color w:val="auto"/>
                <w:kern w:val="0"/>
                <w:sz w:val="20"/>
                <w:szCs w:val="20"/>
              </w:rPr>
              <w:t>1</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送审材料</w:t>
            </w:r>
          </w:p>
        </w:tc>
        <w:tc>
          <w:tcPr>
            <w:tcW w:w="6745"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 w:hAnsi="仿宋" w:eastAsia="仿宋" w:cs="仿宋"/>
                <w:color w:val="auto"/>
                <w:sz w:val="20"/>
                <w:szCs w:val="20"/>
              </w:rPr>
            </w:pPr>
            <w:r>
              <w:rPr>
                <w:rFonts w:hint="eastAsia" w:ascii="仿宋" w:hAnsi="仿宋" w:eastAsia="仿宋" w:cs="仿宋"/>
                <w:color w:val="auto"/>
                <w:kern w:val="0"/>
                <w:sz w:val="20"/>
                <w:szCs w:val="20"/>
              </w:rPr>
              <w:t>有独立的、按要求编制的商务标，得1分；有独立的商务标标书，但部分预算内容或资料混入其他标中但可审，扣0.1分；未单独编制商务标而在技术标中作为独立章节且可审，扣0.4分；没有商务标或实质性内容的为0分，且以下各项均不得分。</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1</w:t>
            </w:r>
          </w:p>
        </w:tc>
      </w:tr>
      <w:tr>
        <w:tblPrEx>
          <w:tblCellMar>
            <w:top w:w="0" w:type="dxa"/>
            <w:left w:w="108" w:type="dxa"/>
            <w:bottom w:w="0" w:type="dxa"/>
            <w:right w:w="108" w:type="dxa"/>
          </w:tblCellMar>
        </w:tblPrEx>
        <w:trPr>
          <w:trHeight w:val="56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0"/>
                <w:szCs w:val="20"/>
              </w:rPr>
            </w:pPr>
            <w:r>
              <w:rPr>
                <w:rFonts w:hint="eastAsia" w:ascii="仿宋" w:hAnsi="仿宋" w:eastAsia="仿宋" w:cs="仿宋"/>
                <w:b/>
                <w:bCs/>
                <w:color w:val="auto"/>
                <w:kern w:val="0"/>
                <w:sz w:val="20"/>
                <w:szCs w:val="20"/>
              </w:rPr>
              <w:t>2</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适用表式</w:t>
            </w:r>
          </w:p>
        </w:tc>
        <w:tc>
          <w:tcPr>
            <w:tcW w:w="6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表式正确且齐全1分；相应表号、项目名称、计量单位、技术条件等每缺一项扣0.1分，单表最大扣分0.2分。本项分值扣完为止。</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1</w:t>
            </w:r>
          </w:p>
        </w:tc>
      </w:tr>
      <w:tr>
        <w:tblPrEx>
          <w:tblCellMar>
            <w:top w:w="0" w:type="dxa"/>
            <w:left w:w="108" w:type="dxa"/>
            <w:bottom w:w="0" w:type="dxa"/>
            <w:right w:w="108" w:type="dxa"/>
          </w:tblCellMar>
        </w:tblPrEx>
        <w:trPr>
          <w:trHeight w:val="62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0"/>
                <w:szCs w:val="20"/>
              </w:rPr>
            </w:pPr>
            <w:r>
              <w:rPr>
                <w:rFonts w:hint="eastAsia" w:ascii="仿宋" w:hAnsi="仿宋" w:eastAsia="仿宋" w:cs="仿宋"/>
                <w:b/>
                <w:bCs/>
                <w:color w:val="auto"/>
                <w:kern w:val="0"/>
                <w:sz w:val="20"/>
                <w:szCs w:val="20"/>
              </w:rPr>
              <w:t>3</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编制方法</w:t>
            </w:r>
          </w:p>
        </w:tc>
        <w:tc>
          <w:tcPr>
            <w:tcW w:w="6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选用正确的工作项目、费用项目按规定顺序进行编制，逐级汇总全部正确得2分，每错（漏）一处扣0.2分。单表扣分不超过1分。本项分值扣完为止。</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2</w:t>
            </w:r>
          </w:p>
        </w:tc>
      </w:tr>
      <w:tr>
        <w:tblPrEx>
          <w:tblCellMar>
            <w:top w:w="0" w:type="dxa"/>
            <w:left w:w="108" w:type="dxa"/>
            <w:bottom w:w="0" w:type="dxa"/>
            <w:right w:w="108" w:type="dxa"/>
          </w:tblCellMar>
        </w:tblPrEx>
        <w:trPr>
          <w:trHeight w:val="58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0"/>
                <w:szCs w:val="20"/>
              </w:rPr>
            </w:pPr>
            <w:r>
              <w:rPr>
                <w:rFonts w:hint="eastAsia" w:ascii="仿宋" w:hAnsi="仿宋" w:eastAsia="仿宋" w:cs="仿宋"/>
                <w:b/>
                <w:bCs/>
                <w:color w:val="auto"/>
                <w:kern w:val="0"/>
                <w:sz w:val="20"/>
                <w:szCs w:val="20"/>
              </w:rPr>
              <w:t>4</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预算标准</w:t>
            </w:r>
          </w:p>
        </w:tc>
        <w:tc>
          <w:tcPr>
            <w:tcW w:w="6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每错用预算标准1处扣0.5分，采用采购文件指定标准以外的标准又未作相应说明或使用标准明显不合理的，每处扣0.5分，本项分值扣完为止。</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3</w:t>
            </w:r>
          </w:p>
        </w:tc>
      </w:tr>
      <w:tr>
        <w:tblPrEx>
          <w:tblCellMar>
            <w:top w:w="0" w:type="dxa"/>
            <w:left w:w="108" w:type="dxa"/>
            <w:bottom w:w="0" w:type="dxa"/>
            <w:right w:w="108" w:type="dxa"/>
          </w:tblCellMar>
        </w:tblPrEx>
        <w:trPr>
          <w:trHeight w:val="56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0"/>
                <w:szCs w:val="20"/>
              </w:rPr>
            </w:pPr>
            <w:r>
              <w:rPr>
                <w:rFonts w:hint="eastAsia" w:ascii="仿宋" w:hAnsi="仿宋" w:eastAsia="仿宋" w:cs="仿宋"/>
                <w:b/>
                <w:bCs/>
                <w:color w:val="auto"/>
                <w:kern w:val="0"/>
                <w:sz w:val="20"/>
                <w:szCs w:val="20"/>
              </w:rPr>
              <w:t>5</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预算内容</w:t>
            </w:r>
          </w:p>
        </w:tc>
        <w:tc>
          <w:tcPr>
            <w:tcW w:w="6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预算内容设置不重复、不扩大、不遗漏的得满分，每重复、扩大或遗漏1处扣0.5分，本项分值扣完为止。</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4</w:t>
            </w:r>
          </w:p>
        </w:tc>
      </w:tr>
      <w:tr>
        <w:tblPrEx>
          <w:tblCellMar>
            <w:top w:w="0" w:type="dxa"/>
            <w:left w:w="108" w:type="dxa"/>
            <w:bottom w:w="0" w:type="dxa"/>
            <w:right w:w="108" w:type="dxa"/>
          </w:tblCellMar>
        </w:tblPrEx>
        <w:trPr>
          <w:trHeight w:val="285"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0"/>
                <w:szCs w:val="20"/>
              </w:rPr>
            </w:pPr>
            <w:r>
              <w:rPr>
                <w:rFonts w:hint="eastAsia" w:ascii="仿宋" w:hAnsi="仿宋" w:eastAsia="仿宋" w:cs="仿宋"/>
                <w:b/>
                <w:bCs/>
                <w:color w:val="auto"/>
                <w:kern w:val="0"/>
                <w:sz w:val="20"/>
                <w:szCs w:val="20"/>
              </w:rPr>
              <w:t>6</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计算和勾稽关系</w:t>
            </w:r>
          </w:p>
        </w:tc>
        <w:tc>
          <w:tcPr>
            <w:tcW w:w="6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预算表内、表间数据勾稽关系完全正确得满分，每错1处扣0.1分，本项分值扣完为止。</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sz w:val="24"/>
              </w:rPr>
              <w:t>1</w:t>
            </w:r>
          </w:p>
        </w:tc>
      </w:tr>
      <w:tr>
        <w:tblPrEx>
          <w:tblCellMar>
            <w:top w:w="0" w:type="dxa"/>
            <w:left w:w="108" w:type="dxa"/>
            <w:bottom w:w="0" w:type="dxa"/>
            <w:right w:w="108" w:type="dxa"/>
          </w:tblCellMar>
        </w:tblPrEx>
        <w:trPr>
          <w:trHeight w:val="74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0"/>
                <w:szCs w:val="20"/>
              </w:rPr>
            </w:pPr>
            <w:r>
              <w:rPr>
                <w:rFonts w:hint="eastAsia" w:ascii="仿宋" w:hAnsi="仿宋" w:eastAsia="仿宋" w:cs="仿宋"/>
                <w:b/>
                <w:bCs/>
                <w:color w:val="auto"/>
                <w:kern w:val="0"/>
                <w:sz w:val="20"/>
                <w:szCs w:val="20"/>
              </w:rPr>
              <w:t>7</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与技术方案工作量平衡</w:t>
            </w:r>
          </w:p>
        </w:tc>
        <w:tc>
          <w:tcPr>
            <w:tcW w:w="6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工作方法、工作部署、工作量布置及其他相关技术指标等与技术方案完全一致得满分，每错1处扣0.5分，本项分值扣完为止。</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2</w:t>
            </w:r>
          </w:p>
        </w:tc>
      </w:tr>
      <w:tr>
        <w:tblPrEx>
          <w:tblCellMar>
            <w:top w:w="0" w:type="dxa"/>
            <w:left w:w="108" w:type="dxa"/>
            <w:bottom w:w="0" w:type="dxa"/>
            <w:right w:w="108" w:type="dxa"/>
          </w:tblCellMar>
        </w:tblPrEx>
        <w:trPr>
          <w:trHeight w:val="144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0"/>
                <w:szCs w:val="20"/>
              </w:rPr>
            </w:pPr>
            <w:r>
              <w:rPr>
                <w:rFonts w:hint="eastAsia" w:ascii="仿宋" w:hAnsi="仿宋" w:eastAsia="仿宋" w:cs="仿宋"/>
                <w:b/>
                <w:bCs/>
                <w:color w:val="auto"/>
                <w:kern w:val="0"/>
                <w:sz w:val="20"/>
                <w:szCs w:val="20"/>
              </w:rPr>
              <w:t>8</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预算编制说明</w:t>
            </w:r>
          </w:p>
        </w:tc>
        <w:tc>
          <w:tcPr>
            <w:tcW w:w="6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项目投标报价及承诺、项目概况、项目设计预算编制依据、工程方案内容及工作量情况、采用的费用标准和计算方法、工程技术指标分析及需要说明的问题等方面完整4分。其中：缺少项目投标报价及承诺扣1分；项目概况、项目设计预算编制依据、工程方案内容及工作量情况、采用的费用标准和计算方法、工程技术指标分析、需要说明的问题等6项，每缺一方面内容扣0.5分。每个方面内容不详细、不全面或不正确者扣0.1分。本项分值扣完为止。</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4</w:t>
            </w:r>
          </w:p>
        </w:tc>
      </w:tr>
      <w:tr>
        <w:tblPrEx>
          <w:tblCellMar>
            <w:top w:w="0" w:type="dxa"/>
            <w:left w:w="108" w:type="dxa"/>
            <w:bottom w:w="0" w:type="dxa"/>
            <w:right w:w="108" w:type="dxa"/>
          </w:tblCellMar>
        </w:tblPrEx>
        <w:trPr>
          <w:trHeight w:val="72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0"/>
                <w:szCs w:val="20"/>
              </w:rPr>
            </w:pPr>
            <w:r>
              <w:rPr>
                <w:rFonts w:hint="eastAsia" w:ascii="仿宋" w:hAnsi="仿宋" w:eastAsia="仿宋" w:cs="仿宋"/>
                <w:b/>
                <w:bCs/>
                <w:color w:val="auto"/>
                <w:sz w:val="20"/>
                <w:szCs w:val="20"/>
              </w:rPr>
              <w:t>9</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kern w:val="0"/>
                <w:sz w:val="20"/>
                <w:szCs w:val="20"/>
              </w:rPr>
            </w:pPr>
            <w:r>
              <w:rPr>
                <w:rFonts w:hint="eastAsia" w:ascii="仿宋" w:hAnsi="仿宋" w:eastAsia="仿宋" w:cs="仿宋"/>
                <w:color w:val="auto"/>
                <w:kern w:val="0"/>
                <w:sz w:val="20"/>
                <w:szCs w:val="20"/>
              </w:rPr>
              <w:t>主要工作业绩</w:t>
            </w:r>
          </w:p>
        </w:tc>
        <w:tc>
          <w:tcPr>
            <w:tcW w:w="6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kern w:val="0"/>
                <w:sz w:val="20"/>
                <w:szCs w:val="20"/>
              </w:rPr>
            </w:pPr>
            <w:r>
              <w:rPr>
                <w:rFonts w:hint="eastAsia" w:ascii="仿宋" w:hAnsi="仿宋" w:eastAsia="仿宋" w:cs="仿宋"/>
                <w:color w:val="auto"/>
                <w:kern w:val="0"/>
                <w:sz w:val="20"/>
                <w:szCs w:val="20"/>
              </w:rPr>
              <w:t>每提供近三年一项类似业绩并提供证明材料得0.2分，未提供证明材料不得分，本项最高得1分。</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kern w:val="0"/>
                <w:sz w:val="24"/>
              </w:rPr>
            </w:pPr>
            <w:r>
              <w:rPr>
                <w:rFonts w:hint="eastAsia" w:ascii="仿宋" w:hAnsi="仿宋" w:eastAsia="仿宋" w:cs="仿宋"/>
                <w:b/>
                <w:bCs/>
                <w:color w:val="auto"/>
                <w:kern w:val="0"/>
                <w:sz w:val="24"/>
              </w:rPr>
              <w:t>1</w:t>
            </w:r>
          </w:p>
        </w:tc>
      </w:tr>
      <w:tr>
        <w:tblPrEx>
          <w:tblCellMar>
            <w:top w:w="0" w:type="dxa"/>
            <w:left w:w="108" w:type="dxa"/>
            <w:bottom w:w="0" w:type="dxa"/>
            <w:right w:w="108" w:type="dxa"/>
          </w:tblCellMar>
        </w:tblPrEx>
        <w:trPr>
          <w:trHeight w:val="72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0"/>
                <w:szCs w:val="20"/>
              </w:rPr>
            </w:pPr>
            <w:r>
              <w:rPr>
                <w:rFonts w:hint="eastAsia" w:ascii="仿宋" w:hAnsi="仿宋" w:eastAsia="仿宋" w:cs="仿宋"/>
                <w:b/>
                <w:bCs/>
                <w:color w:val="auto"/>
                <w:sz w:val="20"/>
                <w:szCs w:val="20"/>
              </w:rPr>
              <w:t>10</w:t>
            </w:r>
          </w:p>
        </w:tc>
        <w:tc>
          <w:tcPr>
            <w:tcW w:w="13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kern w:val="0"/>
                <w:sz w:val="20"/>
                <w:szCs w:val="20"/>
              </w:rPr>
            </w:pPr>
            <w:r>
              <w:rPr>
                <w:rFonts w:hint="eastAsia" w:ascii="仿宋" w:hAnsi="仿宋" w:eastAsia="仿宋" w:cs="仿宋"/>
                <w:color w:val="auto"/>
                <w:kern w:val="0"/>
                <w:sz w:val="20"/>
                <w:szCs w:val="20"/>
              </w:rPr>
              <w:t>相关承诺</w:t>
            </w:r>
          </w:p>
        </w:tc>
        <w:tc>
          <w:tcPr>
            <w:tcW w:w="67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kern w:val="0"/>
                <w:sz w:val="20"/>
                <w:szCs w:val="20"/>
              </w:rPr>
            </w:pPr>
            <w:r>
              <w:rPr>
                <w:rFonts w:hint="eastAsia" w:ascii="仿宋" w:hAnsi="仿宋" w:eastAsia="仿宋" w:cs="仿宋"/>
                <w:color w:val="auto"/>
                <w:kern w:val="0"/>
                <w:sz w:val="20"/>
                <w:szCs w:val="20"/>
              </w:rPr>
              <w:t>承诺全面1分，基本全面0.5分，无承诺不得分。</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kern w:val="0"/>
                <w:sz w:val="24"/>
              </w:rPr>
            </w:pPr>
            <w:r>
              <w:rPr>
                <w:rFonts w:hint="eastAsia" w:ascii="仿宋" w:hAnsi="仿宋" w:eastAsia="仿宋" w:cs="仿宋"/>
                <w:b/>
                <w:bCs/>
                <w:color w:val="auto"/>
                <w:kern w:val="0"/>
                <w:sz w:val="24"/>
              </w:rPr>
              <w:t>1</w:t>
            </w:r>
          </w:p>
        </w:tc>
      </w:tr>
      <w:tr>
        <w:tblPrEx>
          <w:tblCellMar>
            <w:top w:w="0" w:type="dxa"/>
            <w:left w:w="108" w:type="dxa"/>
            <w:bottom w:w="0" w:type="dxa"/>
            <w:right w:w="108" w:type="dxa"/>
          </w:tblCellMar>
        </w:tblPrEx>
        <w:trPr>
          <w:trHeight w:val="285" w:hRule="atLeast"/>
        </w:trPr>
        <w:tc>
          <w:tcPr>
            <w:tcW w:w="8542" w:type="dxa"/>
            <w:gridSpan w:val="3"/>
            <w:tcBorders>
              <w:top w:val="single" w:color="000000" w:sz="4" w:space="0"/>
              <w:left w:val="single" w:color="000000" w:sz="4" w:space="0"/>
              <w:bottom w:val="single" w:color="000000" w:sz="4" w:space="0"/>
              <w:right w:val="single" w:color="000000" w:sz="4" w:space="0"/>
            </w:tcBorders>
          </w:tcPr>
          <w:p>
            <w:pPr>
              <w:widowControl/>
              <w:jc w:val="center"/>
              <w:textAlignment w:val="top"/>
              <w:rPr>
                <w:rFonts w:ascii="仿宋" w:hAnsi="仿宋" w:eastAsia="仿宋" w:cs="仿宋"/>
                <w:b/>
                <w:bCs/>
                <w:color w:val="auto"/>
                <w:sz w:val="24"/>
              </w:rPr>
            </w:pPr>
            <w:r>
              <w:rPr>
                <w:rFonts w:hint="eastAsia" w:ascii="仿宋" w:hAnsi="仿宋" w:eastAsia="仿宋" w:cs="仿宋"/>
                <w:b/>
                <w:bCs/>
                <w:color w:val="auto"/>
                <w:kern w:val="0"/>
                <w:sz w:val="24"/>
              </w:rPr>
              <w:t>总得分V</w:t>
            </w:r>
          </w:p>
        </w:tc>
        <w:tc>
          <w:tcPr>
            <w:tcW w:w="8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20</w:t>
            </w:r>
          </w:p>
        </w:tc>
      </w:tr>
    </w:tbl>
    <w:p>
      <w:pPr>
        <w:pStyle w:val="28"/>
        <w:rPr>
          <w:color w:val="auto"/>
        </w:rPr>
      </w:pPr>
    </w:p>
    <w:p>
      <w:pPr>
        <w:spacing w:line="440" w:lineRule="exact"/>
        <w:jc w:val="center"/>
        <w:rPr>
          <w:rFonts w:ascii="仿宋" w:hAnsi="仿宋" w:eastAsia="仿宋" w:cs="仿宋"/>
          <w:color w:val="auto"/>
          <w:sz w:val="24"/>
        </w:rPr>
      </w:pPr>
      <w:r>
        <w:rPr>
          <w:rFonts w:hint="eastAsia" w:ascii="仿宋" w:hAnsi="仿宋" w:eastAsia="仿宋" w:cs="仿宋"/>
          <w:color w:val="auto"/>
          <w:sz w:val="24"/>
        </w:rPr>
        <w:br w:type="page"/>
      </w:r>
    </w:p>
    <w:p>
      <w:pPr>
        <w:tabs>
          <w:tab w:val="right" w:pos="9213"/>
        </w:tabs>
        <w:jc w:val="center"/>
        <w:rPr>
          <w:rFonts w:ascii="仿宋" w:hAnsi="仿宋" w:eastAsia="仿宋" w:cs="仿宋"/>
          <w:b/>
          <w:color w:val="auto"/>
          <w:sz w:val="24"/>
          <w:szCs w:val="20"/>
        </w:rPr>
      </w:pPr>
      <w:bookmarkStart w:id="418" w:name="_Toc32103"/>
      <w:r>
        <w:rPr>
          <w:rFonts w:hint="eastAsia" w:ascii="仿宋" w:hAnsi="仿宋" w:eastAsia="仿宋" w:cs="仿宋"/>
          <w:b/>
          <w:color w:val="auto"/>
          <w:sz w:val="24"/>
          <w:szCs w:val="20"/>
        </w:rPr>
        <w:t>技术评分表</w:t>
      </w:r>
      <w:bookmarkEnd w:id="418"/>
    </w:p>
    <w:tbl>
      <w:tblPr>
        <w:tblStyle w:val="37"/>
        <w:tblW w:w="9420" w:type="dxa"/>
        <w:tblInd w:w="0" w:type="dxa"/>
        <w:tblLayout w:type="fixed"/>
        <w:tblCellMar>
          <w:top w:w="0" w:type="dxa"/>
          <w:left w:w="108" w:type="dxa"/>
          <w:bottom w:w="0" w:type="dxa"/>
          <w:right w:w="108" w:type="dxa"/>
        </w:tblCellMar>
      </w:tblPr>
      <w:tblGrid>
        <w:gridCol w:w="457"/>
        <w:gridCol w:w="4224"/>
        <w:gridCol w:w="3858"/>
        <w:gridCol w:w="881"/>
      </w:tblGrid>
      <w:tr>
        <w:tblPrEx>
          <w:tblCellMar>
            <w:top w:w="0" w:type="dxa"/>
            <w:left w:w="108" w:type="dxa"/>
            <w:bottom w:w="0" w:type="dxa"/>
            <w:right w:w="108" w:type="dxa"/>
          </w:tblCellMar>
        </w:tblPrEx>
        <w:trPr>
          <w:trHeight w:val="285" w:hRule="atLeast"/>
        </w:trPr>
        <w:tc>
          <w:tcPr>
            <w:tcW w:w="45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序号</w:t>
            </w:r>
          </w:p>
        </w:tc>
        <w:tc>
          <w:tcPr>
            <w:tcW w:w="422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评分内容</w:t>
            </w:r>
          </w:p>
        </w:tc>
        <w:tc>
          <w:tcPr>
            <w:tcW w:w="385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评分标准</w:t>
            </w:r>
          </w:p>
        </w:tc>
        <w:tc>
          <w:tcPr>
            <w:tcW w:w="8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满分</w:t>
            </w:r>
          </w:p>
        </w:tc>
      </w:tr>
      <w:tr>
        <w:tblPrEx>
          <w:tblCellMar>
            <w:top w:w="0" w:type="dxa"/>
            <w:left w:w="108" w:type="dxa"/>
            <w:bottom w:w="0" w:type="dxa"/>
            <w:right w:w="108" w:type="dxa"/>
          </w:tblCellMar>
        </w:tblPrEx>
        <w:trPr>
          <w:trHeight w:val="285" w:hRule="atLeast"/>
        </w:trPr>
        <w:tc>
          <w:tcPr>
            <w:tcW w:w="4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auto"/>
                <w:sz w:val="24"/>
              </w:rPr>
            </w:pPr>
          </w:p>
        </w:tc>
        <w:tc>
          <w:tcPr>
            <w:tcW w:w="422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b/>
                <w:bCs/>
                <w:color w:val="auto"/>
                <w:sz w:val="24"/>
              </w:rPr>
            </w:pPr>
          </w:p>
        </w:tc>
        <w:tc>
          <w:tcPr>
            <w:tcW w:w="385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auto"/>
                <w:sz w:val="24"/>
              </w:rPr>
            </w:pPr>
          </w:p>
        </w:tc>
        <w:tc>
          <w:tcPr>
            <w:tcW w:w="8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70分</w:t>
            </w:r>
          </w:p>
        </w:tc>
      </w:tr>
      <w:tr>
        <w:tblPrEx>
          <w:tblCellMar>
            <w:top w:w="0" w:type="dxa"/>
            <w:left w:w="108" w:type="dxa"/>
            <w:bottom w:w="0" w:type="dxa"/>
            <w:right w:w="108" w:type="dxa"/>
          </w:tblCellMar>
        </w:tblPrEx>
        <w:trPr>
          <w:trHeight w:val="66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1</w:t>
            </w:r>
          </w:p>
        </w:tc>
        <w:tc>
          <w:tcPr>
            <w:tcW w:w="42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编制依据说明清晰,且目标任务明确。</w:t>
            </w:r>
          </w:p>
        </w:tc>
        <w:tc>
          <w:tcPr>
            <w:tcW w:w="385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完全符合要求3分；基本符合要求1-2分；不符合0分。</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w:t>
            </w:r>
          </w:p>
        </w:tc>
      </w:tr>
      <w:tr>
        <w:tblPrEx>
          <w:tblCellMar>
            <w:top w:w="0" w:type="dxa"/>
            <w:left w:w="108" w:type="dxa"/>
            <w:bottom w:w="0" w:type="dxa"/>
            <w:right w:w="108" w:type="dxa"/>
          </w:tblCellMar>
        </w:tblPrEx>
        <w:trPr>
          <w:trHeight w:val="56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2</w:t>
            </w:r>
          </w:p>
        </w:tc>
        <w:tc>
          <w:tcPr>
            <w:tcW w:w="42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技术方案的规范性、完整性，对本项目设计目标和原则的响应程度。</w:t>
            </w:r>
          </w:p>
        </w:tc>
        <w:tc>
          <w:tcPr>
            <w:tcW w:w="385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完全响应5-7分，部分响应要求1-4分，不响应0分。</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7</w:t>
            </w:r>
          </w:p>
        </w:tc>
      </w:tr>
      <w:tr>
        <w:tblPrEx>
          <w:tblCellMar>
            <w:top w:w="0" w:type="dxa"/>
            <w:left w:w="108" w:type="dxa"/>
            <w:bottom w:w="0" w:type="dxa"/>
            <w:right w:w="108" w:type="dxa"/>
          </w:tblCellMar>
        </w:tblPrEx>
        <w:trPr>
          <w:trHeight w:val="202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3</w:t>
            </w:r>
          </w:p>
        </w:tc>
        <w:tc>
          <w:tcPr>
            <w:tcW w:w="42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供应设备的技术条款、技术参数、技术指标、设备质保及其他指标完全满足本项目任务书要求。</w:t>
            </w:r>
          </w:p>
        </w:tc>
        <w:tc>
          <w:tcPr>
            <w:tcW w:w="38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ind w:firstLine="400" w:firstLineChars="200"/>
              <w:jc w:val="left"/>
              <w:textAlignment w:val="center"/>
              <w:rPr>
                <w:rFonts w:hint="eastAsia" w:ascii="仿宋" w:hAnsi="仿宋" w:eastAsia="仿宋" w:cs="仿宋"/>
                <w:color w:val="auto"/>
                <w:kern w:val="0"/>
                <w:sz w:val="20"/>
                <w:szCs w:val="20"/>
                <w:lang w:eastAsia="zh-CN"/>
              </w:rPr>
            </w:pPr>
            <w:r>
              <w:rPr>
                <w:rFonts w:hint="eastAsia" w:ascii="仿宋" w:hAnsi="仿宋" w:eastAsia="仿宋" w:cs="仿宋"/>
                <w:color w:val="auto"/>
                <w:kern w:val="0"/>
                <w:sz w:val="20"/>
                <w:szCs w:val="20"/>
                <w:lang w:eastAsia="zh-CN"/>
              </w:rPr>
              <w:t>①</w:t>
            </w:r>
            <w:r>
              <w:rPr>
                <w:rFonts w:hint="eastAsia" w:ascii="仿宋" w:hAnsi="仿宋" w:eastAsia="仿宋" w:cs="仿宋"/>
                <w:color w:val="auto"/>
                <w:kern w:val="0"/>
                <w:sz w:val="20"/>
                <w:szCs w:val="20"/>
              </w:rPr>
              <w:t>设备适宜监测对象3.5分</w:t>
            </w:r>
            <w:r>
              <w:rPr>
                <w:rFonts w:hint="eastAsia" w:ascii="仿宋" w:hAnsi="仿宋" w:eastAsia="仿宋" w:cs="仿宋"/>
                <w:color w:val="auto"/>
                <w:kern w:val="0"/>
                <w:sz w:val="20"/>
                <w:szCs w:val="20"/>
                <w:lang w:eastAsia="zh-CN"/>
              </w:rPr>
              <w:t>；</w:t>
            </w:r>
            <w:r>
              <w:rPr>
                <w:rFonts w:hint="eastAsia" w:ascii="仿宋" w:hAnsi="仿宋" w:eastAsia="仿宋" w:cs="仿宋"/>
                <w:color w:val="auto"/>
                <w:kern w:val="0"/>
                <w:sz w:val="20"/>
                <w:szCs w:val="20"/>
              </w:rPr>
              <w:t>设备基本适宜监测对象1.5-3分</w:t>
            </w:r>
            <w:r>
              <w:rPr>
                <w:rFonts w:hint="eastAsia" w:ascii="仿宋" w:hAnsi="仿宋" w:eastAsia="仿宋" w:cs="仿宋"/>
                <w:color w:val="auto"/>
                <w:kern w:val="0"/>
                <w:sz w:val="20"/>
                <w:szCs w:val="20"/>
                <w:lang w:eastAsia="zh-CN"/>
              </w:rPr>
              <w:t>；</w:t>
            </w:r>
            <w:r>
              <w:rPr>
                <w:rFonts w:hint="eastAsia" w:ascii="仿宋" w:hAnsi="仿宋" w:eastAsia="仿宋" w:cs="仿宋"/>
                <w:color w:val="auto"/>
                <w:kern w:val="0"/>
                <w:sz w:val="20"/>
                <w:szCs w:val="20"/>
              </w:rPr>
              <w:t>设备不适宜监测对象≤1分</w:t>
            </w:r>
            <w:r>
              <w:rPr>
                <w:rFonts w:hint="eastAsia" w:ascii="仿宋" w:hAnsi="仿宋" w:eastAsia="仿宋" w:cs="仿宋"/>
                <w:color w:val="auto"/>
                <w:kern w:val="0"/>
                <w:sz w:val="20"/>
                <w:szCs w:val="20"/>
                <w:lang w:eastAsia="zh-CN"/>
              </w:rPr>
              <w:t>。</w:t>
            </w:r>
          </w:p>
          <w:p>
            <w:pPr>
              <w:keepNext w:val="0"/>
              <w:keepLines w:val="0"/>
              <w:pageBreakBefore w:val="0"/>
              <w:widowControl/>
              <w:kinsoku/>
              <w:wordWrap/>
              <w:overflowPunct/>
              <w:topLinePunct w:val="0"/>
              <w:autoSpaceDE/>
              <w:autoSpaceDN/>
              <w:bidi w:val="0"/>
              <w:adjustRightInd/>
              <w:snapToGrid/>
              <w:ind w:firstLine="400" w:firstLineChars="200"/>
              <w:jc w:val="left"/>
              <w:textAlignment w:val="center"/>
              <w:rPr>
                <w:rFonts w:hint="eastAsia" w:ascii="仿宋" w:hAnsi="仿宋" w:eastAsia="仿宋" w:cs="仿宋"/>
                <w:color w:val="auto"/>
                <w:kern w:val="0"/>
                <w:sz w:val="20"/>
                <w:szCs w:val="20"/>
                <w:lang w:eastAsia="zh-CN"/>
              </w:rPr>
            </w:pPr>
            <w:r>
              <w:rPr>
                <w:rFonts w:hint="eastAsia" w:ascii="仿宋" w:hAnsi="仿宋" w:eastAsia="仿宋" w:cs="仿宋"/>
                <w:color w:val="auto"/>
                <w:kern w:val="0"/>
                <w:sz w:val="20"/>
                <w:szCs w:val="20"/>
                <w:lang w:eastAsia="zh-CN"/>
              </w:rPr>
              <w:t>②</w:t>
            </w:r>
            <w:r>
              <w:rPr>
                <w:rFonts w:hint="eastAsia" w:ascii="仿宋" w:hAnsi="仿宋" w:eastAsia="仿宋" w:cs="仿宋"/>
                <w:color w:val="auto"/>
                <w:kern w:val="0"/>
                <w:sz w:val="20"/>
                <w:szCs w:val="20"/>
              </w:rPr>
              <w:t>技术参数、指标和条款完全满足任务书要求10-14分</w:t>
            </w:r>
            <w:r>
              <w:rPr>
                <w:rFonts w:hint="eastAsia" w:ascii="仿宋" w:hAnsi="仿宋" w:eastAsia="仿宋" w:cs="仿宋"/>
                <w:color w:val="auto"/>
                <w:kern w:val="0"/>
                <w:sz w:val="20"/>
                <w:szCs w:val="20"/>
                <w:lang w:eastAsia="zh-CN"/>
              </w:rPr>
              <w:t>；</w:t>
            </w:r>
            <w:r>
              <w:rPr>
                <w:rFonts w:hint="eastAsia" w:ascii="仿宋" w:hAnsi="仿宋" w:eastAsia="仿宋" w:cs="仿宋"/>
                <w:color w:val="auto"/>
                <w:kern w:val="0"/>
                <w:sz w:val="20"/>
                <w:szCs w:val="20"/>
              </w:rPr>
              <w:t>技术参数、指标和条款基本满足任务书要求5-9分</w:t>
            </w:r>
            <w:r>
              <w:rPr>
                <w:rFonts w:hint="eastAsia" w:ascii="仿宋" w:hAnsi="仿宋" w:eastAsia="仿宋" w:cs="仿宋"/>
                <w:color w:val="auto"/>
                <w:kern w:val="0"/>
                <w:sz w:val="20"/>
                <w:szCs w:val="20"/>
                <w:lang w:eastAsia="zh-CN"/>
              </w:rPr>
              <w:t>；</w:t>
            </w:r>
            <w:r>
              <w:rPr>
                <w:rFonts w:hint="eastAsia" w:ascii="仿宋" w:hAnsi="仿宋" w:eastAsia="仿宋" w:cs="仿宋"/>
                <w:color w:val="auto"/>
                <w:kern w:val="0"/>
                <w:sz w:val="20"/>
                <w:szCs w:val="20"/>
              </w:rPr>
              <w:t>技术参数、指标和条款完全不满足任务书要求0-4分</w:t>
            </w:r>
            <w:r>
              <w:rPr>
                <w:rFonts w:hint="eastAsia" w:ascii="仿宋" w:hAnsi="仿宋" w:eastAsia="仿宋" w:cs="仿宋"/>
                <w:color w:val="auto"/>
                <w:kern w:val="0"/>
                <w:sz w:val="20"/>
                <w:szCs w:val="20"/>
                <w:lang w:eastAsia="zh-CN"/>
              </w:rPr>
              <w:t>。</w:t>
            </w:r>
          </w:p>
          <w:p>
            <w:pPr>
              <w:keepNext w:val="0"/>
              <w:keepLines w:val="0"/>
              <w:pageBreakBefore w:val="0"/>
              <w:widowControl/>
              <w:kinsoku/>
              <w:wordWrap/>
              <w:overflowPunct/>
              <w:topLinePunct w:val="0"/>
              <w:autoSpaceDE/>
              <w:autoSpaceDN/>
              <w:bidi w:val="0"/>
              <w:adjustRightInd/>
              <w:snapToGrid/>
              <w:ind w:firstLine="400" w:firstLineChars="200"/>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eastAsia="zh-CN"/>
              </w:rPr>
              <w:t>③</w:t>
            </w:r>
            <w:r>
              <w:rPr>
                <w:rFonts w:hint="eastAsia" w:ascii="仿宋" w:hAnsi="仿宋" w:eastAsia="仿宋" w:cs="仿宋"/>
                <w:color w:val="auto"/>
                <w:kern w:val="0"/>
                <w:sz w:val="20"/>
                <w:szCs w:val="20"/>
              </w:rPr>
              <w:t>质保及其他指标完全满足3.5分；质保及其他指标基本满足1-2分；质保及其他指标不满足0分。</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21</w:t>
            </w:r>
          </w:p>
        </w:tc>
      </w:tr>
      <w:tr>
        <w:tblPrEx>
          <w:tblCellMar>
            <w:top w:w="0" w:type="dxa"/>
            <w:left w:w="108" w:type="dxa"/>
            <w:bottom w:w="0" w:type="dxa"/>
            <w:right w:w="108" w:type="dxa"/>
          </w:tblCellMar>
        </w:tblPrEx>
        <w:trPr>
          <w:trHeight w:val="60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4</w:t>
            </w:r>
          </w:p>
        </w:tc>
        <w:tc>
          <w:tcPr>
            <w:tcW w:w="42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基础施工、设备安装及设备管理完全满足本项目任务书要求。</w:t>
            </w:r>
          </w:p>
        </w:tc>
        <w:tc>
          <w:tcPr>
            <w:tcW w:w="385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完全满足6-8分，部分满足1-5分，不满足0分。</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8</w:t>
            </w:r>
          </w:p>
        </w:tc>
      </w:tr>
      <w:tr>
        <w:tblPrEx>
          <w:tblCellMar>
            <w:top w:w="0" w:type="dxa"/>
            <w:left w:w="108" w:type="dxa"/>
            <w:bottom w:w="0" w:type="dxa"/>
            <w:right w:w="108" w:type="dxa"/>
          </w:tblCellMar>
        </w:tblPrEx>
        <w:trPr>
          <w:trHeight w:val="100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5</w:t>
            </w:r>
          </w:p>
        </w:tc>
        <w:tc>
          <w:tcPr>
            <w:tcW w:w="42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设备安装完成后，是否对安装的所有监测仪器支架、防护网等进行接地电阻测试，达到防雷设计规范。并及时清理安装现场残余垃圾，保护环境。</w:t>
            </w:r>
          </w:p>
        </w:tc>
        <w:tc>
          <w:tcPr>
            <w:tcW w:w="385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完全符合设计规范4分，部分符合1-3分，不符合0分。</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4</w:t>
            </w:r>
          </w:p>
        </w:tc>
      </w:tr>
      <w:tr>
        <w:tblPrEx>
          <w:tblCellMar>
            <w:top w:w="0" w:type="dxa"/>
            <w:left w:w="108" w:type="dxa"/>
            <w:bottom w:w="0" w:type="dxa"/>
            <w:right w:w="108" w:type="dxa"/>
          </w:tblCellMar>
        </w:tblPrEx>
        <w:trPr>
          <w:trHeight w:val="104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6</w:t>
            </w:r>
          </w:p>
        </w:tc>
        <w:tc>
          <w:tcPr>
            <w:tcW w:w="42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绩效目标明确合理。</w:t>
            </w:r>
          </w:p>
        </w:tc>
        <w:tc>
          <w:tcPr>
            <w:tcW w:w="385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绩效目标与任务书完全一致，量化指标不低于75%，5-7分；绩效目标与任务书基本一致，量化指标低于75%，2-4分；绩效目标与任务书不一致，0分。</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7</w:t>
            </w:r>
          </w:p>
        </w:tc>
      </w:tr>
      <w:tr>
        <w:tblPrEx>
          <w:tblCellMar>
            <w:top w:w="0" w:type="dxa"/>
            <w:left w:w="108" w:type="dxa"/>
            <w:bottom w:w="0" w:type="dxa"/>
            <w:right w:w="108" w:type="dxa"/>
          </w:tblCellMar>
        </w:tblPrEx>
        <w:trPr>
          <w:trHeight w:val="102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7</w:t>
            </w:r>
          </w:p>
        </w:tc>
        <w:tc>
          <w:tcPr>
            <w:tcW w:w="42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预期成果应对提交的监测设备安装、调试记录表；各种野外工作照片；其他原始资料，包括设备清单、设备合格证、交接记录等予以明确。</w:t>
            </w:r>
          </w:p>
        </w:tc>
        <w:tc>
          <w:tcPr>
            <w:tcW w:w="385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预期成果与招标任务书要求完全一致4分，基本一致1-3分，完全不一致0分。</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4</w:t>
            </w:r>
          </w:p>
        </w:tc>
      </w:tr>
      <w:tr>
        <w:tblPrEx>
          <w:tblCellMar>
            <w:top w:w="0" w:type="dxa"/>
            <w:left w:w="108" w:type="dxa"/>
            <w:bottom w:w="0" w:type="dxa"/>
            <w:right w:w="108" w:type="dxa"/>
          </w:tblCellMar>
        </w:tblPrEx>
        <w:trPr>
          <w:trHeight w:val="102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auto"/>
                <w:kern w:val="0"/>
                <w:sz w:val="20"/>
                <w:szCs w:val="20"/>
              </w:rPr>
            </w:pPr>
            <w:r>
              <w:rPr>
                <w:rFonts w:hint="eastAsia" w:ascii="仿宋" w:hAnsi="仿宋" w:eastAsia="仿宋" w:cs="仿宋"/>
                <w:color w:val="auto"/>
                <w:kern w:val="0"/>
                <w:sz w:val="20"/>
                <w:szCs w:val="20"/>
              </w:rPr>
              <w:t>8</w:t>
            </w:r>
          </w:p>
        </w:tc>
        <w:tc>
          <w:tcPr>
            <w:tcW w:w="42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kern w:val="0"/>
                <w:sz w:val="20"/>
                <w:szCs w:val="20"/>
              </w:rPr>
            </w:pPr>
            <w:r>
              <w:rPr>
                <w:rFonts w:hint="eastAsia" w:ascii="仿宋" w:hAnsi="仿宋" w:eastAsia="仿宋" w:cs="仿宋"/>
                <w:color w:val="auto"/>
                <w:kern w:val="0"/>
                <w:sz w:val="20"/>
                <w:szCs w:val="20"/>
                <w:lang w:val="zh-CN"/>
              </w:rPr>
              <w:t>组织管理机构、主要技术人员配备。</w:t>
            </w:r>
          </w:p>
        </w:tc>
        <w:tc>
          <w:tcPr>
            <w:tcW w:w="385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kern w:val="0"/>
                <w:sz w:val="20"/>
                <w:szCs w:val="20"/>
              </w:rPr>
            </w:pPr>
            <w:r>
              <w:rPr>
                <w:rFonts w:hint="eastAsia" w:ascii="仿宋" w:hAnsi="仿宋" w:eastAsia="仿宋" w:cs="仿宋"/>
                <w:color w:val="auto"/>
                <w:kern w:val="0"/>
                <w:sz w:val="20"/>
                <w:szCs w:val="20"/>
              </w:rPr>
              <w:t>管理机构健全明确、项目人员专业组成全面、分工合理4分，基本健全明确、基本全面、合理1-3分，无内容0分。</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4</w:t>
            </w:r>
          </w:p>
        </w:tc>
      </w:tr>
      <w:tr>
        <w:tblPrEx>
          <w:tblCellMar>
            <w:top w:w="0" w:type="dxa"/>
            <w:left w:w="108" w:type="dxa"/>
            <w:bottom w:w="0" w:type="dxa"/>
            <w:right w:w="108" w:type="dxa"/>
          </w:tblCellMar>
        </w:tblPrEx>
        <w:trPr>
          <w:trHeight w:val="716"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auto"/>
                <w:kern w:val="0"/>
                <w:sz w:val="20"/>
                <w:szCs w:val="20"/>
              </w:rPr>
            </w:pPr>
            <w:r>
              <w:rPr>
                <w:rFonts w:hint="eastAsia" w:ascii="仿宋" w:hAnsi="仿宋" w:eastAsia="仿宋" w:cs="仿宋"/>
                <w:color w:val="auto"/>
                <w:kern w:val="0"/>
                <w:sz w:val="20"/>
                <w:szCs w:val="20"/>
              </w:rPr>
              <w:t>9</w:t>
            </w:r>
          </w:p>
        </w:tc>
        <w:tc>
          <w:tcPr>
            <w:tcW w:w="42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主要设备配置应齐备。</w:t>
            </w:r>
          </w:p>
        </w:tc>
        <w:tc>
          <w:tcPr>
            <w:tcW w:w="385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符合项目技术要求、齐备4分，基本符合1-3分，不符合0分。</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4</w:t>
            </w:r>
          </w:p>
        </w:tc>
      </w:tr>
      <w:tr>
        <w:tblPrEx>
          <w:tblCellMar>
            <w:top w:w="0" w:type="dxa"/>
            <w:left w:w="108" w:type="dxa"/>
            <w:bottom w:w="0" w:type="dxa"/>
            <w:right w:w="108" w:type="dxa"/>
          </w:tblCellMar>
        </w:tblPrEx>
        <w:trPr>
          <w:trHeight w:val="78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sz w:val="20"/>
                <w:szCs w:val="20"/>
              </w:rPr>
              <w:t>10</w:t>
            </w:r>
          </w:p>
        </w:tc>
        <w:tc>
          <w:tcPr>
            <w:tcW w:w="42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工程实施计划、培训计划、售后服务计划的合理性和售后服务要求的响应程度。</w:t>
            </w:r>
          </w:p>
        </w:tc>
        <w:tc>
          <w:tcPr>
            <w:tcW w:w="385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完全响应4分，部分响应1-3分，不响应0分。</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4</w:t>
            </w:r>
          </w:p>
        </w:tc>
      </w:tr>
      <w:tr>
        <w:tblPrEx>
          <w:tblCellMar>
            <w:top w:w="0" w:type="dxa"/>
            <w:left w:w="108" w:type="dxa"/>
            <w:bottom w:w="0" w:type="dxa"/>
            <w:right w:w="108" w:type="dxa"/>
          </w:tblCellMar>
        </w:tblPrEx>
        <w:trPr>
          <w:trHeight w:val="720" w:hRule="atLeast"/>
        </w:trPr>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auto"/>
                <w:sz w:val="20"/>
                <w:szCs w:val="20"/>
              </w:rPr>
            </w:pPr>
            <w:r>
              <w:rPr>
                <w:rFonts w:hint="eastAsia" w:ascii="仿宋" w:hAnsi="仿宋" w:eastAsia="仿宋" w:cs="仿宋"/>
                <w:color w:val="auto"/>
                <w:sz w:val="20"/>
                <w:szCs w:val="20"/>
              </w:rPr>
              <w:t>11</w:t>
            </w:r>
          </w:p>
        </w:tc>
        <w:tc>
          <w:tcPr>
            <w:tcW w:w="422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质量、进度、安全的保障体系应健全，主要措施应明确。</w:t>
            </w:r>
          </w:p>
        </w:tc>
        <w:tc>
          <w:tcPr>
            <w:tcW w:w="385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auto"/>
                <w:sz w:val="20"/>
                <w:szCs w:val="20"/>
              </w:rPr>
            </w:pPr>
            <w:r>
              <w:rPr>
                <w:rFonts w:hint="eastAsia" w:ascii="仿宋" w:hAnsi="仿宋" w:eastAsia="仿宋" w:cs="仿宋"/>
                <w:color w:val="auto"/>
                <w:kern w:val="0"/>
                <w:sz w:val="20"/>
                <w:szCs w:val="20"/>
              </w:rPr>
              <w:t>健全明确4分，基本健全明确1-3分，无内容0分。</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4</w:t>
            </w:r>
          </w:p>
        </w:tc>
      </w:tr>
      <w:tr>
        <w:tblPrEx>
          <w:tblCellMar>
            <w:top w:w="0" w:type="dxa"/>
            <w:left w:w="108" w:type="dxa"/>
            <w:bottom w:w="0" w:type="dxa"/>
            <w:right w:w="108" w:type="dxa"/>
          </w:tblCellMar>
        </w:tblPrEx>
        <w:trPr>
          <w:trHeight w:val="478" w:hRule="atLeast"/>
        </w:trPr>
        <w:tc>
          <w:tcPr>
            <w:tcW w:w="853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auto"/>
                <w:kern w:val="0"/>
                <w:sz w:val="20"/>
                <w:szCs w:val="20"/>
              </w:rPr>
            </w:pPr>
            <w:r>
              <w:rPr>
                <w:rFonts w:hint="eastAsia" w:ascii="仿宋" w:hAnsi="仿宋" w:eastAsia="仿宋" w:cs="仿宋"/>
                <w:b/>
                <w:bCs/>
                <w:color w:val="auto"/>
                <w:kern w:val="0"/>
                <w:sz w:val="24"/>
              </w:rPr>
              <w:t>总得分V</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70</w:t>
            </w:r>
          </w:p>
        </w:tc>
      </w:tr>
    </w:tbl>
    <w:p>
      <w:pPr>
        <w:tabs>
          <w:tab w:val="right" w:pos="9213"/>
        </w:tabs>
        <w:jc w:val="left"/>
        <w:rPr>
          <w:color w:val="auto"/>
        </w:rPr>
      </w:pPr>
      <w:r>
        <w:rPr>
          <w:rFonts w:hint="eastAsia"/>
          <w:color w:val="auto"/>
        </w:rPr>
        <w:tab/>
      </w:r>
    </w:p>
    <w:p>
      <w:pPr>
        <w:tabs>
          <w:tab w:val="right" w:pos="9213"/>
        </w:tabs>
        <w:rPr>
          <w:color w:val="auto"/>
        </w:rPr>
      </w:pPr>
    </w:p>
    <w:p>
      <w:pPr>
        <w:tabs>
          <w:tab w:val="right" w:pos="9213"/>
        </w:tabs>
        <w:jc w:val="center"/>
        <w:rPr>
          <w:rFonts w:ascii="仿宋" w:hAnsi="仿宋" w:eastAsia="仿宋" w:cs="仿宋"/>
          <w:b/>
          <w:color w:val="auto"/>
          <w:sz w:val="24"/>
          <w:szCs w:val="20"/>
        </w:rPr>
      </w:pPr>
      <w:bookmarkStart w:id="419" w:name="_Toc14508"/>
    </w:p>
    <w:p>
      <w:pPr>
        <w:tabs>
          <w:tab w:val="right" w:pos="9213"/>
        </w:tabs>
        <w:jc w:val="center"/>
        <w:rPr>
          <w:rFonts w:ascii="仿宋" w:hAnsi="仿宋" w:eastAsia="仿宋" w:cs="仿宋"/>
          <w:b/>
          <w:color w:val="auto"/>
          <w:sz w:val="24"/>
          <w:szCs w:val="20"/>
        </w:rPr>
      </w:pPr>
    </w:p>
    <w:p>
      <w:pPr>
        <w:tabs>
          <w:tab w:val="right" w:pos="9213"/>
        </w:tabs>
        <w:jc w:val="center"/>
        <w:rPr>
          <w:rFonts w:ascii="仿宋" w:hAnsi="仿宋" w:eastAsia="仿宋" w:cs="仿宋"/>
          <w:b/>
          <w:color w:val="auto"/>
          <w:sz w:val="24"/>
          <w:szCs w:val="20"/>
        </w:rPr>
      </w:pPr>
    </w:p>
    <w:p>
      <w:pPr>
        <w:pStyle w:val="27"/>
        <w:rPr>
          <w:rFonts w:ascii="仿宋" w:hAnsi="仿宋" w:eastAsia="仿宋" w:cs="仿宋"/>
          <w:b/>
          <w:color w:val="auto"/>
        </w:rPr>
      </w:pPr>
    </w:p>
    <w:p>
      <w:pPr>
        <w:pStyle w:val="27"/>
        <w:rPr>
          <w:rFonts w:ascii="仿宋" w:hAnsi="仿宋" w:eastAsia="仿宋" w:cs="仿宋"/>
          <w:b/>
          <w:color w:val="auto"/>
        </w:rPr>
      </w:pPr>
    </w:p>
    <w:p>
      <w:pPr>
        <w:pStyle w:val="27"/>
        <w:rPr>
          <w:rFonts w:ascii="仿宋" w:hAnsi="仿宋" w:eastAsia="仿宋" w:cs="仿宋"/>
          <w:b/>
          <w:color w:val="auto"/>
        </w:rPr>
      </w:pPr>
    </w:p>
    <w:p>
      <w:pPr>
        <w:tabs>
          <w:tab w:val="right" w:pos="9213"/>
        </w:tabs>
        <w:jc w:val="center"/>
        <w:rPr>
          <w:rFonts w:ascii="仿宋" w:hAnsi="仿宋" w:eastAsia="仿宋" w:cs="仿宋"/>
          <w:b/>
          <w:color w:val="auto"/>
          <w:sz w:val="24"/>
          <w:szCs w:val="20"/>
        </w:rPr>
      </w:pPr>
      <w:r>
        <w:rPr>
          <w:rFonts w:hint="eastAsia" w:ascii="仿宋" w:hAnsi="仿宋" w:eastAsia="仿宋" w:cs="仿宋"/>
          <w:b/>
          <w:color w:val="auto"/>
          <w:sz w:val="24"/>
          <w:szCs w:val="20"/>
        </w:rPr>
        <w:t>报价评分表</w:t>
      </w:r>
      <w:bookmarkEnd w:id="419"/>
    </w:p>
    <w:p>
      <w:pPr>
        <w:pStyle w:val="27"/>
        <w:rPr>
          <w:color w:val="auto"/>
        </w:rPr>
      </w:pPr>
    </w:p>
    <w:tbl>
      <w:tblPr>
        <w:tblStyle w:val="37"/>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681"/>
        <w:gridCol w:w="6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4" w:hRule="atLeast"/>
          <w:jc w:val="center"/>
        </w:trPr>
        <w:tc>
          <w:tcPr>
            <w:tcW w:w="1263" w:type="dxa"/>
            <w:vAlign w:val="center"/>
          </w:tcPr>
          <w:p>
            <w:pPr>
              <w:jc w:val="center"/>
              <w:rPr>
                <w:rFonts w:ascii="仿宋" w:hAnsi="仿宋" w:eastAsia="仿宋" w:cs="仿宋"/>
                <w:color w:val="auto"/>
              </w:rPr>
            </w:pPr>
            <w:r>
              <w:rPr>
                <w:rFonts w:hint="eastAsia" w:ascii="仿宋" w:hAnsi="仿宋" w:eastAsia="仿宋" w:cs="仿宋"/>
                <w:color w:val="auto"/>
              </w:rPr>
              <w:t>报价评审</w:t>
            </w:r>
          </w:p>
        </w:tc>
        <w:tc>
          <w:tcPr>
            <w:tcW w:w="681" w:type="dxa"/>
            <w:vAlign w:val="center"/>
          </w:tcPr>
          <w:p>
            <w:pPr>
              <w:jc w:val="center"/>
              <w:rPr>
                <w:rFonts w:ascii="仿宋" w:hAnsi="仿宋" w:eastAsia="仿宋" w:cs="仿宋"/>
                <w:color w:val="auto"/>
              </w:rPr>
            </w:pPr>
            <w:r>
              <w:rPr>
                <w:rFonts w:hint="eastAsia" w:ascii="仿宋" w:hAnsi="仿宋" w:eastAsia="仿宋" w:cs="仿宋"/>
                <w:color w:val="auto"/>
              </w:rPr>
              <w:t>10</w:t>
            </w:r>
          </w:p>
        </w:tc>
        <w:tc>
          <w:tcPr>
            <w:tcW w:w="6698" w:type="dxa"/>
            <w:vAlign w:val="center"/>
          </w:tcPr>
          <w:p>
            <w:pPr>
              <w:spacing w:line="440" w:lineRule="exact"/>
              <w:rPr>
                <w:rFonts w:ascii="仿宋" w:hAnsi="仿宋" w:eastAsia="仿宋" w:cs="仿宋"/>
                <w:color w:val="auto"/>
              </w:rPr>
            </w:pPr>
            <w:r>
              <w:rPr>
                <w:rFonts w:hint="eastAsia" w:ascii="仿宋" w:hAnsi="仿宋" w:eastAsia="仿宋" w:cs="仿宋"/>
                <w:color w:val="auto"/>
              </w:rPr>
              <w:t>各供应商的价格得分的计算公式：采用低价优先法计算，即满足采购文件要求且投标价格最低的投标报价为评标基准价，其价格分为满分。其他供应商的价格分统一按照下列公式计算：投标报价得分=(评标基准价／投标报价)×价格权值；计算分数时四舍五入取小数点后两位。由监标人员负责核准每个合格供应商的价格得分。（注：若报价单位为中小企业，其投标报价扣除10%后参与评审，提供相关证明资料，否则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944" w:type="dxa"/>
            <w:gridSpan w:val="2"/>
            <w:vAlign w:val="center"/>
          </w:tcPr>
          <w:p>
            <w:pPr>
              <w:jc w:val="center"/>
              <w:rPr>
                <w:rFonts w:ascii="仿宋" w:hAnsi="仿宋" w:eastAsia="仿宋" w:cs="仿宋"/>
                <w:color w:val="auto"/>
              </w:rPr>
            </w:pPr>
            <w:r>
              <w:rPr>
                <w:rFonts w:hint="eastAsia" w:ascii="仿宋" w:hAnsi="仿宋" w:eastAsia="仿宋" w:cs="仿宋"/>
                <w:color w:val="auto"/>
              </w:rPr>
              <w:t>报价分合计</w:t>
            </w:r>
          </w:p>
        </w:tc>
        <w:tc>
          <w:tcPr>
            <w:tcW w:w="6698" w:type="dxa"/>
            <w:vAlign w:val="center"/>
          </w:tcPr>
          <w:p>
            <w:pPr>
              <w:jc w:val="center"/>
              <w:rPr>
                <w:rFonts w:ascii="仿宋" w:hAnsi="仿宋" w:eastAsia="仿宋" w:cs="仿宋"/>
                <w:color w:val="auto"/>
              </w:rPr>
            </w:pPr>
            <w:r>
              <w:rPr>
                <w:rFonts w:hint="eastAsia" w:ascii="仿宋" w:hAnsi="仿宋" w:eastAsia="仿宋" w:cs="仿宋"/>
                <w:color w:val="auto"/>
              </w:rPr>
              <w:t>10</w:t>
            </w:r>
          </w:p>
        </w:tc>
      </w:tr>
    </w:tbl>
    <w:p>
      <w:pPr>
        <w:spacing w:line="240" w:lineRule="atLeast"/>
        <w:jc w:val="left"/>
        <w:rPr>
          <w:rFonts w:ascii="楷体" w:hAnsi="楷体" w:eastAsia="楷体" w:cs="楷体"/>
          <w:b/>
          <w:color w:val="auto"/>
          <w:sz w:val="24"/>
        </w:rPr>
      </w:pPr>
    </w:p>
    <w:p>
      <w:pPr>
        <w:tabs>
          <w:tab w:val="right" w:pos="9213"/>
        </w:tabs>
        <w:jc w:val="center"/>
        <w:rPr>
          <w:rFonts w:ascii="楷体" w:hAnsi="楷体" w:eastAsia="楷体" w:cs="楷体"/>
          <w:b/>
          <w:color w:val="auto"/>
          <w:sz w:val="24"/>
        </w:rPr>
      </w:pPr>
      <w:r>
        <w:rPr>
          <w:rFonts w:hint="eastAsia" w:ascii="楷体" w:hAnsi="楷体" w:eastAsia="楷体" w:cs="楷体"/>
          <w:b/>
          <w:color w:val="auto"/>
          <w:sz w:val="24"/>
        </w:rPr>
        <w:br w:type="page"/>
      </w:r>
    </w:p>
    <w:p>
      <w:pPr>
        <w:spacing w:line="240" w:lineRule="atLeast"/>
        <w:jc w:val="left"/>
        <w:outlineLvl w:val="1"/>
        <w:rPr>
          <w:rFonts w:ascii="楷体" w:hAnsi="楷体" w:eastAsia="楷体" w:cs="楷体"/>
          <w:b/>
          <w:color w:val="auto"/>
          <w:sz w:val="24"/>
        </w:rPr>
      </w:pPr>
      <w:bookmarkStart w:id="420" w:name="_Toc22517"/>
      <w:bookmarkStart w:id="421" w:name="_Toc6526"/>
      <w:r>
        <w:rPr>
          <w:rFonts w:hint="eastAsia" w:ascii="楷体" w:hAnsi="楷体" w:eastAsia="楷体" w:cs="楷体"/>
          <w:b/>
          <w:color w:val="auto"/>
          <w:sz w:val="24"/>
        </w:rPr>
        <w:t>标项</w:t>
      </w:r>
      <w:r>
        <w:rPr>
          <w:rFonts w:hint="eastAsia" w:ascii="楷体" w:hAnsi="楷体" w:eastAsia="楷体" w:cs="楷体"/>
          <w:b/>
          <w:color w:val="auto"/>
          <w:sz w:val="24"/>
          <w:lang w:val="en-US" w:eastAsia="zh-CN"/>
        </w:rPr>
        <w:t>六</w:t>
      </w:r>
      <w:r>
        <w:rPr>
          <w:rFonts w:hint="eastAsia" w:ascii="楷体" w:hAnsi="楷体" w:eastAsia="楷体" w:cs="楷体"/>
          <w:b/>
          <w:color w:val="auto"/>
          <w:sz w:val="24"/>
        </w:rPr>
        <w:t>评分标准</w:t>
      </w:r>
      <w:bookmarkEnd w:id="420"/>
      <w:bookmarkEnd w:id="421"/>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ascii="仿宋" w:hAnsi="仿宋" w:eastAsia="仿宋" w:cs="仿宋"/>
          <w:b/>
          <w:color w:val="auto"/>
          <w:sz w:val="24"/>
          <w:szCs w:val="20"/>
        </w:rPr>
      </w:pPr>
      <w:r>
        <w:rPr>
          <w:rFonts w:hint="eastAsia" w:ascii="仿宋" w:hAnsi="仿宋" w:eastAsia="仿宋" w:cs="仿宋"/>
          <w:b/>
          <w:color w:val="auto"/>
          <w:sz w:val="24"/>
          <w:szCs w:val="20"/>
        </w:rPr>
        <w:t>商务评分表</w:t>
      </w:r>
    </w:p>
    <w:tbl>
      <w:tblPr>
        <w:tblStyle w:val="37"/>
        <w:tblpPr w:leftFromText="180" w:rightFromText="180" w:vertAnchor="text" w:horzAnchor="page" w:tblpXSpec="center" w:tblpY="191"/>
        <w:tblOverlap w:val="never"/>
        <w:tblW w:w="8498" w:type="dxa"/>
        <w:jc w:val="center"/>
        <w:tblLayout w:type="fixed"/>
        <w:tblCellMar>
          <w:top w:w="0" w:type="dxa"/>
          <w:left w:w="0" w:type="dxa"/>
          <w:bottom w:w="0" w:type="dxa"/>
          <w:right w:w="0" w:type="dxa"/>
        </w:tblCellMar>
      </w:tblPr>
      <w:tblGrid>
        <w:gridCol w:w="639"/>
        <w:gridCol w:w="3876"/>
        <w:gridCol w:w="3202"/>
        <w:gridCol w:w="781"/>
      </w:tblGrid>
      <w:tr>
        <w:tblPrEx>
          <w:tblCellMar>
            <w:top w:w="0" w:type="dxa"/>
            <w:left w:w="0" w:type="dxa"/>
            <w:bottom w:w="0" w:type="dxa"/>
            <w:right w:w="0" w:type="dxa"/>
          </w:tblCellMar>
        </w:tblPrEx>
        <w:trPr>
          <w:trHeight w:val="360" w:hRule="atLeast"/>
          <w:jc w:val="center"/>
        </w:trPr>
        <w:tc>
          <w:tcPr>
            <w:tcW w:w="63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sz w:val="24"/>
              </w:rPr>
            </w:pPr>
            <w:r>
              <w:rPr>
                <w:rFonts w:hint="eastAsia" w:ascii="仿宋" w:hAnsi="仿宋" w:eastAsia="仿宋" w:cs="仿宋"/>
                <w:b/>
                <w:color w:val="auto"/>
                <w:kern w:val="0"/>
                <w:sz w:val="24"/>
              </w:rPr>
              <w:t>序号</w:t>
            </w:r>
          </w:p>
        </w:tc>
        <w:tc>
          <w:tcPr>
            <w:tcW w:w="387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sz w:val="24"/>
              </w:rPr>
            </w:pPr>
            <w:r>
              <w:rPr>
                <w:rFonts w:hint="eastAsia" w:ascii="仿宋" w:hAnsi="仿宋" w:eastAsia="仿宋" w:cs="仿宋"/>
                <w:b/>
                <w:color w:val="auto"/>
                <w:kern w:val="0"/>
                <w:sz w:val="24"/>
              </w:rPr>
              <w:t>评分内容</w:t>
            </w:r>
          </w:p>
        </w:tc>
        <w:tc>
          <w:tcPr>
            <w:tcW w:w="320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sz w:val="24"/>
              </w:rPr>
            </w:pPr>
            <w:r>
              <w:rPr>
                <w:rFonts w:hint="eastAsia" w:ascii="仿宋" w:hAnsi="仿宋" w:eastAsia="仿宋" w:cs="仿宋"/>
                <w:b/>
                <w:color w:val="auto"/>
                <w:kern w:val="0"/>
                <w:sz w:val="24"/>
              </w:rPr>
              <w:t>评分标准</w:t>
            </w:r>
          </w:p>
        </w:tc>
        <w:tc>
          <w:tcPr>
            <w:tcW w:w="78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color w:val="auto"/>
                <w:sz w:val="24"/>
              </w:rPr>
            </w:pPr>
            <w:r>
              <w:rPr>
                <w:rFonts w:hint="eastAsia" w:ascii="仿宋" w:hAnsi="仿宋" w:eastAsia="仿宋" w:cs="仿宋"/>
                <w:b/>
                <w:color w:val="auto"/>
                <w:kern w:val="0"/>
                <w:sz w:val="24"/>
              </w:rPr>
              <w:t>满分</w:t>
            </w:r>
          </w:p>
        </w:tc>
      </w:tr>
      <w:tr>
        <w:tblPrEx>
          <w:tblCellMar>
            <w:top w:w="0" w:type="dxa"/>
            <w:left w:w="0" w:type="dxa"/>
            <w:bottom w:w="0" w:type="dxa"/>
            <w:right w:w="0" w:type="dxa"/>
          </w:tblCellMar>
        </w:tblPrEx>
        <w:trPr>
          <w:trHeight w:val="360"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auto"/>
                <w:sz w:val="24"/>
              </w:rPr>
            </w:pPr>
          </w:p>
        </w:tc>
        <w:tc>
          <w:tcPr>
            <w:tcW w:w="38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auto"/>
                <w:sz w:val="24"/>
              </w:rPr>
            </w:pPr>
          </w:p>
        </w:tc>
        <w:tc>
          <w:tcPr>
            <w:tcW w:w="320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auto"/>
                <w:sz w:val="24"/>
              </w:rPr>
            </w:pPr>
          </w:p>
        </w:tc>
        <w:tc>
          <w:tcPr>
            <w:tcW w:w="78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color w:val="auto"/>
                <w:sz w:val="24"/>
              </w:rPr>
            </w:pPr>
            <w:r>
              <w:rPr>
                <w:rFonts w:hint="eastAsia" w:ascii="仿宋" w:hAnsi="仿宋" w:eastAsia="仿宋" w:cs="仿宋"/>
                <w:b/>
                <w:color w:val="auto"/>
                <w:kern w:val="0"/>
                <w:sz w:val="24"/>
              </w:rPr>
              <w:t>10分</w:t>
            </w:r>
          </w:p>
        </w:tc>
      </w:tr>
      <w:tr>
        <w:tblPrEx>
          <w:tblCellMar>
            <w:top w:w="0" w:type="dxa"/>
            <w:left w:w="0" w:type="dxa"/>
            <w:bottom w:w="0" w:type="dxa"/>
            <w:right w:w="0" w:type="dxa"/>
          </w:tblCellMar>
        </w:tblPrEx>
        <w:trPr>
          <w:trHeight w:val="956" w:hRule="atLeast"/>
          <w:jc w:val="center"/>
        </w:trPr>
        <w:tc>
          <w:tcPr>
            <w:tcW w:w="6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sz w:val="22"/>
                <w:szCs w:val="22"/>
              </w:rPr>
            </w:pPr>
            <w:r>
              <w:rPr>
                <w:rFonts w:hint="eastAsia" w:ascii="仿宋" w:hAnsi="仿宋" w:eastAsia="仿宋" w:cs="仿宋"/>
                <w:b/>
                <w:color w:val="auto"/>
                <w:kern w:val="0"/>
                <w:sz w:val="22"/>
                <w:szCs w:val="22"/>
              </w:rPr>
              <w:t>1</w:t>
            </w:r>
          </w:p>
        </w:tc>
        <w:tc>
          <w:tcPr>
            <w:tcW w:w="3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abs>
                <w:tab w:val="left" w:pos="1381"/>
              </w:tabs>
              <w:jc w:val="left"/>
              <w:textAlignment w:val="center"/>
              <w:rPr>
                <w:rFonts w:ascii="仿宋" w:hAnsi="仿宋" w:eastAsia="仿宋" w:cs="仿宋"/>
                <w:color w:val="auto"/>
                <w:sz w:val="22"/>
                <w:szCs w:val="22"/>
              </w:rPr>
            </w:pPr>
            <w:r>
              <w:rPr>
                <w:rFonts w:hint="eastAsia" w:ascii="仿宋" w:hAnsi="仿宋" w:eastAsia="仿宋" w:cs="仿宋"/>
                <w:color w:val="auto"/>
                <w:sz w:val="22"/>
                <w:szCs w:val="22"/>
              </w:rPr>
              <w:t>对招标文件及合同条款的确认。</w:t>
            </w:r>
          </w:p>
        </w:tc>
        <w:tc>
          <w:tcPr>
            <w:tcW w:w="32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textAlignment w:val="center"/>
              <w:rPr>
                <w:rFonts w:ascii="仿宋" w:hAnsi="仿宋" w:eastAsia="仿宋" w:cs="仿宋"/>
                <w:color w:val="auto"/>
                <w:sz w:val="22"/>
                <w:szCs w:val="22"/>
              </w:rPr>
            </w:pPr>
            <w:r>
              <w:rPr>
                <w:rFonts w:hint="eastAsia" w:ascii="仿宋" w:hAnsi="仿宋" w:eastAsia="仿宋" w:cs="仿宋"/>
                <w:color w:val="auto"/>
                <w:sz w:val="22"/>
                <w:szCs w:val="22"/>
              </w:rPr>
              <w:t>具有明确的确认说明1分，无说明不得分。</w:t>
            </w:r>
          </w:p>
        </w:tc>
        <w:tc>
          <w:tcPr>
            <w:tcW w:w="7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szCs w:val="21"/>
              </w:rPr>
            </w:pPr>
            <w:r>
              <w:rPr>
                <w:rFonts w:hint="eastAsia" w:ascii="仿宋" w:hAnsi="仿宋" w:eastAsia="仿宋" w:cs="仿宋"/>
                <w:b/>
                <w:color w:val="auto"/>
                <w:szCs w:val="21"/>
              </w:rPr>
              <w:t>1</w:t>
            </w:r>
          </w:p>
        </w:tc>
      </w:tr>
      <w:tr>
        <w:tblPrEx>
          <w:tblCellMar>
            <w:top w:w="0" w:type="dxa"/>
            <w:left w:w="0" w:type="dxa"/>
            <w:bottom w:w="0" w:type="dxa"/>
            <w:right w:w="0" w:type="dxa"/>
          </w:tblCellMar>
        </w:tblPrEx>
        <w:trPr>
          <w:trHeight w:val="956" w:hRule="atLeast"/>
          <w:jc w:val="center"/>
        </w:trPr>
        <w:tc>
          <w:tcPr>
            <w:tcW w:w="6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sz w:val="22"/>
                <w:szCs w:val="22"/>
              </w:rPr>
            </w:pPr>
            <w:r>
              <w:rPr>
                <w:rFonts w:hint="eastAsia" w:ascii="仿宋" w:hAnsi="仿宋" w:eastAsia="仿宋" w:cs="仿宋"/>
                <w:b/>
                <w:color w:val="auto"/>
                <w:kern w:val="0"/>
                <w:sz w:val="22"/>
                <w:szCs w:val="22"/>
              </w:rPr>
              <w:t>2</w:t>
            </w:r>
          </w:p>
        </w:tc>
        <w:tc>
          <w:tcPr>
            <w:tcW w:w="3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auto"/>
                <w:sz w:val="22"/>
                <w:szCs w:val="22"/>
              </w:rPr>
            </w:pPr>
            <w:r>
              <w:rPr>
                <w:rFonts w:hint="eastAsia" w:ascii="仿宋" w:hAnsi="仿宋" w:eastAsia="仿宋" w:cs="仿宋"/>
                <w:color w:val="auto"/>
                <w:kern w:val="0"/>
                <w:sz w:val="20"/>
                <w:szCs w:val="20"/>
              </w:rPr>
              <w:t>投入项目人员数量满足要求，工种齐全，人员专业结构配备合理。</w:t>
            </w:r>
          </w:p>
        </w:tc>
        <w:tc>
          <w:tcPr>
            <w:tcW w:w="32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auto"/>
                <w:sz w:val="22"/>
                <w:szCs w:val="22"/>
              </w:rPr>
            </w:pPr>
            <w:r>
              <w:rPr>
                <w:rFonts w:hint="eastAsia" w:ascii="仿宋" w:hAnsi="仿宋" w:eastAsia="仿宋" w:cs="仿宋"/>
                <w:color w:val="auto"/>
                <w:kern w:val="0"/>
                <w:sz w:val="20"/>
                <w:szCs w:val="20"/>
              </w:rPr>
              <w:t>人员数量情况1-1.5分；工种搭配情况0.5-0.9分；专业结构情况≤0.4分。</w:t>
            </w:r>
          </w:p>
        </w:tc>
        <w:tc>
          <w:tcPr>
            <w:tcW w:w="7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szCs w:val="21"/>
              </w:rPr>
            </w:pPr>
            <w:r>
              <w:rPr>
                <w:rFonts w:hint="eastAsia" w:ascii="仿宋" w:hAnsi="仿宋" w:eastAsia="仿宋" w:cs="仿宋"/>
                <w:b/>
                <w:color w:val="auto"/>
                <w:szCs w:val="21"/>
              </w:rPr>
              <w:t>1.5</w:t>
            </w:r>
          </w:p>
        </w:tc>
      </w:tr>
      <w:tr>
        <w:tblPrEx>
          <w:tblCellMar>
            <w:top w:w="0" w:type="dxa"/>
            <w:left w:w="0" w:type="dxa"/>
            <w:bottom w:w="0" w:type="dxa"/>
            <w:right w:w="0" w:type="dxa"/>
          </w:tblCellMar>
        </w:tblPrEx>
        <w:trPr>
          <w:trHeight w:val="1146" w:hRule="atLeast"/>
          <w:jc w:val="center"/>
        </w:trPr>
        <w:tc>
          <w:tcPr>
            <w:tcW w:w="6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sz w:val="22"/>
                <w:szCs w:val="22"/>
              </w:rPr>
            </w:pPr>
            <w:r>
              <w:rPr>
                <w:rFonts w:hint="eastAsia" w:ascii="仿宋" w:hAnsi="仿宋" w:eastAsia="仿宋" w:cs="仿宋"/>
                <w:b/>
                <w:color w:val="auto"/>
                <w:kern w:val="0"/>
                <w:sz w:val="22"/>
                <w:szCs w:val="22"/>
              </w:rPr>
              <w:t>3</w:t>
            </w:r>
          </w:p>
        </w:tc>
        <w:tc>
          <w:tcPr>
            <w:tcW w:w="3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auto"/>
                <w:sz w:val="22"/>
                <w:szCs w:val="22"/>
              </w:rPr>
            </w:pPr>
            <w:r>
              <w:rPr>
                <w:rFonts w:hint="eastAsia" w:ascii="仿宋" w:hAnsi="仿宋" w:eastAsia="仿宋" w:cs="仿宋"/>
                <w:color w:val="auto"/>
                <w:kern w:val="0"/>
                <w:sz w:val="20"/>
                <w:szCs w:val="20"/>
              </w:rPr>
              <w:t>仪器、设备配置。</w:t>
            </w:r>
          </w:p>
        </w:tc>
        <w:tc>
          <w:tcPr>
            <w:tcW w:w="32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auto"/>
                <w:sz w:val="22"/>
                <w:szCs w:val="22"/>
              </w:rPr>
            </w:pPr>
            <w:r>
              <w:rPr>
                <w:rFonts w:hint="eastAsia" w:ascii="仿宋" w:hAnsi="仿宋" w:eastAsia="仿宋" w:cs="仿宋"/>
                <w:color w:val="auto"/>
                <w:kern w:val="0"/>
                <w:sz w:val="20"/>
                <w:szCs w:val="20"/>
              </w:rPr>
              <w:t>设备齐全且满足需求1分；设备较齐全0.5分；其他情况≤0.4分。</w:t>
            </w:r>
          </w:p>
        </w:tc>
        <w:tc>
          <w:tcPr>
            <w:tcW w:w="7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szCs w:val="21"/>
              </w:rPr>
            </w:pPr>
            <w:r>
              <w:rPr>
                <w:rFonts w:hint="eastAsia" w:ascii="仿宋" w:hAnsi="仿宋" w:eastAsia="仿宋" w:cs="仿宋"/>
                <w:b/>
                <w:color w:val="auto"/>
                <w:szCs w:val="21"/>
              </w:rPr>
              <w:t>1</w:t>
            </w:r>
          </w:p>
        </w:tc>
      </w:tr>
      <w:tr>
        <w:tblPrEx>
          <w:tblCellMar>
            <w:top w:w="0" w:type="dxa"/>
            <w:left w:w="0" w:type="dxa"/>
            <w:bottom w:w="0" w:type="dxa"/>
            <w:right w:w="0" w:type="dxa"/>
          </w:tblCellMar>
        </w:tblPrEx>
        <w:trPr>
          <w:trHeight w:val="645" w:hRule="atLeast"/>
          <w:jc w:val="center"/>
        </w:trPr>
        <w:tc>
          <w:tcPr>
            <w:tcW w:w="6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sz w:val="22"/>
                <w:szCs w:val="22"/>
              </w:rPr>
            </w:pPr>
            <w:r>
              <w:rPr>
                <w:rFonts w:hint="eastAsia" w:ascii="仿宋" w:hAnsi="仿宋" w:eastAsia="仿宋" w:cs="仿宋"/>
                <w:b/>
                <w:color w:val="auto"/>
                <w:kern w:val="0"/>
                <w:sz w:val="22"/>
                <w:szCs w:val="22"/>
              </w:rPr>
              <w:t>4</w:t>
            </w:r>
          </w:p>
        </w:tc>
        <w:tc>
          <w:tcPr>
            <w:tcW w:w="3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auto"/>
                <w:sz w:val="22"/>
                <w:szCs w:val="22"/>
              </w:rPr>
            </w:pPr>
            <w:r>
              <w:rPr>
                <w:rFonts w:hint="eastAsia" w:ascii="仿宋" w:hAnsi="仿宋" w:eastAsia="仿宋" w:cs="仿宋"/>
                <w:color w:val="auto"/>
                <w:sz w:val="22"/>
                <w:szCs w:val="22"/>
              </w:rPr>
              <w:t>近三年资产状况。</w:t>
            </w:r>
          </w:p>
        </w:tc>
        <w:tc>
          <w:tcPr>
            <w:tcW w:w="32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auto"/>
                <w:sz w:val="22"/>
                <w:szCs w:val="22"/>
              </w:rPr>
            </w:pPr>
            <w:r>
              <w:rPr>
                <w:rFonts w:hint="eastAsia" w:ascii="仿宋" w:hAnsi="仿宋" w:eastAsia="仿宋" w:cs="仿宋"/>
                <w:color w:val="auto"/>
                <w:sz w:val="22"/>
                <w:szCs w:val="22"/>
              </w:rPr>
              <w:t>资产状况良级及以上1分，良级以下不得分。</w:t>
            </w:r>
          </w:p>
        </w:tc>
        <w:tc>
          <w:tcPr>
            <w:tcW w:w="7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szCs w:val="21"/>
              </w:rPr>
            </w:pPr>
            <w:r>
              <w:rPr>
                <w:rFonts w:hint="eastAsia" w:ascii="仿宋" w:hAnsi="仿宋" w:eastAsia="仿宋" w:cs="仿宋"/>
                <w:b/>
                <w:color w:val="auto"/>
                <w:szCs w:val="21"/>
              </w:rPr>
              <w:t>1</w:t>
            </w:r>
          </w:p>
        </w:tc>
      </w:tr>
      <w:tr>
        <w:tblPrEx>
          <w:tblCellMar>
            <w:top w:w="0" w:type="dxa"/>
            <w:left w:w="0" w:type="dxa"/>
            <w:bottom w:w="0" w:type="dxa"/>
            <w:right w:w="0" w:type="dxa"/>
          </w:tblCellMar>
        </w:tblPrEx>
        <w:trPr>
          <w:trHeight w:val="1426" w:hRule="atLeast"/>
          <w:jc w:val="center"/>
        </w:trPr>
        <w:tc>
          <w:tcPr>
            <w:tcW w:w="6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sz w:val="22"/>
                <w:szCs w:val="22"/>
              </w:rPr>
            </w:pPr>
            <w:r>
              <w:rPr>
                <w:rFonts w:hint="eastAsia" w:ascii="仿宋" w:hAnsi="仿宋" w:eastAsia="仿宋" w:cs="仿宋"/>
                <w:b/>
                <w:color w:val="auto"/>
                <w:kern w:val="0"/>
                <w:sz w:val="22"/>
                <w:szCs w:val="22"/>
              </w:rPr>
              <w:t>5</w:t>
            </w:r>
          </w:p>
        </w:tc>
        <w:tc>
          <w:tcPr>
            <w:tcW w:w="3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auto"/>
                <w:sz w:val="22"/>
                <w:szCs w:val="22"/>
              </w:rPr>
            </w:pPr>
            <w:r>
              <w:rPr>
                <w:rFonts w:hint="eastAsia" w:ascii="仿宋" w:hAnsi="仿宋" w:eastAsia="仿宋" w:cs="仿宋"/>
                <w:color w:val="auto"/>
                <w:kern w:val="0"/>
                <w:sz w:val="20"/>
                <w:szCs w:val="20"/>
              </w:rPr>
              <w:t>组织管理、质量、进度、安全的保障体系及主要措施。</w:t>
            </w:r>
          </w:p>
        </w:tc>
        <w:tc>
          <w:tcPr>
            <w:tcW w:w="32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auto"/>
                <w:sz w:val="22"/>
                <w:szCs w:val="22"/>
              </w:rPr>
            </w:pPr>
            <w:r>
              <w:rPr>
                <w:rFonts w:hint="eastAsia" w:ascii="仿宋" w:hAnsi="仿宋" w:eastAsia="仿宋" w:cs="仿宋"/>
                <w:color w:val="auto"/>
                <w:kern w:val="0"/>
                <w:sz w:val="20"/>
                <w:szCs w:val="20"/>
              </w:rPr>
              <w:t>保障体系齐全、措施有效1.5分；保障体系基本齐全、措施基本有效0.5-0.9分；保障体系不健全≤0.4分。</w:t>
            </w:r>
          </w:p>
        </w:tc>
        <w:tc>
          <w:tcPr>
            <w:tcW w:w="7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szCs w:val="21"/>
              </w:rPr>
            </w:pPr>
            <w:r>
              <w:rPr>
                <w:rFonts w:hint="eastAsia" w:ascii="仿宋" w:hAnsi="仿宋" w:eastAsia="仿宋" w:cs="仿宋"/>
                <w:b/>
                <w:color w:val="auto"/>
                <w:szCs w:val="21"/>
              </w:rPr>
              <w:t>1.5</w:t>
            </w:r>
          </w:p>
        </w:tc>
      </w:tr>
      <w:tr>
        <w:tblPrEx>
          <w:tblCellMar>
            <w:top w:w="0" w:type="dxa"/>
            <w:left w:w="0" w:type="dxa"/>
            <w:bottom w:w="0" w:type="dxa"/>
            <w:right w:w="0" w:type="dxa"/>
          </w:tblCellMar>
        </w:tblPrEx>
        <w:trPr>
          <w:trHeight w:val="779" w:hRule="atLeast"/>
          <w:jc w:val="center"/>
        </w:trPr>
        <w:tc>
          <w:tcPr>
            <w:tcW w:w="6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sz w:val="22"/>
                <w:szCs w:val="22"/>
              </w:rPr>
            </w:pPr>
            <w:r>
              <w:rPr>
                <w:rFonts w:hint="eastAsia" w:ascii="仿宋" w:hAnsi="仿宋" w:eastAsia="仿宋" w:cs="仿宋"/>
                <w:b/>
                <w:color w:val="auto"/>
                <w:kern w:val="0"/>
                <w:sz w:val="22"/>
                <w:szCs w:val="22"/>
              </w:rPr>
              <w:t>6</w:t>
            </w:r>
          </w:p>
        </w:tc>
        <w:tc>
          <w:tcPr>
            <w:tcW w:w="3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auto"/>
                <w:sz w:val="22"/>
                <w:szCs w:val="22"/>
              </w:rPr>
            </w:pPr>
            <w:r>
              <w:rPr>
                <w:rFonts w:hint="eastAsia" w:ascii="仿宋" w:hAnsi="仿宋" w:eastAsia="仿宋" w:cs="仿宋"/>
                <w:color w:val="auto"/>
                <w:kern w:val="0"/>
                <w:sz w:val="20"/>
                <w:szCs w:val="20"/>
              </w:rPr>
              <w:t>组织管理机构应健全，应建立领导小组。</w:t>
            </w:r>
          </w:p>
        </w:tc>
        <w:tc>
          <w:tcPr>
            <w:tcW w:w="32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auto"/>
                <w:sz w:val="22"/>
                <w:szCs w:val="22"/>
              </w:rPr>
            </w:pPr>
            <w:r>
              <w:rPr>
                <w:rFonts w:hint="eastAsia" w:ascii="仿宋" w:hAnsi="仿宋" w:eastAsia="仿宋" w:cs="仿宋"/>
                <w:color w:val="auto"/>
                <w:kern w:val="0"/>
                <w:sz w:val="20"/>
                <w:szCs w:val="20"/>
              </w:rPr>
              <w:t>健全明确1分，基本健全明确0.5-0.9分，无内容≤0.4分。</w:t>
            </w:r>
          </w:p>
        </w:tc>
        <w:tc>
          <w:tcPr>
            <w:tcW w:w="7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szCs w:val="21"/>
              </w:rPr>
            </w:pPr>
            <w:r>
              <w:rPr>
                <w:rFonts w:hint="eastAsia" w:ascii="仿宋" w:hAnsi="仿宋" w:eastAsia="仿宋" w:cs="仿宋"/>
                <w:b/>
                <w:color w:val="auto"/>
                <w:szCs w:val="21"/>
              </w:rPr>
              <w:t>1</w:t>
            </w:r>
          </w:p>
        </w:tc>
      </w:tr>
      <w:tr>
        <w:tblPrEx>
          <w:tblCellMar>
            <w:top w:w="0" w:type="dxa"/>
            <w:left w:w="0" w:type="dxa"/>
            <w:bottom w:w="0" w:type="dxa"/>
            <w:right w:w="0" w:type="dxa"/>
          </w:tblCellMar>
        </w:tblPrEx>
        <w:trPr>
          <w:trHeight w:val="779" w:hRule="atLeast"/>
          <w:jc w:val="center"/>
        </w:trPr>
        <w:tc>
          <w:tcPr>
            <w:tcW w:w="6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kern w:val="0"/>
                <w:sz w:val="22"/>
                <w:szCs w:val="22"/>
              </w:rPr>
            </w:pPr>
            <w:r>
              <w:rPr>
                <w:rFonts w:hint="eastAsia" w:ascii="仿宋" w:hAnsi="仿宋" w:eastAsia="仿宋" w:cs="仿宋"/>
                <w:b/>
                <w:color w:val="auto"/>
                <w:kern w:val="0"/>
                <w:sz w:val="22"/>
                <w:szCs w:val="22"/>
              </w:rPr>
              <w:t>7</w:t>
            </w:r>
          </w:p>
        </w:tc>
        <w:tc>
          <w:tcPr>
            <w:tcW w:w="3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auto"/>
                <w:kern w:val="0"/>
                <w:sz w:val="20"/>
                <w:szCs w:val="20"/>
              </w:rPr>
            </w:pPr>
            <w:r>
              <w:rPr>
                <w:rFonts w:hint="eastAsia" w:ascii="仿宋" w:hAnsi="仿宋" w:eastAsia="仿宋" w:cs="仿宋"/>
                <w:color w:val="auto"/>
                <w:kern w:val="0"/>
                <w:sz w:val="20"/>
                <w:szCs w:val="20"/>
              </w:rPr>
              <w:t>拟派出的总监、总监代表人的职称。</w:t>
            </w:r>
          </w:p>
        </w:tc>
        <w:tc>
          <w:tcPr>
            <w:tcW w:w="32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auto"/>
                <w:sz w:val="22"/>
                <w:szCs w:val="22"/>
              </w:rPr>
            </w:pPr>
            <w:r>
              <w:rPr>
                <w:rFonts w:hint="eastAsia" w:ascii="仿宋" w:hAnsi="仿宋" w:eastAsia="仿宋" w:cs="仿宋"/>
                <w:color w:val="auto"/>
                <w:kern w:val="0"/>
                <w:sz w:val="20"/>
                <w:szCs w:val="20"/>
              </w:rPr>
              <w:t>总监、总监代表人具有全国地质灾害治理工程培训证书1分，没有不得分。</w:t>
            </w:r>
          </w:p>
        </w:tc>
        <w:tc>
          <w:tcPr>
            <w:tcW w:w="7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kern w:val="0"/>
                <w:szCs w:val="21"/>
              </w:rPr>
            </w:pPr>
            <w:r>
              <w:rPr>
                <w:rFonts w:hint="eastAsia" w:ascii="仿宋" w:hAnsi="仿宋" w:eastAsia="仿宋" w:cs="仿宋"/>
                <w:b/>
                <w:color w:val="auto"/>
                <w:kern w:val="0"/>
                <w:szCs w:val="21"/>
              </w:rPr>
              <w:t>1</w:t>
            </w:r>
          </w:p>
        </w:tc>
      </w:tr>
      <w:tr>
        <w:tblPrEx>
          <w:tblCellMar>
            <w:top w:w="0" w:type="dxa"/>
            <w:left w:w="0" w:type="dxa"/>
            <w:bottom w:w="0" w:type="dxa"/>
            <w:right w:w="0" w:type="dxa"/>
          </w:tblCellMar>
        </w:tblPrEx>
        <w:trPr>
          <w:trHeight w:val="863" w:hRule="atLeast"/>
          <w:jc w:val="center"/>
        </w:trPr>
        <w:tc>
          <w:tcPr>
            <w:tcW w:w="6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kern w:val="0"/>
                <w:sz w:val="22"/>
                <w:szCs w:val="22"/>
              </w:rPr>
            </w:pPr>
            <w:r>
              <w:rPr>
                <w:rFonts w:hint="eastAsia" w:ascii="仿宋" w:hAnsi="仿宋" w:eastAsia="仿宋" w:cs="仿宋"/>
                <w:b/>
                <w:color w:val="auto"/>
                <w:kern w:val="0"/>
                <w:sz w:val="22"/>
                <w:szCs w:val="22"/>
              </w:rPr>
              <w:t>8</w:t>
            </w:r>
          </w:p>
        </w:tc>
        <w:tc>
          <w:tcPr>
            <w:tcW w:w="3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auto"/>
                <w:kern w:val="0"/>
                <w:sz w:val="20"/>
                <w:szCs w:val="20"/>
              </w:rPr>
            </w:pPr>
            <w:r>
              <w:rPr>
                <w:rFonts w:hint="eastAsia" w:ascii="仿宋" w:hAnsi="仿宋" w:eastAsia="仿宋" w:cs="仿宋"/>
                <w:color w:val="auto"/>
                <w:kern w:val="0"/>
                <w:sz w:val="20"/>
                <w:szCs w:val="20"/>
              </w:rPr>
              <w:t>主要业绩。</w:t>
            </w:r>
          </w:p>
        </w:tc>
        <w:tc>
          <w:tcPr>
            <w:tcW w:w="32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auto"/>
                <w:sz w:val="22"/>
                <w:szCs w:val="22"/>
              </w:rPr>
            </w:pPr>
            <w:r>
              <w:rPr>
                <w:rFonts w:hint="eastAsia" w:ascii="仿宋" w:hAnsi="仿宋" w:eastAsia="仿宋" w:cs="仿宋"/>
                <w:color w:val="auto"/>
                <w:kern w:val="0"/>
                <w:sz w:val="20"/>
                <w:szCs w:val="20"/>
              </w:rPr>
              <w:t>每提供近三年一项类似业绩并提供证明材料得0.5分，未提供证明材料不得分，本项最高得1.5分。</w:t>
            </w:r>
          </w:p>
        </w:tc>
        <w:tc>
          <w:tcPr>
            <w:tcW w:w="7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kern w:val="0"/>
                <w:szCs w:val="21"/>
              </w:rPr>
            </w:pPr>
            <w:r>
              <w:rPr>
                <w:rFonts w:hint="eastAsia" w:ascii="仿宋" w:hAnsi="仿宋" w:eastAsia="仿宋" w:cs="仿宋"/>
                <w:b/>
                <w:color w:val="auto"/>
                <w:kern w:val="0"/>
                <w:szCs w:val="21"/>
              </w:rPr>
              <w:t>1.5</w:t>
            </w:r>
          </w:p>
        </w:tc>
      </w:tr>
      <w:tr>
        <w:tblPrEx>
          <w:tblCellMar>
            <w:top w:w="0" w:type="dxa"/>
            <w:left w:w="0" w:type="dxa"/>
            <w:bottom w:w="0" w:type="dxa"/>
            <w:right w:w="0" w:type="dxa"/>
          </w:tblCellMar>
        </w:tblPrEx>
        <w:trPr>
          <w:trHeight w:val="779" w:hRule="atLeast"/>
          <w:jc w:val="center"/>
        </w:trPr>
        <w:tc>
          <w:tcPr>
            <w:tcW w:w="6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kern w:val="0"/>
                <w:sz w:val="22"/>
                <w:szCs w:val="22"/>
              </w:rPr>
            </w:pPr>
            <w:r>
              <w:rPr>
                <w:rFonts w:hint="eastAsia" w:ascii="仿宋" w:hAnsi="仿宋" w:eastAsia="仿宋" w:cs="仿宋"/>
                <w:b/>
                <w:color w:val="auto"/>
                <w:kern w:val="0"/>
                <w:sz w:val="22"/>
                <w:szCs w:val="22"/>
              </w:rPr>
              <w:t>9</w:t>
            </w:r>
          </w:p>
        </w:tc>
        <w:tc>
          <w:tcPr>
            <w:tcW w:w="38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auto"/>
                <w:kern w:val="0"/>
                <w:sz w:val="20"/>
                <w:szCs w:val="20"/>
              </w:rPr>
            </w:pPr>
            <w:r>
              <w:rPr>
                <w:rFonts w:hint="eastAsia" w:ascii="仿宋" w:hAnsi="仿宋" w:eastAsia="仿宋" w:cs="仿宋"/>
                <w:color w:val="auto"/>
                <w:kern w:val="0"/>
                <w:sz w:val="20"/>
                <w:szCs w:val="20"/>
              </w:rPr>
              <w:t>相关承诺。</w:t>
            </w:r>
          </w:p>
        </w:tc>
        <w:tc>
          <w:tcPr>
            <w:tcW w:w="32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auto"/>
                <w:sz w:val="22"/>
                <w:szCs w:val="22"/>
              </w:rPr>
            </w:pPr>
            <w:r>
              <w:rPr>
                <w:rFonts w:hint="eastAsia" w:ascii="仿宋" w:hAnsi="仿宋" w:eastAsia="仿宋" w:cs="仿宋"/>
                <w:color w:val="auto"/>
                <w:kern w:val="0"/>
                <w:sz w:val="20"/>
                <w:szCs w:val="20"/>
              </w:rPr>
              <w:t>承诺全面0.5分，基本全面0.3分，无承诺不得分。</w:t>
            </w:r>
          </w:p>
        </w:tc>
        <w:tc>
          <w:tcPr>
            <w:tcW w:w="7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kern w:val="0"/>
                <w:szCs w:val="21"/>
              </w:rPr>
            </w:pPr>
            <w:r>
              <w:rPr>
                <w:rFonts w:hint="eastAsia" w:ascii="仿宋" w:hAnsi="仿宋" w:eastAsia="仿宋" w:cs="仿宋"/>
                <w:b/>
                <w:color w:val="auto"/>
                <w:kern w:val="0"/>
                <w:szCs w:val="21"/>
              </w:rPr>
              <w:t>0.5</w:t>
            </w:r>
          </w:p>
        </w:tc>
      </w:tr>
      <w:tr>
        <w:tblPrEx>
          <w:tblCellMar>
            <w:top w:w="0" w:type="dxa"/>
            <w:left w:w="0" w:type="dxa"/>
            <w:bottom w:w="0" w:type="dxa"/>
            <w:right w:w="0" w:type="dxa"/>
          </w:tblCellMar>
        </w:tblPrEx>
        <w:trPr>
          <w:trHeight w:val="466" w:hRule="atLeast"/>
          <w:jc w:val="center"/>
        </w:trPr>
        <w:tc>
          <w:tcPr>
            <w:tcW w:w="771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sz w:val="24"/>
              </w:rPr>
            </w:pPr>
            <w:r>
              <w:rPr>
                <w:rFonts w:hint="eastAsia" w:ascii="仿宋" w:hAnsi="仿宋" w:eastAsia="仿宋" w:cs="仿宋"/>
                <w:b/>
                <w:color w:val="auto"/>
                <w:kern w:val="0"/>
                <w:sz w:val="24"/>
              </w:rPr>
              <w:t>总得分V</w:t>
            </w:r>
          </w:p>
        </w:tc>
        <w:tc>
          <w:tcPr>
            <w:tcW w:w="7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sz w:val="24"/>
              </w:rPr>
            </w:pPr>
            <w:r>
              <w:rPr>
                <w:rFonts w:hint="eastAsia" w:ascii="仿宋" w:hAnsi="仿宋" w:eastAsia="仿宋" w:cs="仿宋"/>
                <w:b/>
                <w:color w:val="auto"/>
                <w:kern w:val="0"/>
                <w:sz w:val="24"/>
              </w:rPr>
              <w:t>10</w:t>
            </w:r>
          </w:p>
        </w:tc>
      </w:tr>
    </w:tbl>
    <w:p>
      <w:pPr>
        <w:pStyle w:val="28"/>
        <w:rPr>
          <w:color w:val="auto"/>
        </w:rPr>
      </w:pPr>
    </w:p>
    <w:p>
      <w:pPr>
        <w:tabs>
          <w:tab w:val="right" w:pos="9213"/>
        </w:tabs>
        <w:jc w:val="center"/>
        <w:rPr>
          <w:rFonts w:ascii="仿宋" w:hAnsi="仿宋" w:eastAsia="仿宋" w:cs="仿宋"/>
          <w:b/>
          <w:color w:val="auto"/>
          <w:sz w:val="24"/>
          <w:szCs w:val="20"/>
        </w:rPr>
      </w:pPr>
      <w:r>
        <w:rPr>
          <w:rFonts w:hint="eastAsia" w:ascii="仿宋" w:hAnsi="仿宋" w:eastAsia="仿宋" w:cs="仿宋"/>
          <w:color w:val="auto"/>
          <w:sz w:val="24"/>
        </w:rPr>
        <w:br w:type="page"/>
      </w:r>
    </w:p>
    <w:p>
      <w:pPr>
        <w:tabs>
          <w:tab w:val="right" w:pos="9213"/>
        </w:tabs>
        <w:jc w:val="center"/>
        <w:rPr>
          <w:rFonts w:ascii="仿宋" w:hAnsi="仿宋" w:eastAsia="仿宋" w:cs="仿宋"/>
          <w:b/>
          <w:color w:val="auto"/>
          <w:sz w:val="24"/>
          <w:szCs w:val="20"/>
        </w:rPr>
      </w:pPr>
      <w:r>
        <w:rPr>
          <w:rFonts w:hint="eastAsia" w:ascii="仿宋" w:hAnsi="仿宋" w:eastAsia="仿宋" w:cs="仿宋"/>
          <w:b/>
          <w:color w:val="auto"/>
          <w:sz w:val="24"/>
          <w:szCs w:val="20"/>
        </w:rPr>
        <w:t>技术评分表</w:t>
      </w:r>
    </w:p>
    <w:tbl>
      <w:tblPr>
        <w:tblStyle w:val="37"/>
        <w:tblW w:w="8278" w:type="dxa"/>
        <w:tblInd w:w="0" w:type="dxa"/>
        <w:tblLayout w:type="fixed"/>
        <w:tblCellMar>
          <w:top w:w="0" w:type="dxa"/>
          <w:left w:w="0" w:type="dxa"/>
          <w:bottom w:w="0" w:type="dxa"/>
          <w:right w:w="0" w:type="dxa"/>
        </w:tblCellMar>
      </w:tblPr>
      <w:tblGrid>
        <w:gridCol w:w="622"/>
        <w:gridCol w:w="3776"/>
        <w:gridCol w:w="3119"/>
        <w:gridCol w:w="761"/>
      </w:tblGrid>
      <w:tr>
        <w:trPr>
          <w:trHeight w:val="408" w:hRule="atLeast"/>
        </w:trPr>
        <w:tc>
          <w:tcPr>
            <w:tcW w:w="62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sz w:val="24"/>
              </w:rPr>
            </w:pPr>
            <w:r>
              <w:rPr>
                <w:rFonts w:hint="eastAsia" w:ascii="仿宋" w:hAnsi="仿宋" w:eastAsia="仿宋" w:cs="仿宋"/>
                <w:b/>
                <w:color w:val="auto"/>
                <w:kern w:val="0"/>
                <w:sz w:val="24"/>
              </w:rPr>
              <w:t>序号</w:t>
            </w:r>
          </w:p>
        </w:tc>
        <w:tc>
          <w:tcPr>
            <w:tcW w:w="377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sz w:val="24"/>
              </w:rPr>
            </w:pPr>
            <w:r>
              <w:rPr>
                <w:rFonts w:hint="eastAsia" w:ascii="仿宋" w:hAnsi="仿宋" w:eastAsia="仿宋" w:cs="仿宋"/>
                <w:b/>
                <w:color w:val="auto"/>
                <w:kern w:val="0"/>
                <w:sz w:val="24"/>
              </w:rPr>
              <w:t>评分内容</w:t>
            </w:r>
          </w:p>
        </w:tc>
        <w:tc>
          <w:tcPr>
            <w:tcW w:w="311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sz w:val="24"/>
              </w:rPr>
            </w:pPr>
            <w:r>
              <w:rPr>
                <w:rFonts w:hint="eastAsia" w:ascii="仿宋" w:hAnsi="仿宋" w:eastAsia="仿宋" w:cs="仿宋"/>
                <w:b/>
                <w:color w:val="auto"/>
                <w:kern w:val="0"/>
                <w:sz w:val="24"/>
              </w:rPr>
              <w:t>评分标准</w:t>
            </w:r>
          </w:p>
        </w:tc>
        <w:tc>
          <w:tcPr>
            <w:tcW w:w="76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color w:val="auto"/>
                <w:sz w:val="24"/>
              </w:rPr>
            </w:pPr>
            <w:r>
              <w:rPr>
                <w:rFonts w:hint="eastAsia" w:ascii="仿宋" w:hAnsi="仿宋" w:eastAsia="仿宋" w:cs="仿宋"/>
                <w:b/>
                <w:color w:val="auto"/>
                <w:kern w:val="0"/>
                <w:sz w:val="24"/>
              </w:rPr>
              <w:t>满分</w:t>
            </w:r>
          </w:p>
        </w:tc>
      </w:tr>
      <w:tr>
        <w:tblPrEx>
          <w:tblCellMar>
            <w:top w:w="0" w:type="dxa"/>
            <w:left w:w="0" w:type="dxa"/>
            <w:bottom w:w="0" w:type="dxa"/>
            <w:right w:w="0" w:type="dxa"/>
          </w:tblCellMar>
        </w:tblPrEx>
        <w:trPr>
          <w:trHeight w:val="408" w:hRule="atLeast"/>
        </w:trPr>
        <w:tc>
          <w:tcPr>
            <w:tcW w:w="62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auto"/>
                <w:sz w:val="24"/>
              </w:rPr>
            </w:pPr>
          </w:p>
        </w:tc>
        <w:tc>
          <w:tcPr>
            <w:tcW w:w="377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auto"/>
                <w:sz w:val="24"/>
              </w:rPr>
            </w:pPr>
          </w:p>
        </w:tc>
        <w:tc>
          <w:tcPr>
            <w:tcW w:w="311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仿宋" w:hAnsi="仿宋" w:eastAsia="仿宋" w:cs="仿宋"/>
                <w:b/>
                <w:color w:val="auto"/>
                <w:sz w:val="24"/>
              </w:rPr>
            </w:pPr>
          </w:p>
        </w:tc>
        <w:tc>
          <w:tcPr>
            <w:tcW w:w="76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仿宋" w:hAnsi="仿宋" w:eastAsia="仿宋" w:cs="仿宋"/>
                <w:b/>
                <w:color w:val="auto"/>
                <w:sz w:val="24"/>
              </w:rPr>
            </w:pPr>
            <w:r>
              <w:rPr>
                <w:rFonts w:hint="eastAsia" w:ascii="仿宋" w:hAnsi="仿宋" w:eastAsia="仿宋" w:cs="仿宋"/>
                <w:b/>
                <w:color w:val="auto"/>
                <w:kern w:val="0"/>
                <w:sz w:val="24"/>
              </w:rPr>
              <w:t>80分</w:t>
            </w:r>
          </w:p>
        </w:tc>
      </w:tr>
      <w:tr>
        <w:tblPrEx>
          <w:tblCellMar>
            <w:top w:w="0" w:type="dxa"/>
            <w:left w:w="0" w:type="dxa"/>
            <w:bottom w:w="0" w:type="dxa"/>
            <w:right w:w="0" w:type="dxa"/>
          </w:tblCellMar>
        </w:tblPrEx>
        <w:trPr>
          <w:trHeight w:val="1084" w:hRule="atLeast"/>
        </w:trPr>
        <w:tc>
          <w:tcPr>
            <w:tcW w:w="6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sz w:val="22"/>
                <w:szCs w:val="22"/>
              </w:rPr>
            </w:pPr>
            <w:r>
              <w:rPr>
                <w:rFonts w:hint="eastAsia" w:ascii="仿宋" w:hAnsi="仿宋" w:eastAsia="仿宋" w:cs="仿宋"/>
                <w:b/>
                <w:color w:val="auto"/>
                <w:kern w:val="0"/>
                <w:sz w:val="22"/>
                <w:szCs w:val="22"/>
              </w:rPr>
              <w:t>1</w:t>
            </w:r>
          </w:p>
        </w:tc>
        <w:tc>
          <w:tcPr>
            <w:tcW w:w="37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auto"/>
                <w:sz w:val="22"/>
                <w:szCs w:val="22"/>
              </w:rPr>
            </w:pPr>
            <w:r>
              <w:rPr>
                <w:rFonts w:hint="eastAsia" w:ascii="仿宋" w:hAnsi="仿宋" w:eastAsia="仿宋" w:cs="仿宋"/>
                <w:color w:val="auto"/>
                <w:kern w:val="0"/>
                <w:sz w:val="22"/>
                <w:szCs w:val="22"/>
              </w:rPr>
              <w:t>标书与招标文件的响应性或完整性。</w:t>
            </w:r>
          </w:p>
        </w:tc>
        <w:tc>
          <w:tcPr>
            <w:tcW w:w="31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textAlignment w:val="center"/>
              <w:rPr>
                <w:rFonts w:ascii="仿宋" w:hAnsi="仿宋" w:eastAsia="仿宋" w:cs="仿宋"/>
                <w:color w:val="auto"/>
                <w:sz w:val="22"/>
                <w:szCs w:val="22"/>
              </w:rPr>
            </w:pPr>
            <w:r>
              <w:rPr>
                <w:rFonts w:hint="eastAsia" w:ascii="仿宋" w:hAnsi="仿宋" w:eastAsia="仿宋" w:cs="仿宋"/>
                <w:color w:val="auto"/>
                <w:kern w:val="0"/>
                <w:sz w:val="22"/>
                <w:szCs w:val="22"/>
              </w:rPr>
              <w:t>完全响应和完整8分；部分响应或部分完整4-7分；未响应部分分额较大且不完整≤3分</w:t>
            </w:r>
          </w:p>
        </w:tc>
        <w:tc>
          <w:tcPr>
            <w:tcW w:w="76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szCs w:val="21"/>
              </w:rPr>
            </w:pPr>
            <w:r>
              <w:rPr>
                <w:rFonts w:hint="eastAsia" w:ascii="仿宋" w:hAnsi="仿宋" w:eastAsia="仿宋" w:cs="仿宋"/>
                <w:b/>
                <w:color w:val="auto"/>
                <w:kern w:val="0"/>
                <w:szCs w:val="21"/>
              </w:rPr>
              <w:t>8</w:t>
            </w:r>
          </w:p>
        </w:tc>
      </w:tr>
      <w:tr>
        <w:tblPrEx>
          <w:tblCellMar>
            <w:top w:w="0" w:type="dxa"/>
            <w:left w:w="0" w:type="dxa"/>
            <w:bottom w:w="0" w:type="dxa"/>
            <w:right w:w="0" w:type="dxa"/>
          </w:tblCellMar>
        </w:tblPrEx>
        <w:trPr>
          <w:trHeight w:val="1084" w:hRule="atLeast"/>
        </w:trPr>
        <w:tc>
          <w:tcPr>
            <w:tcW w:w="6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sz w:val="22"/>
                <w:szCs w:val="22"/>
              </w:rPr>
            </w:pPr>
            <w:r>
              <w:rPr>
                <w:rFonts w:hint="eastAsia" w:ascii="仿宋" w:hAnsi="仿宋" w:eastAsia="仿宋" w:cs="仿宋"/>
                <w:b/>
                <w:color w:val="auto"/>
                <w:kern w:val="0"/>
                <w:sz w:val="22"/>
                <w:szCs w:val="22"/>
              </w:rPr>
              <w:t>2</w:t>
            </w:r>
          </w:p>
        </w:tc>
        <w:tc>
          <w:tcPr>
            <w:tcW w:w="37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auto"/>
                <w:sz w:val="22"/>
                <w:szCs w:val="22"/>
              </w:rPr>
            </w:pPr>
            <w:r>
              <w:rPr>
                <w:rFonts w:hint="eastAsia" w:ascii="仿宋" w:hAnsi="仿宋" w:eastAsia="仿宋" w:cs="仿宋"/>
                <w:color w:val="auto"/>
                <w:kern w:val="0"/>
                <w:sz w:val="22"/>
                <w:szCs w:val="22"/>
              </w:rPr>
              <w:t>监理工作范围、内容、目标及依据，监理机构和组织形式健全。</w:t>
            </w:r>
          </w:p>
        </w:tc>
        <w:tc>
          <w:tcPr>
            <w:tcW w:w="3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auto"/>
                <w:sz w:val="22"/>
                <w:szCs w:val="22"/>
              </w:rPr>
            </w:pPr>
            <w:r>
              <w:rPr>
                <w:rFonts w:hint="eastAsia" w:ascii="仿宋" w:hAnsi="仿宋" w:eastAsia="仿宋" w:cs="仿宋"/>
                <w:color w:val="auto"/>
                <w:kern w:val="0"/>
                <w:sz w:val="22"/>
                <w:szCs w:val="22"/>
              </w:rPr>
              <w:t>合理20-24分；较合理14-19分；其他情况≤13分（一项不合理扣2分）</w:t>
            </w:r>
          </w:p>
        </w:tc>
        <w:tc>
          <w:tcPr>
            <w:tcW w:w="76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szCs w:val="21"/>
              </w:rPr>
            </w:pPr>
            <w:r>
              <w:rPr>
                <w:rFonts w:hint="eastAsia" w:ascii="仿宋" w:hAnsi="仿宋" w:eastAsia="仿宋" w:cs="仿宋"/>
                <w:b/>
                <w:color w:val="auto"/>
                <w:kern w:val="0"/>
                <w:szCs w:val="21"/>
              </w:rPr>
              <w:t>24</w:t>
            </w:r>
          </w:p>
        </w:tc>
      </w:tr>
      <w:tr>
        <w:tblPrEx>
          <w:tblCellMar>
            <w:top w:w="0" w:type="dxa"/>
            <w:left w:w="0" w:type="dxa"/>
            <w:bottom w:w="0" w:type="dxa"/>
            <w:right w:w="0" w:type="dxa"/>
          </w:tblCellMar>
        </w:tblPrEx>
        <w:trPr>
          <w:trHeight w:val="1299" w:hRule="atLeast"/>
        </w:trPr>
        <w:tc>
          <w:tcPr>
            <w:tcW w:w="6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sz w:val="22"/>
                <w:szCs w:val="22"/>
              </w:rPr>
            </w:pPr>
            <w:r>
              <w:rPr>
                <w:rFonts w:hint="eastAsia" w:ascii="仿宋" w:hAnsi="仿宋" w:eastAsia="仿宋" w:cs="仿宋"/>
                <w:b/>
                <w:color w:val="auto"/>
                <w:kern w:val="0"/>
                <w:sz w:val="22"/>
                <w:szCs w:val="22"/>
              </w:rPr>
              <w:t>3</w:t>
            </w:r>
          </w:p>
        </w:tc>
        <w:tc>
          <w:tcPr>
            <w:tcW w:w="37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auto"/>
                <w:sz w:val="22"/>
                <w:szCs w:val="22"/>
              </w:rPr>
            </w:pPr>
            <w:r>
              <w:rPr>
                <w:rFonts w:hint="eastAsia" w:ascii="仿宋" w:hAnsi="仿宋" w:eastAsia="仿宋" w:cs="仿宋"/>
                <w:color w:val="auto"/>
                <w:kern w:val="0"/>
                <w:sz w:val="22"/>
                <w:szCs w:val="22"/>
              </w:rPr>
              <w:t>监理工作程序的合理性，技术要求的可行性。技术要求应符合相关地质灾害工程监理规范</w:t>
            </w:r>
          </w:p>
        </w:tc>
        <w:tc>
          <w:tcPr>
            <w:tcW w:w="3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auto"/>
                <w:sz w:val="22"/>
                <w:szCs w:val="22"/>
              </w:rPr>
            </w:pPr>
            <w:r>
              <w:rPr>
                <w:rFonts w:hint="eastAsia" w:ascii="仿宋" w:hAnsi="仿宋" w:eastAsia="仿宋" w:cs="仿宋"/>
                <w:color w:val="auto"/>
                <w:kern w:val="0"/>
                <w:sz w:val="22"/>
                <w:szCs w:val="22"/>
              </w:rPr>
              <w:t>合理16-20分；较合理10-15分；其他情况≤</w:t>
            </w:r>
            <w:r>
              <w:rPr>
                <w:rFonts w:hint="eastAsia" w:ascii="仿宋" w:hAnsi="仿宋" w:eastAsia="仿宋" w:cs="仿宋"/>
                <w:color w:val="auto"/>
                <w:kern w:val="0"/>
                <w:sz w:val="22"/>
                <w:szCs w:val="22"/>
                <w:lang w:val="en-US" w:eastAsia="zh-CN"/>
              </w:rPr>
              <w:t>9</w:t>
            </w:r>
            <w:r>
              <w:rPr>
                <w:rFonts w:hint="eastAsia" w:ascii="仿宋" w:hAnsi="仿宋" w:eastAsia="仿宋" w:cs="仿宋"/>
                <w:color w:val="auto"/>
                <w:kern w:val="0"/>
                <w:sz w:val="22"/>
                <w:szCs w:val="22"/>
              </w:rPr>
              <w:t>分（一项不合理扣2分）</w:t>
            </w:r>
          </w:p>
        </w:tc>
        <w:tc>
          <w:tcPr>
            <w:tcW w:w="76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szCs w:val="21"/>
              </w:rPr>
            </w:pPr>
            <w:r>
              <w:rPr>
                <w:rFonts w:hint="eastAsia" w:ascii="仿宋" w:hAnsi="仿宋" w:eastAsia="仿宋" w:cs="仿宋"/>
                <w:b/>
                <w:color w:val="auto"/>
                <w:kern w:val="0"/>
                <w:szCs w:val="21"/>
              </w:rPr>
              <w:t>20</w:t>
            </w:r>
          </w:p>
        </w:tc>
      </w:tr>
      <w:tr>
        <w:tblPrEx>
          <w:tblCellMar>
            <w:top w:w="0" w:type="dxa"/>
            <w:left w:w="0" w:type="dxa"/>
            <w:bottom w:w="0" w:type="dxa"/>
            <w:right w:w="0" w:type="dxa"/>
          </w:tblCellMar>
        </w:tblPrEx>
        <w:trPr>
          <w:trHeight w:val="731" w:hRule="atLeast"/>
        </w:trPr>
        <w:tc>
          <w:tcPr>
            <w:tcW w:w="6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sz w:val="22"/>
                <w:szCs w:val="22"/>
              </w:rPr>
            </w:pPr>
            <w:r>
              <w:rPr>
                <w:rFonts w:hint="eastAsia" w:ascii="仿宋" w:hAnsi="仿宋" w:eastAsia="仿宋" w:cs="仿宋"/>
                <w:b/>
                <w:color w:val="auto"/>
                <w:kern w:val="0"/>
                <w:sz w:val="22"/>
                <w:szCs w:val="22"/>
              </w:rPr>
              <w:t>4</w:t>
            </w:r>
          </w:p>
        </w:tc>
        <w:tc>
          <w:tcPr>
            <w:tcW w:w="37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auto"/>
                <w:sz w:val="22"/>
                <w:szCs w:val="22"/>
              </w:rPr>
            </w:pPr>
            <w:r>
              <w:rPr>
                <w:rFonts w:hint="eastAsia" w:ascii="仿宋" w:hAnsi="仿宋" w:eastAsia="仿宋" w:cs="仿宋"/>
                <w:color w:val="auto"/>
                <w:kern w:val="0"/>
                <w:sz w:val="22"/>
                <w:szCs w:val="22"/>
              </w:rPr>
              <w:t>监理工作方法、措施和制度，工程质量控制方法及措施全面合理。</w:t>
            </w:r>
          </w:p>
        </w:tc>
        <w:tc>
          <w:tcPr>
            <w:tcW w:w="3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auto"/>
                <w:sz w:val="22"/>
                <w:szCs w:val="22"/>
              </w:rPr>
            </w:pPr>
            <w:r>
              <w:rPr>
                <w:rFonts w:hint="eastAsia" w:ascii="仿宋" w:hAnsi="仿宋" w:eastAsia="仿宋" w:cs="仿宋"/>
                <w:color w:val="auto"/>
                <w:kern w:val="0"/>
                <w:sz w:val="22"/>
                <w:szCs w:val="22"/>
              </w:rPr>
              <w:t>全面16分；较全面8-15分；其他情况≤7分</w:t>
            </w:r>
          </w:p>
        </w:tc>
        <w:tc>
          <w:tcPr>
            <w:tcW w:w="76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szCs w:val="21"/>
              </w:rPr>
            </w:pPr>
            <w:r>
              <w:rPr>
                <w:rFonts w:hint="eastAsia" w:ascii="仿宋" w:hAnsi="仿宋" w:eastAsia="仿宋" w:cs="仿宋"/>
                <w:b/>
                <w:color w:val="auto"/>
                <w:kern w:val="0"/>
                <w:szCs w:val="21"/>
              </w:rPr>
              <w:t>16</w:t>
            </w:r>
          </w:p>
        </w:tc>
      </w:tr>
      <w:tr>
        <w:tblPrEx>
          <w:tblCellMar>
            <w:top w:w="0" w:type="dxa"/>
            <w:left w:w="0" w:type="dxa"/>
            <w:bottom w:w="0" w:type="dxa"/>
            <w:right w:w="0" w:type="dxa"/>
          </w:tblCellMar>
        </w:tblPrEx>
        <w:trPr>
          <w:trHeight w:val="1617" w:hRule="atLeast"/>
        </w:trPr>
        <w:tc>
          <w:tcPr>
            <w:tcW w:w="6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sz w:val="22"/>
                <w:szCs w:val="22"/>
              </w:rPr>
            </w:pPr>
            <w:r>
              <w:rPr>
                <w:rFonts w:hint="eastAsia" w:ascii="仿宋" w:hAnsi="仿宋" w:eastAsia="仿宋" w:cs="仿宋"/>
                <w:b/>
                <w:color w:val="auto"/>
                <w:kern w:val="0"/>
                <w:sz w:val="22"/>
                <w:szCs w:val="22"/>
              </w:rPr>
              <w:t>5</w:t>
            </w:r>
          </w:p>
        </w:tc>
        <w:tc>
          <w:tcPr>
            <w:tcW w:w="37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auto"/>
                <w:sz w:val="22"/>
                <w:szCs w:val="22"/>
              </w:rPr>
            </w:pPr>
            <w:r>
              <w:rPr>
                <w:rFonts w:hint="eastAsia" w:ascii="仿宋" w:hAnsi="仿宋" w:eastAsia="仿宋" w:cs="仿宋"/>
                <w:color w:val="auto"/>
                <w:kern w:val="0"/>
                <w:sz w:val="22"/>
                <w:szCs w:val="22"/>
              </w:rPr>
              <w:t>预期成果应包括：监理规划、项目监理实施细则；监理工作总结、质量评估报告；监理工作照片集、监理日志、月报、通知单及相关记录，其他原始资料等</w:t>
            </w:r>
          </w:p>
        </w:tc>
        <w:tc>
          <w:tcPr>
            <w:tcW w:w="3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auto"/>
                <w:sz w:val="22"/>
                <w:szCs w:val="22"/>
              </w:rPr>
            </w:pPr>
            <w:r>
              <w:rPr>
                <w:rFonts w:hint="eastAsia" w:ascii="仿宋" w:hAnsi="仿宋" w:eastAsia="仿宋" w:cs="仿宋"/>
                <w:color w:val="auto"/>
                <w:kern w:val="0"/>
                <w:sz w:val="22"/>
                <w:szCs w:val="22"/>
              </w:rPr>
              <w:t>齐全有效8分；基本齐全有效4-7分；其他情况≤3分</w:t>
            </w:r>
          </w:p>
        </w:tc>
        <w:tc>
          <w:tcPr>
            <w:tcW w:w="76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szCs w:val="21"/>
              </w:rPr>
            </w:pPr>
            <w:r>
              <w:rPr>
                <w:rFonts w:hint="eastAsia" w:ascii="仿宋" w:hAnsi="仿宋" w:eastAsia="仿宋" w:cs="仿宋"/>
                <w:b/>
                <w:color w:val="auto"/>
                <w:kern w:val="0"/>
                <w:szCs w:val="21"/>
              </w:rPr>
              <w:t>8</w:t>
            </w:r>
          </w:p>
        </w:tc>
      </w:tr>
      <w:tr>
        <w:tblPrEx>
          <w:tblCellMar>
            <w:top w:w="0" w:type="dxa"/>
            <w:left w:w="0" w:type="dxa"/>
            <w:bottom w:w="0" w:type="dxa"/>
            <w:right w:w="0" w:type="dxa"/>
          </w:tblCellMar>
        </w:tblPrEx>
        <w:trPr>
          <w:trHeight w:val="883" w:hRule="atLeast"/>
        </w:trPr>
        <w:tc>
          <w:tcPr>
            <w:tcW w:w="6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sz w:val="22"/>
                <w:szCs w:val="22"/>
              </w:rPr>
            </w:pPr>
            <w:r>
              <w:rPr>
                <w:rFonts w:hint="eastAsia" w:ascii="仿宋" w:hAnsi="仿宋" w:eastAsia="仿宋" w:cs="仿宋"/>
                <w:b/>
                <w:color w:val="auto"/>
                <w:kern w:val="0"/>
                <w:sz w:val="22"/>
                <w:szCs w:val="22"/>
              </w:rPr>
              <w:t>6</w:t>
            </w:r>
          </w:p>
        </w:tc>
        <w:tc>
          <w:tcPr>
            <w:tcW w:w="37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auto"/>
                <w:sz w:val="22"/>
                <w:szCs w:val="22"/>
              </w:rPr>
            </w:pPr>
            <w:r>
              <w:rPr>
                <w:rFonts w:hint="eastAsia" w:ascii="仿宋" w:hAnsi="仿宋" w:eastAsia="仿宋" w:cs="仿宋"/>
                <w:color w:val="auto"/>
                <w:kern w:val="0"/>
                <w:sz w:val="22"/>
                <w:szCs w:val="22"/>
              </w:rPr>
              <w:t>项目负责人及主要技术人员的配备应全面，人员结构应合理。</w:t>
            </w:r>
          </w:p>
        </w:tc>
        <w:tc>
          <w:tcPr>
            <w:tcW w:w="3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仿宋" w:hAnsi="仿宋" w:eastAsia="仿宋" w:cs="仿宋"/>
                <w:color w:val="auto"/>
                <w:sz w:val="22"/>
                <w:szCs w:val="22"/>
              </w:rPr>
            </w:pPr>
            <w:r>
              <w:rPr>
                <w:rFonts w:hint="eastAsia" w:ascii="仿宋" w:hAnsi="仿宋" w:eastAsia="仿宋" w:cs="仿宋"/>
                <w:color w:val="auto"/>
                <w:kern w:val="0"/>
                <w:sz w:val="22"/>
                <w:szCs w:val="22"/>
              </w:rPr>
              <w:t>人员配置合理4分，较合理≤3分</w:t>
            </w:r>
          </w:p>
        </w:tc>
        <w:tc>
          <w:tcPr>
            <w:tcW w:w="76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szCs w:val="21"/>
              </w:rPr>
            </w:pPr>
            <w:r>
              <w:rPr>
                <w:rFonts w:hint="eastAsia" w:ascii="仿宋" w:hAnsi="仿宋" w:eastAsia="仿宋" w:cs="仿宋"/>
                <w:b/>
                <w:color w:val="auto"/>
                <w:kern w:val="0"/>
                <w:szCs w:val="21"/>
              </w:rPr>
              <w:t>4</w:t>
            </w:r>
          </w:p>
        </w:tc>
      </w:tr>
      <w:tr>
        <w:tblPrEx>
          <w:tblCellMar>
            <w:top w:w="0" w:type="dxa"/>
            <w:left w:w="0" w:type="dxa"/>
            <w:bottom w:w="0" w:type="dxa"/>
            <w:right w:w="0" w:type="dxa"/>
          </w:tblCellMar>
        </w:tblPrEx>
        <w:trPr>
          <w:trHeight w:val="528" w:hRule="atLeast"/>
        </w:trPr>
        <w:tc>
          <w:tcPr>
            <w:tcW w:w="751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sz w:val="24"/>
              </w:rPr>
            </w:pPr>
            <w:r>
              <w:rPr>
                <w:rFonts w:hint="eastAsia" w:ascii="仿宋" w:hAnsi="仿宋" w:eastAsia="仿宋" w:cs="仿宋"/>
                <w:b/>
                <w:color w:val="auto"/>
                <w:kern w:val="0"/>
                <w:sz w:val="24"/>
              </w:rPr>
              <w:t>总得分V</w:t>
            </w:r>
          </w:p>
        </w:tc>
        <w:tc>
          <w:tcPr>
            <w:tcW w:w="76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仿宋"/>
                <w:b/>
                <w:color w:val="auto"/>
                <w:sz w:val="24"/>
              </w:rPr>
            </w:pPr>
            <w:r>
              <w:rPr>
                <w:rFonts w:hint="eastAsia" w:ascii="仿宋" w:hAnsi="仿宋" w:eastAsia="仿宋" w:cs="仿宋"/>
                <w:b/>
                <w:color w:val="auto"/>
                <w:kern w:val="0"/>
                <w:sz w:val="24"/>
              </w:rPr>
              <w:t>80</w:t>
            </w:r>
          </w:p>
        </w:tc>
      </w:tr>
    </w:tbl>
    <w:p>
      <w:pPr>
        <w:pStyle w:val="27"/>
        <w:rPr>
          <w:rFonts w:ascii="仿宋" w:hAnsi="仿宋" w:eastAsia="仿宋" w:cs="仿宋"/>
          <w:color w:val="auto"/>
        </w:rPr>
      </w:pPr>
    </w:p>
    <w:p>
      <w:pPr>
        <w:rPr>
          <w:color w:val="auto"/>
        </w:rPr>
      </w:pPr>
    </w:p>
    <w:p>
      <w:pPr>
        <w:rPr>
          <w:color w:val="auto"/>
        </w:rPr>
      </w:pPr>
    </w:p>
    <w:p>
      <w:pPr>
        <w:tabs>
          <w:tab w:val="right" w:pos="9213"/>
        </w:tabs>
        <w:jc w:val="center"/>
        <w:rPr>
          <w:color w:val="auto"/>
        </w:rPr>
      </w:pPr>
      <w:r>
        <w:rPr>
          <w:rFonts w:hint="eastAsia"/>
          <w:color w:val="auto"/>
        </w:rPr>
        <w:br w:type="page"/>
      </w:r>
    </w:p>
    <w:p>
      <w:pPr>
        <w:tabs>
          <w:tab w:val="right" w:pos="9213"/>
        </w:tabs>
        <w:jc w:val="center"/>
        <w:rPr>
          <w:color w:val="auto"/>
        </w:rPr>
      </w:pPr>
      <w:bookmarkStart w:id="422" w:name="_Toc24923"/>
      <w:r>
        <w:rPr>
          <w:rFonts w:hint="eastAsia" w:ascii="仿宋" w:hAnsi="仿宋" w:eastAsia="仿宋" w:cs="仿宋"/>
          <w:b/>
          <w:color w:val="auto"/>
          <w:sz w:val="24"/>
          <w:szCs w:val="20"/>
        </w:rPr>
        <w:t>报价评分表</w:t>
      </w:r>
      <w:bookmarkEnd w:id="422"/>
    </w:p>
    <w:p>
      <w:pPr>
        <w:pStyle w:val="27"/>
        <w:rPr>
          <w:color w:val="auto"/>
        </w:rPr>
      </w:pPr>
    </w:p>
    <w:tbl>
      <w:tblPr>
        <w:tblStyle w:val="37"/>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681"/>
        <w:gridCol w:w="6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4" w:hRule="atLeast"/>
          <w:jc w:val="center"/>
        </w:trPr>
        <w:tc>
          <w:tcPr>
            <w:tcW w:w="1263" w:type="dxa"/>
            <w:vAlign w:val="center"/>
          </w:tcPr>
          <w:p>
            <w:pPr>
              <w:jc w:val="center"/>
              <w:rPr>
                <w:rFonts w:ascii="仿宋" w:hAnsi="仿宋" w:eastAsia="仿宋" w:cs="仿宋"/>
                <w:color w:val="auto"/>
              </w:rPr>
            </w:pPr>
            <w:r>
              <w:rPr>
                <w:rFonts w:hint="eastAsia" w:ascii="仿宋" w:hAnsi="仿宋" w:eastAsia="仿宋" w:cs="仿宋"/>
                <w:color w:val="auto"/>
              </w:rPr>
              <w:t>报价评审</w:t>
            </w:r>
          </w:p>
        </w:tc>
        <w:tc>
          <w:tcPr>
            <w:tcW w:w="681" w:type="dxa"/>
            <w:vAlign w:val="center"/>
          </w:tcPr>
          <w:p>
            <w:pPr>
              <w:jc w:val="center"/>
              <w:rPr>
                <w:rFonts w:ascii="仿宋" w:hAnsi="仿宋" w:eastAsia="仿宋" w:cs="仿宋"/>
                <w:color w:val="auto"/>
              </w:rPr>
            </w:pPr>
            <w:r>
              <w:rPr>
                <w:rFonts w:hint="eastAsia" w:ascii="仿宋" w:hAnsi="仿宋" w:eastAsia="仿宋" w:cs="仿宋"/>
                <w:color w:val="auto"/>
              </w:rPr>
              <w:t>10</w:t>
            </w:r>
          </w:p>
        </w:tc>
        <w:tc>
          <w:tcPr>
            <w:tcW w:w="6698" w:type="dxa"/>
            <w:vAlign w:val="center"/>
          </w:tcPr>
          <w:p>
            <w:pPr>
              <w:spacing w:line="440" w:lineRule="exact"/>
              <w:rPr>
                <w:rFonts w:ascii="仿宋" w:hAnsi="仿宋" w:eastAsia="仿宋" w:cs="仿宋"/>
                <w:color w:val="auto"/>
              </w:rPr>
            </w:pPr>
            <w:r>
              <w:rPr>
                <w:rFonts w:hint="eastAsia" w:ascii="仿宋" w:hAnsi="仿宋" w:eastAsia="仿宋" w:cs="仿宋"/>
                <w:color w:val="auto"/>
              </w:rPr>
              <w:t>各供应商的价格得分的计算公式：采用低价优先法计算，即满足招标文件要求且投标价格最低的投标报价为评标基准价，其价格分为满分。其他投标人的价格分统一按照下列公式计算：投标报价得分=(评标基准价／投标报价)×价格权值；计算分数时四舍五入取小数点后两位。由监标人员负责核准每个合格供应商的价格得分。（注：若报价单位为中小企业，其投标报价扣除10%后参与评审，提供相关证明资料，否则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944" w:type="dxa"/>
            <w:gridSpan w:val="2"/>
            <w:vAlign w:val="center"/>
          </w:tcPr>
          <w:p>
            <w:pPr>
              <w:jc w:val="center"/>
              <w:rPr>
                <w:rFonts w:ascii="仿宋" w:hAnsi="仿宋" w:eastAsia="仿宋" w:cs="仿宋"/>
                <w:color w:val="auto"/>
              </w:rPr>
            </w:pPr>
            <w:r>
              <w:rPr>
                <w:rFonts w:hint="eastAsia" w:ascii="仿宋" w:hAnsi="仿宋" w:eastAsia="仿宋" w:cs="仿宋"/>
                <w:color w:val="auto"/>
              </w:rPr>
              <w:t>报价分合计</w:t>
            </w:r>
          </w:p>
        </w:tc>
        <w:tc>
          <w:tcPr>
            <w:tcW w:w="6698" w:type="dxa"/>
            <w:vAlign w:val="center"/>
          </w:tcPr>
          <w:p>
            <w:pPr>
              <w:jc w:val="center"/>
              <w:rPr>
                <w:rFonts w:ascii="仿宋" w:hAnsi="仿宋" w:eastAsia="仿宋" w:cs="仿宋"/>
                <w:color w:val="auto"/>
              </w:rPr>
            </w:pPr>
            <w:r>
              <w:rPr>
                <w:rFonts w:hint="eastAsia" w:ascii="仿宋" w:hAnsi="仿宋" w:eastAsia="仿宋" w:cs="仿宋"/>
                <w:color w:val="auto"/>
              </w:rPr>
              <w:t>10</w:t>
            </w:r>
          </w:p>
        </w:tc>
      </w:tr>
    </w:tbl>
    <w:p>
      <w:pPr>
        <w:rPr>
          <w:rFonts w:ascii="楷体" w:hAnsi="楷体" w:eastAsia="楷体" w:cs="楷体"/>
          <w:b/>
          <w:color w:val="auto"/>
          <w:sz w:val="24"/>
        </w:rPr>
      </w:pPr>
    </w:p>
    <w:p>
      <w:pPr>
        <w:rPr>
          <w:color w:val="auto"/>
        </w:rPr>
      </w:pPr>
      <w:r>
        <w:rPr>
          <w:rFonts w:hint="eastAsia"/>
          <w:color w:val="auto"/>
        </w:rPr>
        <w:br w:type="page"/>
      </w:r>
    </w:p>
    <w:p>
      <w:pPr>
        <w:pStyle w:val="3"/>
        <w:ind w:firstLine="480"/>
        <w:rPr>
          <w:color w:val="auto"/>
        </w:rPr>
      </w:pPr>
    </w:p>
    <w:p>
      <w:pPr>
        <w:pStyle w:val="4"/>
        <w:ind w:firstLine="480"/>
        <w:rPr>
          <w:color w:val="auto"/>
        </w:rPr>
      </w:pPr>
    </w:p>
    <w:p>
      <w:pPr>
        <w:widowControl/>
        <w:jc w:val="center"/>
        <w:rPr>
          <w:rFonts w:ascii="仿宋" w:hAnsi="仿宋" w:eastAsia="仿宋" w:cs="仿宋"/>
          <w:b/>
          <w:color w:val="auto"/>
          <w:sz w:val="48"/>
          <w:szCs w:val="48"/>
        </w:rPr>
      </w:pPr>
    </w:p>
    <w:p>
      <w:pPr>
        <w:widowControl/>
        <w:jc w:val="center"/>
        <w:rPr>
          <w:rFonts w:hint="eastAsia" w:ascii="仿宋" w:hAnsi="仿宋" w:eastAsia="仿宋" w:cs="仿宋"/>
          <w:b/>
          <w:color w:val="auto"/>
          <w:sz w:val="36"/>
          <w:szCs w:val="36"/>
        </w:rPr>
      </w:pPr>
      <w:r>
        <w:rPr>
          <w:rFonts w:hint="eastAsia" w:ascii="仿宋" w:hAnsi="仿宋" w:eastAsia="仿宋" w:cs="仿宋"/>
          <w:b/>
          <w:color w:val="auto"/>
          <w:sz w:val="36"/>
          <w:szCs w:val="36"/>
          <w:lang w:val="en-US" w:eastAsia="zh-CN"/>
        </w:rPr>
        <w:t>克州</w:t>
      </w:r>
      <w:r>
        <w:rPr>
          <w:rFonts w:hint="eastAsia" w:ascii="仿宋" w:hAnsi="仿宋" w:eastAsia="仿宋" w:cs="仿宋"/>
          <w:b/>
          <w:color w:val="auto"/>
          <w:sz w:val="36"/>
          <w:szCs w:val="36"/>
        </w:rPr>
        <w:t>2023年</w:t>
      </w:r>
      <w:r>
        <w:rPr>
          <w:rFonts w:hint="eastAsia" w:ascii="仿宋" w:hAnsi="仿宋" w:eastAsia="仿宋" w:cs="仿宋"/>
          <w:b/>
          <w:color w:val="auto"/>
          <w:sz w:val="36"/>
          <w:szCs w:val="36"/>
          <w:lang w:val="en-US" w:eastAsia="zh-CN"/>
        </w:rPr>
        <w:t>自然</w:t>
      </w:r>
      <w:r>
        <w:rPr>
          <w:rFonts w:hint="eastAsia" w:ascii="仿宋" w:hAnsi="仿宋" w:eastAsia="仿宋" w:cs="仿宋"/>
          <w:b/>
          <w:color w:val="auto"/>
          <w:sz w:val="36"/>
          <w:szCs w:val="36"/>
        </w:rPr>
        <w:t>灾害防治体系建设</w:t>
      </w:r>
      <w:r>
        <w:rPr>
          <w:rFonts w:hint="eastAsia" w:ascii="仿宋" w:hAnsi="仿宋" w:eastAsia="仿宋" w:cs="仿宋"/>
          <w:b/>
          <w:color w:val="auto"/>
          <w:sz w:val="36"/>
          <w:szCs w:val="36"/>
          <w:lang w:val="en-US" w:eastAsia="zh-CN"/>
        </w:rPr>
        <w:t>补助资金</w:t>
      </w:r>
      <w:r>
        <w:rPr>
          <w:rFonts w:hint="eastAsia" w:ascii="仿宋" w:hAnsi="仿宋" w:eastAsia="仿宋" w:cs="仿宋"/>
          <w:b/>
          <w:color w:val="auto"/>
          <w:sz w:val="36"/>
          <w:szCs w:val="36"/>
        </w:rPr>
        <w:t>项目</w:t>
      </w:r>
    </w:p>
    <w:p>
      <w:pPr>
        <w:pStyle w:val="27"/>
        <w:rPr>
          <w:rFonts w:ascii="仿宋" w:hAnsi="仿宋" w:eastAsia="仿宋" w:cs="仿宋"/>
          <w:b/>
          <w:color w:val="auto"/>
          <w:sz w:val="48"/>
          <w:szCs w:val="48"/>
        </w:rPr>
      </w:pPr>
    </w:p>
    <w:p>
      <w:pPr>
        <w:widowControl/>
        <w:jc w:val="left"/>
        <w:rPr>
          <w:rFonts w:ascii="仿宋" w:hAnsi="仿宋" w:eastAsia="仿宋" w:cs="仿宋"/>
          <w:color w:val="auto"/>
        </w:rPr>
      </w:pPr>
    </w:p>
    <w:p>
      <w:pPr>
        <w:pStyle w:val="4"/>
        <w:ind w:firstLine="480"/>
        <w:rPr>
          <w:color w:val="auto"/>
        </w:rPr>
      </w:pPr>
    </w:p>
    <w:p>
      <w:pPr>
        <w:spacing w:line="240" w:lineRule="atLeast"/>
        <w:jc w:val="center"/>
        <w:rPr>
          <w:rFonts w:ascii="仿宋" w:hAnsi="仿宋" w:eastAsia="仿宋" w:cs="仿宋"/>
          <w:bCs/>
          <w:color w:val="auto"/>
          <w:sz w:val="52"/>
          <w:szCs w:val="52"/>
        </w:rPr>
      </w:pPr>
      <w:r>
        <w:rPr>
          <w:rFonts w:hint="eastAsia" w:ascii="仿宋" w:hAnsi="仿宋" w:eastAsia="仿宋" w:cs="仿宋"/>
          <w:bCs/>
          <w:color w:val="auto"/>
          <w:sz w:val="52"/>
          <w:szCs w:val="52"/>
        </w:rPr>
        <w:t xml:space="preserve"> </w:t>
      </w:r>
      <w:r>
        <w:rPr>
          <w:rFonts w:hint="eastAsia" w:ascii="仿宋" w:hAnsi="仿宋" w:eastAsia="仿宋" w:cs="仿宋"/>
          <w:b/>
          <w:color w:val="auto"/>
          <w:sz w:val="52"/>
          <w:szCs w:val="52"/>
        </w:rPr>
        <w:t>采购文件</w:t>
      </w:r>
    </w:p>
    <w:p>
      <w:pPr>
        <w:spacing w:line="240" w:lineRule="atLeast"/>
        <w:ind w:left="1080" w:leftChars="257" w:hanging="540"/>
        <w:jc w:val="center"/>
        <w:rPr>
          <w:rFonts w:ascii="仿宋" w:hAnsi="仿宋" w:eastAsia="仿宋" w:cs="仿宋"/>
          <w:bCs/>
          <w:color w:val="auto"/>
          <w:sz w:val="52"/>
          <w:szCs w:val="52"/>
        </w:rPr>
      </w:pPr>
    </w:p>
    <w:p>
      <w:pPr>
        <w:spacing w:line="240" w:lineRule="atLeast"/>
        <w:ind w:left="1080" w:leftChars="257" w:hanging="540"/>
        <w:jc w:val="center"/>
        <w:rPr>
          <w:rFonts w:ascii="仿宋" w:hAnsi="仿宋" w:eastAsia="仿宋" w:cs="仿宋"/>
          <w:bCs/>
          <w:color w:val="auto"/>
          <w:sz w:val="32"/>
          <w:szCs w:val="32"/>
        </w:rPr>
      </w:pPr>
      <w:r>
        <w:rPr>
          <w:rFonts w:hint="eastAsia" w:ascii="仿宋" w:hAnsi="仿宋" w:eastAsia="仿宋" w:cs="仿宋"/>
          <w:bCs/>
          <w:color w:val="auto"/>
          <w:sz w:val="32"/>
          <w:szCs w:val="32"/>
        </w:rPr>
        <w:t>（项目编号：</w:t>
      </w:r>
      <w:r>
        <w:rPr>
          <w:rFonts w:hint="eastAsia" w:ascii="仿宋" w:hAnsi="仿宋" w:eastAsia="仿宋" w:cs="仿宋"/>
          <w:bCs/>
          <w:color w:val="auto"/>
          <w:sz w:val="32"/>
          <w:szCs w:val="32"/>
          <w:lang w:eastAsia="zh-CN"/>
        </w:rPr>
        <w:t>GYZB-KZDZFZ2023</w:t>
      </w:r>
      <w:r>
        <w:rPr>
          <w:rFonts w:hint="eastAsia" w:ascii="仿宋" w:hAnsi="仿宋" w:eastAsia="仿宋" w:cs="仿宋"/>
          <w:bCs/>
          <w:color w:val="auto"/>
          <w:sz w:val="32"/>
          <w:szCs w:val="32"/>
          <w:lang w:val="en-US" w:eastAsia="zh-CN"/>
        </w:rPr>
        <w:t>-01</w:t>
      </w:r>
      <w:r>
        <w:rPr>
          <w:rFonts w:hint="eastAsia" w:ascii="仿宋" w:hAnsi="仿宋" w:eastAsia="仿宋" w:cs="仿宋"/>
          <w:bCs/>
          <w:color w:val="auto"/>
          <w:sz w:val="32"/>
          <w:szCs w:val="32"/>
        </w:rPr>
        <w:t>）</w:t>
      </w:r>
    </w:p>
    <w:p>
      <w:pPr>
        <w:pStyle w:val="11"/>
        <w:ind w:firstLine="0"/>
        <w:rPr>
          <w:color w:val="auto"/>
        </w:rPr>
      </w:pPr>
    </w:p>
    <w:p>
      <w:pPr>
        <w:spacing w:line="240" w:lineRule="atLeast"/>
        <w:ind w:left="1080" w:leftChars="257" w:hanging="540"/>
        <w:jc w:val="center"/>
        <w:rPr>
          <w:rFonts w:ascii="仿宋" w:hAnsi="仿宋" w:eastAsia="仿宋" w:cs="仿宋"/>
          <w:b/>
          <w:color w:val="auto"/>
          <w:sz w:val="52"/>
        </w:rPr>
      </w:pPr>
    </w:p>
    <w:p>
      <w:pPr>
        <w:spacing w:line="240" w:lineRule="atLeast"/>
        <w:ind w:left="1079" w:leftChars="257" w:hanging="539"/>
        <w:jc w:val="center"/>
        <w:outlineLvl w:val="0"/>
        <w:rPr>
          <w:rFonts w:ascii="仿宋" w:hAnsi="仿宋" w:eastAsia="仿宋" w:cs="仿宋"/>
          <w:b/>
          <w:color w:val="auto"/>
          <w:sz w:val="36"/>
          <w:szCs w:val="36"/>
        </w:rPr>
      </w:pPr>
      <w:bookmarkStart w:id="423" w:name="_Toc487"/>
      <w:bookmarkStart w:id="424" w:name="_Toc6470"/>
      <w:r>
        <w:rPr>
          <w:rFonts w:hint="eastAsia" w:ascii="仿宋" w:hAnsi="仿宋" w:eastAsia="仿宋" w:cs="仿宋"/>
          <w:b/>
          <w:color w:val="auto"/>
          <w:sz w:val="36"/>
          <w:szCs w:val="36"/>
        </w:rPr>
        <w:t>第三册</w:t>
      </w:r>
      <w:bookmarkEnd w:id="423"/>
      <w:bookmarkEnd w:id="424"/>
    </w:p>
    <w:p>
      <w:pPr>
        <w:pStyle w:val="3"/>
        <w:ind w:firstLine="1044"/>
        <w:rPr>
          <w:rFonts w:ascii="仿宋" w:hAnsi="仿宋" w:eastAsia="仿宋" w:cs="仿宋"/>
          <w:b/>
          <w:color w:val="auto"/>
          <w:sz w:val="52"/>
        </w:rPr>
      </w:pPr>
    </w:p>
    <w:p>
      <w:pPr>
        <w:pStyle w:val="4"/>
        <w:ind w:firstLine="480"/>
        <w:rPr>
          <w:color w:val="auto"/>
        </w:rPr>
      </w:pPr>
    </w:p>
    <w:p>
      <w:pPr>
        <w:spacing w:line="360" w:lineRule="auto"/>
        <w:ind w:firstLine="837" w:firstLineChars="299"/>
        <w:jc w:val="left"/>
        <w:rPr>
          <w:rFonts w:hint="eastAsia" w:ascii="仿宋" w:hAnsi="仿宋" w:eastAsia="仿宋" w:cs="仿宋"/>
          <w:color w:val="auto"/>
          <w:sz w:val="28"/>
          <w:szCs w:val="28"/>
          <w:u w:val="single"/>
          <w:lang w:eastAsia="zh-CN"/>
        </w:rPr>
      </w:pPr>
      <w:r>
        <w:rPr>
          <w:rFonts w:hint="eastAsia" w:ascii="仿宋" w:hAnsi="仿宋" w:eastAsia="仿宋" w:cs="仿宋"/>
          <w:color w:val="auto"/>
          <w:sz w:val="28"/>
          <w:szCs w:val="28"/>
        </w:rPr>
        <w:t>采 购 人：</w:t>
      </w:r>
      <w:r>
        <w:rPr>
          <w:rFonts w:hint="eastAsia" w:ascii="仿宋" w:hAnsi="仿宋" w:eastAsia="仿宋" w:cs="仿宋"/>
          <w:color w:val="auto"/>
          <w:sz w:val="28"/>
          <w:szCs w:val="28"/>
          <w:u w:val="single"/>
          <w:lang w:eastAsia="zh-CN"/>
        </w:rPr>
        <w:t>克孜勒苏柯尔克孜自治州自然资源局</w:t>
      </w:r>
    </w:p>
    <w:p>
      <w:pPr>
        <w:spacing w:line="600" w:lineRule="exact"/>
        <w:ind w:firstLine="837" w:firstLineChars="299"/>
        <w:rPr>
          <w:rFonts w:ascii="仿宋" w:hAnsi="仿宋" w:eastAsia="仿宋" w:cs="仿宋"/>
          <w:color w:val="auto"/>
          <w:sz w:val="28"/>
          <w:szCs w:val="28"/>
        </w:rPr>
      </w:pPr>
      <w:r>
        <w:rPr>
          <w:rFonts w:hint="eastAsia" w:ascii="仿宋" w:hAnsi="仿宋" w:eastAsia="仿宋" w:cs="仿宋"/>
          <w:color w:val="auto"/>
          <w:sz w:val="28"/>
          <w:szCs w:val="28"/>
        </w:rPr>
        <w:t>采购机构：</w:t>
      </w:r>
      <w:r>
        <w:rPr>
          <w:rFonts w:hint="eastAsia" w:ascii="仿宋" w:hAnsi="仿宋" w:eastAsia="仿宋" w:cs="仿宋"/>
          <w:color w:val="auto"/>
          <w:sz w:val="28"/>
          <w:szCs w:val="28"/>
          <w:u w:val="single"/>
        </w:rPr>
        <w:t>新疆国源土地矿产资源交易中心（有限公司）</w:t>
      </w:r>
      <w:r>
        <w:rPr>
          <w:rFonts w:hint="eastAsia" w:ascii="仿宋" w:hAnsi="仿宋" w:eastAsia="仿宋" w:cs="仿宋"/>
          <w:color w:val="auto"/>
          <w:sz w:val="28"/>
          <w:szCs w:val="28"/>
        </w:rPr>
        <w:t xml:space="preserve"> </w:t>
      </w:r>
    </w:p>
    <w:p>
      <w:pPr>
        <w:spacing w:line="600" w:lineRule="exact"/>
        <w:ind w:firstLine="837" w:firstLineChars="299"/>
        <w:rPr>
          <w:rFonts w:ascii="仿宋" w:hAnsi="仿宋" w:eastAsia="仿宋" w:cs="仿宋"/>
          <w:color w:val="auto"/>
          <w:sz w:val="28"/>
          <w:szCs w:val="28"/>
          <w:u w:val="single"/>
        </w:rPr>
      </w:pPr>
      <w:r>
        <w:rPr>
          <w:rFonts w:hint="eastAsia" w:ascii="仿宋" w:hAnsi="仿宋" w:eastAsia="仿宋" w:cs="仿宋"/>
          <w:color w:val="auto"/>
          <w:sz w:val="28"/>
          <w:szCs w:val="28"/>
        </w:rPr>
        <w:t>发出日期：</w:t>
      </w:r>
      <w:r>
        <w:rPr>
          <w:rFonts w:hint="eastAsia" w:ascii="仿宋" w:hAnsi="仿宋" w:eastAsia="仿宋" w:cs="仿宋"/>
          <w:color w:val="auto"/>
          <w:sz w:val="28"/>
          <w:szCs w:val="28"/>
          <w:u w:val="single"/>
        </w:rPr>
        <w:t>2023年2月</w:t>
      </w:r>
    </w:p>
    <w:p>
      <w:pPr>
        <w:pStyle w:val="4"/>
        <w:ind w:firstLine="560"/>
        <w:rPr>
          <w:rFonts w:ascii="仿宋" w:hAnsi="仿宋" w:eastAsia="仿宋" w:cs="仿宋"/>
          <w:color w:val="auto"/>
          <w:sz w:val="28"/>
          <w:szCs w:val="28"/>
          <w:u w:val="single"/>
        </w:rPr>
      </w:pPr>
      <w:r>
        <w:rPr>
          <w:rFonts w:hint="eastAsia" w:ascii="仿宋" w:hAnsi="仿宋" w:eastAsia="仿宋" w:cs="仿宋"/>
          <w:color w:val="auto"/>
          <w:sz w:val="28"/>
          <w:szCs w:val="28"/>
          <w:u w:val="single"/>
        </w:rPr>
        <w:br w:type="page"/>
      </w:r>
    </w:p>
    <w:p>
      <w:pPr>
        <w:pStyle w:val="7"/>
        <w:tabs>
          <w:tab w:val="left" w:pos="0"/>
        </w:tabs>
        <w:spacing w:before="0" w:after="0" w:line="240" w:lineRule="atLeast"/>
        <w:ind w:firstLine="2249" w:firstLineChars="700"/>
        <w:jc w:val="both"/>
        <w:rPr>
          <w:rFonts w:ascii="仿宋" w:hAnsi="仿宋" w:eastAsia="仿宋" w:cs="仿宋"/>
          <w:color w:val="auto"/>
        </w:rPr>
      </w:pPr>
      <w:bookmarkStart w:id="425" w:name="_Toc518923128"/>
      <w:bookmarkStart w:id="426" w:name="_Toc3667"/>
      <w:bookmarkStart w:id="427" w:name="_Toc22765"/>
      <w:r>
        <w:rPr>
          <w:rFonts w:hint="eastAsia" w:ascii="仿宋" w:hAnsi="仿宋" w:eastAsia="仿宋" w:cs="仿宋"/>
          <w:color w:val="auto"/>
        </w:rPr>
        <w:t>第7章  政府采购合同</w:t>
      </w:r>
      <w:bookmarkEnd w:id="387"/>
      <w:bookmarkEnd w:id="425"/>
      <w:bookmarkEnd w:id="426"/>
      <w:bookmarkEnd w:id="427"/>
      <w:bookmarkStart w:id="428" w:name="_Hlt487972895"/>
      <w:bookmarkEnd w:id="428"/>
      <w:bookmarkStart w:id="429" w:name="_Toc487900382"/>
      <w:bookmarkStart w:id="430" w:name="_Toc216513788"/>
    </w:p>
    <w:bookmarkEnd w:id="429"/>
    <w:bookmarkEnd w:id="430"/>
    <w:p>
      <w:pPr>
        <w:pStyle w:val="11"/>
        <w:spacing w:line="240" w:lineRule="atLeast"/>
        <w:ind w:left="1080" w:leftChars="257" w:hanging="540"/>
        <w:rPr>
          <w:rFonts w:ascii="仿宋" w:hAnsi="仿宋" w:eastAsia="仿宋" w:cs="仿宋"/>
          <w:color w:val="auto"/>
          <w:sz w:val="28"/>
        </w:rPr>
      </w:pPr>
    </w:p>
    <w:p>
      <w:pPr>
        <w:spacing w:line="240" w:lineRule="atLeast"/>
        <w:ind w:left="-567" w:leftChars="-270" w:firstLine="540"/>
        <w:jc w:val="center"/>
        <w:rPr>
          <w:rFonts w:ascii="仿宋" w:hAnsi="仿宋" w:eastAsia="仿宋" w:cs="仿宋"/>
          <w:color w:val="auto"/>
          <w:kern w:val="44"/>
          <w:sz w:val="28"/>
          <w:szCs w:val="28"/>
        </w:rPr>
      </w:pPr>
      <w:r>
        <w:rPr>
          <w:rFonts w:hint="eastAsia" w:ascii="仿宋" w:hAnsi="仿宋" w:eastAsia="仿宋" w:cs="仿宋"/>
          <w:color w:val="auto"/>
          <w:kern w:val="44"/>
          <w:sz w:val="28"/>
          <w:szCs w:val="28"/>
        </w:rPr>
        <w:t>请参照服务类政府采购合同参考范本订立采购合同。</w:t>
      </w:r>
    </w:p>
    <w:p>
      <w:pPr>
        <w:rPr>
          <w:rFonts w:ascii="仿宋" w:hAnsi="仿宋" w:eastAsia="仿宋" w:cs="仿宋"/>
          <w:color w:val="auto"/>
          <w:sz w:val="28"/>
          <w:szCs w:val="28"/>
          <w:u w:val="single"/>
        </w:rPr>
      </w:pPr>
      <w:r>
        <w:rPr>
          <w:rFonts w:hint="eastAsia" w:ascii="仿宋" w:hAnsi="仿宋" w:eastAsia="仿宋" w:cs="仿宋"/>
          <w:color w:val="auto"/>
          <w:sz w:val="28"/>
          <w:szCs w:val="28"/>
        </w:rPr>
        <w:t>合同编号：</w:t>
      </w:r>
      <w:r>
        <w:rPr>
          <w:rFonts w:hint="eastAsia" w:ascii="仿宋" w:hAnsi="仿宋" w:eastAsia="仿宋" w:cs="仿宋"/>
          <w:color w:val="auto"/>
          <w:sz w:val="28"/>
          <w:szCs w:val="28"/>
          <w:u w:val="single"/>
        </w:rPr>
        <w:t xml:space="preserve">           </w:t>
      </w:r>
    </w:p>
    <w:p>
      <w:pPr>
        <w:spacing w:line="480" w:lineRule="auto"/>
        <w:rPr>
          <w:rFonts w:ascii="仿宋" w:hAnsi="仿宋" w:eastAsia="仿宋" w:cs="仿宋"/>
          <w:b/>
          <w:bCs/>
          <w:color w:val="auto"/>
          <w:sz w:val="28"/>
          <w:szCs w:val="28"/>
        </w:rPr>
      </w:pPr>
    </w:p>
    <w:p>
      <w:pPr>
        <w:spacing w:line="480" w:lineRule="auto"/>
        <w:jc w:val="center"/>
        <w:outlineLvl w:val="1"/>
        <w:rPr>
          <w:rFonts w:ascii="仿宋" w:hAnsi="仿宋" w:eastAsia="仿宋" w:cs="仿宋"/>
          <w:b/>
          <w:bCs/>
          <w:color w:val="auto"/>
          <w:sz w:val="28"/>
          <w:szCs w:val="28"/>
        </w:rPr>
      </w:pPr>
      <w:bookmarkStart w:id="431" w:name="_Toc11060"/>
      <w:r>
        <w:rPr>
          <w:rFonts w:hint="eastAsia" w:ascii="仿宋" w:hAnsi="仿宋" w:eastAsia="仿宋" w:cs="仿宋"/>
          <w:b/>
          <w:bCs/>
          <w:color w:val="auto"/>
          <w:sz w:val="28"/>
          <w:szCs w:val="28"/>
          <w:lang w:val="en-US" w:eastAsia="zh-CN"/>
        </w:rPr>
        <w:t>克</w:t>
      </w:r>
      <w:r>
        <w:rPr>
          <w:rFonts w:hint="eastAsia" w:ascii="仿宋" w:hAnsi="仿宋" w:eastAsia="仿宋" w:cs="仿宋"/>
          <w:b/>
          <w:bCs/>
          <w:color w:val="auto"/>
          <w:sz w:val="28"/>
          <w:szCs w:val="28"/>
        </w:rPr>
        <w:t>州政府采购合同</w:t>
      </w:r>
      <w:bookmarkEnd w:id="431"/>
    </w:p>
    <w:p>
      <w:pPr>
        <w:pStyle w:val="53"/>
        <w:ind w:firstLine="0"/>
        <w:rPr>
          <w:rFonts w:ascii="仿宋" w:hAnsi="仿宋" w:eastAsia="仿宋" w:cs="仿宋"/>
          <w:color w:val="auto"/>
          <w:sz w:val="28"/>
          <w:szCs w:val="28"/>
        </w:rPr>
      </w:pPr>
    </w:p>
    <w:p>
      <w:pPr>
        <w:pStyle w:val="53"/>
        <w:ind w:firstLine="0"/>
        <w:rPr>
          <w:rFonts w:ascii="仿宋" w:hAnsi="仿宋" w:eastAsia="仿宋" w:cs="仿宋"/>
          <w:color w:val="auto"/>
          <w:sz w:val="28"/>
          <w:szCs w:val="28"/>
        </w:rPr>
      </w:pPr>
    </w:p>
    <w:p>
      <w:pPr>
        <w:pStyle w:val="53"/>
        <w:ind w:firstLine="0"/>
        <w:jc w:val="center"/>
        <w:outlineLvl w:val="1"/>
        <w:rPr>
          <w:rFonts w:ascii="仿宋" w:hAnsi="仿宋" w:eastAsia="仿宋" w:cs="仿宋"/>
          <w:b/>
          <w:bCs/>
          <w:color w:val="auto"/>
          <w:sz w:val="28"/>
          <w:szCs w:val="28"/>
        </w:rPr>
      </w:pPr>
      <w:bookmarkStart w:id="432" w:name="_Toc11090"/>
      <w:r>
        <w:rPr>
          <w:rFonts w:hint="eastAsia" w:ascii="仿宋" w:hAnsi="仿宋" w:eastAsia="仿宋" w:cs="仿宋"/>
          <w:b/>
          <w:bCs/>
          <w:color w:val="auto"/>
          <w:sz w:val="28"/>
          <w:szCs w:val="28"/>
        </w:rPr>
        <w:t>第一部分 合同书</w:t>
      </w:r>
      <w:bookmarkEnd w:id="432"/>
    </w:p>
    <w:p>
      <w:pPr>
        <w:pStyle w:val="53"/>
        <w:ind w:firstLine="0"/>
        <w:rPr>
          <w:rFonts w:ascii="仿宋" w:hAnsi="仿宋" w:eastAsia="仿宋" w:cs="仿宋"/>
          <w:color w:val="auto"/>
          <w:sz w:val="28"/>
          <w:szCs w:val="28"/>
        </w:rPr>
      </w:pPr>
    </w:p>
    <w:p>
      <w:pPr>
        <w:pStyle w:val="53"/>
        <w:ind w:firstLine="0"/>
        <w:rPr>
          <w:rFonts w:ascii="仿宋" w:hAnsi="仿宋" w:eastAsia="仿宋" w:cs="仿宋"/>
          <w:color w:val="auto"/>
          <w:sz w:val="28"/>
          <w:szCs w:val="28"/>
        </w:rPr>
      </w:pPr>
    </w:p>
    <w:p>
      <w:pPr>
        <w:spacing w:before="120" w:line="22" w:lineRule="atLeast"/>
        <w:rPr>
          <w:rFonts w:ascii="仿宋" w:hAnsi="仿宋" w:eastAsia="仿宋" w:cs="仿宋"/>
          <w:color w:val="auto"/>
          <w:sz w:val="28"/>
          <w:szCs w:val="28"/>
        </w:rPr>
      </w:pPr>
    </w:p>
    <w:p>
      <w:pPr>
        <w:spacing w:before="120" w:line="22" w:lineRule="atLeast"/>
        <w:ind w:left="960"/>
        <w:rPr>
          <w:rFonts w:ascii="仿宋" w:hAnsi="仿宋" w:eastAsia="仿宋" w:cs="仿宋"/>
          <w:color w:val="auto"/>
          <w:sz w:val="24"/>
        </w:rPr>
      </w:pPr>
      <w:r>
        <w:rPr>
          <w:rFonts w:hint="eastAsia" w:ascii="仿宋" w:hAnsi="仿宋" w:eastAsia="仿宋" w:cs="仿宋"/>
          <w:color w:val="auto"/>
          <w:sz w:val="24"/>
        </w:rPr>
        <w:t>项目名称：</w:t>
      </w:r>
      <w:r>
        <w:rPr>
          <w:rFonts w:hint="eastAsia" w:ascii="仿宋" w:hAnsi="仿宋" w:eastAsia="仿宋" w:cs="仿宋"/>
          <w:color w:val="auto"/>
          <w:sz w:val="24"/>
          <w:u w:val="single"/>
        </w:rPr>
        <w:t xml:space="preserve">                                     </w:t>
      </w:r>
    </w:p>
    <w:p>
      <w:pPr>
        <w:pStyle w:val="51"/>
        <w:spacing w:before="120" w:line="22" w:lineRule="atLeast"/>
        <w:rPr>
          <w:rFonts w:ascii="仿宋" w:hAnsi="仿宋" w:eastAsia="仿宋" w:cs="仿宋"/>
          <w:color w:val="auto"/>
          <w:szCs w:val="24"/>
        </w:rPr>
      </w:pPr>
    </w:p>
    <w:p>
      <w:pPr>
        <w:pStyle w:val="51"/>
        <w:spacing w:before="120" w:line="22" w:lineRule="atLeast"/>
        <w:rPr>
          <w:rFonts w:ascii="仿宋" w:hAnsi="仿宋" w:eastAsia="仿宋" w:cs="仿宋"/>
          <w:color w:val="auto"/>
          <w:szCs w:val="24"/>
        </w:rPr>
      </w:pPr>
    </w:p>
    <w:p>
      <w:pPr>
        <w:rPr>
          <w:rFonts w:ascii="仿宋" w:hAnsi="仿宋" w:eastAsia="仿宋" w:cs="仿宋"/>
          <w:color w:val="auto"/>
          <w:sz w:val="24"/>
        </w:rPr>
      </w:pPr>
    </w:p>
    <w:p>
      <w:pPr>
        <w:spacing w:before="120" w:line="22" w:lineRule="atLeast"/>
        <w:ind w:left="960"/>
        <w:rPr>
          <w:rFonts w:ascii="仿宋" w:hAnsi="仿宋" w:eastAsia="仿宋" w:cs="仿宋"/>
          <w:color w:val="auto"/>
          <w:sz w:val="24"/>
          <w:u w:val="single"/>
        </w:rPr>
      </w:pPr>
      <w:r>
        <w:rPr>
          <w:rFonts w:hint="eastAsia" w:ascii="仿宋" w:hAnsi="仿宋" w:eastAsia="仿宋" w:cs="仿宋"/>
          <w:color w:val="auto"/>
          <w:sz w:val="24"/>
        </w:rPr>
        <w:t>甲方：</w:t>
      </w:r>
      <w:r>
        <w:rPr>
          <w:rFonts w:hint="eastAsia" w:ascii="仿宋" w:hAnsi="仿宋" w:eastAsia="仿宋" w:cs="仿宋"/>
          <w:color w:val="auto"/>
          <w:sz w:val="24"/>
          <w:u w:val="single"/>
        </w:rPr>
        <w:t xml:space="preserve">                                       </w:t>
      </w:r>
    </w:p>
    <w:p>
      <w:pPr>
        <w:spacing w:before="120" w:line="22" w:lineRule="atLeast"/>
        <w:rPr>
          <w:rFonts w:ascii="仿宋" w:hAnsi="仿宋" w:eastAsia="仿宋" w:cs="仿宋"/>
          <w:color w:val="auto"/>
          <w:sz w:val="24"/>
        </w:rPr>
      </w:pPr>
    </w:p>
    <w:p>
      <w:pPr>
        <w:spacing w:before="120" w:line="22" w:lineRule="atLeast"/>
        <w:ind w:left="960"/>
        <w:rPr>
          <w:rFonts w:ascii="仿宋" w:hAnsi="仿宋" w:eastAsia="仿宋" w:cs="仿宋"/>
          <w:color w:val="auto"/>
          <w:sz w:val="24"/>
          <w:u w:val="single"/>
        </w:rPr>
      </w:pPr>
      <w:r>
        <w:rPr>
          <w:rFonts w:hint="eastAsia" w:ascii="仿宋" w:hAnsi="仿宋" w:eastAsia="仿宋" w:cs="仿宋"/>
          <w:color w:val="auto"/>
          <w:sz w:val="24"/>
        </w:rPr>
        <w:t>乙方：</w:t>
      </w:r>
      <w:r>
        <w:rPr>
          <w:rFonts w:hint="eastAsia" w:ascii="仿宋" w:hAnsi="仿宋" w:eastAsia="仿宋" w:cs="仿宋"/>
          <w:color w:val="auto"/>
          <w:sz w:val="24"/>
          <w:u w:val="single"/>
        </w:rPr>
        <w:t xml:space="preserve">                                       </w:t>
      </w:r>
    </w:p>
    <w:p>
      <w:pPr>
        <w:spacing w:before="120" w:line="22" w:lineRule="atLeast"/>
        <w:rPr>
          <w:rFonts w:ascii="仿宋" w:hAnsi="仿宋" w:eastAsia="仿宋" w:cs="仿宋"/>
          <w:color w:val="auto"/>
          <w:sz w:val="24"/>
        </w:rPr>
      </w:pPr>
    </w:p>
    <w:p>
      <w:pPr>
        <w:spacing w:before="120" w:line="22" w:lineRule="atLeast"/>
        <w:ind w:firstLine="960" w:firstLineChars="400"/>
        <w:rPr>
          <w:rFonts w:ascii="仿宋" w:hAnsi="仿宋" w:eastAsia="仿宋" w:cs="仿宋"/>
          <w:color w:val="auto"/>
          <w:sz w:val="24"/>
          <w:u w:val="single"/>
        </w:rPr>
      </w:pPr>
      <w:r>
        <w:rPr>
          <w:rFonts w:hint="eastAsia" w:ascii="仿宋" w:hAnsi="仿宋" w:eastAsia="仿宋" w:cs="仿宋"/>
          <w:color w:val="auto"/>
          <w:sz w:val="24"/>
        </w:rPr>
        <w:t>签订地：</w:t>
      </w:r>
      <w:r>
        <w:rPr>
          <w:rFonts w:hint="eastAsia" w:ascii="仿宋" w:hAnsi="仿宋" w:eastAsia="仿宋" w:cs="仿宋"/>
          <w:color w:val="auto"/>
          <w:sz w:val="24"/>
          <w:u w:val="single"/>
        </w:rPr>
        <w:t xml:space="preserve">                                     </w:t>
      </w:r>
    </w:p>
    <w:p>
      <w:pPr>
        <w:spacing w:before="120" w:line="22" w:lineRule="atLeast"/>
        <w:rPr>
          <w:rFonts w:ascii="仿宋" w:hAnsi="仿宋" w:eastAsia="仿宋" w:cs="仿宋"/>
          <w:color w:val="auto"/>
          <w:sz w:val="24"/>
        </w:rPr>
      </w:pPr>
    </w:p>
    <w:p>
      <w:pPr>
        <w:spacing w:before="120" w:line="22" w:lineRule="atLeast"/>
        <w:ind w:firstLine="960" w:firstLineChars="400"/>
        <w:rPr>
          <w:rFonts w:ascii="仿宋" w:hAnsi="仿宋" w:eastAsia="仿宋" w:cs="仿宋"/>
          <w:color w:val="auto"/>
          <w:sz w:val="24"/>
          <w:u w:val="single"/>
        </w:rPr>
      </w:pPr>
      <w:r>
        <w:rPr>
          <w:rFonts w:hint="eastAsia" w:ascii="仿宋" w:hAnsi="仿宋" w:eastAsia="仿宋" w:cs="仿宋"/>
          <w:color w:val="auto"/>
          <w:sz w:val="24"/>
        </w:rPr>
        <w:t>签订日期：</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w:t>
      </w:r>
    </w:p>
    <w:p>
      <w:pPr>
        <w:autoSpaceDE w:val="0"/>
        <w:autoSpaceDN w:val="0"/>
        <w:adjustRightInd w:val="0"/>
        <w:spacing w:line="600" w:lineRule="exact"/>
        <w:ind w:firstLine="640"/>
        <w:jc w:val="center"/>
        <w:rPr>
          <w:rFonts w:ascii="仿宋" w:hAnsi="仿宋" w:eastAsia="仿宋" w:cs="仿宋"/>
          <w:color w:val="auto"/>
          <w:sz w:val="24"/>
        </w:rPr>
        <w:sectPr>
          <w:headerReference r:id="rId8" w:type="default"/>
          <w:footerReference r:id="rId9" w:type="default"/>
          <w:pgSz w:w="11907" w:h="16840"/>
          <w:pgMar w:top="1474" w:right="1814" w:bottom="1474" w:left="1814" w:header="851" w:footer="851" w:gutter="0"/>
          <w:pgBorders>
            <w:top w:val="none" w:sz="0" w:space="0"/>
            <w:left w:val="none" w:sz="0" w:space="0"/>
            <w:bottom w:val="none" w:sz="0" w:space="0"/>
            <w:right w:val="none" w:sz="0" w:space="0"/>
          </w:pgBorders>
          <w:cols w:space="720" w:num="1"/>
          <w:docGrid w:linePitch="462" w:charSpace="0"/>
        </w:sectPr>
      </w:pP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年</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月</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日</w:t>
      </w:r>
      <w:r>
        <w:rPr>
          <w:rFonts w:hint="eastAsia" w:ascii="仿宋" w:hAnsi="仿宋" w:eastAsia="仿宋" w:cs="仿宋"/>
          <w:color w:val="auto"/>
          <w:sz w:val="24"/>
        </w:rPr>
        <w:t>，</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eastAsia="zh-CN"/>
        </w:rPr>
        <w:t>克孜勒苏柯尔克孜自治州自然资源局</w:t>
      </w:r>
      <w:r>
        <w:rPr>
          <w:rFonts w:hint="eastAsia" w:ascii="仿宋" w:hAnsi="仿宋" w:eastAsia="仿宋" w:cs="仿宋"/>
          <w:color w:val="auto"/>
          <w:sz w:val="24"/>
          <w:u w:val="single"/>
        </w:rPr>
        <w:t xml:space="preserve">  </w:t>
      </w:r>
      <w:r>
        <w:rPr>
          <w:rFonts w:hint="eastAsia" w:ascii="仿宋" w:hAnsi="仿宋" w:eastAsia="仿宋" w:cs="仿宋"/>
          <w:color w:val="auto"/>
          <w:sz w:val="24"/>
        </w:rPr>
        <w:t>以</w:t>
      </w:r>
      <w:r>
        <w:rPr>
          <w:rFonts w:hint="eastAsia" w:ascii="仿宋" w:hAnsi="仿宋" w:eastAsia="仿宋" w:cs="仿宋"/>
          <w:color w:val="auto"/>
          <w:sz w:val="24"/>
          <w:u w:val="single"/>
        </w:rPr>
        <w:t xml:space="preserve">公开招标方式  </w:t>
      </w:r>
      <w:r>
        <w:rPr>
          <w:rFonts w:hint="eastAsia" w:ascii="仿宋" w:hAnsi="仿宋" w:eastAsia="仿宋" w:cs="仿宋"/>
          <w:color w:val="auto"/>
          <w:sz w:val="24"/>
        </w:rPr>
        <w:t>对</w:t>
      </w:r>
      <w:r>
        <w:rPr>
          <w:rFonts w:hint="eastAsia" w:ascii="仿宋" w:hAnsi="仿宋" w:eastAsia="仿宋" w:cs="仿宋"/>
          <w:color w:val="auto"/>
          <w:sz w:val="24"/>
          <w:u w:val="single"/>
        </w:rPr>
        <w:t xml:space="preserve">                    </w:t>
      </w:r>
      <w:r>
        <w:rPr>
          <w:rFonts w:hint="eastAsia" w:ascii="仿宋" w:hAnsi="仿宋" w:eastAsia="仿宋" w:cs="仿宋"/>
          <w:color w:val="auto"/>
          <w:sz w:val="24"/>
        </w:rPr>
        <w:t>项目进行了采购。经</w:t>
      </w:r>
      <w:r>
        <w:rPr>
          <w:rFonts w:hint="eastAsia" w:ascii="仿宋" w:hAnsi="仿宋" w:eastAsia="仿宋" w:cs="仿宋"/>
          <w:color w:val="auto"/>
          <w:sz w:val="24"/>
          <w:u w:val="single"/>
        </w:rPr>
        <w:t xml:space="preserve">   （相关评定主体名称）   </w:t>
      </w:r>
      <w:r>
        <w:rPr>
          <w:rFonts w:hint="eastAsia" w:ascii="仿宋" w:hAnsi="仿宋" w:eastAsia="仿宋" w:cs="仿宋"/>
          <w:color w:val="auto"/>
          <w:sz w:val="24"/>
        </w:rPr>
        <w:t>评定，</w:t>
      </w:r>
      <w:r>
        <w:rPr>
          <w:rFonts w:hint="eastAsia" w:ascii="仿宋" w:hAnsi="仿宋" w:eastAsia="仿宋" w:cs="仿宋"/>
          <w:color w:val="auto"/>
          <w:sz w:val="24"/>
          <w:u w:val="single"/>
        </w:rPr>
        <w:t xml:space="preserve">   （中标供应商名称） </w:t>
      </w:r>
      <w:r>
        <w:rPr>
          <w:rFonts w:hint="eastAsia" w:ascii="仿宋" w:hAnsi="仿宋" w:eastAsia="仿宋" w:cs="仿宋"/>
          <w:color w:val="auto"/>
          <w:sz w:val="24"/>
        </w:rPr>
        <w:t>为该项目中标供应商。现于中标通知书发出之日起三十日内，按照采购文件确定的事项签订本合同。</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lang w:val="zh-CN"/>
        </w:rPr>
        <w:t>根据《中华人民共和国合同法》、《中华人民共和国政府采购法》等相关法律法规之规定，按照平等、自愿、公平和诚实信用的原则，经</w:t>
      </w:r>
      <w:r>
        <w:rPr>
          <w:rFonts w:hint="eastAsia" w:ascii="仿宋" w:hAnsi="仿宋" w:eastAsia="仿宋" w:cs="仿宋"/>
          <w:color w:val="auto"/>
          <w:sz w:val="24"/>
          <w:u w:val="single"/>
        </w:rPr>
        <w:t xml:space="preserve">   （采购人名称）   </w:t>
      </w:r>
      <w:r>
        <w:rPr>
          <w:rFonts w:hint="eastAsia" w:ascii="仿宋" w:hAnsi="仿宋" w:eastAsia="仿宋" w:cs="仿宋"/>
          <w:color w:val="auto"/>
          <w:sz w:val="24"/>
          <w:lang w:val="zh-CN"/>
        </w:rPr>
        <w:t>(以下简称：甲方)和</w:t>
      </w:r>
      <w:r>
        <w:rPr>
          <w:rFonts w:hint="eastAsia" w:ascii="仿宋" w:hAnsi="仿宋" w:eastAsia="仿宋" w:cs="仿宋"/>
          <w:color w:val="auto"/>
          <w:sz w:val="24"/>
          <w:u w:val="single"/>
        </w:rPr>
        <w:t xml:space="preserve">   （中标供应商名称）   </w:t>
      </w:r>
      <w:r>
        <w:rPr>
          <w:rFonts w:hint="eastAsia" w:ascii="仿宋" w:hAnsi="仿宋" w:eastAsia="仿宋" w:cs="仿宋"/>
          <w:color w:val="auto"/>
          <w:sz w:val="24"/>
          <w:lang w:val="zh-CN"/>
        </w:rPr>
        <w:t>(以下简称：乙方)协商一致，约定以下合同</w:t>
      </w:r>
      <w:r>
        <w:rPr>
          <w:rFonts w:hint="eastAsia" w:ascii="仿宋" w:hAnsi="仿宋" w:eastAsia="仿宋" w:cs="仿宋"/>
          <w:color w:val="auto"/>
          <w:sz w:val="24"/>
        </w:rPr>
        <w:t>条款，以兹共同遵守、全面履行。</w:t>
      </w:r>
    </w:p>
    <w:p>
      <w:pPr>
        <w:spacing w:line="560" w:lineRule="exact"/>
        <w:ind w:firstLine="482" w:firstLineChars="200"/>
        <w:outlineLvl w:val="0"/>
        <w:rPr>
          <w:rFonts w:ascii="仿宋" w:hAnsi="仿宋" w:eastAsia="仿宋" w:cs="仿宋"/>
          <w:color w:val="auto"/>
          <w:sz w:val="24"/>
        </w:rPr>
      </w:pPr>
      <w:bookmarkStart w:id="433" w:name="_Toc22967"/>
      <w:bookmarkStart w:id="434" w:name="_Toc15367"/>
      <w:bookmarkStart w:id="435" w:name="_Toc3882"/>
      <w:bookmarkStart w:id="436" w:name="_Toc20421"/>
      <w:bookmarkStart w:id="437" w:name="_Toc19273"/>
      <w:bookmarkStart w:id="438" w:name="_Toc28855"/>
      <w:bookmarkStart w:id="439" w:name="_Toc17242"/>
      <w:r>
        <w:rPr>
          <w:rFonts w:hint="eastAsia" w:ascii="仿宋" w:hAnsi="仿宋" w:eastAsia="仿宋" w:cs="仿宋"/>
          <w:b/>
          <w:bCs/>
          <w:color w:val="auto"/>
          <w:sz w:val="24"/>
        </w:rPr>
        <w:t>1.1 合同组成部分</w:t>
      </w:r>
      <w:bookmarkEnd w:id="433"/>
      <w:bookmarkEnd w:id="434"/>
      <w:bookmarkEnd w:id="435"/>
      <w:bookmarkEnd w:id="436"/>
      <w:bookmarkEnd w:id="437"/>
      <w:bookmarkEnd w:id="438"/>
      <w:bookmarkEnd w:id="439"/>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1.1.1 本合同及其补充合同、变更协议；</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1.1.2 中标通知书；</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1.1.3 投标文件（含澄清或者说明文件）；</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1.1.4 采购文件（含澄清或者修改文件）；</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1.1.5 其他相关采购文件。</w:t>
      </w:r>
    </w:p>
    <w:p>
      <w:pPr>
        <w:spacing w:line="560" w:lineRule="exact"/>
        <w:ind w:firstLine="482" w:firstLineChars="200"/>
        <w:outlineLvl w:val="0"/>
        <w:rPr>
          <w:rFonts w:ascii="仿宋" w:hAnsi="仿宋" w:eastAsia="仿宋" w:cs="仿宋"/>
          <w:b/>
          <w:bCs/>
          <w:color w:val="auto"/>
          <w:sz w:val="24"/>
        </w:rPr>
      </w:pPr>
      <w:bookmarkStart w:id="440" w:name="_Toc6773"/>
      <w:bookmarkStart w:id="441" w:name="_Toc22185"/>
      <w:bookmarkStart w:id="442" w:name="_Toc15802"/>
      <w:bookmarkStart w:id="443" w:name="_Toc3812"/>
      <w:bookmarkStart w:id="444" w:name="_Toc2918"/>
      <w:bookmarkStart w:id="445" w:name="_Toc6311"/>
      <w:bookmarkStart w:id="446" w:name="_Toc18585"/>
      <w:r>
        <w:rPr>
          <w:rFonts w:hint="eastAsia" w:ascii="仿宋" w:hAnsi="仿宋" w:eastAsia="仿宋" w:cs="仿宋"/>
          <w:b/>
          <w:bCs/>
          <w:color w:val="auto"/>
          <w:sz w:val="24"/>
        </w:rPr>
        <w:t>1.2 标的</w:t>
      </w:r>
      <w:bookmarkEnd w:id="440"/>
      <w:bookmarkEnd w:id="441"/>
      <w:bookmarkEnd w:id="442"/>
      <w:bookmarkEnd w:id="443"/>
      <w:bookmarkEnd w:id="444"/>
      <w:bookmarkEnd w:id="445"/>
      <w:bookmarkEnd w:id="446"/>
    </w:p>
    <w:p>
      <w:pPr>
        <w:spacing w:line="560" w:lineRule="exact"/>
        <w:ind w:firstLine="480" w:firstLineChars="200"/>
        <w:rPr>
          <w:rFonts w:ascii="仿宋" w:hAnsi="仿宋" w:eastAsia="仿宋" w:cs="仿宋"/>
          <w:color w:val="auto"/>
          <w:sz w:val="24"/>
          <w:u w:val="single"/>
        </w:rPr>
      </w:pPr>
      <w:r>
        <w:rPr>
          <w:rFonts w:hint="eastAsia" w:ascii="仿宋" w:hAnsi="仿宋" w:eastAsia="仿宋" w:cs="仿宋"/>
          <w:color w:val="auto"/>
          <w:sz w:val="24"/>
        </w:rPr>
        <w:t>1.2.1 标的名称：</w:t>
      </w:r>
      <w:r>
        <w:rPr>
          <w:rFonts w:hint="eastAsia" w:ascii="仿宋" w:hAnsi="仿宋" w:eastAsia="仿宋" w:cs="仿宋"/>
          <w:color w:val="auto"/>
          <w:sz w:val="24"/>
          <w:u w:val="single"/>
        </w:rPr>
        <w:t xml:space="preserve">                （详见清单）</w:t>
      </w:r>
    </w:p>
    <w:p>
      <w:pPr>
        <w:spacing w:line="560" w:lineRule="exact"/>
        <w:ind w:firstLine="480" w:firstLineChars="200"/>
        <w:rPr>
          <w:rFonts w:ascii="仿宋" w:hAnsi="仿宋" w:eastAsia="仿宋" w:cs="仿宋"/>
          <w:color w:val="auto"/>
          <w:sz w:val="24"/>
          <w:u w:val="single"/>
        </w:rPr>
      </w:pPr>
      <w:r>
        <w:rPr>
          <w:rFonts w:hint="eastAsia" w:ascii="仿宋" w:hAnsi="仿宋" w:eastAsia="仿宋" w:cs="仿宋"/>
          <w:color w:val="auto"/>
          <w:sz w:val="24"/>
        </w:rPr>
        <w:t>1.2.2 标的数量：</w:t>
      </w:r>
      <w:r>
        <w:rPr>
          <w:rFonts w:hint="eastAsia" w:ascii="仿宋" w:hAnsi="仿宋" w:eastAsia="仿宋" w:cs="仿宋"/>
          <w:color w:val="auto"/>
          <w:sz w:val="24"/>
          <w:u w:val="single"/>
        </w:rPr>
        <w:t>按采购文件要求（详见清单）</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1.2.3 标的质量：</w:t>
      </w:r>
      <w:r>
        <w:rPr>
          <w:rFonts w:hint="eastAsia" w:ascii="仿宋" w:hAnsi="仿宋" w:eastAsia="仿宋" w:cs="仿宋"/>
          <w:color w:val="auto"/>
          <w:sz w:val="24"/>
          <w:u w:val="single"/>
        </w:rPr>
        <w:t>按采购文件要求和投标文件的实际填写。</w:t>
      </w:r>
    </w:p>
    <w:p>
      <w:pPr>
        <w:spacing w:line="560" w:lineRule="exact"/>
        <w:ind w:firstLine="482" w:firstLineChars="200"/>
        <w:outlineLvl w:val="0"/>
        <w:rPr>
          <w:rFonts w:ascii="仿宋" w:hAnsi="仿宋" w:eastAsia="仿宋" w:cs="仿宋"/>
          <w:b/>
          <w:bCs/>
          <w:color w:val="auto"/>
          <w:sz w:val="24"/>
        </w:rPr>
      </w:pPr>
      <w:bookmarkStart w:id="447" w:name="_Toc1386"/>
      <w:bookmarkStart w:id="448" w:name="_Toc5635"/>
      <w:bookmarkStart w:id="449" w:name="_Toc4929"/>
      <w:bookmarkStart w:id="450" w:name="_Toc20397"/>
      <w:bookmarkStart w:id="451" w:name="_Toc21124"/>
      <w:bookmarkStart w:id="452" w:name="_Toc9410"/>
      <w:bookmarkStart w:id="453" w:name="_Toc13918"/>
      <w:r>
        <w:rPr>
          <w:rFonts w:hint="eastAsia" w:ascii="仿宋" w:hAnsi="仿宋" w:eastAsia="仿宋" w:cs="仿宋"/>
          <w:b/>
          <w:bCs/>
          <w:color w:val="auto"/>
          <w:sz w:val="24"/>
        </w:rPr>
        <w:t>1.3 价款</w:t>
      </w:r>
      <w:bookmarkEnd w:id="447"/>
      <w:bookmarkEnd w:id="448"/>
      <w:bookmarkEnd w:id="449"/>
      <w:bookmarkEnd w:id="450"/>
      <w:bookmarkEnd w:id="451"/>
      <w:bookmarkEnd w:id="452"/>
      <w:bookmarkEnd w:id="453"/>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本合同总价为：￥</w:t>
      </w:r>
      <w:r>
        <w:rPr>
          <w:rFonts w:hint="eastAsia" w:ascii="仿宋" w:hAnsi="仿宋" w:eastAsia="仿宋" w:cs="仿宋"/>
          <w:color w:val="auto"/>
          <w:sz w:val="24"/>
          <w:u w:val="single"/>
        </w:rPr>
        <w:t xml:space="preserve">           </w:t>
      </w:r>
      <w:r>
        <w:rPr>
          <w:rFonts w:hint="eastAsia" w:ascii="仿宋" w:hAnsi="仿宋" w:eastAsia="仿宋" w:cs="仿宋"/>
          <w:color w:val="auto"/>
          <w:sz w:val="24"/>
        </w:rPr>
        <w:t>元（大写：</w:t>
      </w:r>
      <w:r>
        <w:rPr>
          <w:rFonts w:hint="eastAsia" w:ascii="仿宋" w:hAnsi="仿宋" w:eastAsia="仿宋" w:cs="仿宋"/>
          <w:color w:val="auto"/>
          <w:sz w:val="24"/>
          <w:u w:val="single"/>
        </w:rPr>
        <w:t xml:space="preserve">                 </w:t>
      </w:r>
      <w:r>
        <w:rPr>
          <w:rFonts w:hint="eastAsia" w:ascii="仿宋" w:hAnsi="仿宋" w:eastAsia="仿宋" w:cs="仿宋"/>
          <w:color w:val="auto"/>
          <w:sz w:val="24"/>
        </w:rPr>
        <w:t>元人民币）。</w:t>
      </w:r>
    </w:p>
    <w:p>
      <w:pPr>
        <w:spacing w:line="560" w:lineRule="exact"/>
        <w:ind w:firstLine="480" w:firstLineChars="200"/>
        <w:rPr>
          <w:rFonts w:ascii="仿宋" w:hAnsi="仿宋" w:eastAsia="仿宋" w:cs="仿宋"/>
          <w:color w:val="auto"/>
          <w:sz w:val="24"/>
          <w:u w:val="single"/>
        </w:rPr>
      </w:pPr>
      <w:r>
        <w:rPr>
          <w:rFonts w:hint="eastAsia" w:ascii="仿宋" w:hAnsi="仿宋" w:eastAsia="仿宋" w:cs="仿宋"/>
          <w:color w:val="auto"/>
          <w:sz w:val="24"/>
        </w:rPr>
        <w:t>价格：</w:t>
      </w:r>
    </w:p>
    <w:tbl>
      <w:tblPr>
        <w:tblStyle w:val="37"/>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52"/>
              <w:spacing w:line="560" w:lineRule="exact"/>
              <w:jc w:val="center"/>
              <w:rPr>
                <w:rFonts w:ascii="仿宋" w:hAnsi="仿宋" w:eastAsia="仿宋" w:cs="仿宋"/>
                <w:color w:val="auto"/>
                <w:kern w:val="2"/>
                <w:sz w:val="24"/>
                <w:szCs w:val="24"/>
              </w:rPr>
            </w:pPr>
            <w:r>
              <w:rPr>
                <w:rFonts w:hint="eastAsia" w:ascii="仿宋" w:hAnsi="仿宋" w:eastAsia="仿宋" w:cs="仿宋"/>
                <w:color w:val="auto"/>
                <w:kern w:val="2"/>
                <w:sz w:val="24"/>
                <w:szCs w:val="24"/>
              </w:rPr>
              <w:t>序号</w:t>
            </w:r>
          </w:p>
        </w:tc>
        <w:tc>
          <w:tcPr>
            <w:tcW w:w="3402" w:type="dxa"/>
            <w:vAlign w:val="center"/>
          </w:tcPr>
          <w:p>
            <w:pPr>
              <w:pStyle w:val="52"/>
              <w:spacing w:line="560" w:lineRule="exact"/>
              <w:ind w:firstLine="200"/>
              <w:jc w:val="center"/>
              <w:rPr>
                <w:rFonts w:ascii="仿宋" w:hAnsi="仿宋" w:eastAsia="仿宋" w:cs="仿宋"/>
                <w:color w:val="auto"/>
                <w:kern w:val="2"/>
                <w:sz w:val="24"/>
                <w:szCs w:val="24"/>
              </w:rPr>
            </w:pPr>
            <w:r>
              <w:rPr>
                <w:rFonts w:hint="eastAsia" w:ascii="仿宋" w:hAnsi="仿宋" w:eastAsia="仿宋" w:cs="仿宋"/>
                <w:color w:val="auto"/>
                <w:kern w:val="2"/>
                <w:sz w:val="24"/>
                <w:szCs w:val="24"/>
              </w:rPr>
              <w:t>产品名称</w:t>
            </w:r>
          </w:p>
        </w:tc>
        <w:tc>
          <w:tcPr>
            <w:tcW w:w="2552" w:type="dxa"/>
            <w:vAlign w:val="center"/>
          </w:tcPr>
          <w:p>
            <w:pPr>
              <w:pStyle w:val="52"/>
              <w:spacing w:line="560" w:lineRule="exact"/>
              <w:jc w:val="center"/>
              <w:rPr>
                <w:rFonts w:ascii="仿宋" w:hAnsi="仿宋" w:eastAsia="仿宋" w:cs="仿宋"/>
                <w:color w:val="auto"/>
                <w:kern w:val="2"/>
                <w:sz w:val="24"/>
                <w:szCs w:val="24"/>
              </w:rPr>
            </w:pPr>
            <w:r>
              <w:rPr>
                <w:rFonts w:hint="eastAsia" w:ascii="仿宋" w:hAnsi="仿宋" w:eastAsia="仿宋" w:cs="仿宋"/>
                <w:color w:val="auto"/>
                <w:kern w:val="2"/>
                <w:sz w:val="24"/>
                <w:szCs w:val="24"/>
              </w:rPr>
              <w:t>产品价格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52"/>
              <w:spacing w:line="560" w:lineRule="exact"/>
              <w:ind w:firstLine="200"/>
              <w:jc w:val="center"/>
              <w:rPr>
                <w:rFonts w:ascii="仿宋" w:hAnsi="仿宋" w:eastAsia="仿宋" w:cs="仿宋"/>
                <w:color w:val="auto"/>
                <w:kern w:val="2"/>
                <w:sz w:val="24"/>
                <w:szCs w:val="24"/>
              </w:rPr>
            </w:pPr>
          </w:p>
        </w:tc>
        <w:tc>
          <w:tcPr>
            <w:tcW w:w="3402" w:type="dxa"/>
            <w:vAlign w:val="center"/>
          </w:tcPr>
          <w:p>
            <w:pPr>
              <w:pStyle w:val="52"/>
              <w:spacing w:line="560" w:lineRule="exact"/>
              <w:ind w:firstLine="200"/>
              <w:jc w:val="center"/>
              <w:rPr>
                <w:rFonts w:ascii="仿宋" w:hAnsi="仿宋" w:eastAsia="仿宋" w:cs="仿宋"/>
                <w:color w:val="auto"/>
                <w:kern w:val="2"/>
                <w:sz w:val="24"/>
                <w:szCs w:val="24"/>
              </w:rPr>
            </w:pPr>
          </w:p>
        </w:tc>
        <w:tc>
          <w:tcPr>
            <w:tcW w:w="2552" w:type="dxa"/>
            <w:vAlign w:val="center"/>
          </w:tcPr>
          <w:p>
            <w:pPr>
              <w:pStyle w:val="52"/>
              <w:spacing w:line="560" w:lineRule="exact"/>
              <w:ind w:firstLine="200"/>
              <w:jc w:val="center"/>
              <w:rPr>
                <w:rFonts w:ascii="仿宋" w:hAnsi="仿宋" w:eastAsia="仿宋" w:cs="仿宋"/>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52"/>
              <w:spacing w:line="560" w:lineRule="exact"/>
              <w:ind w:firstLine="200"/>
              <w:jc w:val="center"/>
              <w:rPr>
                <w:rFonts w:ascii="仿宋" w:hAnsi="仿宋" w:eastAsia="仿宋" w:cs="仿宋"/>
                <w:color w:val="auto"/>
                <w:kern w:val="2"/>
                <w:sz w:val="24"/>
                <w:szCs w:val="24"/>
              </w:rPr>
            </w:pPr>
          </w:p>
        </w:tc>
        <w:tc>
          <w:tcPr>
            <w:tcW w:w="3402" w:type="dxa"/>
            <w:vAlign w:val="center"/>
          </w:tcPr>
          <w:p>
            <w:pPr>
              <w:pStyle w:val="52"/>
              <w:spacing w:line="560" w:lineRule="exact"/>
              <w:ind w:firstLine="200"/>
              <w:jc w:val="center"/>
              <w:rPr>
                <w:rFonts w:ascii="仿宋" w:hAnsi="仿宋" w:eastAsia="仿宋" w:cs="仿宋"/>
                <w:color w:val="auto"/>
                <w:kern w:val="2"/>
                <w:sz w:val="24"/>
                <w:szCs w:val="24"/>
              </w:rPr>
            </w:pPr>
          </w:p>
        </w:tc>
        <w:tc>
          <w:tcPr>
            <w:tcW w:w="2552" w:type="dxa"/>
            <w:vAlign w:val="center"/>
          </w:tcPr>
          <w:p>
            <w:pPr>
              <w:pStyle w:val="52"/>
              <w:spacing w:line="560" w:lineRule="exact"/>
              <w:ind w:firstLine="200"/>
              <w:jc w:val="center"/>
              <w:rPr>
                <w:rFonts w:ascii="仿宋" w:hAnsi="仿宋" w:eastAsia="仿宋" w:cs="仿宋"/>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52"/>
              <w:spacing w:line="560" w:lineRule="exact"/>
              <w:ind w:firstLine="200"/>
              <w:jc w:val="center"/>
              <w:rPr>
                <w:rFonts w:ascii="仿宋" w:hAnsi="仿宋" w:eastAsia="仿宋" w:cs="仿宋"/>
                <w:color w:val="auto"/>
                <w:kern w:val="2"/>
                <w:sz w:val="24"/>
                <w:szCs w:val="24"/>
              </w:rPr>
            </w:pPr>
          </w:p>
        </w:tc>
        <w:tc>
          <w:tcPr>
            <w:tcW w:w="3402" w:type="dxa"/>
            <w:vAlign w:val="center"/>
          </w:tcPr>
          <w:p>
            <w:pPr>
              <w:pStyle w:val="52"/>
              <w:spacing w:line="560" w:lineRule="exact"/>
              <w:ind w:firstLine="200"/>
              <w:jc w:val="center"/>
              <w:rPr>
                <w:rFonts w:ascii="仿宋" w:hAnsi="仿宋" w:eastAsia="仿宋" w:cs="仿宋"/>
                <w:color w:val="auto"/>
                <w:kern w:val="2"/>
                <w:sz w:val="24"/>
                <w:szCs w:val="24"/>
              </w:rPr>
            </w:pPr>
          </w:p>
        </w:tc>
        <w:tc>
          <w:tcPr>
            <w:tcW w:w="2552" w:type="dxa"/>
            <w:vAlign w:val="center"/>
          </w:tcPr>
          <w:p>
            <w:pPr>
              <w:pStyle w:val="52"/>
              <w:spacing w:line="560" w:lineRule="exact"/>
              <w:ind w:firstLine="200"/>
              <w:jc w:val="center"/>
              <w:rPr>
                <w:rFonts w:ascii="仿宋" w:hAnsi="仿宋" w:eastAsia="仿宋" w:cs="仿宋"/>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52"/>
              <w:spacing w:line="560" w:lineRule="exact"/>
              <w:ind w:firstLine="200"/>
              <w:jc w:val="center"/>
              <w:rPr>
                <w:rFonts w:ascii="仿宋" w:hAnsi="仿宋" w:eastAsia="仿宋" w:cs="仿宋"/>
                <w:color w:val="auto"/>
                <w:kern w:val="2"/>
                <w:sz w:val="24"/>
                <w:szCs w:val="24"/>
              </w:rPr>
            </w:pPr>
          </w:p>
        </w:tc>
        <w:tc>
          <w:tcPr>
            <w:tcW w:w="3402" w:type="dxa"/>
            <w:vAlign w:val="center"/>
          </w:tcPr>
          <w:p>
            <w:pPr>
              <w:pStyle w:val="52"/>
              <w:spacing w:line="560" w:lineRule="exact"/>
              <w:ind w:firstLine="200"/>
              <w:jc w:val="center"/>
              <w:rPr>
                <w:rFonts w:ascii="仿宋" w:hAnsi="仿宋" w:eastAsia="仿宋" w:cs="仿宋"/>
                <w:color w:val="auto"/>
                <w:kern w:val="2"/>
                <w:sz w:val="24"/>
                <w:szCs w:val="24"/>
              </w:rPr>
            </w:pPr>
          </w:p>
        </w:tc>
        <w:tc>
          <w:tcPr>
            <w:tcW w:w="2552" w:type="dxa"/>
            <w:vAlign w:val="center"/>
          </w:tcPr>
          <w:p>
            <w:pPr>
              <w:pStyle w:val="52"/>
              <w:spacing w:line="560" w:lineRule="exact"/>
              <w:ind w:firstLine="200"/>
              <w:jc w:val="center"/>
              <w:rPr>
                <w:rFonts w:ascii="仿宋" w:hAnsi="仿宋" w:eastAsia="仿宋" w:cs="仿宋"/>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52"/>
              <w:spacing w:line="560" w:lineRule="exact"/>
              <w:ind w:firstLine="200"/>
              <w:jc w:val="center"/>
              <w:rPr>
                <w:rFonts w:ascii="仿宋" w:hAnsi="仿宋" w:eastAsia="仿宋" w:cs="仿宋"/>
                <w:color w:val="auto"/>
                <w:kern w:val="2"/>
                <w:sz w:val="24"/>
                <w:szCs w:val="24"/>
              </w:rPr>
            </w:pPr>
            <w:r>
              <w:rPr>
                <w:rFonts w:hint="eastAsia" w:ascii="仿宋" w:hAnsi="仿宋" w:eastAsia="仿宋" w:cs="仿宋"/>
                <w:color w:val="auto"/>
                <w:kern w:val="2"/>
                <w:sz w:val="24"/>
                <w:szCs w:val="24"/>
              </w:rPr>
              <w:t>总价</w:t>
            </w:r>
          </w:p>
        </w:tc>
        <w:tc>
          <w:tcPr>
            <w:tcW w:w="2552" w:type="dxa"/>
            <w:vAlign w:val="center"/>
          </w:tcPr>
          <w:p>
            <w:pPr>
              <w:pStyle w:val="52"/>
              <w:spacing w:line="560" w:lineRule="exact"/>
              <w:ind w:firstLine="200"/>
              <w:jc w:val="center"/>
              <w:rPr>
                <w:rFonts w:ascii="仿宋" w:hAnsi="仿宋" w:eastAsia="仿宋" w:cs="仿宋"/>
                <w:color w:val="auto"/>
                <w:kern w:val="2"/>
                <w:sz w:val="24"/>
                <w:szCs w:val="24"/>
              </w:rPr>
            </w:pPr>
          </w:p>
        </w:tc>
      </w:tr>
    </w:tbl>
    <w:p>
      <w:pPr>
        <w:spacing w:line="560" w:lineRule="exact"/>
        <w:ind w:firstLine="482" w:firstLineChars="200"/>
        <w:outlineLvl w:val="0"/>
        <w:rPr>
          <w:rFonts w:ascii="仿宋" w:hAnsi="仿宋" w:eastAsia="仿宋" w:cs="仿宋"/>
          <w:b/>
          <w:bCs/>
          <w:color w:val="auto"/>
          <w:sz w:val="24"/>
        </w:rPr>
      </w:pPr>
      <w:bookmarkStart w:id="454" w:name="_Toc30158"/>
      <w:bookmarkStart w:id="455" w:name="_Toc14993"/>
      <w:bookmarkStart w:id="456" w:name="_Toc3654"/>
      <w:bookmarkStart w:id="457" w:name="_Toc26916"/>
      <w:bookmarkStart w:id="458" w:name="_Toc32033"/>
      <w:bookmarkStart w:id="459" w:name="_Toc30506"/>
      <w:bookmarkStart w:id="460" w:name="_Toc28390"/>
      <w:r>
        <w:rPr>
          <w:rFonts w:hint="eastAsia" w:ascii="仿宋" w:hAnsi="仿宋" w:eastAsia="仿宋" w:cs="仿宋"/>
          <w:b/>
          <w:bCs/>
          <w:color w:val="auto"/>
          <w:sz w:val="24"/>
        </w:rPr>
        <w:t>1.4 付款方式和发票开具方式</w:t>
      </w:r>
      <w:bookmarkEnd w:id="454"/>
      <w:bookmarkEnd w:id="455"/>
      <w:bookmarkEnd w:id="456"/>
      <w:bookmarkEnd w:id="457"/>
      <w:bookmarkEnd w:id="458"/>
      <w:bookmarkEnd w:id="459"/>
      <w:bookmarkEnd w:id="460"/>
    </w:p>
    <w:p>
      <w:pPr>
        <w:pStyle w:val="17"/>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1.4.1付款方式：详见采购文件要求。</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1.4.2 发票开具方式：乙方提供发票</w:t>
      </w:r>
    </w:p>
    <w:p>
      <w:pPr>
        <w:spacing w:line="560" w:lineRule="exact"/>
        <w:ind w:firstLine="482" w:firstLineChars="200"/>
        <w:outlineLvl w:val="0"/>
        <w:rPr>
          <w:rFonts w:ascii="仿宋" w:hAnsi="仿宋" w:eastAsia="仿宋" w:cs="仿宋"/>
          <w:b/>
          <w:bCs/>
          <w:color w:val="auto"/>
          <w:sz w:val="24"/>
        </w:rPr>
      </w:pPr>
      <w:bookmarkStart w:id="461" w:name="_Toc4760"/>
      <w:bookmarkStart w:id="462" w:name="_Toc8772"/>
      <w:bookmarkStart w:id="463" w:name="_Toc3625"/>
      <w:bookmarkStart w:id="464" w:name="_Toc22097"/>
      <w:bookmarkStart w:id="465" w:name="_Toc31421"/>
      <w:bookmarkStart w:id="466" w:name="_Toc11108"/>
      <w:bookmarkStart w:id="467" w:name="_Toc19889"/>
      <w:r>
        <w:rPr>
          <w:rFonts w:hint="eastAsia" w:ascii="仿宋" w:hAnsi="仿宋" w:eastAsia="仿宋" w:cs="仿宋"/>
          <w:b/>
          <w:bCs/>
          <w:color w:val="auto"/>
          <w:sz w:val="24"/>
        </w:rPr>
        <w:t>1.5 履行期限、地点和方式</w:t>
      </w:r>
      <w:bookmarkEnd w:id="461"/>
      <w:bookmarkEnd w:id="462"/>
      <w:bookmarkEnd w:id="463"/>
      <w:bookmarkEnd w:id="464"/>
      <w:bookmarkEnd w:id="465"/>
      <w:bookmarkEnd w:id="466"/>
      <w:bookmarkEnd w:id="467"/>
    </w:p>
    <w:p>
      <w:pPr>
        <w:spacing w:line="560" w:lineRule="exact"/>
        <w:ind w:firstLine="480" w:firstLineChars="200"/>
        <w:rPr>
          <w:rFonts w:ascii="仿宋" w:hAnsi="仿宋" w:eastAsia="仿宋" w:cs="仿宋"/>
          <w:color w:val="auto"/>
          <w:sz w:val="24"/>
          <w:u w:val="single"/>
        </w:rPr>
      </w:pPr>
      <w:r>
        <w:rPr>
          <w:rFonts w:hint="eastAsia" w:ascii="仿宋" w:hAnsi="仿宋" w:eastAsia="仿宋" w:cs="仿宋"/>
          <w:color w:val="auto"/>
          <w:sz w:val="24"/>
        </w:rPr>
        <w:t>1.5.1 履行期限：</w:t>
      </w:r>
      <w:r>
        <w:rPr>
          <w:rFonts w:hint="eastAsia" w:ascii="仿宋" w:hAnsi="仿宋" w:eastAsia="仿宋" w:cs="仿宋"/>
          <w:color w:val="auto"/>
          <w:sz w:val="24"/>
          <w:u w:val="single"/>
        </w:rPr>
        <w:t xml:space="preserve">  按采购文件要求      </w:t>
      </w:r>
    </w:p>
    <w:p>
      <w:pPr>
        <w:spacing w:line="560" w:lineRule="exact"/>
        <w:ind w:firstLine="480" w:firstLineChars="200"/>
        <w:rPr>
          <w:rFonts w:ascii="仿宋" w:hAnsi="仿宋" w:eastAsia="仿宋" w:cs="仿宋"/>
          <w:b/>
          <w:bCs/>
          <w:color w:val="auto"/>
          <w:sz w:val="24"/>
        </w:rPr>
      </w:pPr>
      <w:r>
        <w:rPr>
          <w:rFonts w:hint="eastAsia" w:ascii="仿宋" w:hAnsi="仿宋" w:eastAsia="仿宋" w:cs="仿宋"/>
          <w:color w:val="auto"/>
          <w:sz w:val="24"/>
        </w:rPr>
        <w:t xml:space="preserve">1.5.2 </w:t>
      </w:r>
      <w:r>
        <w:rPr>
          <w:rFonts w:hint="eastAsia" w:ascii="仿宋" w:hAnsi="仿宋" w:eastAsia="仿宋" w:cs="仿宋"/>
          <w:b/>
          <w:bCs/>
          <w:color w:val="auto"/>
          <w:sz w:val="24"/>
        </w:rPr>
        <w:t>履行地点：采购人指定地点</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1.5.3 履行方式：现场验收。</w:t>
      </w:r>
    </w:p>
    <w:p>
      <w:pPr>
        <w:spacing w:line="560" w:lineRule="exact"/>
        <w:ind w:firstLine="482" w:firstLineChars="200"/>
        <w:outlineLvl w:val="0"/>
        <w:rPr>
          <w:rFonts w:ascii="仿宋" w:hAnsi="仿宋" w:eastAsia="仿宋" w:cs="仿宋"/>
          <w:color w:val="auto"/>
          <w:sz w:val="24"/>
          <w:u w:val="single"/>
        </w:rPr>
      </w:pPr>
      <w:bookmarkStart w:id="468" w:name="_Toc2375"/>
      <w:bookmarkStart w:id="469" w:name="_Toc6232"/>
      <w:bookmarkStart w:id="470" w:name="_Toc5698"/>
      <w:bookmarkStart w:id="471" w:name="_Toc24662"/>
      <w:bookmarkStart w:id="472" w:name="_Toc8586"/>
      <w:bookmarkStart w:id="473" w:name="_Toc3079"/>
      <w:bookmarkStart w:id="474" w:name="_Toc17356"/>
      <w:r>
        <w:rPr>
          <w:rFonts w:hint="eastAsia" w:ascii="仿宋" w:hAnsi="仿宋" w:eastAsia="仿宋" w:cs="仿宋"/>
          <w:b/>
          <w:bCs/>
          <w:color w:val="auto"/>
          <w:sz w:val="24"/>
        </w:rPr>
        <w:t>1.6 违约责任</w:t>
      </w:r>
      <w:bookmarkEnd w:id="468"/>
      <w:bookmarkEnd w:id="469"/>
      <w:bookmarkEnd w:id="470"/>
      <w:bookmarkEnd w:id="471"/>
      <w:bookmarkEnd w:id="472"/>
      <w:bookmarkEnd w:id="473"/>
      <w:bookmarkEnd w:id="474"/>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1.6.1 除不可抗力外，如果乙方没有按照本合同约定的期限、地点和方式履行，那么甲方可要求乙方支付违约金，违约金按每迟延履行一日的应提供而未提供服务价格的</w:t>
      </w:r>
      <w:r>
        <w:rPr>
          <w:rFonts w:hint="eastAsia" w:ascii="仿宋" w:hAnsi="仿宋" w:eastAsia="仿宋" w:cs="仿宋"/>
          <w:color w:val="auto"/>
          <w:sz w:val="24"/>
          <w:u w:val="single"/>
        </w:rPr>
        <w:t xml:space="preserve">     </w:t>
      </w:r>
      <w:r>
        <w:rPr>
          <w:rFonts w:hint="eastAsia" w:ascii="仿宋" w:hAnsi="仿宋" w:eastAsia="仿宋" w:cs="仿宋"/>
          <w:color w:val="auto"/>
          <w:sz w:val="24"/>
        </w:rPr>
        <w:t>%计算，最高限额为本合同总价的</w:t>
      </w:r>
      <w:r>
        <w:rPr>
          <w:rFonts w:hint="eastAsia" w:ascii="仿宋" w:hAnsi="仿宋" w:eastAsia="仿宋" w:cs="仿宋"/>
          <w:color w:val="auto"/>
          <w:sz w:val="24"/>
          <w:u w:val="single"/>
        </w:rPr>
        <w:t xml:space="preserve">      </w:t>
      </w:r>
      <w:r>
        <w:rPr>
          <w:rFonts w:hint="eastAsia" w:ascii="仿宋" w:hAnsi="仿宋" w:eastAsia="仿宋" w:cs="仿宋"/>
          <w:color w:val="auto"/>
          <w:sz w:val="24"/>
        </w:rPr>
        <w:t>%；迟延履行的违约金计算数额达到前述最高限额之日起，甲方有权在要求乙方支付违约金的同时，书面通知乙方解除本合同；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1.6.2 除不可抗力外，如果甲方没有按照本合同约定的付款方式付款，那么乙方可要求甲方支付违约金，违约金按每迟延付款一日的应付而未付款的</w:t>
      </w:r>
      <w:r>
        <w:rPr>
          <w:rFonts w:hint="eastAsia" w:ascii="仿宋" w:hAnsi="仿宋" w:eastAsia="仿宋" w:cs="仿宋"/>
          <w:color w:val="auto"/>
          <w:sz w:val="24"/>
          <w:u w:val="single"/>
        </w:rPr>
        <w:t xml:space="preserve">    </w:t>
      </w:r>
      <w:r>
        <w:rPr>
          <w:rFonts w:hint="eastAsia" w:ascii="仿宋" w:hAnsi="仿宋" w:eastAsia="仿宋" w:cs="仿宋"/>
          <w:color w:val="auto"/>
          <w:sz w:val="24"/>
        </w:rPr>
        <w:t>%计算，最高限额为本合同总价的</w:t>
      </w:r>
      <w:r>
        <w:rPr>
          <w:rFonts w:hint="eastAsia" w:ascii="仿宋" w:hAnsi="仿宋" w:eastAsia="仿宋" w:cs="仿宋"/>
          <w:color w:val="auto"/>
          <w:sz w:val="24"/>
          <w:u w:val="single"/>
        </w:rPr>
        <w:t xml:space="preserve">    </w:t>
      </w:r>
      <w:r>
        <w:rPr>
          <w:rFonts w:hint="eastAsia" w:ascii="仿宋" w:hAnsi="仿宋" w:eastAsia="仿宋" w:cs="仿宋"/>
          <w:color w:val="auto"/>
          <w:sz w:val="24"/>
        </w:rPr>
        <w:t>%；迟延付款的违约金计算数额达到前述最高限额之日起，乙方有权在要求甲方支付违约金的同时，书面通知甲方解除本合同；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firstLine="482" w:firstLineChars="200"/>
        <w:outlineLvl w:val="0"/>
        <w:rPr>
          <w:rFonts w:ascii="仿宋" w:hAnsi="仿宋" w:eastAsia="仿宋" w:cs="仿宋"/>
          <w:b/>
          <w:bCs/>
          <w:color w:val="auto"/>
          <w:sz w:val="24"/>
        </w:rPr>
      </w:pPr>
      <w:bookmarkStart w:id="475" w:name="_Toc26807"/>
      <w:bookmarkStart w:id="476" w:name="_Toc18683"/>
      <w:bookmarkStart w:id="477" w:name="_Toc9497"/>
      <w:bookmarkStart w:id="478" w:name="_Toc30329"/>
      <w:bookmarkStart w:id="479" w:name="_Toc26428"/>
      <w:bookmarkStart w:id="480" w:name="_Toc32454"/>
      <w:bookmarkStart w:id="481" w:name="_Toc30499"/>
      <w:r>
        <w:rPr>
          <w:rFonts w:hint="eastAsia" w:ascii="仿宋" w:hAnsi="仿宋" w:eastAsia="仿宋" w:cs="仿宋"/>
          <w:b/>
          <w:bCs/>
          <w:color w:val="auto"/>
          <w:sz w:val="24"/>
        </w:rPr>
        <w:t>1.7 合同争议的解决</w:t>
      </w:r>
      <w:bookmarkEnd w:id="475"/>
      <w:bookmarkEnd w:id="476"/>
      <w:bookmarkEnd w:id="477"/>
      <w:bookmarkEnd w:id="478"/>
      <w:bookmarkEnd w:id="479"/>
      <w:bookmarkEnd w:id="480"/>
      <w:bookmarkEnd w:id="481"/>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本合同履行过程中发生的任何争议，双方当事人均可通过和解或者调解解决；不愿和解、调解或者和解、调解不成的，可以选择下列第</w:t>
      </w:r>
      <w:r>
        <w:rPr>
          <w:rFonts w:hint="eastAsia" w:ascii="仿宋" w:hAnsi="仿宋" w:eastAsia="仿宋" w:cs="仿宋"/>
          <w:color w:val="auto"/>
          <w:sz w:val="24"/>
          <w:u w:val="single"/>
        </w:rPr>
        <w:t xml:space="preserve"> 2 </w:t>
      </w:r>
      <w:r>
        <w:rPr>
          <w:rFonts w:hint="eastAsia" w:ascii="仿宋" w:hAnsi="仿宋" w:eastAsia="仿宋" w:cs="仿宋"/>
          <w:color w:val="auto"/>
          <w:sz w:val="24"/>
        </w:rPr>
        <w:t>种方式解决：</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1.7.1 将争议提交</w:t>
      </w:r>
      <w:r>
        <w:rPr>
          <w:rFonts w:hint="eastAsia" w:ascii="仿宋" w:hAnsi="仿宋" w:eastAsia="仿宋" w:cs="仿宋"/>
          <w:color w:val="auto"/>
          <w:sz w:val="24"/>
          <w:u w:val="single"/>
        </w:rPr>
        <w:t xml:space="preserve">              </w:t>
      </w:r>
      <w:r>
        <w:rPr>
          <w:rFonts w:hint="eastAsia" w:ascii="仿宋" w:hAnsi="仿宋" w:eastAsia="仿宋" w:cs="仿宋"/>
          <w:color w:val="auto"/>
          <w:sz w:val="24"/>
        </w:rPr>
        <w:t>仲裁委员会依申请仲裁时其现行有效的仲裁规则裁决；</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1.7.2 向</w:t>
      </w:r>
      <w:r>
        <w:rPr>
          <w:rFonts w:hint="eastAsia" w:ascii="仿宋" w:hAnsi="仿宋" w:eastAsia="仿宋" w:cs="仿宋"/>
          <w:color w:val="auto"/>
          <w:sz w:val="24"/>
          <w:u w:val="single"/>
          <w:lang w:val="en-US" w:eastAsia="zh-CN"/>
        </w:rPr>
        <w:t>阿图什</w:t>
      </w:r>
      <w:r>
        <w:rPr>
          <w:rFonts w:hint="eastAsia" w:ascii="仿宋" w:hAnsi="仿宋" w:eastAsia="仿宋" w:cs="仿宋"/>
          <w:color w:val="auto"/>
          <w:sz w:val="24"/>
          <w:u w:val="single"/>
        </w:rPr>
        <w:t>市</w:t>
      </w:r>
      <w:r>
        <w:rPr>
          <w:rFonts w:hint="eastAsia" w:ascii="仿宋" w:hAnsi="仿宋" w:eastAsia="仿宋" w:cs="仿宋"/>
          <w:color w:val="auto"/>
          <w:sz w:val="24"/>
        </w:rPr>
        <w:t>人民法院起诉。</w:t>
      </w:r>
    </w:p>
    <w:p>
      <w:pPr>
        <w:spacing w:line="560" w:lineRule="exact"/>
        <w:ind w:firstLine="482" w:firstLineChars="200"/>
        <w:outlineLvl w:val="0"/>
        <w:rPr>
          <w:rFonts w:ascii="仿宋" w:hAnsi="仿宋" w:eastAsia="仿宋" w:cs="仿宋"/>
          <w:b/>
          <w:bCs/>
          <w:color w:val="auto"/>
          <w:sz w:val="24"/>
        </w:rPr>
      </w:pPr>
      <w:bookmarkStart w:id="482" w:name="_Toc12273"/>
      <w:bookmarkStart w:id="483" w:name="_Toc16417"/>
      <w:bookmarkStart w:id="484" w:name="_Toc29940"/>
      <w:bookmarkStart w:id="485" w:name="_Toc23784"/>
      <w:bookmarkStart w:id="486" w:name="_Toc26227"/>
      <w:bookmarkStart w:id="487" w:name="_Toc569"/>
      <w:bookmarkStart w:id="488" w:name="_Toc15827"/>
      <w:r>
        <w:rPr>
          <w:rFonts w:hint="eastAsia" w:ascii="仿宋" w:hAnsi="仿宋" w:eastAsia="仿宋" w:cs="仿宋"/>
          <w:b/>
          <w:bCs/>
          <w:color w:val="auto"/>
          <w:sz w:val="24"/>
        </w:rPr>
        <w:t>1.8 合同生效</w:t>
      </w:r>
      <w:bookmarkEnd w:id="482"/>
      <w:bookmarkEnd w:id="483"/>
      <w:bookmarkEnd w:id="484"/>
      <w:bookmarkEnd w:id="485"/>
      <w:bookmarkEnd w:id="486"/>
      <w:bookmarkEnd w:id="487"/>
      <w:bookmarkEnd w:id="488"/>
    </w:p>
    <w:p>
      <w:pPr>
        <w:spacing w:line="560" w:lineRule="exact"/>
        <w:ind w:firstLine="480" w:firstLineChars="200"/>
        <w:rPr>
          <w:rFonts w:ascii="仿宋" w:hAnsi="仿宋" w:eastAsia="仿宋" w:cs="仿宋"/>
          <w:b/>
          <w:bCs/>
          <w:color w:val="auto"/>
          <w:sz w:val="24"/>
        </w:rPr>
      </w:pPr>
      <w:r>
        <w:rPr>
          <w:rFonts w:hint="eastAsia" w:ascii="仿宋" w:hAnsi="仿宋" w:eastAsia="仿宋" w:cs="仿宋"/>
          <w:color w:val="auto"/>
          <w:sz w:val="24"/>
        </w:rPr>
        <w:t>本合同自双方当事人盖章或者签字时生效。</w:t>
      </w:r>
    </w:p>
    <w:p>
      <w:pPr>
        <w:autoSpaceDE w:val="0"/>
        <w:autoSpaceDN w:val="0"/>
        <w:adjustRightInd w:val="0"/>
        <w:spacing w:line="560" w:lineRule="exact"/>
        <w:rPr>
          <w:rFonts w:ascii="仿宋" w:hAnsi="仿宋" w:eastAsia="仿宋" w:cs="仿宋"/>
          <w:color w:val="auto"/>
          <w:sz w:val="24"/>
          <w:lang w:val="zh-CN"/>
        </w:rPr>
      </w:pPr>
    </w:p>
    <w:p>
      <w:pPr>
        <w:autoSpaceDE w:val="0"/>
        <w:autoSpaceDN w:val="0"/>
        <w:adjustRightInd w:val="0"/>
        <w:spacing w:line="560" w:lineRule="exact"/>
        <w:rPr>
          <w:rFonts w:ascii="仿宋" w:hAnsi="仿宋" w:eastAsia="仿宋" w:cs="仿宋"/>
          <w:color w:val="auto"/>
          <w:sz w:val="24"/>
          <w:lang w:val="zh-CN"/>
        </w:rPr>
      </w:pPr>
      <w:r>
        <w:rPr>
          <w:rFonts w:hint="eastAsia" w:ascii="仿宋" w:hAnsi="仿宋" w:eastAsia="仿宋" w:cs="仿宋"/>
          <w:b/>
          <w:bCs/>
          <w:color w:val="auto"/>
          <w:sz w:val="24"/>
          <w:lang w:val="zh-CN"/>
        </w:rPr>
        <w:t>甲方</w:t>
      </w:r>
      <w:r>
        <w:rPr>
          <w:rFonts w:hint="eastAsia" w:ascii="仿宋" w:hAnsi="仿宋" w:eastAsia="仿宋" w:cs="仿宋"/>
          <w:color w:val="auto"/>
          <w:sz w:val="24"/>
          <w:lang w:val="zh-CN"/>
        </w:rPr>
        <w:t xml:space="preserve">：                             </w:t>
      </w:r>
      <w:r>
        <w:rPr>
          <w:rFonts w:hint="eastAsia" w:ascii="仿宋" w:hAnsi="仿宋" w:eastAsia="仿宋" w:cs="仿宋"/>
          <w:b/>
          <w:bCs/>
          <w:color w:val="auto"/>
          <w:sz w:val="24"/>
          <w:lang w:val="zh-CN"/>
        </w:rPr>
        <w:t xml:space="preserve">      乙方</w:t>
      </w:r>
      <w:r>
        <w:rPr>
          <w:rFonts w:hint="eastAsia" w:ascii="仿宋" w:hAnsi="仿宋" w:eastAsia="仿宋" w:cs="仿宋"/>
          <w:color w:val="auto"/>
          <w:sz w:val="24"/>
          <w:lang w:val="zh-CN"/>
        </w:rPr>
        <w:t>：</w:t>
      </w:r>
    </w:p>
    <w:p>
      <w:pPr>
        <w:autoSpaceDE w:val="0"/>
        <w:autoSpaceDN w:val="0"/>
        <w:adjustRightInd w:val="0"/>
        <w:spacing w:line="560" w:lineRule="exact"/>
        <w:ind w:left="5040" w:hanging="5040" w:hangingChars="2100"/>
        <w:rPr>
          <w:rFonts w:ascii="仿宋" w:hAnsi="仿宋" w:eastAsia="仿宋" w:cs="仿宋"/>
          <w:color w:val="auto"/>
          <w:sz w:val="24"/>
          <w:lang w:val="zh-CN"/>
        </w:rPr>
      </w:pPr>
      <w:r>
        <w:rPr>
          <w:rFonts w:hint="eastAsia" w:ascii="仿宋" w:hAnsi="仿宋" w:eastAsia="仿宋" w:cs="仿宋"/>
          <w:color w:val="auto"/>
          <w:sz w:val="24"/>
          <w:lang w:val="zh-CN"/>
        </w:rPr>
        <w:t>统一社会信用代码：                        统一社会信用代码或身份证号码：</w:t>
      </w:r>
    </w:p>
    <w:p>
      <w:pPr>
        <w:autoSpaceDE w:val="0"/>
        <w:autoSpaceDN w:val="0"/>
        <w:adjustRightInd w:val="0"/>
        <w:spacing w:line="560" w:lineRule="exact"/>
        <w:rPr>
          <w:rFonts w:ascii="仿宋" w:hAnsi="仿宋" w:eastAsia="仿宋" w:cs="仿宋"/>
          <w:color w:val="auto"/>
          <w:sz w:val="24"/>
          <w:lang w:val="zh-CN"/>
        </w:rPr>
      </w:pPr>
      <w:r>
        <w:rPr>
          <w:rFonts w:hint="eastAsia" w:ascii="仿宋" w:hAnsi="仿宋" w:eastAsia="仿宋" w:cs="仿宋"/>
          <w:color w:val="auto"/>
          <w:sz w:val="24"/>
          <w:lang w:val="zh-CN"/>
        </w:rPr>
        <w:t>住所：                                   住所：</w:t>
      </w:r>
    </w:p>
    <w:p>
      <w:pPr>
        <w:autoSpaceDE w:val="0"/>
        <w:autoSpaceDN w:val="0"/>
        <w:adjustRightInd w:val="0"/>
        <w:spacing w:line="560" w:lineRule="exact"/>
        <w:rPr>
          <w:rFonts w:ascii="仿宋" w:hAnsi="仿宋" w:eastAsia="仿宋" w:cs="仿宋"/>
          <w:color w:val="auto"/>
          <w:sz w:val="24"/>
          <w:lang w:val="zh-CN"/>
        </w:rPr>
      </w:pPr>
      <w:r>
        <w:rPr>
          <w:rFonts w:hint="eastAsia" w:ascii="仿宋" w:hAnsi="仿宋" w:eastAsia="仿宋" w:cs="仿宋"/>
          <w:color w:val="auto"/>
          <w:sz w:val="24"/>
          <w:lang w:val="zh-CN"/>
        </w:rPr>
        <w:t>法定代表人或                             法定代表人</w:t>
      </w:r>
    </w:p>
    <w:p>
      <w:pPr>
        <w:autoSpaceDE w:val="0"/>
        <w:autoSpaceDN w:val="0"/>
        <w:adjustRightInd w:val="0"/>
        <w:spacing w:line="560" w:lineRule="exact"/>
        <w:rPr>
          <w:rFonts w:ascii="仿宋" w:hAnsi="仿宋" w:eastAsia="仿宋" w:cs="仿宋"/>
          <w:color w:val="auto"/>
          <w:sz w:val="24"/>
          <w:lang w:val="zh-CN"/>
        </w:rPr>
      </w:pPr>
      <w:r>
        <w:rPr>
          <w:rFonts w:hint="eastAsia" w:ascii="仿宋" w:hAnsi="仿宋" w:eastAsia="仿宋" w:cs="仿宋"/>
          <w:color w:val="auto"/>
          <w:sz w:val="24"/>
          <w:lang w:val="zh-CN"/>
        </w:rPr>
        <w:t xml:space="preserve">授权代表（签字）：                        或授权代表（签字）: </w:t>
      </w:r>
    </w:p>
    <w:p>
      <w:pPr>
        <w:autoSpaceDE w:val="0"/>
        <w:autoSpaceDN w:val="0"/>
        <w:adjustRightInd w:val="0"/>
        <w:spacing w:line="560" w:lineRule="exact"/>
        <w:rPr>
          <w:rFonts w:ascii="仿宋" w:hAnsi="仿宋" w:eastAsia="仿宋" w:cs="仿宋"/>
          <w:color w:val="auto"/>
          <w:sz w:val="24"/>
          <w:lang w:val="zh-CN"/>
        </w:rPr>
      </w:pPr>
      <w:r>
        <w:rPr>
          <w:rFonts w:hint="eastAsia" w:ascii="仿宋" w:hAnsi="仿宋" w:eastAsia="仿宋" w:cs="仿宋"/>
          <w:color w:val="auto"/>
          <w:sz w:val="24"/>
          <w:lang w:val="zh-CN"/>
        </w:rPr>
        <w:t>联系人：                                 联系人：</w:t>
      </w:r>
    </w:p>
    <w:p>
      <w:pPr>
        <w:autoSpaceDE w:val="0"/>
        <w:autoSpaceDN w:val="0"/>
        <w:adjustRightInd w:val="0"/>
        <w:spacing w:line="560" w:lineRule="exact"/>
        <w:rPr>
          <w:rFonts w:ascii="仿宋" w:hAnsi="仿宋" w:eastAsia="仿宋" w:cs="仿宋"/>
          <w:color w:val="auto"/>
          <w:sz w:val="24"/>
          <w:lang w:val="zh-CN"/>
        </w:rPr>
      </w:pPr>
      <w:r>
        <w:rPr>
          <w:rFonts w:hint="eastAsia" w:ascii="仿宋" w:hAnsi="仿宋" w:eastAsia="仿宋" w:cs="仿宋"/>
          <w:color w:val="auto"/>
          <w:sz w:val="24"/>
          <w:lang w:val="zh-CN"/>
        </w:rPr>
        <w:t>约定送达地址：                           约定送达地址：</w:t>
      </w:r>
    </w:p>
    <w:p>
      <w:pPr>
        <w:autoSpaceDE w:val="0"/>
        <w:autoSpaceDN w:val="0"/>
        <w:adjustRightInd w:val="0"/>
        <w:spacing w:line="560" w:lineRule="exact"/>
        <w:rPr>
          <w:rFonts w:ascii="仿宋" w:hAnsi="仿宋" w:eastAsia="仿宋" w:cs="仿宋"/>
          <w:color w:val="auto"/>
          <w:sz w:val="24"/>
          <w:lang w:val="zh-CN"/>
        </w:rPr>
      </w:pPr>
      <w:r>
        <w:rPr>
          <w:rFonts w:hint="eastAsia" w:ascii="仿宋" w:hAnsi="仿宋" w:eastAsia="仿宋" w:cs="仿宋"/>
          <w:color w:val="auto"/>
          <w:sz w:val="24"/>
          <w:lang w:val="zh-CN"/>
        </w:rPr>
        <w:t>邮政编码：                               邮政编码：</w:t>
      </w:r>
    </w:p>
    <w:p>
      <w:pPr>
        <w:autoSpaceDE w:val="0"/>
        <w:autoSpaceDN w:val="0"/>
        <w:adjustRightInd w:val="0"/>
        <w:spacing w:line="560" w:lineRule="exact"/>
        <w:rPr>
          <w:rFonts w:ascii="仿宋" w:hAnsi="仿宋" w:eastAsia="仿宋" w:cs="仿宋"/>
          <w:color w:val="auto"/>
          <w:sz w:val="24"/>
          <w:lang w:val="zh-CN"/>
        </w:rPr>
      </w:pPr>
      <w:r>
        <w:rPr>
          <w:rFonts w:hint="eastAsia" w:ascii="仿宋" w:hAnsi="仿宋" w:eastAsia="仿宋" w:cs="仿宋"/>
          <w:color w:val="auto"/>
          <w:sz w:val="24"/>
          <w:lang w:val="zh-CN"/>
        </w:rPr>
        <w:t xml:space="preserve">电话:                                    电话: </w:t>
      </w:r>
    </w:p>
    <w:p>
      <w:pPr>
        <w:autoSpaceDE w:val="0"/>
        <w:autoSpaceDN w:val="0"/>
        <w:adjustRightInd w:val="0"/>
        <w:spacing w:line="560" w:lineRule="exact"/>
        <w:rPr>
          <w:rFonts w:ascii="仿宋" w:hAnsi="仿宋" w:eastAsia="仿宋" w:cs="仿宋"/>
          <w:color w:val="auto"/>
          <w:sz w:val="24"/>
          <w:lang w:val="zh-CN"/>
        </w:rPr>
      </w:pPr>
      <w:r>
        <w:rPr>
          <w:rFonts w:hint="eastAsia" w:ascii="仿宋" w:hAnsi="仿宋" w:eastAsia="仿宋" w:cs="仿宋"/>
          <w:color w:val="auto"/>
          <w:sz w:val="24"/>
          <w:lang w:val="zh-CN"/>
        </w:rPr>
        <w:t>传真:                                    传真:</w:t>
      </w:r>
    </w:p>
    <w:p>
      <w:pPr>
        <w:autoSpaceDE w:val="0"/>
        <w:autoSpaceDN w:val="0"/>
        <w:adjustRightInd w:val="0"/>
        <w:spacing w:line="560" w:lineRule="exact"/>
        <w:rPr>
          <w:rFonts w:ascii="仿宋" w:hAnsi="仿宋" w:eastAsia="仿宋" w:cs="仿宋"/>
          <w:color w:val="auto"/>
          <w:sz w:val="24"/>
        </w:rPr>
      </w:pPr>
      <w:r>
        <w:rPr>
          <w:rFonts w:hint="eastAsia" w:ascii="仿宋" w:hAnsi="仿宋" w:eastAsia="仿宋" w:cs="仿宋"/>
          <w:color w:val="auto"/>
          <w:sz w:val="24"/>
          <w:lang w:val="zh-CN"/>
        </w:rPr>
        <w:t>电子邮箱：                               电子邮箱：</w:t>
      </w:r>
    </w:p>
    <w:p>
      <w:pPr>
        <w:autoSpaceDE w:val="0"/>
        <w:autoSpaceDN w:val="0"/>
        <w:adjustRightInd w:val="0"/>
        <w:spacing w:line="560" w:lineRule="exact"/>
        <w:rPr>
          <w:rFonts w:ascii="仿宋" w:hAnsi="仿宋" w:eastAsia="仿宋" w:cs="仿宋"/>
          <w:color w:val="auto"/>
          <w:sz w:val="24"/>
        </w:rPr>
      </w:pPr>
      <w:r>
        <w:rPr>
          <w:rFonts w:hint="eastAsia" w:ascii="仿宋" w:hAnsi="仿宋" w:eastAsia="仿宋" w:cs="仿宋"/>
          <w:color w:val="auto"/>
          <w:sz w:val="24"/>
        </w:rPr>
        <w:t xml:space="preserve">开户银行：                               开户银行： </w:t>
      </w:r>
    </w:p>
    <w:p>
      <w:pPr>
        <w:autoSpaceDE w:val="0"/>
        <w:autoSpaceDN w:val="0"/>
        <w:adjustRightInd w:val="0"/>
        <w:spacing w:line="560" w:lineRule="exact"/>
        <w:rPr>
          <w:rFonts w:ascii="仿宋" w:hAnsi="仿宋" w:eastAsia="仿宋" w:cs="仿宋"/>
          <w:color w:val="auto"/>
          <w:sz w:val="24"/>
        </w:rPr>
      </w:pPr>
      <w:r>
        <w:rPr>
          <w:rFonts w:hint="eastAsia" w:ascii="仿宋" w:hAnsi="仿宋" w:eastAsia="仿宋" w:cs="仿宋"/>
          <w:color w:val="auto"/>
          <w:sz w:val="24"/>
        </w:rPr>
        <w:t xml:space="preserve">开户名称：                               开户名称： </w:t>
      </w:r>
    </w:p>
    <w:p>
      <w:pPr>
        <w:autoSpaceDE w:val="0"/>
        <w:autoSpaceDN w:val="0"/>
        <w:adjustRightInd w:val="0"/>
        <w:spacing w:line="560" w:lineRule="exact"/>
        <w:rPr>
          <w:rFonts w:ascii="仿宋" w:hAnsi="仿宋" w:eastAsia="仿宋" w:cs="仿宋"/>
          <w:color w:val="auto"/>
          <w:sz w:val="24"/>
        </w:rPr>
      </w:pPr>
      <w:r>
        <w:rPr>
          <w:rFonts w:hint="eastAsia" w:ascii="仿宋" w:hAnsi="仿宋" w:eastAsia="仿宋" w:cs="仿宋"/>
          <w:color w:val="auto"/>
          <w:sz w:val="24"/>
        </w:rPr>
        <w:t>开户账号：</w:t>
      </w:r>
      <w:r>
        <w:rPr>
          <w:rFonts w:hint="eastAsia" w:ascii="仿宋" w:hAnsi="仿宋" w:eastAsia="仿宋" w:cs="仿宋"/>
          <w:color w:val="auto"/>
          <w:sz w:val="24"/>
          <w:lang w:val="zh-CN"/>
        </w:rPr>
        <w:t xml:space="preserve">                               </w:t>
      </w:r>
      <w:r>
        <w:rPr>
          <w:rFonts w:hint="eastAsia" w:ascii="仿宋" w:hAnsi="仿宋" w:eastAsia="仿宋" w:cs="仿宋"/>
          <w:color w:val="auto"/>
          <w:sz w:val="24"/>
        </w:rPr>
        <w:t>开户账号：</w:t>
      </w:r>
    </w:p>
    <w:p>
      <w:pPr>
        <w:widowControl/>
        <w:spacing w:line="560" w:lineRule="exact"/>
        <w:jc w:val="left"/>
        <w:rPr>
          <w:rFonts w:ascii="仿宋" w:hAnsi="仿宋" w:eastAsia="仿宋" w:cs="仿宋"/>
          <w:b/>
          <w:bCs/>
          <w:color w:val="auto"/>
          <w:sz w:val="24"/>
        </w:rPr>
      </w:pPr>
    </w:p>
    <w:p>
      <w:pPr>
        <w:widowControl/>
        <w:spacing w:line="560" w:lineRule="exact"/>
        <w:jc w:val="left"/>
        <w:rPr>
          <w:rFonts w:ascii="仿宋" w:hAnsi="仿宋" w:eastAsia="仿宋" w:cs="仿宋"/>
          <w:b/>
          <w:bCs/>
          <w:color w:val="auto"/>
          <w:kern w:val="0"/>
          <w:sz w:val="24"/>
        </w:rPr>
      </w:pPr>
    </w:p>
    <w:p>
      <w:pPr>
        <w:pStyle w:val="53"/>
        <w:spacing w:line="560" w:lineRule="exact"/>
        <w:ind w:firstLine="200"/>
        <w:jc w:val="center"/>
        <w:outlineLvl w:val="1"/>
        <w:rPr>
          <w:rFonts w:ascii="仿宋" w:hAnsi="仿宋" w:eastAsia="仿宋" w:cs="仿宋"/>
          <w:b/>
          <w:bCs/>
          <w:color w:val="auto"/>
          <w:szCs w:val="24"/>
        </w:rPr>
      </w:pPr>
      <w:bookmarkStart w:id="489" w:name="_Toc21108"/>
      <w:r>
        <w:rPr>
          <w:rFonts w:hint="eastAsia" w:ascii="仿宋" w:hAnsi="仿宋" w:eastAsia="仿宋" w:cs="仿宋"/>
          <w:b/>
          <w:bCs/>
          <w:color w:val="auto"/>
          <w:szCs w:val="24"/>
        </w:rPr>
        <w:t>第二部分 合同一般条款</w:t>
      </w:r>
      <w:bookmarkEnd w:id="489"/>
    </w:p>
    <w:p>
      <w:pPr>
        <w:spacing w:line="560" w:lineRule="exact"/>
        <w:ind w:firstLine="482" w:firstLineChars="200"/>
        <w:outlineLvl w:val="0"/>
        <w:rPr>
          <w:rFonts w:ascii="仿宋" w:hAnsi="仿宋" w:eastAsia="仿宋" w:cs="仿宋"/>
          <w:b/>
          <w:bCs/>
          <w:color w:val="auto"/>
          <w:sz w:val="24"/>
        </w:rPr>
      </w:pPr>
      <w:bookmarkStart w:id="490" w:name="_Toc31297"/>
      <w:bookmarkStart w:id="491" w:name="_Toc14021"/>
      <w:bookmarkStart w:id="492" w:name="_Toc6607"/>
      <w:bookmarkStart w:id="493" w:name="_Toc19680"/>
      <w:bookmarkStart w:id="494" w:name="_Toc5228"/>
      <w:bookmarkStart w:id="495" w:name="_Toc25079"/>
      <w:bookmarkStart w:id="496" w:name="_Toc7603"/>
      <w:r>
        <w:rPr>
          <w:rFonts w:hint="eastAsia" w:ascii="仿宋" w:hAnsi="仿宋" w:eastAsia="仿宋" w:cs="仿宋"/>
          <w:b/>
          <w:bCs/>
          <w:color w:val="auto"/>
          <w:sz w:val="24"/>
        </w:rPr>
        <w:t>2.1 定义</w:t>
      </w:r>
      <w:bookmarkEnd w:id="490"/>
      <w:bookmarkEnd w:id="491"/>
      <w:bookmarkEnd w:id="492"/>
      <w:bookmarkEnd w:id="493"/>
      <w:bookmarkEnd w:id="494"/>
      <w:bookmarkEnd w:id="495"/>
      <w:bookmarkEnd w:id="496"/>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本合同中的下列词语应按以下内容进行解释：</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2.1.1 “合同”系指采购人和中标供应商签订的载明双方当事人所达成的协议，并包括所有的附件、附录和构成合同的其他文件。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2.1.2 “合同价”系指根据合同约定，中标供应商在完全履行合同义务后，采购人应支付给中标供应商的价格。</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2.1.3 “服务”系指中标供应商根据合同约定应向采购人履行的除货物和工程以外的其他政府采购对象，包括采购人自身需要的服务和向社会公众提供的公共服务。</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2.1.4 “甲方”系指与中标供应商签署合同的采购人；采购人委托采购代理机构代表其与乙方签订合同的，采购人的授权委托书作为合同附件。</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2.1.5 “乙方”系指根据合同约定提供服务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2.1.6 “现场”系指合同约定提供服务的地点。</w:t>
      </w:r>
    </w:p>
    <w:p>
      <w:pPr>
        <w:spacing w:line="560" w:lineRule="exact"/>
        <w:ind w:firstLine="482" w:firstLineChars="200"/>
        <w:outlineLvl w:val="0"/>
        <w:rPr>
          <w:rFonts w:ascii="仿宋" w:hAnsi="仿宋" w:eastAsia="仿宋" w:cs="仿宋"/>
          <w:b/>
          <w:bCs/>
          <w:color w:val="auto"/>
          <w:sz w:val="24"/>
        </w:rPr>
      </w:pPr>
      <w:bookmarkStart w:id="497" w:name="_Toc15264"/>
      <w:bookmarkStart w:id="498" w:name="_Toc3769"/>
      <w:bookmarkStart w:id="499" w:name="_Toc23289"/>
      <w:bookmarkStart w:id="500" w:name="_Toc16752"/>
      <w:bookmarkStart w:id="501" w:name="_Toc31402"/>
      <w:bookmarkStart w:id="502" w:name="_Toc13852"/>
      <w:bookmarkStart w:id="503" w:name="_Toc19539"/>
      <w:r>
        <w:rPr>
          <w:rFonts w:hint="eastAsia" w:ascii="仿宋" w:hAnsi="仿宋" w:eastAsia="仿宋" w:cs="仿宋"/>
          <w:b/>
          <w:bCs/>
          <w:color w:val="auto"/>
          <w:sz w:val="24"/>
        </w:rPr>
        <w:t>2.2 技术规范</w:t>
      </w:r>
      <w:bookmarkEnd w:id="497"/>
      <w:bookmarkEnd w:id="498"/>
      <w:bookmarkEnd w:id="499"/>
      <w:bookmarkEnd w:id="500"/>
      <w:bookmarkEnd w:id="501"/>
      <w:bookmarkEnd w:id="502"/>
      <w:bookmarkEnd w:id="503"/>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cs="仿宋"/>
          <w:b/>
          <w:bCs/>
          <w:color w:val="auto"/>
          <w:sz w:val="24"/>
        </w:rPr>
      </w:pPr>
      <w:bookmarkStart w:id="504" w:name="_Toc27945"/>
      <w:bookmarkStart w:id="505" w:name="_Toc12216"/>
      <w:bookmarkStart w:id="506" w:name="_Toc12412"/>
      <w:bookmarkStart w:id="507" w:name="_Toc4133"/>
      <w:bookmarkStart w:id="508" w:name="_Toc13673"/>
      <w:bookmarkStart w:id="509" w:name="_Toc9161"/>
      <w:bookmarkStart w:id="510" w:name="_Toc5197"/>
      <w:r>
        <w:rPr>
          <w:rFonts w:hint="eastAsia" w:ascii="仿宋" w:hAnsi="仿宋" w:eastAsia="仿宋" w:cs="仿宋"/>
          <w:b/>
          <w:bCs/>
          <w:color w:val="auto"/>
          <w:sz w:val="24"/>
        </w:rPr>
        <w:t>2.3 知识产权</w:t>
      </w:r>
      <w:bookmarkEnd w:id="504"/>
      <w:bookmarkEnd w:id="505"/>
      <w:bookmarkEnd w:id="506"/>
      <w:bookmarkEnd w:id="507"/>
      <w:bookmarkEnd w:id="508"/>
      <w:bookmarkEnd w:id="509"/>
      <w:bookmarkEnd w:id="510"/>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2.3.1 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2" w:firstLineChars="200"/>
        <w:rPr>
          <w:rFonts w:ascii="仿宋" w:hAnsi="仿宋" w:eastAsia="仿宋" w:cs="仿宋"/>
          <w:b/>
          <w:bCs/>
          <w:color w:val="auto"/>
          <w:sz w:val="24"/>
        </w:rPr>
      </w:pPr>
      <w:r>
        <w:rPr>
          <w:rFonts w:hint="eastAsia" w:ascii="仿宋" w:hAnsi="仿宋" w:eastAsia="仿宋" w:cs="仿宋"/>
          <w:b/>
          <w:bCs/>
          <w:color w:val="auto"/>
          <w:sz w:val="24"/>
        </w:rPr>
        <w:t>2.4 履约检查和问题反馈</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2.4.1甲方有权在其认为必要时，对乙方是否能够按照合同约定提供服务进行履约检查，以确保乙方所提供的服务能够依约满足甲方之采购需求，但不得因履约检查妨碍乙方的正常工作，乙方应予积极配合；</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2.4.2 合同履行期间，甲方有权将履行过程中出现的问题反馈给乙方，双方当事人应以书面形式约定需要完善和改进的内容。</w:t>
      </w:r>
    </w:p>
    <w:p>
      <w:pPr>
        <w:spacing w:line="560" w:lineRule="exact"/>
        <w:ind w:firstLine="482" w:firstLineChars="200"/>
        <w:outlineLvl w:val="0"/>
        <w:rPr>
          <w:rFonts w:ascii="仿宋" w:hAnsi="仿宋" w:eastAsia="仿宋" w:cs="仿宋"/>
          <w:b/>
          <w:bCs/>
          <w:color w:val="auto"/>
          <w:sz w:val="24"/>
        </w:rPr>
      </w:pPr>
      <w:bookmarkStart w:id="511" w:name="_Toc476"/>
      <w:bookmarkStart w:id="512" w:name="_Toc30507"/>
      <w:bookmarkStart w:id="513" w:name="_Toc13467"/>
      <w:bookmarkStart w:id="514" w:name="_Toc13154"/>
      <w:bookmarkStart w:id="515" w:name="_Toc18990"/>
      <w:bookmarkStart w:id="516" w:name="_Toc16163"/>
      <w:bookmarkStart w:id="517" w:name="_Toc19715"/>
      <w:r>
        <w:rPr>
          <w:rFonts w:hint="eastAsia" w:ascii="仿宋" w:hAnsi="仿宋" w:eastAsia="仿宋" w:cs="仿宋"/>
          <w:b/>
          <w:bCs/>
          <w:color w:val="auto"/>
          <w:sz w:val="24"/>
        </w:rPr>
        <w:t>2.5 技术资料和保密义务</w:t>
      </w:r>
      <w:bookmarkEnd w:id="511"/>
      <w:bookmarkEnd w:id="512"/>
      <w:bookmarkEnd w:id="513"/>
      <w:bookmarkEnd w:id="514"/>
      <w:bookmarkEnd w:id="515"/>
      <w:bookmarkEnd w:id="516"/>
      <w:bookmarkEnd w:id="517"/>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2.5.1 乙方有权依据合同约定和项目需要，向甲方了解有关情况，调阅有关资料等，甲方应予积极配合；</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2.5.2 乙方有义务妥善保管和保护由甲方提供的前款信息和资料等；</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2.5.3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cs="仿宋"/>
          <w:b/>
          <w:bCs/>
          <w:color w:val="auto"/>
          <w:sz w:val="24"/>
        </w:rPr>
      </w:pPr>
      <w:bookmarkStart w:id="518" w:name="_Toc19069"/>
      <w:bookmarkStart w:id="519" w:name="_Toc7899"/>
      <w:bookmarkStart w:id="520" w:name="_Toc31862"/>
      <w:r>
        <w:rPr>
          <w:rFonts w:hint="eastAsia" w:ascii="仿宋" w:hAnsi="仿宋" w:eastAsia="仿宋" w:cs="仿宋"/>
          <w:b/>
          <w:bCs/>
          <w:color w:val="auto"/>
          <w:sz w:val="24"/>
        </w:rPr>
        <w:t>2.6 质量保证</w:t>
      </w:r>
      <w:bookmarkEnd w:id="518"/>
      <w:bookmarkEnd w:id="519"/>
      <w:bookmarkEnd w:id="520"/>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2.6.1 乙方应建立和完善履行合同的内部质量保证体系，并提供相关内部规章制度给甲方，以便甲方进行监督检查；</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2.6.2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cs="仿宋"/>
          <w:b/>
          <w:bCs/>
          <w:color w:val="auto"/>
          <w:sz w:val="24"/>
        </w:rPr>
      </w:pPr>
      <w:bookmarkStart w:id="521" w:name="_Toc22267"/>
      <w:bookmarkStart w:id="522" w:name="_Toc28612"/>
      <w:bookmarkStart w:id="523" w:name="_Toc10459"/>
      <w:r>
        <w:rPr>
          <w:rFonts w:hint="eastAsia" w:ascii="仿宋" w:hAnsi="仿宋" w:eastAsia="仿宋" w:cs="仿宋"/>
          <w:b/>
          <w:bCs/>
          <w:color w:val="auto"/>
          <w:sz w:val="24"/>
        </w:rPr>
        <w:t>2.7 延迟履行</w:t>
      </w:r>
      <w:bookmarkEnd w:id="521"/>
      <w:bookmarkEnd w:id="522"/>
      <w:bookmarkEnd w:id="523"/>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ascii="仿宋" w:hAnsi="仿宋" w:eastAsia="仿宋" w:cs="仿宋"/>
          <w:b/>
          <w:bCs/>
          <w:color w:val="auto"/>
          <w:sz w:val="24"/>
        </w:rPr>
      </w:pPr>
      <w:bookmarkStart w:id="524" w:name="_Toc9652"/>
      <w:bookmarkStart w:id="525" w:name="_Toc22062"/>
      <w:bookmarkStart w:id="526" w:name="_Toc10611"/>
      <w:r>
        <w:rPr>
          <w:rFonts w:hint="eastAsia" w:ascii="仿宋" w:hAnsi="仿宋" w:eastAsia="仿宋" w:cs="仿宋"/>
          <w:b/>
          <w:bCs/>
          <w:color w:val="auto"/>
          <w:sz w:val="24"/>
        </w:rPr>
        <w:t>2.8 合同变更</w:t>
      </w:r>
      <w:bookmarkEnd w:id="524"/>
      <w:bookmarkEnd w:id="525"/>
      <w:bookmarkEnd w:id="526"/>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2.8.1 双方当事人协商一致，可以签订书面补充合同的形式变更合同，但不得违背采购文件确定的事项，且如果系追加与合同标的相同的服务的，那么所有补充合同的采购金额不得超过原合同价的10%；</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2.8.2 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仿宋" w:hAnsi="仿宋" w:eastAsia="仿宋" w:cs="仿宋"/>
          <w:b/>
          <w:bCs/>
          <w:color w:val="auto"/>
          <w:sz w:val="24"/>
        </w:rPr>
      </w:pPr>
      <w:bookmarkStart w:id="527" w:name="_Toc26689"/>
      <w:bookmarkStart w:id="528" w:name="_Toc23368"/>
      <w:bookmarkStart w:id="529" w:name="_Toc42"/>
      <w:bookmarkStart w:id="530" w:name="_Toc21830"/>
      <w:bookmarkStart w:id="531" w:name="_Toc20079"/>
      <w:bookmarkStart w:id="532" w:name="_Toc26821"/>
      <w:bookmarkStart w:id="533" w:name="_Toc10663"/>
      <w:r>
        <w:rPr>
          <w:rFonts w:hint="eastAsia" w:ascii="仿宋" w:hAnsi="仿宋" w:eastAsia="仿宋" w:cs="仿宋"/>
          <w:b/>
          <w:bCs/>
          <w:color w:val="auto"/>
          <w:sz w:val="24"/>
        </w:rPr>
        <w:t>2.9 合同转让和分包</w:t>
      </w:r>
      <w:bookmarkEnd w:id="527"/>
      <w:bookmarkEnd w:id="528"/>
      <w:bookmarkEnd w:id="529"/>
      <w:bookmarkEnd w:id="530"/>
      <w:bookmarkEnd w:id="531"/>
      <w:bookmarkEnd w:id="532"/>
      <w:bookmarkEnd w:id="533"/>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ascii="仿宋" w:hAnsi="仿宋" w:eastAsia="仿宋" w:cs="仿宋"/>
          <w:b/>
          <w:bCs/>
          <w:color w:val="auto"/>
          <w:sz w:val="24"/>
        </w:rPr>
      </w:pPr>
      <w:bookmarkStart w:id="534" w:name="_Toc4720"/>
      <w:bookmarkStart w:id="535" w:name="_Toc32372"/>
      <w:bookmarkStart w:id="536" w:name="_Toc29600"/>
      <w:bookmarkStart w:id="537" w:name="_Toc14371"/>
      <w:bookmarkStart w:id="538" w:name="_Toc26633"/>
      <w:bookmarkStart w:id="539" w:name="_Toc25571"/>
      <w:bookmarkStart w:id="540" w:name="_Toc32494"/>
      <w:r>
        <w:rPr>
          <w:rFonts w:hint="eastAsia" w:ascii="仿宋" w:hAnsi="仿宋" w:eastAsia="仿宋" w:cs="仿宋"/>
          <w:b/>
          <w:bCs/>
          <w:color w:val="auto"/>
          <w:sz w:val="24"/>
        </w:rPr>
        <w:t>2.10 不可抗力</w:t>
      </w:r>
      <w:bookmarkEnd w:id="534"/>
      <w:bookmarkEnd w:id="535"/>
      <w:bookmarkEnd w:id="536"/>
      <w:bookmarkEnd w:id="537"/>
      <w:bookmarkEnd w:id="538"/>
      <w:bookmarkEnd w:id="539"/>
      <w:bookmarkEnd w:id="540"/>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2.10.1如果任何一方遭遇法律规定的不可抗力，致使合同履行受阻时，履行合同的期限应予延长，延长的期限应相当于不可抗力所影响的时间；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2.10.2 因不可抗力致使不能实现合同目的的，当事人可以解除合同；</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2.10.3 因不可抗力致使合同有变更必要的，双方当事人应在</w:t>
      </w:r>
      <w:r>
        <w:rPr>
          <w:rFonts w:hint="eastAsia" w:ascii="仿宋" w:hAnsi="仿宋" w:eastAsia="仿宋" w:cs="仿宋"/>
          <w:b/>
          <w:bCs/>
          <w:i/>
          <w:iCs/>
          <w:color w:val="auto"/>
          <w:sz w:val="24"/>
          <w:u w:val="single"/>
        </w:rPr>
        <w:t>5个工作日</w:t>
      </w:r>
      <w:r>
        <w:rPr>
          <w:rFonts w:hint="eastAsia" w:ascii="仿宋" w:hAnsi="仿宋" w:eastAsia="仿宋" w:cs="仿宋"/>
          <w:color w:val="auto"/>
          <w:sz w:val="24"/>
        </w:rPr>
        <w:t>内以书面形式变更合同；</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2.10.4受不可抗力影响的一方在不可抗力发生后，应在</w:t>
      </w:r>
      <w:r>
        <w:rPr>
          <w:rFonts w:hint="eastAsia" w:ascii="仿宋" w:hAnsi="仿宋" w:eastAsia="仿宋" w:cs="仿宋"/>
          <w:b/>
          <w:bCs/>
          <w:i/>
          <w:iCs/>
          <w:color w:val="auto"/>
          <w:sz w:val="24"/>
          <w:u w:val="single"/>
        </w:rPr>
        <w:t>3个工作日</w:t>
      </w:r>
      <w:r>
        <w:rPr>
          <w:rFonts w:hint="eastAsia" w:ascii="仿宋" w:hAnsi="仿宋" w:eastAsia="仿宋" w:cs="仿宋"/>
          <w:color w:val="auto"/>
          <w:sz w:val="24"/>
        </w:rPr>
        <w:t>内以书面形式通知对方当事人，并在</w:t>
      </w:r>
      <w:r>
        <w:rPr>
          <w:rFonts w:hint="eastAsia" w:ascii="仿宋" w:hAnsi="仿宋" w:eastAsia="仿宋" w:cs="仿宋"/>
          <w:b/>
          <w:bCs/>
          <w:i/>
          <w:iCs/>
          <w:color w:val="auto"/>
          <w:sz w:val="24"/>
          <w:u w:val="single"/>
        </w:rPr>
        <w:t>5个工作日</w:t>
      </w:r>
      <w:r>
        <w:rPr>
          <w:rFonts w:hint="eastAsia" w:ascii="仿宋" w:hAnsi="仿宋" w:eastAsia="仿宋" w:cs="仿宋"/>
          <w:color w:val="auto"/>
          <w:sz w:val="24"/>
        </w:rPr>
        <w:t>内，将有关部门出具的证明文件送达对方当事人。</w:t>
      </w:r>
    </w:p>
    <w:p>
      <w:pPr>
        <w:spacing w:line="560" w:lineRule="exact"/>
        <w:ind w:firstLine="482" w:firstLineChars="200"/>
        <w:outlineLvl w:val="0"/>
        <w:rPr>
          <w:rFonts w:ascii="仿宋" w:hAnsi="仿宋" w:eastAsia="仿宋" w:cs="仿宋"/>
          <w:b/>
          <w:bCs/>
          <w:color w:val="auto"/>
          <w:sz w:val="24"/>
        </w:rPr>
      </w:pPr>
      <w:bookmarkStart w:id="541" w:name="_Toc14115"/>
      <w:bookmarkStart w:id="542" w:name="_Toc23854"/>
      <w:bookmarkStart w:id="543" w:name="_Toc3800"/>
      <w:bookmarkStart w:id="544" w:name="_Toc25783"/>
      <w:bookmarkStart w:id="545" w:name="_Toc3638"/>
      <w:bookmarkStart w:id="546" w:name="_Toc6074"/>
      <w:bookmarkStart w:id="547" w:name="_Toc24465"/>
      <w:r>
        <w:rPr>
          <w:rFonts w:hint="eastAsia" w:ascii="仿宋" w:hAnsi="仿宋" w:eastAsia="仿宋" w:cs="仿宋"/>
          <w:b/>
          <w:bCs/>
          <w:color w:val="auto"/>
          <w:sz w:val="24"/>
        </w:rPr>
        <w:t>2.11 税费</w:t>
      </w:r>
      <w:bookmarkEnd w:id="541"/>
      <w:bookmarkEnd w:id="542"/>
      <w:bookmarkEnd w:id="543"/>
      <w:bookmarkEnd w:id="544"/>
      <w:bookmarkEnd w:id="545"/>
      <w:bookmarkEnd w:id="546"/>
      <w:bookmarkEnd w:id="547"/>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与合同有关的一切税费，均按照中华人民共和国法律的相关规定缴纳。</w:t>
      </w:r>
    </w:p>
    <w:p>
      <w:pPr>
        <w:spacing w:line="560" w:lineRule="exact"/>
        <w:ind w:firstLine="482" w:firstLineChars="200"/>
        <w:outlineLvl w:val="0"/>
        <w:rPr>
          <w:rFonts w:ascii="仿宋" w:hAnsi="仿宋" w:eastAsia="仿宋" w:cs="仿宋"/>
          <w:b/>
          <w:bCs/>
          <w:color w:val="auto"/>
          <w:sz w:val="24"/>
        </w:rPr>
      </w:pPr>
      <w:bookmarkStart w:id="548" w:name="_Toc7315"/>
      <w:bookmarkStart w:id="549" w:name="_Toc26883"/>
      <w:bookmarkStart w:id="550" w:name="_Toc14814"/>
      <w:bookmarkStart w:id="551" w:name="_Toc30105"/>
      <w:bookmarkStart w:id="552" w:name="_Toc13531"/>
      <w:bookmarkStart w:id="553" w:name="_Toc25525"/>
      <w:bookmarkStart w:id="554" w:name="_Toc8712"/>
      <w:r>
        <w:rPr>
          <w:rFonts w:hint="eastAsia" w:ascii="仿宋" w:hAnsi="仿宋" w:eastAsia="仿宋" w:cs="仿宋"/>
          <w:b/>
          <w:bCs/>
          <w:color w:val="auto"/>
          <w:sz w:val="24"/>
        </w:rPr>
        <w:t>2.12 乙方破产</w:t>
      </w:r>
      <w:bookmarkEnd w:id="548"/>
      <w:bookmarkEnd w:id="549"/>
      <w:bookmarkEnd w:id="550"/>
      <w:bookmarkEnd w:id="551"/>
      <w:bookmarkEnd w:id="552"/>
      <w:bookmarkEnd w:id="553"/>
      <w:bookmarkEnd w:id="554"/>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cs="仿宋"/>
          <w:b/>
          <w:bCs/>
          <w:color w:val="auto"/>
          <w:sz w:val="24"/>
        </w:rPr>
      </w:pPr>
      <w:bookmarkStart w:id="555" w:name="_Toc1123"/>
      <w:bookmarkStart w:id="556" w:name="_Toc2016"/>
      <w:bookmarkStart w:id="557" w:name="_Toc13263"/>
      <w:bookmarkStart w:id="558" w:name="_Toc23323"/>
      <w:bookmarkStart w:id="559" w:name="_Toc12642"/>
      <w:r>
        <w:rPr>
          <w:rFonts w:hint="eastAsia" w:ascii="仿宋" w:hAnsi="仿宋" w:eastAsia="仿宋" w:cs="仿宋"/>
          <w:b/>
          <w:bCs/>
          <w:color w:val="auto"/>
          <w:sz w:val="24"/>
        </w:rPr>
        <w:t>2.13 合同中止、终止</w:t>
      </w:r>
      <w:bookmarkEnd w:id="555"/>
      <w:bookmarkEnd w:id="556"/>
      <w:bookmarkEnd w:id="557"/>
      <w:bookmarkEnd w:id="558"/>
      <w:bookmarkEnd w:id="559"/>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2.13.1 双方当事人不得擅自中止或者终止合同；</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2.13.2合同继续履行将损害国家利益和社会公共利益的，双方当事人应当中止或者终止合同。有过错的一方应当承担赔偿责任，双方当事人都有过错的，各自承担相应的责任。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cs="仿宋"/>
          <w:b/>
          <w:bCs/>
          <w:color w:val="auto"/>
          <w:sz w:val="24"/>
        </w:rPr>
      </w:pPr>
      <w:bookmarkStart w:id="560" w:name="_Toc14525"/>
      <w:bookmarkStart w:id="561" w:name="_Toc1969"/>
      <w:bookmarkStart w:id="562" w:name="_Toc579"/>
      <w:bookmarkStart w:id="563" w:name="_Toc17363"/>
      <w:bookmarkStart w:id="564" w:name="_Toc16475"/>
      <w:r>
        <w:rPr>
          <w:rFonts w:hint="eastAsia" w:ascii="仿宋" w:hAnsi="仿宋" w:eastAsia="仿宋" w:cs="仿宋"/>
          <w:b/>
          <w:bCs/>
          <w:color w:val="auto"/>
          <w:sz w:val="24"/>
        </w:rPr>
        <w:t>2.14 检验和验收</w:t>
      </w:r>
      <w:bookmarkEnd w:id="560"/>
      <w:bookmarkEnd w:id="561"/>
      <w:bookmarkEnd w:id="562"/>
      <w:bookmarkEnd w:id="563"/>
      <w:bookmarkEnd w:id="564"/>
    </w:p>
    <w:p>
      <w:pPr>
        <w:tabs>
          <w:tab w:val="left" w:pos="360"/>
          <w:tab w:val="left" w:pos="540"/>
          <w:tab w:val="left" w:pos="1080"/>
        </w:tabs>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2.14.1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2.14.2 检验和验收标准、程序等具体内容以及前述验收书的效力详见磋商文件及投标文件要求。</w:t>
      </w:r>
    </w:p>
    <w:p>
      <w:pPr>
        <w:spacing w:line="560" w:lineRule="exact"/>
        <w:ind w:firstLine="482" w:firstLineChars="200"/>
        <w:outlineLvl w:val="0"/>
        <w:rPr>
          <w:rFonts w:ascii="仿宋" w:hAnsi="仿宋" w:eastAsia="仿宋" w:cs="仿宋"/>
          <w:b/>
          <w:bCs/>
          <w:color w:val="auto"/>
          <w:sz w:val="24"/>
        </w:rPr>
      </w:pPr>
      <w:bookmarkStart w:id="565" w:name="_Toc25198"/>
      <w:bookmarkStart w:id="566" w:name="_Toc2308"/>
      <w:bookmarkStart w:id="567" w:name="_Toc17858"/>
      <w:bookmarkStart w:id="568" w:name="_Toc12666"/>
      <w:bookmarkStart w:id="569" w:name="_Toc9808"/>
      <w:bookmarkStart w:id="570" w:name="_Toc31892"/>
      <w:bookmarkStart w:id="571" w:name="_Toc6449"/>
      <w:r>
        <w:rPr>
          <w:rFonts w:hint="eastAsia" w:ascii="仿宋" w:hAnsi="仿宋" w:eastAsia="仿宋" w:cs="仿宋"/>
          <w:b/>
          <w:bCs/>
          <w:color w:val="auto"/>
          <w:sz w:val="24"/>
        </w:rPr>
        <w:t>2.15 通知和送达</w:t>
      </w:r>
      <w:bookmarkEnd w:id="565"/>
      <w:bookmarkEnd w:id="566"/>
      <w:bookmarkEnd w:id="567"/>
      <w:bookmarkEnd w:id="568"/>
      <w:bookmarkEnd w:id="569"/>
      <w:bookmarkEnd w:id="570"/>
      <w:bookmarkEnd w:id="571"/>
    </w:p>
    <w:p>
      <w:pPr>
        <w:spacing w:line="560" w:lineRule="exact"/>
        <w:ind w:firstLine="480" w:firstLineChars="200"/>
        <w:rPr>
          <w:rFonts w:ascii="仿宋" w:hAnsi="仿宋" w:eastAsia="仿宋" w:cs="仿宋"/>
          <w:color w:val="auto"/>
          <w:sz w:val="24"/>
        </w:rPr>
      </w:pPr>
      <w:bookmarkStart w:id="572" w:name="_Toc29220"/>
      <w:bookmarkStart w:id="573" w:name="_Toc7073"/>
      <w:r>
        <w:rPr>
          <w:rFonts w:hint="eastAsia" w:ascii="仿宋" w:hAnsi="仿宋" w:eastAsia="仿宋" w:cs="仿宋"/>
          <w:color w:val="auto"/>
          <w:sz w:val="24"/>
        </w:rPr>
        <w:t>2.15.1 任何一方因履行合同而以合同第一部分尾部所列明的所有通知、文件、材料，均视为已向对方当事人送达；任何一方变更上述送达方式或者地址的，应于</w:t>
      </w:r>
      <w:r>
        <w:rPr>
          <w:rFonts w:hint="eastAsia" w:ascii="仿宋" w:hAnsi="仿宋" w:eastAsia="仿宋" w:cs="仿宋"/>
          <w:color w:val="auto"/>
          <w:sz w:val="24"/>
          <w:u w:val="single"/>
        </w:rPr>
        <w:t xml:space="preserve">   </w:t>
      </w:r>
      <w:r>
        <w:rPr>
          <w:rFonts w:hint="eastAsia" w:ascii="仿宋" w:hAnsi="仿宋" w:eastAsia="仿宋" w:cs="仿宋"/>
          <w:color w:val="auto"/>
          <w:sz w:val="24"/>
        </w:rPr>
        <w:t>个工作日内书面通知对方当事人，在对方当事人收到有关变更通知之前，变更前的约定送达方式或者地址仍视为有效。</w:t>
      </w:r>
      <w:bookmarkEnd w:id="572"/>
      <w:bookmarkEnd w:id="573"/>
    </w:p>
    <w:p>
      <w:pPr>
        <w:spacing w:line="560" w:lineRule="exact"/>
        <w:ind w:firstLine="480" w:firstLineChars="200"/>
        <w:rPr>
          <w:rFonts w:ascii="仿宋" w:hAnsi="仿宋" w:eastAsia="仿宋" w:cs="仿宋"/>
          <w:color w:val="auto"/>
          <w:sz w:val="24"/>
        </w:rPr>
      </w:pPr>
      <w:bookmarkStart w:id="574" w:name="_Toc27674"/>
      <w:bookmarkStart w:id="575" w:name="_Toc18401"/>
      <w:r>
        <w:rPr>
          <w:rFonts w:hint="eastAsia" w:ascii="仿宋" w:hAnsi="仿宋" w:eastAsia="仿宋" w:cs="仿宋"/>
          <w:color w:val="auto"/>
          <w:sz w:val="24"/>
        </w:rPr>
        <w:t>2.15.2以当面交付方式送达的，交付之时视为送达；以电子邮件方式送达的，发出电子邮件之时视为送达；以传真方式送达的，发出传真之时视为送达；以邮寄方式送达的，邮件挂号寄出或者交邮之日之次日视为送达。</w:t>
      </w:r>
      <w:bookmarkEnd w:id="574"/>
      <w:bookmarkEnd w:id="575"/>
    </w:p>
    <w:p>
      <w:pPr>
        <w:spacing w:line="560" w:lineRule="exact"/>
        <w:ind w:firstLine="482" w:firstLineChars="200"/>
        <w:outlineLvl w:val="0"/>
        <w:rPr>
          <w:rFonts w:ascii="仿宋" w:hAnsi="仿宋" w:eastAsia="仿宋" w:cs="仿宋"/>
          <w:b/>
          <w:bCs/>
          <w:color w:val="auto"/>
          <w:sz w:val="24"/>
        </w:rPr>
      </w:pPr>
      <w:bookmarkStart w:id="576" w:name="_Toc814"/>
      <w:bookmarkStart w:id="577" w:name="_Toc20808"/>
      <w:bookmarkStart w:id="578" w:name="_Toc19"/>
      <w:bookmarkStart w:id="579" w:name="_Toc27644"/>
      <w:bookmarkStart w:id="580" w:name="_Toc12254"/>
      <w:bookmarkStart w:id="581" w:name="_Toc28906"/>
      <w:bookmarkStart w:id="582" w:name="_Toc5063"/>
      <w:r>
        <w:rPr>
          <w:rFonts w:hint="eastAsia" w:ascii="仿宋" w:hAnsi="仿宋" w:eastAsia="仿宋" w:cs="仿宋"/>
          <w:b/>
          <w:bCs/>
          <w:color w:val="auto"/>
          <w:sz w:val="24"/>
        </w:rPr>
        <w:t>2.16 合同使用的文字和适用的法律</w:t>
      </w:r>
      <w:bookmarkEnd w:id="576"/>
      <w:bookmarkEnd w:id="577"/>
      <w:bookmarkEnd w:id="578"/>
      <w:bookmarkEnd w:id="579"/>
      <w:bookmarkEnd w:id="580"/>
      <w:bookmarkEnd w:id="581"/>
      <w:bookmarkEnd w:id="582"/>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2.16.1 合同使用汉语书就、变更和解释；</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2.16.2 合同适用中华人民共和国法律。</w:t>
      </w:r>
    </w:p>
    <w:p>
      <w:pPr>
        <w:spacing w:line="560" w:lineRule="exact"/>
        <w:ind w:firstLine="482" w:firstLineChars="200"/>
        <w:outlineLvl w:val="0"/>
        <w:rPr>
          <w:rFonts w:ascii="仿宋" w:hAnsi="仿宋" w:eastAsia="仿宋" w:cs="仿宋"/>
          <w:b/>
          <w:bCs/>
          <w:color w:val="auto"/>
          <w:sz w:val="24"/>
        </w:rPr>
      </w:pPr>
      <w:bookmarkStart w:id="583" w:name="_Toc1492"/>
      <w:bookmarkStart w:id="584" w:name="_Toc3362"/>
      <w:bookmarkStart w:id="585" w:name="_Toc27403"/>
      <w:bookmarkStart w:id="586" w:name="_Toc22507"/>
      <w:bookmarkStart w:id="587" w:name="_Toc22266"/>
      <w:bookmarkStart w:id="588" w:name="_Toc27127"/>
      <w:bookmarkStart w:id="589" w:name="_Toc30096"/>
      <w:r>
        <w:rPr>
          <w:rFonts w:hint="eastAsia" w:ascii="仿宋" w:hAnsi="仿宋" w:eastAsia="仿宋" w:cs="仿宋"/>
          <w:b/>
          <w:bCs/>
          <w:color w:val="auto"/>
          <w:sz w:val="24"/>
        </w:rPr>
        <w:t>2.17 履约保证金</w:t>
      </w:r>
      <w:bookmarkEnd w:id="583"/>
      <w:bookmarkEnd w:id="584"/>
      <w:bookmarkEnd w:id="585"/>
      <w:bookmarkEnd w:id="586"/>
      <w:bookmarkEnd w:id="587"/>
      <w:bookmarkEnd w:id="588"/>
      <w:bookmarkEnd w:id="589"/>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2.17.1 采购文件要求乙方提交履约保证金的，乙方应按合同金额的</w:t>
      </w:r>
      <w:r>
        <w:rPr>
          <w:rFonts w:hint="eastAsia" w:ascii="仿宋" w:hAnsi="仿宋" w:eastAsia="仿宋" w:cs="仿宋"/>
          <w:color w:val="auto"/>
          <w:sz w:val="24"/>
          <w:u w:val="single"/>
        </w:rPr>
        <w:t xml:space="preserve">       </w:t>
      </w:r>
      <w:r>
        <w:rPr>
          <w:rFonts w:hint="eastAsia" w:ascii="仿宋" w:hAnsi="仿宋" w:eastAsia="仿宋" w:cs="仿宋"/>
          <w:color w:val="auto"/>
          <w:sz w:val="24"/>
        </w:rPr>
        <w:t>计算向下取整至万元，以支票、汇票或者转账等非现金形式，在签订合同前5个日历日内向采购人交纳履约保证金；</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2.17.2 履约保证金在项目</w:t>
      </w:r>
      <w:r>
        <w:rPr>
          <w:rFonts w:hint="eastAsia" w:ascii="仿宋" w:hAnsi="仿宋" w:eastAsia="仿宋" w:cs="仿宋"/>
          <w:color w:val="auto"/>
          <w:sz w:val="24"/>
          <w:lang w:val="en-US" w:eastAsia="zh-CN"/>
        </w:rPr>
        <w:t>竣工</w:t>
      </w:r>
      <w:r>
        <w:rPr>
          <w:rFonts w:hint="eastAsia" w:ascii="仿宋" w:hAnsi="仿宋" w:eastAsia="仿宋" w:cs="仿宋"/>
          <w:color w:val="auto"/>
          <w:sz w:val="24"/>
        </w:rPr>
        <w:t>3个月验收合格后5个工作日内，将履约保证金退还乙方；</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2.17.3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2" w:firstLineChars="200"/>
        <w:rPr>
          <w:rFonts w:ascii="仿宋" w:hAnsi="仿宋" w:eastAsia="仿宋" w:cs="仿宋"/>
          <w:b/>
          <w:bCs/>
          <w:color w:val="auto"/>
          <w:sz w:val="24"/>
        </w:rPr>
      </w:pPr>
      <w:r>
        <w:rPr>
          <w:rFonts w:hint="eastAsia" w:ascii="仿宋" w:hAnsi="仿宋" w:eastAsia="仿宋" w:cs="仿宋"/>
          <w:b/>
          <w:bCs/>
          <w:color w:val="auto"/>
          <w:sz w:val="24"/>
        </w:rPr>
        <w:t>2.18 合同份数</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合同一式四份，甲乙双方各持2份，每份均具有同等法律效力。</w:t>
      </w:r>
    </w:p>
    <w:p>
      <w:pPr>
        <w:pStyle w:val="11"/>
        <w:rPr>
          <w:rFonts w:ascii="仿宋" w:hAnsi="仿宋" w:eastAsia="仿宋" w:cs="仿宋"/>
          <w:color w:val="auto"/>
          <w:sz w:val="28"/>
          <w:szCs w:val="21"/>
          <w:highlight w:val="red"/>
        </w:rPr>
      </w:pPr>
    </w:p>
    <w:p>
      <w:pPr>
        <w:pStyle w:val="11"/>
        <w:rPr>
          <w:rFonts w:ascii="仿宋" w:hAnsi="仿宋" w:eastAsia="仿宋" w:cs="仿宋"/>
          <w:color w:val="auto"/>
          <w:kern w:val="44"/>
          <w:sz w:val="28"/>
          <w:szCs w:val="28"/>
        </w:rPr>
      </w:pPr>
      <w:r>
        <w:rPr>
          <w:rFonts w:hint="eastAsia" w:ascii="仿宋" w:hAnsi="仿宋" w:eastAsia="仿宋" w:cs="仿宋"/>
          <w:b/>
          <w:bCs/>
          <w:color w:val="auto"/>
          <w:kern w:val="2"/>
          <w:sz w:val="32"/>
          <w:szCs w:val="32"/>
        </w:rPr>
        <w:t>（本合同仅供参考）</w:t>
      </w:r>
    </w:p>
    <w:p>
      <w:pPr>
        <w:pStyle w:val="4"/>
        <w:ind w:firstLine="560"/>
        <w:rPr>
          <w:rFonts w:ascii="仿宋" w:hAnsi="仿宋" w:eastAsia="仿宋" w:cs="仿宋"/>
          <w:color w:val="auto"/>
          <w:kern w:val="44"/>
          <w:sz w:val="28"/>
          <w:szCs w:val="28"/>
        </w:rPr>
      </w:pPr>
    </w:p>
    <w:p>
      <w:pPr>
        <w:pStyle w:val="3"/>
        <w:ind w:firstLine="560"/>
        <w:rPr>
          <w:rFonts w:ascii="仿宋" w:hAnsi="仿宋" w:eastAsia="仿宋" w:cs="仿宋"/>
          <w:color w:val="auto"/>
          <w:kern w:val="44"/>
          <w:sz w:val="28"/>
          <w:szCs w:val="28"/>
        </w:rPr>
      </w:pPr>
    </w:p>
    <w:p>
      <w:pPr>
        <w:pStyle w:val="4"/>
        <w:ind w:firstLine="560"/>
        <w:rPr>
          <w:rFonts w:ascii="仿宋" w:hAnsi="仿宋" w:eastAsia="仿宋" w:cs="仿宋"/>
          <w:color w:val="auto"/>
          <w:kern w:val="44"/>
          <w:sz w:val="28"/>
          <w:szCs w:val="28"/>
        </w:rPr>
      </w:pPr>
    </w:p>
    <w:p>
      <w:pPr>
        <w:pStyle w:val="3"/>
        <w:ind w:firstLine="560"/>
        <w:rPr>
          <w:rFonts w:ascii="仿宋" w:hAnsi="仿宋" w:eastAsia="仿宋" w:cs="仿宋"/>
          <w:color w:val="auto"/>
          <w:kern w:val="44"/>
          <w:sz w:val="28"/>
          <w:szCs w:val="28"/>
        </w:rPr>
      </w:pPr>
    </w:p>
    <w:p>
      <w:pPr>
        <w:pStyle w:val="4"/>
        <w:ind w:firstLine="560"/>
        <w:rPr>
          <w:rFonts w:ascii="仿宋" w:hAnsi="仿宋" w:eastAsia="仿宋" w:cs="仿宋"/>
          <w:color w:val="auto"/>
          <w:kern w:val="44"/>
          <w:sz w:val="28"/>
          <w:szCs w:val="28"/>
        </w:rPr>
      </w:pPr>
    </w:p>
    <w:p>
      <w:pPr>
        <w:pStyle w:val="3"/>
        <w:ind w:firstLine="560"/>
        <w:rPr>
          <w:rFonts w:ascii="仿宋" w:hAnsi="仿宋" w:eastAsia="仿宋" w:cs="仿宋"/>
          <w:color w:val="auto"/>
          <w:kern w:val="44"/>
          <w:sz w:val="28"/>
          <w:szCs w:val="28"/>
        </w:rPr>
      </w:pPr>
    </w:p>
    <w:p>
      <w:pPr>
        <w:pStyle w:val="4"/>
        <w:ind w:firstLine="560"/>
        <w:rPr>
          <w:rFonts w:ascii="仿宋" w:hAnsi="仿宋" w:eastAsia="仿宋" w:cs="仿宋"/>
          <w:color w:val="auto"/>
          <w:kern w:val="44"/>
          <w:sz w:val="28"/>
          <w:szCs w:val="28"/>
        </w:rPr>
      </w:pPr>
    </w:p>
    <w:p>
      <w:pPr>
        <w:pStyle w:val="8"/>
        <w:spacing w:before="0" w:line="240" w:lineRule="atLeast"/>
        <w:jc w:val="both"/>
        <w:outlineLvl w:val="9"/>
        <w:rPr>
          <w:rFonts w:ascii="仿宋" w:hAnsi="仿宋" w:eastAsia="仿宋" w:cs="仿宋"/>
          <w:color w:val="auto"/>
          <w:sz w:val="24"/>
        </w:rPr>
      </w:pPr>
    </w:p>
    <w:sectPr>
      <w:headerReference r:id="rId10" w:type="default"/>
      <w:footerReference r:id="rId11" w:type="default"/>
      <w:pgSz w:w="11907" w:h="16840"/>
      <w:pgMar w:top="1474" w:right="1814" w:bottom="1474" w:left="1814" w:header="851" w:footer="851" w:gutter="0"/>
      <w:pgBorders>
        <w:top w:val="none" w:sz="0" w:space="0"/>
        <w:left w:val="none" w:sz="0" w:space="0"/>
        <w:bottom w:val="none" w:sz="0" w:space="0"/>
        <w:right w:val="none" w:sz="0" w:space="0"/>
      </w:pgBorders>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41"/>
      </w:rPr>
    </w:pPr>
    <w:r>
      <w:fldChar w:fldCharType="begin"/>
    </w:r>
    <w:r>
      <w:rPr>
        <w:rStyle w:val="41"/>
      </w:rPr>
      <w:instrText xml:space="preserve">PAGE  </w:instrText>
    </w:r>
    <w:r>
      <w:fldChar w:fldCharType="end"/>
    </w:r>
  </w:p>
  <w:p>
    <w:pPr>
      <w:pStyle w:val="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4859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14935" cy="148590"/>
                      </a:xfrm>
                      <a:prstGeom prst="rect">
                        <a:avLst/>
                      </a:prstGeom>
                      <a:noFill/>
                      <a:ln>
                        <a:noFill/>
                      </a:ln>
                      <a:effectLst/>
                    </wps:spPr>
                    <wps:txbx>
                      <w:txbxContent>
                        <w:p>
                          <w:pPr>
                            <w:pStyle w:val="22"/>
                            <w:rPr>
                              <w:rStyle w:val="41"/>
                            </w:rPr>
                          </w:pPr>
                          <w:r>
                            <w:fldChar w:fldCharType="begin"/>
                          </w:r>
                          <w:r>
                            <w:rPr>
                              <w:rStyle w:val="41"/>
                            </w:rPr>
                            <w:instrText xml:space="preserve">PAGE  </w:instrText>
                          </w:r>
                          <w:r>
                            <w:fldChar w:fldCharType="separate"/>
                          </w:r>
                          <w:r>
                            <w:rPr>
                              <w:rStyle w:val="41"/>
                            </w:rPr>
                            <w:t>32</w:t>
                          </w:r>
                          <w: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1.7pt;width:9.05pt;mso-position-horizontal:center;mso-position-horizontal-relative:margin;mso-wrap-style:none;z-index:251661312;mso-width-relative:page;mso-height-relative:page;" filled="f" stroked="f" coordsize="21600,21600" o:gfxdata="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gLoFF0QAAAAMBAAAPAAAAAAAAAAEAIAAAACIAAABk&#10;cnMvZG93bnJldi54bWxQSwECFAAUAAAACACHTuJABe61JNQBAAClAwAADgAAAAAAAAABACAAAAAg&#10;AQAAZHJzL2Uyb0RvYy54bWxQSwUGAAAAAAYABgBZAQAAZgUAAAAA&#10;">
              <v:fill on="f" focussize="0,0"/>
              <v:stroke on="f"/>
              <v:imagedata o:title=""/>
              <o:lock v:ext="edit" aspectratio="f"/>
              <v:textbox inset="0mm,0mm,0mm,0mm" style="mso-fit-shape-to-text:t;">
                <w:txbxContent>
                  <w:p>
                    <w:pPr>
                      <w:pStyle w:val="22"/>
                      <w:rPr>
                        <w:rStyle w:val="41"/>
                      </w:rPr>
                    </w:pPr>
                    <w:r>
                      <w:fldChar w:fldCharType="begin"/>
                    </w:r>
                    <w:r>
                      <w:rPr>
                        <w:rStyle w:val="41"/>
                      </w:rPr>
                      <w:instrText xml:space="preserve">PAGE  </w:instrText>
                    </w:r>
                    <w:r>
                      <w:fldChar w:fldCharType="separate"/>
                    </w:r>
                    <w:r>
                      <w:rPr>
                        <w:rStyle w:val="41"/>
                      </w:rPr>
                      <w:t>32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2"/>
                            <w:jc w:val="center"/>
                          </w:pPr>
                          <w:r>
                            <w:fldChar w:fldCharType="begin"/>
                          </w:r>
                          <w:r>
                            <w:instrText xml:space="preserve">PAGE   \* MERGEFORMAT</w:instrText>
                          </w:r>
                          <w:r>
                            <w:fldChar w:fldCharType="separate"/>
                          </w:r>
                          <w:r>
                            <w:rPr>
                              <w:lang w:val="zh-CN"/>
                            </w:rPr>
                            <w:t>74</w:t>
                          </w:r>
                          <w:r>
                            <w:rPr>
                              <w:lang w:val="zh-CN"/>
                            </w:rP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GCkHLTOAQAAqAMAAA4AAAAAAAAAAQAgAAAAHgEAAGRycy9l&#10;Mm9Eb2MueG1sUEsFBgAAAAAGAAYAWQEAAF4FAAAAAA==&#10;">
              <v:fill on="f" focussize="0,0"/>
              <v:stroke on="f"/>
              <v:imagedata o:title=""/>
              <o:lock v:ext="edit" aspectratio="f"/>
              <v:textbox inset="0mm,0mm,0mm,0mm" style="mso-fit-shape-to-text:t;">
                <w:txbxContent>
                  <w:p>
                    <w:pPr>
                      <w:pStyle w:val="22"/>
                      <w:jc w:val="center"/>
                    </w:pPr>
                    <w:r>
                      <w:fldChar w:fldCharType="begin"/>
                    </w:r>
                    <w:r>
                      <w:instrText xml:space="preserve">PAGE   \* MERGEFORMAT</w:instrText>
                    </w:r>
                    <w:r>
                      <w:fldChar w:fldCharType="separate"/>
                    </w:r>
                    <w:r>
                      <w:rPr>
                        <w:lang w:val="zh-CN"/>
                      </w:rPr>
                      <w:t>74</w:t>
                    </w:r>
                    <w:r>
                      <w:rPr>
                        <w:lang w:val="zh-CN"/>
                      </w:rPr>
                      <w:fldChar w:fldCharType="end"/>
                    </w:r>
                  </w:p>
                </w:txbxContent>
              </v:textbox>
            </v:shape>
          </w:pict>
        </mc:Fallback>
      </mc:AlternateContent>
    </w:r>
  </w:p>
  <w:p>
    <w:pPr>
      <w:pStyle w:val="22"/>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48590"/>
              <wp:effectExtent l="0" t="0" r="0" b="0"/>
              <wp:wrapNone/>
              <wp:docPr id="9" name="文本框 4"/>
              <wp:cNvGraphicFramePr/>
              <a:graphic xmlns:a="http://schemas.openxmlformats.org/drawingml/2006/main">
                <a:graphicData uri="http://schemas.microsoft.com/office/word/2010/wordprocessingShape">
                  <wps:wsp>
                    <wps:cNvSpPr txBox="1"/>
                    <wps:spPr>
                      <a:xfrm>
                        <a:off x="0" y="0"/>
                        <a:ext cx="114935" cy="148590"/>
                      </a:xfrm>
                      <a:prstGeom prst="rect">
                        <a:avLst/>
                      </a:prstGeom>
                      <a:noFill/>
                      <a:ln>
                        <a:noFill/>
                      </a:ln>
                      <a:effectLst/>
                    </wps:spPr>
                    <wps:txbx>
                      <w:txbxContent>
                        <w:p>
                          <w:pPr>
                            <w:pStyle w:val="22"/>
                            <w:jc w:val="center"/>
                          </w:pPr>
                          <w:r>
                            <w:fldChar w:fldCharType="begin"/>
                          </w:r>
                          <w:r>
                            <w:instrText xml:space="preserve">PAGE   \* MERGEFORMAT</w:instrText>
                          </w:r>
                          <w:r>
                            <w:fldChar w:fldCharType="separate"/>
                          </w:r>
                          <w:r>
                            <w:rPr>
                              <w:lang w:val="zh-CN"/>
                            </w:rPr>
                            <w:t>83</w:t>
                          </w:r>
                          <w: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1.7pt;width:9.05pt;mso-position-horizontal:center;mso-position-horizontal-relative:margin;mso-wrap-style:none;z-index:251659264;mso-width-relative:page;mso-height-relative:page;" filled="f" stroked="f" coordsize="21600,21600" o:gfxdata="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AugUXRAAAAAwEAAA8AAAAAAAAAAQAgAAAAIgAAAGRy&#10;cy9kb3ducmV2LnhtbFBLAQIUABQAAAAIAIdO4kDDssxE0wEAAKUDAAAOAAAAAAAAAAEAIAAAACAB&#10;AABkcnMvZTJvRG9jLnhtbFBLBQYAAAAABgAGAFkBAABlBQAAAAA=&#10;">
              <v:fill on="f" focussize="0,0"/>
              <v:stroke on="f"/>
              <v:imagedata o:title=""/>
              <o:lock v:ext="edit" aspectratio="f"/>
              <v:textbox inset="0mm,0mm,0mm,0mm" style="mso-fit-shape-to-text:t;">
                <w:txbxContent>
                  <w:p>
                    <w:pPr>
                      <w:pStyle w:val="22"/>
                      <w:jc w:val="center"/>
                    </w:pPr>
                    <w:r>
                      <w:fldChar w:fldCharType="begin"/>
                    </w:r>
                    <w:r>
                      <w:instrText xml:space="preserve">PAGE   \* MERGEFORMAT</w:instrText>
                    </w:r>
                    <w:r>
                      <w:fldChar w:fldCharType="separate"/>
                    </w:r>
                    <w:r>
                      <w:rPr>
                        <w:lang w:val="zh-CN"/>
                      </w:rPr>
                      <w:t>83</w:t>
                    </w:r>
                    <w:r>
                      <w:fldChar w:fldCharType="end"/>
                    </w:r>
                  </w:p>
                </w:txbxContent>
              </v:textbox>
            </v:shape>
          </w:pict>
        </mc:Fallback>
      </mc:AlternateContent>
    </w:r>
  </w:p>
  <w:p>
    <w:pPr>
      <w:pStyle w:val="2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C3715F"/>
    <w:multiLevelType w:val="singleLevel"/>
    <w:tmpl w:val="E9C3715F"/>
    <w:lvl w:ilvl="0" w:tentative="0">
      <w:start w:val="1"/>
      <w:numFmt w:val="decimal"/>
      <w:lvlText w:val="%1."/>
      <w:lvlJc w:val="left"/>
      <w:pPr>
        <w:tabs>
          <w:tab w:val="left" w:pos="312"/>
        </w:tabs>
      </w:pPr>
    </w:lvl>
  </w:abstractNum>
  <w:abstractNum w:abstractNumId="1">
    <w:nsid w:val="EA747D3C"/>
    <w:multiLevelType w:val="singleLevel"/>
    <w:tmpl w:val="EA747D3C"/>
    <w:lvl w:ilvl="0" w:tentative="0">
      <w:start w:val="2"/>
      <w:numFmt w:val="chineseCounting"/>
      <w:suff w:val="nothing"/>
      <w:lvlText w:val="%1、"/>
      <w:lvlJc w:val="left"/>
      <w:rPr>
        <w:rFonts w:hint="eastAsia"/>
      </w:rPr>
    </w:lvl>
  </w:abstractNum>
  <w:abstractNum w:abstractNumId="2">
    <w:nsid w:val="155E6A8F"/>
    <w:multiLevelType w:val="multilevel"/>
    <w:tmpl w:val="155E6A8F"/>
    <w:lvl w:ilvl="0" w:tentative="0">
      <w:start w:val="1"/>
      <w:numFmt w:val="decimal"/>
      <w:lvlText w:val="（%1）"/>
      <w:lvlJc w:val="left"/>
      <w:pPr>
        <w:tabs>
          <w:tab w:val="left" w:pos="1571"/>
        </w:tabs>
        <w:ind w:left="1511" w:hanging="720"/>
      </w:pPr>
      <w:rPr>
        <w:rFonts w:ascii="仿宋_GB2312" w:hAnsi="宋体" w:eastAsia="仿宋_GB2312" w:cs="Times New Roman"/>
      </w:rPr>
    </w:lvl>
    <w:lvl w:ilvl="1" w:tentative="0">
      <w:start w:val="1"/>
      <w:numFmt w:val="lowerLetter"/>
      <w:lvlText w:val="%2)"/>
      <w:lvlJc w:val="left"/>
      <w:pPr>
        <w:tabs>
          <w:tab w:val="left" w:pos="1739"/>
        </w:tabs>
        <w:ind w:left="1679" w:hanging="420"/>
      </w:pPr>
    </w:lvl>
    <w:lvl w:ilvl="2" w:tentative="0">
      <w:start w:val="1"/>
      <w:numFmt w:val="lowerRoman"/>
      <w:lvlText w:val="%3."/>
      <w:lvlJc w:val="right"/>
      <w:pPr>
        <w:tabs>
          <w:tab w:val="left" w:pos="2159"/>
        </w:tabs>
        <w:ind w:left="2099" w:hanging="420"/>
      </w:pPr>
    </w:lvl>
    <w:lvl w:ilvl="3" w:tentative="0">
      <w:start w:val="1"/>
      <w:numFmt w:val="decimal"/>
      <w:lvlText w:val="%4."/>
      <w:lvlJc w:val="left"/>
      <w:pPr>
        <w:tabs>
          <w:tab w:val="left" w:pos="2579"/>
        </w:tabs>
        <w:ind w:left="2519" w:hanging="420"/>
      </w:pPr>
    </w:lvl>
    <w:lvl w:ilvl="4" w:tentative="0">
      <w:start w:val="1"/>
      <w:numFmt w:val="lowerLetter"/>
      <w:lvlText w:val="%5)"/>
      <w:lvlJc w:val="left"/>
      <w:pPr>
        <w:tabs>
          <w:tab w:val="left" w:pos="2999"/>
        </w:tabs>
        <w:ind w:left="2939" w:hanging="420"/>
      </w:pPr>
    </w:lvl>
    <w:lvl w:ilvl="5" w:tentative="0">
      <w:start w:val="1"/>
      <w:numFmt w:val="lowerRoman"/>
      <w:lvlText w:val="%6."/>
      <w:lvlJc w:val="right"/>
      <w:pPr>
        <w:tabs>
          <w:tab w:val="left" w:pos="3419"/>
        </w:tabs>
        <w:ind w:left="3359" w:hanging="420"/>
      </w:pPr>
    </w:lvl>
    <w:lvl w:ilvl="6" w:tentative="0">
      <w:start w:val="1"/>
      <w:numFmt w:val="decimal"/>
      <w:lvlText w:val="%7."/>
      <w:lvlJc w:val="left"/>
      <w:pPr>
        <w:tabs>
          <w:tab w:val="left" w:pos="3839"/>
        </w:tabs>
        <w:ind w:left="3779" w:hanging="420"/>
      </w:pPr>
    </w:lvl>
    <w:lvl w:ilvl="7" w:tentative="0">
      <w:start w:val="1"/>
      <w:numFmt w:val="lowerLetter"/>
      <w:lvlText w:val="%8)"/>
      <w:lvlJc w:val="left"/>
      <w:pPr>
        <w:tabs>
          <w:tab w:val="left" w:pos="4259"/>
        </w:tabs>
        <w:ind w:left="4199" w:hanging="420"/>
      </w:pPr>
    </w:lvl>
    <w:lvl w:ilvl="8" w:tentative="0">
      <w:start w:val="1"/>
      <w:numFmt w:val="lowerRoman"/>
      <w:lvlText w:val="%9."/>
      <w:lvlJc w:val="right"/>
      <w:pPr>
        <w:tabs>
          <w:tab w:val="left" w:pos="4679"/>
        </w:tabs>
        <w:ind w:left="4619" w:hanging="420"/>
      </w:pPr>
    </w:lvl>
  </w:abstractNum>
  <w:abstractNum w:abstractNumId="3">
    <w:nsid w:val="25E4E168"/>
    <w:multiLevelType w:val="singleLevel"/>
    <w:tmpl w:val="25E4E168"/>
    <w:lvl w:ilvl="0" w:tentative="0">
      <w:start w:val="2"/>
      <w:numFmt w:val="decimal"/>
      <w:suff w:val="nothing"/>
      <w:lvlText w:val="%1、"/>
      <w:lvlJc w:val="left"/>
    </w:lvl>
  </w:abstractNum>
  <w:abstractNum w:abstractNumId="4">
    <w:nsid w:val="25E9131D"/>
    <w:multiLevelType w:val="multilevel"/>
    <w:tmpl w:val="25E9131D"/>
    <w:lvl w:ilvl="0" w:tentative="0">
      <w:start w:val="1"/>
      <w:numFmt w:val="decimal"/>
      <w:lvlText w:val="%1"/>
      <w:lvlJc w:val="left"/>
      <w:pPr>
        <w:tabs>
          <w:tab w:val="left" w:pos="900"/>
        </w:tabs>
        <w:ind w:left="900" w:hanging="900"/>
      </w:pPr>
      <w:rPr>
        <w:rFonts w:hint="eastAsia"/>
      </w:rPr>
    </w:lvl>
    <w:lvl w:ilvl="1" w:tentative="0">
      <w:start w:val="1"/>
      <w:numFmt w:val="decimal"/>
      <w:lvlText w:val="%1.%2"/>
      <w:lvlJc w:val="left"/>
      <w:pPr>
        <w:tabs>
          <w:tab w:val="left" w:pos="900"/>
        </w:tabs>
        <w:ind w:left="900" w:hanging="900"/>
      </w:pPr>
      <w:rPr>
        <w:rFonts w:hint="eastAsia"/>
      </w:rPr>
    </w:lvl>
    <w:lvl w:ilvl="2" w:tentative="0">
      <w:start w:val="1"/>
      <w:numFmt w:val="decimal"/>
      <w:lvlText w:val="%1.%2.%3"/>
      <w:lvlJc w:val="left"/>
      <w:pPr>
        <w:tabs>
          <w:tab w:val="left" w:pos="900"/>
        </w:tabs>
        <w:ind w:left="900" w:hanging="900"/>
      </w:pPr>
      <w:rPr>
        <w:rFonts w:hint="eastAsia"/>
      </w:rPr>
    </w:lvl>
    <w:lvl w:ilvl="3" w:tentative="0">
      <w:start w:val="1"/>
      <w:numFmt w:val="decimal"/>
      <w:lvlText w:val="%1.%2.%3.%4"/>
      <w:lvlJc w:val="left"/>
      <w:pPr>
        <w:tabs>
          <w:tab w:val="left" w:pos="900"/>
        </w:tabs>
        <w:ind w:left="900" w:hanging="900"/>
      </w:pPr>
      <w:rPr>
        <w:rFonts w:hint="eastAsia"/>
      </w:rPr>
    </w:lvl>
    <w:lvl w:ilvl="4" w:tentative="0">
      <w:start w:val="1"/>
      <w:numFmt w:val="decimal"/>
      <w:lvlText w:val="%1.%2.%3.%4.%5"/>
      <w:lvlJc w:val="left"/>
      <w:pPr>
        <w:tabs>
          <w:tab w:val="left" w:pos="900"/>
        </w:tabs>
        <w:ind w:left="900" w:hanging="900"/>
      </w:pPr>
      <w:rPr>
        <w:rFonts w:hint="eastAsia"/>
      </w:rPr>
    </w:lvl>
    <w:lvl w:ilvl="5" w:tentative="0">
      <w:start w:val="1"/>
      <w:numFmt w:val="decimal"/>
      <w:lvlText w:val="%1.%2.%3.%4.%5.%6"/>
      <w:lvlJc w:val="left"/>
      <w:pPr>
        <w:tabs>
          <w:tab w:val="left" w:pos="900"/>
        </w:tabs>
        <w:ind w:left="900" w:hanging="900"/>
      </w:pPr>
      <w:rPr>
        <w:rFonts w:hint="eastAsia"/>
      </w:rPr>
    </w:lvl>
    <w:lvl w:ilvl="6" w:tentative="0">
      <w:start w:val="1"/>
      <w:numFmt w:val="decimal"/>
      <w:lvlText w:val="%1.%2.%3.%4.%5.%6.%7"/>
      <w:lvlJc w:val="left"/>
      <w:pPr>
        <w:tabs>
          <w:tab w:val="left" w:pos="900"/>
        </w:tabs>
        <w:ind w:left="900" w:hanging="900"/>
      </w:pPr>
      <w:rPr>
        <w:rFonts w:hint="eastAsia"/>
      </w:rPr>
    </w:lvl>
    <w:lvl w:ilvl="7" w:tentative="0">
      <w:start w:val="1"/>
      <w:numFmt w:val="decimal"/>
      <w:lvlText w:val="%1.%2.%3.%4.%5.%6.%7.%8"/>
      <w:lvlJc w:val="left"/>
      <w:pPr>
        <w:tabs>
          <w:tab w:val="left" w:pos="900"/>
        </w:tabs>
        <w:ind w:left="900" w:hanging="900"/>
      </w:pPr>
      <w:rPr>
        <w:rFonts w:hint="eastAsia"/>
      </w:rPr>
    </w:lvl>
    <w:lvl w:ilvl="8" w:tentative="0">
      <w:start w:val="1"/>
      <w:numFmt w:val="decimal"/>
      <w:lvlText w:val="%1.%2.%3.%4.%5.%6.%7.%8.%9"/>
      <w:lvlJc w:val="left"/>
      <w:pPr>
        <w:tabs>
          <w:tab w:val="left" w:pos="900"/>
        </w:tabs>
        <w:ind w:left="900" w:hanging="900"/>
      </w:pPr>
      <w:rPr>
        <w:rFonts w:hint="eastAsia"/>
      </w:rPr>
    </w:lvl>
  </w:abstractNum>
  <w:abstractNum w:abstractNumId="5">
    <w:nsid w:val="41DF016E"/>
    <w:multiLevelType w:val="singleLevel"/>
    <w:tmpl w:val="41DF016E"/>
    <w:lvl w:ilvl="0" w:tentative="0">
      <w:start w:val="2"/>
      <w:numFmt w:val="chineseCounting"/>
      <w:suff w:val="space"/>
      <w:lvlText w:val="第%1部分"/>
      <w:lvlJc w:val="left"/>
      <w:rPr>
        <w:rFonts w:hint="eastAsia"/>
      </w:rPr>
    </w:lvl>
  </w:abstractNum>
  <w:abstractNum w:abstractNumId="6">
    <w:nsid w:val="53F98F85"/>
    <w:multiLevelType w:val="singleLevel"/>
    <w:tmpl w:val="53F98F85"/>
    <w:lvl w:ilvl="0" w:tentative="0">
      <w:start w:val="2"/>
      <w:numFmt w:val="chineseCounting"/>
      <w:suff w:val="nothing"/>
      <w:lvlText w:val="（%1）"/>
      <w:lvlJc w:val="left"/>
    </w:lvl>
  </w:abstractNum>
  <w:abstractNum w:abstractNumId="7">
    <w:nsid w:val="6B02DAB2"/>
    <w:multiLevelType w:val="singleLevel"/>
    <w:tmpl w:val="6B02DAB2"/>
    <w:lvl w:ilvl="0" w:tentative="0">
      <w:start w:val="3"/>
      <w:numFmt w:val="chineseCounting"/>
      <w:pStyle w:val="50"/>
      <w:suff w:val="nothing"/>
      <w:lvlText w:val="%1、"/>
      <w:lvlJc w:val="left"/>
      <w:rPr>
        <w:rFonts w:hint="eastAsia"/>
      </w:rPr>
    </w:lvl>
  </w:abstractNum>
  <w:num w:numId="1">
    <w:abstractNumId w:val="7"/>
  </w:num>
  <w:num w:numId="2">
    <w:abstractNumId w:val="1"/>
  </w:num>
  <w:num w:numId="3">
    <w:abstractNumId w:val="4"/>
  </w:num>
  <w:num w:numId="4">
    <w:abstractNumId w:val="2"/>
  </w:num>
  <w:num w:numId="5">
    <w:abstractNumId w:val="5"/>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03年范本稿123.doc"/>
    <w:docVar w:name="commondata" w:val="eyJoZGlkIjoiMjljNGJjYzI5MzE1MDlkODM5MGY5YzNkM2EzYjkzNjYifQ=="/>
    <w:docVar w:name="VTCASE" w:val="4"/>
    <w:docVar w:name="VTCommandPending" w:val="NONE"/>
  </w:docVars>
  <w:rsids>
    <w:rsidRoot w:val="00887D93"/>
    <w:rsid w:val="000004CD"/>
    <w:rsid w:val="000005B8"/>
    <w:rsid w:val="00001783"/>
    <w:rsid w:val="00001797"/>
    <w:rsid w:val="0000273B"/>
    <w:rsid w:val="000041A8"/>
    <w:rsid w:val="000055D7"/>
    <w:rsid w:val="00006340"/>
    <w:rsid w:val="0001529F"/>
    <w:rsid w:val="000157E2"/>
    <w:rsid w:val="0001697A"/>
    <w:rsid w:val="000169E1"/>
    <w:rsid w:val="00020D78"/>
    <w:rsid w:val="00021486"/>
    <w:rsid w:val="00021AE8"/>
    <w:rsid w:val="00022E94"/>
    <w:rsid w:val="000232D5"/>
    <w:rsid w:val="00023E81"/>
    <w:rsid w:val="000240E4"/>
    <w:rsid w:val="000313B5"/>
    <w:rsid w:val="000320BA"/>
    <w:rsid w:val="00032B95"/>
    <w:rsid w:val="000333A8"/>
    <w:rsid w:val="000434F9"/>
    <w:rsid w:val="00043533"/>
    <w:rsid w:val="00045D67"/>
    <w:rsid w:val="000535DA"/>
    <w:rsid w:val="000538CC"/>
    <w:rsid w:val="000541C7"/>
    <w:rsid w:val="00054A8E"/>
    <w:rsid w:val="000559E5"/>
    <w:rsid w:val="00056583"/>
    <w:rsid w:val="00056932"/>
    <w:rsid w:val="00057BB2"/>
    <w:rsid w:val="0006019D"/>
    <w:rsid w:val="000612B3"/>
    <w:rsid w:val="00061B68"/>
    <w:rsid w:val="00063750"/>
    <w:rsid w:val="00065379"/>
    <w:rsid w:val="0006726A"/>
    <w:rsid w:val="000673C5"/>
    <w:rsid w:val="0007042A"/>
    <w:rsid w:val="00070907"/>
    <w:rsid w:val="000719AB"/>
    <w:rsid w:val="00072878"/>
    <w:rsid w:val="00073852"/>
    <w:rsid w:val="0007473A"/>
    <w:rsid w:val="00076670"/>
    <w:rsid w:val="00077B52"/>
    <w:rsid w:val="00080B56"/>
    <w:rsid w:val="00080FC7"/>
    <w:rsid w:val="00081D11"/>
    <w:rsid w:val="00083115"/>
    <w:rsid w:val="00093645"/>
    <w:rsid w:val="00096150"/>
    <w:rsid w:val="00096F54"/>
    <w:rsid w:val="000A0225"/>
    <w:rsid w:val="000A31C4"/>
    <w:rsid w:val="000A3727"/>
    <w:rsid w:val="000A49C1"/>
    <w:rsid w:val="000A799B"/>
    <w:rsid w:val="000B3242"/>
    <w:rsid w:val="000B3392"/>
    <w:rsid w:val="000B362F"/>
    <w:rsid w:val="000B366A"/>
    <w:rsid w:val="000B6C50"/>
    <w:rsid w:val="000C024A"/>
    <w:rsid w:val="000C0FDF"/>
    <w:rsid w:val="000C3524"/>
    <w:rsid w:val="000C5071"/>
    <w:rsid w:val="000C55ED"/>
    <w:rsid w:val="000C6F86"/>
    <w:rsid w:val="000D1613"/>
    <w:rsid w:val="000D19C1"/>
    <w:rsid w:val="000D31E3"/>
    <w:rsid w:val="000D4E69"/>
    <w:rsid w:val="000D5125"/>
    <w:rsid w:val="000D7812"/>
    <w:rsid w:val="000E1288"/>
    <w:rsid w:val="000E3784"/>
    <w:rsid w:val="000E37E0"/>
    <w:rsid w:val="000E47A0"/>
    <w:rsid w:val="000E597F"/>
    <w:rsid w:val="000E5BFC"/>
    <w:rsid w:val="000E6393"/>
    <w:rsid w:val="000E694F"/>
    <w:rsid w:val="000E7158"/>
    <w:rsid w:val="000F137C"/>
    <w:rsid w:val="000F2D05"/>
    <w:rsid w:val="000F2EEE"/>
    <w:rsid w:val="000F4234"/>
    <w:rsid w:val="000F6215"/>
    <w:rsid w:val="000F63C8"/>
    <w:rsid w:val="000F6581"/>
    <w:rsid w:val="00102417"/>
    <w:rsid w:val="001032CC"/>
    <w:rsid w:val="00105B0B"/>
    <w:rsid w:val="00112163"/>
    <w:rsid w:val="00114579"/>
    <w:rsid w:val="00115BF1"/>
    <w:rsid w:val="0012032C"/>
    <w:rsid w:val="0012244B"/>
    <w:rsid w:val="001224B5"/>
    <w:rsid w:val="00122643"/>
    <w:rsid w:val="0012425B"/>
    <w:rsid w:val="001244F8"/>
    <w:rsid w:val="001247F0"/>
    <w:rsid w:val="001252D8"/>
    <w:rsid w:val="00125710"/>
    <w:rsid w:val="001257D4"/>
    <w:rsid w:val="001259BC"/>
    <w:rsid w:val="001275DA"/>
    <w:rsid w:val="00131E0D"/>
    <w:rsid w:val="0013359E"/>
    <w:rsid w:val="001365D8"/>
    <w:rsid w:val="00137694"/>
    <w:rsid w:val="00141B26"/>
    <w:rsid w:val="00141EAC"/>
    <w:rsid w:val="001433AC"/>
    <w:rsid w:val="00143652"/>
    <w:rsid w:val="0014627C"/>
    <w:rsid w:val="001572B8"/>
    <w:rsid w:val="00157C74"/>
    <w:rsid w:val="001602F6"/>
    <w:rsid w:val="00161678"/>
    <w:rsid w:val="00162805"/>
    <w:rsid w:val="00165014"/>
    <w:rsid w:val="0017180F"/>
    <w:rsid w:val="001733C3"/>
    <w:rsid w:val="00173BFF"/>
    <w:rsid w:val="00174749"/>
    <w:rsid w:val="00174FCA"/>
    <w:rsid w:val="00175AFB"/>
    <w:rsid w:val="00176F12"/>
    <w:rsid w:val="001770BE"/>
    <w:rsid w:val="00177A3E"/>
    <w:rsid w:val="00180E88"/>
    <w:rsid w:val="00183E4B"/>
    <w:rsid w:val="00187B13"/>
    <w:rsid w:val="00187EB4"/>
    <w:rsid w:val="00192332"/>
    <w:rsid w:val="00193BB3"/>
    <w:rsid w:val="00196FA0"/>
    <w:rsid w:val="001A3B44"/>
    <w:rsid w:val="001A5EEB"/>
    <w:rsid w:val="001A62A5"/>
    <w:rsid w:val="001A7DAE"/>
    <w:rsid w:val="001B28F7"/>
    <w:rsid w:val="001B4216"/>
    <w:rsid w:val="001B49A4"/>
    <w:rsid w:val="001B4E60"/>
    <w:rsid w:val="001B521B"/>
    <w:rsid w:val="001B5CC8"/>
    <w:rsid w:val="001B6587"/>
    <w:rsid w:val="001B7CB1"/>
    <w:rsid w:val="001C0582"/>
    <w:rsid w:val="001C058D"/>
    <w:rsid w:val="001C26FB"/>
    <w:rsid w:val="001C54C3"/>
    <w:rsid w:val="001C577E"/>
    <w:rsid w:val="001C6EF0"/>
    <w:rsid w:val="001D027D"/>
    <w:rsid w:val="001D4A1E"/>
    <w:rsid w:val="001D65C4"/>
    <w:rsid w:val="001D70E9"/>
    <w:rsid w:val="001E181E"/>
    <w:rsid w:val="001E3F03"/>
    <w:rsid w:val="001E44EF"/>
    <w:rsid w:val="001E6C1A"/>
    <w:rsid w:val="001E7629"/>
    <w:rsid w:val="001E7E8B"/>
    <w:rsid w:val="001F2F0B"/>
    <w:rsid w:val="001F3130"/>
    <w:rsid w:val="001F5442"/>
    <w:rsid w:val="001F5903"/>
    <w:rsid w:val="001F5D14"/>
    <w:rsid w:val="001F7292"/>
    <w:rsid w:val="002001DC"/>
    <w:rsid w:val="00201CA5"/>
    <w:rsid w:val="00203778"/>
    <w:rsid w:val="0020407A"/>
    <w:rsid w:val="00205A72"/>
    <w:rsid w:val="00207F4A"/>
    <w:rsid w:val="00210AE7"/>
    <w:rsid w:val="002123C7"/>
    <w:rsid w:val="00213411"/>
    <w:rsid w:val="00216D4F"/>
    <w:rsid w:val="00216E43"/>
    <w:rsid w:val="00220866"/>
    <w:rsid w:val="002231A4"/>
    <w:rsid w:val="00223245"/>
    <w:rsid w:val="00224447"/>
    <w:rsid w:val="00224A77"/>
    <w:rsid w:val="00225665"/>
    <w:rsid w:val="0022671D"/>
    <w:rsid w:val="0023090E"/>
    <w:rsid w:val="00231C64"/>
    <w:rsid w:val="0023318A"/>
    <w:rsid w:val="00236A9B"/>
    <w:rsid w:val="0023715B"/>
    <w:rsid w:val="00237592"/>
    <w:rsid w:val="0024245D"/>
    <w:rsid w:val="00244A0E"/>
    <w:rsid w:val="00244F73"/>
    <w:rsid w:val="002466E9"/>
    <w:rsid w:val="0025092A"/>
    <w:rsid w:val="002509CA"/>
    <w:rsid w:val="00251A29"/>
    <w:rsid w:val="00251B89"/>
    <w:rsid w:val="00252D27"/>
    <w:rsid w:val="00253615"/>
    <w:rsid w:val="00253950"/>
    <w:rsid w:val="00254F7E"/>
    <w:rsid w:val="0025569E"/>
    <w:rsid w:val="002564FE"/>
    <w:rsid w:val="002603EB"/>
    <w:rsid w:val="00261FEB"/>
    <w:rsid w:val="00264327"/>
    <w:rsid w:val="002650F1"/>
    <w:rsid w:val="00266403"/>
    <w:rsid w:val="00266406"/>
    <w:rsid w:val="0026674D"/>
    <w:rsid w:val="002679CA"/>
    <w:rsid w:val="00272722"/>
    <w:rsid w:val="002745E7"/>
    <w:rsid w:val="002760AC"/>
    <w:rsid w:val="00277935"/>
    <w:rsid w:val="00277E8E"/>
    <w:rsid w:val="00280DD6"/>
    <w:rsid w:val="00281AF5"/>
    <w:rsid w:val="00282496"/>
    <w:rsid w:val="002825A0"/>
    <w:rsid w:val="00282E7B"/>
    <w:rsid w:val="00283033"/>
    <w:rsid w:val="00283122"/>
    <w:rsid w:val="002854DC"/>
    <w:rsid w:val="0028616B"/>
    <w:rsid w:val="00290CDE"/>
    <w:rsid w:val="00290DE2"/>
    <w:rsid w:val="0029397A"/>
    <w:rsid w:val="002A1899"/>
    <w:rsid w:val="002A2315"/>
    <w:rsid w:val="002A3153"/>
    <w:rsid w:val="002A566C"/>
    <w:rsid w:val="002A6C9C"/>
    <w:rsid w:val="002B328F"/>
    <w:rsid w:val="002C10AC"/>
    <w:rsid w:val="002C12B1"/>
    <w:rsid w:val="002C2AE8"/>
    <w:rsid w:val="002C2FF3"/>
    <w:rsid w:val="002C3A5A"/>
    <w:rsid w:val="002C4ABE"/>
    <w:rsid w:val="002C71EC"/>
    <w:rsid w:val="002C7548"/>
    <w:rsid w:val="002C780B"/>
    <w:rsid w:val="002C7E47"/>
    <w:rsid w:val="002D2C13"/>
    <w:rsid w:val="002D2E66"/>
    <w:rsid w:val="002D2FFB"/>
    <w:rsid w:val="002D4E16"/>
    <w:rsid w:val="002D505C"/>
    <w:rsid w:val="002D5DF8"/>
    <w:rsid w:val="002D731D"/>
    <w:rsid w:val="002D7F8D"/>
    <w:rsid w:val="002E334D"/>
    <w:rsid w:val="002E486A"/>
    <w:rsid w:val="002E53C0"/>
    <w:rsid w:val="002E672F"/>
    <w:rsid w:val="002E766C"/>
    <w:rsid w:val="002F02C8"/>
    <w:rsid w:val="002F04FD"/>
    <w:rsid w:val="002F1B31"/>
    <w:rsid w:val="002F2D5F"/>
    <w:rsid w:val="002F46DC"/>
    <w:rsid w:val="002F5145"/>
    <w:rsid w:val="002F5CB9"/>
    <w:rsid w:val="002F683C"/>
    <w:rsid w:val="00302182"/>
    <w:rsid w:val="00306072"/>
    <w:rsid w:val="0030675F"/>
    <w:rsid w:val="0031140B"/>
    <w:rsid w:val="003117C6"/>
    <w:rsid w:val="00314E3D"/>
    <w:rsid w:val="00317120"/>
    <w:rsid w:val="0032100C"/>
    <w:rsid w:val="003212C2"/>
    <w:rsid w:val="00321921"/>
    <w:rsid w:val="00321926"/>
    <w:rsid w:val="0033060D"/>
    <w:rsid w:val="003318F3"/>
    <w:rsid w:val="00331ECA"/>
    <w:rsid w:val="00333919"/>
    <w:rsid w:val="00334F3E"/>
    <w:rsid w:val="003379AF"/>
    <w:rsid w:val="00337C5C"/>
    <w:rsid w:val="003408FF"/>
    <w:rsid w:val="0034126F"/>
    <w:rsid w:val="00343E4C"/>
    <w:rsid w:val="00352BC8"/>
    <w:rsid w:val="00354141"/>
    <w:rsid w:val="00355D82"/>
    <w:rsid w:val="00356CAF"/>
    <w:rsid w:val="003671F3"/>
    <w:rsid w:val="00367712"/>
    <w:rsid w:val="00367C88"/>
    <w:rsid w:val="00367DB2"/>
    <w:rsid w:val="0037053F"/>
    <w:rsid w:val="00370601"/>
    <w:rsid w:val="00370B19"/>
    <w:rsid w:val="00371C8C"/>
    <w:rsid w:val="00373408"/>
    <w:rsid w:val="003748EB"/>
    <w:rsid w:val="00374DDB"/>
    <w:rsid w:val="00375DCD"/>
    <w:rsid w:val="00376F36"/>
    <w:rsid w:val="003800A6"/>
    <w:rsid w:val="00380914"/>
    <w:rsid w:val="0038151E"/>
    <w:rsid w:val="00382451"/>
    <w:rsid w:val="00382FFA"/>
    <w:rsid w:val="00383B0A"/>
    <w:rsid w:val="0038469A"/>
    <w:rsid w:val="0038491D"/>
    <w:rsid w:val="00386B36"/>
    <w:rsid w:val="00387606"/>
    <w:rsid w:val="00387858"/>
    <w:rsid w:val="00391DD2"/>
    <w:rsid w:val="003925E1"/>
    <w:rsid w:val="00393D74"/>
    <w:rsid w:val="003943A7"/>
    <w:rsid w:val="00396041"/>
    <w:rsid w:val="003960FB"/>
    <w:rsid w:val="00396A66"/>
    <w:rsid w:val="003A1A69"/>
    <w:rsid w:val="003A37B8"/>
    <w:rsid w:val="003A582F"/>
    <w:rsid w:val="003A6B72"/>
    <w:rsid w:val="003B020F"/>
    <w:rsid w:val="003B3917"/>
    <w:rsid w:val="003B41D9"/>
    <w:rsid w:val="003B7293"/>
    <w:rsid w:val="003C53B2"/>
    <w:rsid w:val="003C6323"/>
    <w:rsid w:val="003C6422"/>
    <w:rsid w:val="003C6C9A"/>
    <w:rsid w:val="003D4037"/>
    <w:rsid w:val="003D54B8"/>
    <w:rsid w:val="003D6961"/>
    <w:rsid w:val="003E1168"/>
    <w:rsid w:val="003E2C77"/>
    <w:rsid w:val="003E2C89"/>
    <w:rsid w:val="003E3C14"/>
    <w:rsid w:val="003E5935"/>
    <w:rsid w:val="003E6516"/>
    <w:rsid w:val="003E747A"/>
    <w:rsid w:val="003F0149"/>
    <w:rsid w:val="003F11BD"/>
    <w:rsid w:val="003F123A"/>
    <w:rsid w:val="003F2550"/>
    <w:rsid w:val="003F3746"/>
    <w:rsid w:val="003F3B41"/>
    <w:rsid w:val="003F4748"/>
    <w:rsid w:val="003F61AC"/>
    <w:rsid w:val="00401267"/>
    <w:rsid w:val="00401B70"/>
    <w:rsid w:val="00402836"/>
    <w:rsid w:val="0040367C"/>
    <w:rsid w:val="00404B23"/>
    <w:rsid w:val="00405154"/>
    <w:rsid w:val="0040528B"/>
    <w:rsid w:val="00405BBF"/>
    <w:rsid w:val="00406E06"/>
    <w:rsid w:val="0041195F"/>
    <w:rsid w:val="0041238C"/>
    <w:rsid w:val="00412829"/>
    <w:rsid w:val="0041314E"/>
    <w:rsid w:val="00414EDB"/>
    <w:rsid w:val="004164DF"/>
    <w:rsid w:val="00416CBC"/>
    <w:rsid w:val="00420310"/>
    <w:rsid w:val="00422FBE"/>
    <w:rsid w:val="00425FB2"/>
    <w:rsid w:val="004261AF"/>
    <w:rsid w:val="00426BB0"/>
    <w:rsid w:val="00427258"/>
    <w:rsid w:val="004310A2"/>
    <w:rsid w:val="00431E68"/>
    <w:rsid w:val="00433EEA"/>
    <w:rsid w:val="0044012D"/>
    <w:rsid w:val="004408B0"/>
    <w:rsid w:val="004408EE"/>
    <w:rsid w:val="00441C7F"/>
    <w:rsid w:val="00441E5E"/>
    <w:rsid w:val="00442EFC"/>
    <w:rsid w:val="0044524F"/>
    <w:rsid w:val="0044654E"/>
    <w:rsid w:val="004504F2"/>
    <w:rsid w:val="00450C1F"/>
    <w:rsid w:val="00455240"/>
    <w:rsid w:val="0045705D"/>
    <w:rsid w:val="0045738E"/>
    <w:rsid w:val="00457AEF"/>
    <w:rsid w:val="0046046C"/>
    <w:rsid w:val="00461673"/>
    <w:rsid w:val="0046619A"/>
    <w:rsid w:val="004663F3"/>
    <w:rsid w:val="00467553"/>
    <w:rsid w:val="00471F78"/>
    <w:rsid w:val="004723DF"/>
    <w:rsid w:val="00473B94"/>
    <w:rsid w:val="00473DC2"/>
    <w:rsid w:val="0047556E"/>
    <w:rsid w:val="00475991"/>
    <w:rsid w:val="00475B13"/>
    <w:rsid w:val="00480D8D"/>
    <w:rsid w:val="004814E5"/>
    <w:rsid w:val="00483DB5"/>
    <w:rsid w:val="00484641"/>
    <w:rsid w:val="004846F8"/>
    <w:rsid w:val="00490A94"/>
    <w:rsid w:val="004911E4"/>
    <w:rsid w:val="004912F4"/>
    <w:rsid w:val="004922BC"/>
    <w:rsid w:val="00492CE8"/>
    <w:rsid w:val="00493558"/>
    <w:rsid w:val="00493EC9"/>
    <w:rsid w:val="00495251"/>
    <w:rsid w:val="00495B0C"/>
    <w:rsid w:val="004A1759"/>
    <w:rsid w:val="004A2275"/>
    <w:rsid w:val="004A3872"/>
    <w:rsid w:val="004A3AC0"/>
    <w:rsid w:val="004A4ED0"/>
    <w:rsid w:val="004B0706"/>
    <w:rsid w:val="004B22B1"/>
    <w:rsid w:val="004B46E5"/>
    <w:rsid w:val="004B6542"/>
    <w:rsid w:val="004B72A3"/>
    <w:rsid w:val="004C1E33"/>
    <w:rsid w:val="004C6870"/>
    <w:rsid w:val="004C6E24"/>
    <w:rsid w:val="004C6E53"/>
    <w:rsid w:val="004D29A3"/>
    <w:rsid w:val="004D4958"/>
    <w:rsid w:val="004D4D48"/>
    <w:rsid w:val="004D5250"/>
    <w:rsid w:val="004D6AD9"/>
    <w:rsid w:val="004E0517"/>
    <w:rsid w:val="004E0C12"/>
    <w:rsid w:val="004E13F0"/>
    <w:rsid w:val="004E1E1E"/>
    <w:rsid w:val="004E4854"/>
    <w:rsid w:val="004E56CE"/>
    <w:rsid w:val="004E66DE"/>
    <w:rsid w:val="004E70E8"/>
    <w:rsid w:val="004E77F7"/>
    <w:rsid w:val="004F036B"/>
    <w:rsid w:val="004F0E54"/>
    <w:rsid w:val="004F74EF"/>
    <w:rsid w:val="004F7B7E"/>
    <w:rsid w:val="00501785"/>
    <w:rsid w:val="00503724"/>
    <w:rsid w:val="00504E3C"/>
    <w:rsid w:val="00506F69"/>
    <w:rsid w:val="00513F7C"/>
    <w:rsid w:val="005149B8"/>
    <w:rsid w:val="005168FA"/>
    <w:rsid w:val="00516F1C"/>
    <w:rsid w:val="005175C0"/>
    <w:rsid w:val="00520001"/>
    <w:rsid w:val="00523291"/>
    <w:rsid w:val="0052391C"/>
    <w:rsid w:val="0052393A"/>
    <w:rsid w:val="00530C3F"/>
    <w:rsid w:val="00532B1D"/>
    <w:rsid w:val="00534347"/>
    <w:rsid w:val="00537F20"/>
    <w:rsid w:val="00540C55"/>
    <w:rsid w:val="00542227"/>
    <w:rsid w:val="005422EB"/>
    <w:rsid w:val="0054426F"/>
    <w:rsid w:val="0054508F"/>
    <w:rsid w:val="00545C00"/>
    <w:rsid w:val="00546F3A"/>
    <w:rsid w:val="005475C6"/>
    <w:rsid w:val="00550C61"/>
    <w:rsid w:val="00552FBA"/>
    <w:rsid w:val="00554D9D"/>
    <w:rsid w:val="00555A82"/>
    <w:rsid w:val="00556C52"/>
    <w:rsid w:val="0056008C"/>
    <w:rsid w:val="0056245F"/>
    <w:rsid w:val="00562C2E"/>
    <w:rsid w:val="00563F14"/>
    <w:rsid w:val="00570A8A"/>
    <w:rsid w:val="005713D5"/>
    <w:rsid w:val="00571BE1"/>
    <w:rsid w:val="0057268E"/>
    <w:rsid w:val="005806C7"/>
    <w:rsid w:val="00582CA5"/>
    <w:rsid w:val="0058473A"/>
    <w:rsid w:val="005852AF"/>
    <w:rsid w:val="005921D2"/>
    <w:rsid w:val="005A1737"/>
    <w:rsid w:val="005A1914"/>
    <w:rsid w:val="005A1D6F"/>
    <w:rsid w:val="005A378B"/>
    <w:rsid w:val="005A3804"/>
    <w:rsid w:val="005A40B3"/>
    <w:rsid w:val="005B1361"/>
    <w:rsid w:val="005B177D"/>
    <w:rsid w:val="005B3B4A"/>
    <w:rsid w:val="005B4C4C"/>
    <w:rsid w:val="005B7966"/>
    <w:rsid w:val="005C0341"/>
    <w:rsid w:val="005C3CDD"/>
    <w:rsid w:val="005C52CA"/>
    <w:rsid w:val="005C5BAA"/>
    <w:rsid w:val="005D2B33"/>
    <w:rsid w:val="005D4B36"/>
    <w:rsid w:val="005D54FD"/>
    <w:rsid w:val="005D5B37"/>
    <w:rsid w:val="005D6D35"/>
    <w:rsid w:val="005E1062"/>
    <w:rsid w:val="005E12BD"/>
    <w:rsid w:val="005E305E"/>
    <w:rsid w:val="005E4A88"/>
    <w:rsid w:val="005E51BD"/>
    <w:rsid w:val="005E53A4"/>
    <w:rsid w:val="005E60BC"/>
    <w:rsid w:val="005F1F63"/>
    <w:rsid w:val="005F324D"/>
    <w:rsid w:val="005F4C0F"/>
    <w:rsid w:val="005F7930"/>
    <w:rsid w:val="005F7CE5"/>
    <w:rsid w:val="006011F9"/>
    <w:rsid w:val="006014EE"/>
    <w:rsid w:val="006016B0"/>
    <w:rsid w:val="00602247"/>
    <w:rsid w:val="006029C9"/>
    <w:rsid w:val="006054AE"/>
    <w:rsid w:val="00606661"/>
    <w:rsid w:val="00612A91"/>
    <w:rsid w:val="00615BD4"/>
    <w:rsid w:val="006176D9"/>
    <w:rsid w:val="0062063C"/>
    <w:rsid w:val="00621EEA"/>
    <w:rsid w:val="00622049"/>
    <w:rsid w:val="00625EAC"/>
    <w:rsid w:val="00625F7B"/>
    <w:rsid w:val="006267AC"/>
    <w:rsid w:val="00630C8F"/>
    <w:rsid w:val="0063126C"/>
    <w:rsid w:val="006321D9"/>
    <w:rsid w:val="00635ACD"/>
    <w:rsid w:val="006369DB"/>
    <w:rsid w:val="00645F9B"/>
    <w:rsid w:val="006462F4"/>
    <w:rsid w:val="00647924"/>
    <w:rsid w:val="00647EFF"/>
    <w:rsid w:val="00653828"/>
    <w:rsid w:val="00653EEF"/>
    <w:rsid w:val="00656DB1"/>
    <w:rsid w:val="0065706C"/>
    <w:rsid w:val="006570F3"/>
    <w:rsid w:val="006574CA"/>
    <w:rsid w:val="00662F85"/>
    <w:rsid w:val="00663087"/>
    <w:rsid w:val="00665814"/>
    <w:rsid w:val="006658F7"/>
    <w:rsid w:val="00667926"/>
    <w:rsid w:val="006723DE"/>
    <w:rsid w:val="00672A07"/>
    <w:rsid w:val="00672A3D"/>
    <w:rsid w:val="00673C56"/>
    <w:rsid w:val="00684218"/>
    <w:rsid w:val="00684A17"/>
    <w:rsid w:val="0068548A"/>
    <w:rsid w:val="006863E6"/>
    <w:rsid w:val="00686ACA"/>
    <w:rsid w:val="006904AF"/>
    <w:rsid w:val="00693194"/>
    <w:rsid w:val="00695821"/>
    <w:rsid w:val="0069607D"/>
    <w:rsid w:val="006960C5"/>
    <w:rsid w:val="006A05F8"/>
    <w:rsid w:val="006A0897"/>
    <w:rsid w:val="006A4246"/>
    <w:rsid w:val="006A56B9"/>
    <w:rsid w:val="006A64EB"/>
    <w:rsid w:val="006A7FD4"/>
    <w:rsid w:val="006B0E91"/>
    <w:rsid w:val="006B1891"/>
    <w:rsid w:val="006B37AE"/>
    <w:rsid w:val="006B38B5"/>
    <w:rsid w:val="006B3C07"/>
    <w:rsid w:val="006B7254"/>
    <w:rsid w:val="006B73B9"/>
    <w:rsid w:val="006C415F"/>
    <w:rsid w:val="006C4B81"/>
    <w:rsid w:val="006C517C"/>
    <w:rsid w:val="006C5CAA"/>
    <w:rsid w:val="006C7F43"/>
    <w:rsid w:val="006D09AC"/>
    <w:rsid w:val="006D16F3"/>
    <w:rsid w:val="006D49E3"/>
    <w:rsid w:val="006D4C2C"/>
    <w:rsid w:val="006E019F"/>
    <w:rsid w:val="006E33F6"/>
    <w:rsid w:val="006E3E50"/>
    <w:rsid w:val="006E402A"/>
    <w:rsid w:val="006E525F"/>
    <w:rsid w:val="006E57A7"/>
    <w:rsid w:val="006E74F5"/>
    <w:rsid w:val="006E7DCA"/>
    <w:rsid w:val="006F1B26"/>
    <w:rsid w:val="006F2035"/>
    <w:rsid w:val="006F24C5"/>
    <w:rsid w:val="006F28EE"/>
    <w:rsid w:val="006F42C2"/>
    <w:rsid w:val="006F602A"/>
    <w:rsid w:val="006F671D"/>
    <w:rsid w:val="006F7412"/>
    <w:rsid w:val="007034E2"/>
    <w:rsid w:val="00704E65"/>
    <w:rsid w:val="0071025E"/>
    <w:rsid w:val="007105A5"/>
    <w:rsid w:val="00710B8D"/>
    <w:rsid w:val="00713024"/>
    <w:rsid w:val="00714A4F"/>
    <w:rsid w:val="00715D6B"/>
    <w:rsid w:val="00715EF6"/>
    <w:rsid w:val="00717CC2"/>
    <w:rsid w:val="007212F0"/>
    <w:rsid w:val="00722EC6"/>
    <w:rsid w:val="00723FF6"/>
    <w:rsid w:val="0072460B"/>
    <w:rsid w:val="007269B1"/>
    <w:rsid w:val="0072706A"/>
    <w:rsid w:val="0072710E"/>
    <w:rsid w:val="00727776"/>
    <w:rsid w:val="00730DF7"/>
    <w:rsid w:val="007331F6"/>
    <w:rsid w:val="0073362F"/>
    <w:rsid w:val="00733A3E"/>
    <w:rsid w:val="00740605"/>
    <w:rsid w:val="007407AF"/>
    <w:rsid w:val="00747B97"/>
    <w:rsid w:val="00747DD4"/>
    <w:rsid w:val="00751820"/>
    <w:rsid w:val="00751B7E"/>
    <w:rsid w:val="00752AB2"/>
    <w:rsid w:val="00754193"/>
    <w:rsid w:val="007556C8"/>
    <w:rsid w:val="00756FA1"/>
    <w:rsid w:val="00763FD6"/>
    <w:rsid w:val="0076431D"/>
    <w:rsid w:val="00766DE9"/>
    <w:rsid w:val="007678A5"/>
    <w:rsid w:val="007679B3"/>
    <w:rsid w:val="00770841"/>
    <w:rsid w:val="00771308"/>
    <w:rsid w:val="00771F67"/>
    <w:rsid w:val="0077418F"/>
    <w:rsid w:val="00774C01"/>
    <w:rsid w:val="00780078"/>
    <w:rsid w:val="00781B6F"/>
    <w:rsid w:val="007823C9"/>
    <w:rsid w:val="007825A8"/>
    <w:rsid w:val="007835B7"/>
    <w:rsid w:val="00784CDB"/>
    <w:rsid w:val="007863E1"/>
    <w:rsid w:val="007910D3"/>
    <w:rsid w:val="0079336E"/>
    <w:rsid w:val="00796263"/>
    <w:rsid w:val="007A5BD0"/>
    <w:rsid w:val="007B41D1"/>
    <w:rsid w:val="007B4B46"/>
    <w:rsid w:val="007B5D01"/>
    <w:rsid w:val="007B5E5F"/>
    <w:rsid w:val="007B6CA0"/>
    <w:rsid w:val="007B6F71"/>
    <w:rsid w:val="007C01DE"/>
    <w:rsid w:val="007C06F8"/>
    <w:rsid w:val="007C27E5"/>
    <w:rsid w:val="007C2E24"/>
    <w:rsid w:val="007C3F78"/>
    <w:rsid w:val="007C4B09"/>
    <w:rsid w:val="007C6167"/>
    <w:rsid w:val="007C6EB8"/>
    <w:rsid w:val="007C7809"/>
    <w:rsid w:val="007C7BAC"/>
    <w:rsid w:val="007D13B9"/>
    <w:rsid w:val="007D45F8"/>
    <w:rsid w:val="007D71F7"/>
    <w:rsid w:val="007E024C"/>
    <w:rsid w:val="007E160E"/>
    <w:rsid w:val="007E1BDD"/>
    <w:rsid w:val="007E437B"/>
    <w:rsid w:val="007E700C"/>
    <w:rsid w:val="007E7388"/>
    <w:rsid w:val="007F0429"/>
    <w:rsid w:val="007F1BAF"/>
    <w:rsid w:val="007F1F1C"/>
    <w:rsid w:val="007F2277"/>
    <w:rsid w:val="007F2CE5"/>
    <w:rsid w:val="007F433C"/>
    <w:rsid w:val="007F554A"/>
    <w:rsid w:val="007F5C8A"/>
    <w:rsid w:val="008004B0"/>
    <w:rsid w:val="00803782"/>
    <w:rsid w:val="008045D9"/>
    <w:rsid w:val="0080702C"/>
    <w:rsid w:val="00812094"/>
    <w:rsid w:val="0081333B"/>
    <w:rsid w:val="008140D7"/>
    <w:rsid w:val="00815D49"/>
    <w:rsid w:val="00821DF6"/>
    <w:rsid w:val="00823CCC"/>
    <w:rsid w:val="00827179"/>
    <w:rsid w:val="0083029A"/>
    <w:rsid w:val="00830426"/>
    <w:rsid w:val="00830E02"/>
    <w:rsid w:val="00831C83"/>
    <w:rsid w:val="00831E0A"/>
    <w:rsid w:val="008343C4"/>
    <w:rsid w:val="00835847"/>
    <w:rsid w:val="00835C6F"/>
    <w:rsid w:val="00837429"/>
    <w:rsid w:val="0083745B"/>
    <w:rsid w:val="00840252"/>
    <w:rsid w:val="00840420"/>
    <w:rsid w:val="0084102C"/>
    <w:rsid w:val="00842DE3"/>
    <w:rsid w:val="008433FA"/>
    <w:rsid w:val="00844F5E"/>
    <w:rsid w:val="00846701"/>
    <w:rsid w:val="0084727D"/>
    <w:rsid w:val="0085232F"/>
    <w:rsid w:val="00854E2A"/>
    <w:rsid w:val="008550CD"/>
    <w:rsid w:val="00857E3A"/>
    <w:rsid w:val="00861135"/>
    <w:rsid w:val="008633BD"/>
    <w:rsid w:val="00864495"/>
    <w:rsid w:val="00867059"/>
    <w:rsid w:val="00867A5A"/>
    <w:rsid w:val="008711B1"/>
    <w:rsid w:val="00871FBA"/>
    <w:rsid w:val="00872119"/>
    <w:rsid w:val="008722FB"/>
    <w:rsid w:val="00876B51"/>
    <w:rsid w:val="00877EA2"/>
    <w:rsid w:val="008808CA"/>
    <w:rsid w:val="00887D93"/>
    <w:rsid w:val="00890601"/>
    <w:rsid w:val="00890D7D"/>
    <w:rsid w:val="008931DE"/>
    <w:rsid w:val="008933C7"/>
    <w:rsid w:val="00894216"/>
    <w:rsid w:val="008959F9"/>
    <w:rsid w:val="00896786"/>
    <w:rsid w:val="00897413"/>
    <w:rsid w:val="00897C7E"/>
    <w:rsid w:val="008A118C"/>
    <w:rsid w:val="008A46DC"/>
    <w:rsid w:val="008A4BF4"/>
    <w:rsid w:val="008A510D"/>
    <w:rsid w:val="008A5EDE"/>
    <w:rsid w:val="008A7A4E"/>
    <w:rsid w:val="008B0AFF"/>
    <w:rsid w:val="008B2FA8"/>
    <w:rsid w:val="008B3253"/>
    <w:rsid w:val="008C020E"/>
    <w:rsid w:val="008C2E02"/>
    <w:rsid w:val="008C2F9E"/>
    <w:rsid w:val="008C5FE0"/>
    <w:rsid w:val="008D03EA"/>
    <w:rsid w:val="008D16BD"/>
    <w:rsid w:val="008D2E91"/>
    <w:rsid w:val="008D58E2"/>
    <w:rsid w:val="008D6283"/>
    <w:rsid w:val="008D7FB0"/>
    <w:rsid w:val="008E050B"/>
    <w:rsid w:val="008E0C7A"/>
    <w:rsid w:val="008E1010"/>
    <w:rsid w:val="008E2C2E"/>
    <w:rsid w:val="008E388A"/>
    <w:rsid w:val="008E6FF1"/>
    <w:rsid w:val="008E72A8"/>
    <w:rsid w:val="008F0627"/>
    <w:rsid w:val="008F0D78"/>
    <w:rsid w:val="008F2498"/>
    <w:rsid w:val="008F41FB"/>
    <w:rsid w:val="008F4B49"/>
    <w:rsid w:val="008F54F6"/>
    <w:rsid w:val="008F5C9B"/>
    <w:rsid w:val="009039C8"/>
    <w:rsid w:val="00905B77"/>
    <w:rsid w:val="00906FD6"/>
    <w:rsid w:val="009079D0"/>
    <w:rsid w:val="009104AA"/>
    <w:rsid w:val="009127EC"/>
    <w:rsid w:val="00914466"/>
    <w:rsid w:val="00914D04"/>
    <w:rsid w:val="00915D8A"/>
    <w:rsid w:val="00917746"/>
    <w:rsid w:val="009209A5"/>
    <w:rsid w:val="00920F98"/>
    <w:rsid w:val="00922448"/>
    <w:rsid w:val="009228BB"/>
    <w:rsid w:val="00922FDA"/>
    <w:rsid w:val="009244DF"/>
    <w:rsid w:val="00927EF6"/>
    <w:rsid w:val="00930D45"/>
    <w:rsid w:val="00933885"/>
    <w:rsid w:val="00936E93"/>
    <w:rsid w:val="00937FDA"/>
    <w:rsid w:val="00941F09"/>
    <w:rsid w:val="00943719"/>
    <w:rsid w:val="00944948"/>
    <w:rsid w:val="00947632"/>
    <w:rsid w:val="0094786C"/>
    <w:rsid w:val="00947B9F"/>
    <w:rsid w:val="00947FB4"/>
    <w:rsid w:val="00952D2F"/>
    <w:rsid w:val="00952D60"/>
    <w:rsid w:val="00952E44"/>
    <w:rsid w:val="00953E07"/>
    <w:rsid w:val="00955447"/>
    <w:rsid w:val="00955A17"/>
    <w:rsid w:val="00956A67"/>
    <w:rsid w:val="00957C50"/>
    <w:rsid w:val="00960E12"/>
    <w:rsid w:val="0096331F"/>
    <w:rsid w:val="00963914"/>
    <w:rsid w:val="00963A90"/>
    <w:rsid w:val="00965440"/>
    <w:rsid w:val="009729D8"/>
    <w:rsid w:val="00973461"/>
    <w:rsid w:val="009740B0"/>
    <w:rsid w:val="0097453F"/>
    <w:rsid w:val="00974577"/>
    <w:rsid w:val="00975045"/>
    <w:rsid w:val="00976670"/>
    <w:rsid w:val="00976BC3"/>
    <w:rsid w:val="00976E64"/>
    <w:rsid w:val="009771EF"/>
    <w:rsid w:val="00977929"/>
    <w:rsid w:val="00980E76"/>
    <w:rsid w:val="0098426D"/>
    <w:rsid w:val="00993B1F"/>
    <w:rsid w:val="0099428D"/>
    <w:rsid w:val="009952C0"/>
    <w:rsid w:val="00995932"/>
    <w:rsid w:val="00996D49"/>
    <w:rsid w:val="009A0FAF"/>
    <w:rsid w:val="009A1C77"/>
    <w:rsid w:val="009A51E6"/>
    <w:rsid w:val="009A5BC5"/>
    <w:rsid w:val="009A61AA"/>
    <w:rsid w:val="009A747C"/>
    <w:rsid w:val="009A7DAC"/>
    <w:rsid w:val="009B1804"/>
    <w:rsid w:val="009B2B6E"/>
    <w:rsid w:val="009B7D7E"/>
    <w:rsid w:val="009C10F7"/>
    <w:rsid w:val="009C11B1"/>
    <w:rsid w:val="009C1722"/>
    <w:rsid w:val="009C1BE0"/>
    <w:rsid w:val="009C2A36"/>
    <w:rsid w:val="009C6235"/>
    <w:rsid w:val="009C6E76"/>
    <w:rsid w:val="009D3E29"/>
    <w:rsid w:val="009D3E42"/>
    <w:rsid w:val="009D5602"/>
    <w:rsid w:val="009D682E"/>
    <w:rsid w:val="009E5844"/>
    <w:rsid w:val="009E7C9A"/>
    <w:rsid w:val="009F2B85"/>
    <w:rsid w:val="009F4C6D"/>
    <w:rsid w:val="00A01D25"/>
    <w:rsid w:val="00A0528A"/>
    <w:rsid w:val="00A0624A"/>
    <w:rsid w:val="00A06830"/>
    <w:rsid w:val="00A10533"/>
    <w:rsid w:val="00A12892"/>
    <w:rsid w:val="00A149DF"/>
    <w:rsid w:val="00A1634D"/>
    <w:rsid w:val="00A1707B"/>
    <w:rsid w:val="00A200BD"/>
    <w:rsid w:val="00A23E0E"/>
    <w:rsid w:val="00A26922"/>
    <w:rsid w:val="00A3095D"/>
    <w:rsid w:val="00A30BA2"/>
    <w:rsid w:val="00A32694"/>
    <w:rsid w:val="00A33A18"/>
    <w:rsid w:val="00A350BE"/>
    <w:rsid w:val="00A35C8A"/>
    <w:rsid w:val="00A4149B"/>
    <w:rsid w:val="00A51ECF"/>
    <w:rsid w:val="00A5335D"/>
    <w:rsid w:val="00A5435C"/>
    <w:rsid w:val="00A561BA"/>
    <w:rsid w:val="00A56524"/>
    <w:rsid w:val="00A5794D"/>
    <w:rsid w:val="00A610B8"/>
    <w:rsid w:val="00A61208"/>
    <w:rsid w:val="00A62660"/>
    <w:rsid w:val="00A64D6A"/>
    <w:rsid w:val="00A66A0F"/>
    <w:rsid w:val="00A67FB0"/>
    <w:rsid w:val="00A700BE"/>
    <w:rsid w:val="00A7038D"/>
    <w:rsid w:val="00A73440"/>
    <w:rsid w:val="00A74945"/>
    <w:rsid w:val="00A755F2"/>
    <w:rsid w:val="00A75908"/>
    <w:rsid w:val="00A75D01"/>
    <w:rsid w:val="00A76B01"/>
    <w:rsid w:val="00A813D7"/>
    <w:rsid w:val="00A83BB1"/>
    <w:rsid w:val="00A8704A"/>
    <w:rsid w:val="00A87807"/>
    <w:rsid w:val="00A90332"/>
    <w:rsid w:val="00A9272D"/>
    <w:rsid w:val="00A94426"/>
    <w:rsid w:val="00A9734B"/>
    <w:rsid w:val="00A97D26"/>
    <w:rsid w:val="00AA06C5"/>
    <w:rsid w:val="00AA1669"/>
    <w:rsid w:val="00AA3A8E"/>
    <w:rsid w:val="00AA5BB8"/>
    <w:rsid w:val="00AA5D50"/>
    <w:rsid w:val="00AA6487"/>
    <w:rsid w:val="00AB001E"/>
    <w:rsid w:val="00AB2D04"/>
    <w:rsid w:val="00AB318B"/>
    <w:rsid w:val="00AB7D6A"/>
    <w:rsid w:val="00AC3A3F"/>
    <w:rsid w:val="00AC4817"/>
    <w:rsid w:val="00AC5FE9"/>
    <w:rsid w:val="00AD1335"/>
    <w:rsid w:val="00AD190D"/>
    <w:rsid w:val="00AD2DAB"/>
    <w:rsid w:val="00AD2E60"/>
    <w:rsid w:val="00AE0CFD"/>
    <w:rsid w:val="00AE0EBA"/>
    <w:rsid w:val="00AE1BBB"/>
    <w:rsid w:val="00AE2F4C"/>
    <w:rsid w:val="00AE3B4A"/>
    <w:rsid w:val="00AE4A87"/>
    <w:rsid w:val="00AE5C17"/>
    <w:rsid w:val="00AE6D39"/>
    <w:rsid w:val="00AE749B"/>
    <w:rsid w:val="00AE789E"/>
    <w:rsid w:val="00AF0629"/>
    <w:rsid w:val="00AF1BF1"/>
    <w:rsid w:val="00AF32B8"/>
    <w:rsid w:val="00AF3CB3"/>
    <w:rsid w:val="00AF459B"/>
    <w:rsid w:val="00AF5337"/>
    <w:rsid w:val="00AF53C2"/>
    <w:rsid w:val="00AF71F6"/>
    <w:rsid w:val="00AF7C60"/>
    <w:rsid w:val="00B005C5"/>
    <w:rsid w:val="00B02305"/>
    <w:rsid w:val="00B02E23"/>
    <w:rsid w:val="00B1175D"/>
    <w:rsid w:val="00B1220D"/>
    <w:rsid w:val="00B12731"/>
    <w:rsid w:val="00B12AA5"/>
    <w:rsid w:val="00B13C18"/>
    <w:rsid w:val="00B14DF1"/>
    <w:rsid w:val="00B153B3"/>
    <w:rsid w:val="00B17CBB"/>
    <w:rsid w:val="00B20BBF"/>
    <w:rsid w:val="00B217CC"/>
    <w:rsid w:val="00B25447"/>
    <w:rsid w:val="00B25460"/>
    <w:rsid w:val="00B271C9"/>
    <w:rsid w:val="00B2792C"/>
    <w:rsid w:val="00B328AB"/>
    <w:rsid w:val="00B32F09"/>
    <w:rsid w:val="00B33D96"/>
    <w:rsid w:val="00B33E36"/>
    <w:rsid w:val="00B34862"/>
    <w:rsid w:val="00B34F0E"/>
    <w:rsid w:val="00B35F5F"/>
    <w:rsid w:val="00B36F78"/>
    <w:rsid w:val="00B3755E"/>
    <w:rsid w:val="00B404A6"/>
    <w:rsid w:val="00B40A63"/>
    <w:rsid w:val="00B45C45"/>
    <w:rsid w:val="00B53460"/>
    <w:rsid w:val="00B56FB7"/>
    <w:rsid w:val="00B577A6"/>
    <w:rsid w:val="00B61E09"/>
    <w:rsid w:val="00B6274D"/>
    <w:rsid w:val="00B62B63"/>
    <w:rsid w:val="00B64D41"/>
    <w:rsid w:val="00B66CB3"/>
    <w:rsid w:val="00B66D6E"/>
    <w:rsid w:val="00B706C6"/>
    <w:rsid w:val="00B72434"/>
    <w:rsid w:val="00B739CF"/>
    <w:rsid w:val="00B7475F"/>
    <w:rsid w:val="00B76F8C"/>
    <w:rsid w:val="00B774B5"/>
    <w:rsid w:val="00B80B07"/>
    <w:rsid w:val="00B8178C"/>
    <w:rsid w:val="00B81BF0"/>
    <w:rsid w:val="00B82E33"/>
    <w:rsid w:val="00B82ECB"/>
    <w:rsid w:val="00B8310B"/>
    <w:rsid w:val="00B83C8B"/>
    <w:rsid w:val="00B85BAF"/>
    <w:rsid w:val="00B8624F"/>
    <w:rsid w:val="00B90874"/>
    <w:rsid w:val="00B90BFA"/>
    <w:rsid w:val="00B93044"/>
    <w:rsid w:val="00B931B0"/>
    <w:rsid w:val="00B939B7"/>
    <w:rsid w:val="00B95599"/>
    <w:rsid w:val="00B95E2C"/>
    <w:rsid w:val="00BA129B"/>
    <w:rsid w:val="00BA2C17"/>
    <w:rsid w:val="00BA40F3"/>
    <w:rsid w:val="00BA4D22"/>
    <w:rsid w:val="00BA5882"/>
    <w:rsid w:val="00BA5957"/>
    <w:rsid w:val="00BA5F6B"/>
    <w:rsid w:val="00BA6BD0"/>
    <w:rsid w:val="00BB048C"/>
    <w:rsid w:val="00BB0589"/>
    <w:rsid w:val="00BB1977"/>
    <w:rsid w:val="00BB1AF8"/>
    <w:rsid w:val="00BB2E2A"/>
    <w:rsid w:val="00BB2FD8"/>
    <w:rsid w:val="00BC21CA"/>
    <w:rsid w:val="00BC223D"/>
    <w:rsid w:val="00BC3515"/>
    <w:rsid w:val="00BC3923"/>
    <w:rsid w:val="00BC59C2"/>
    <w:rsid w:val="00BD02CC"/>
    <w:rsid w:val="00BD22C7"/>
    <w:rsid w:val="00BD277B"/>
    <w:rsid w:val="00BD530D"/>
    <w:rsid w:val="00BE205B"/>
    <w:rsid w:val="00BE264E"/>
    <w:rsid w:val="00BE279F"/>
    <w:rsid w:val="00BE4E80"/>
    <w:rsid w:val="00BE68B4"/>
    <w:rsid w:val="00BE7C07"/>
    <w:rsid w:val="00BF11F5"/>
    <w:rsid w:val="00BF693C"/>
    <w:rsid w:val="00C029B6"/>
    <w:rsid w:val="00C03B0F"/>
    <w:rsid w:val="00C03E68"/>
    <w:rsid w:val="00C109AE"/>
    <w:rsid w:val="00C124B7"/>
    <w:rsid w:val="00C13FBE"/>
    <w:rsid w:val="00C16AB3"/>
    <w:rsid w:val="00C17224"/>
    <w:rsid w:val="00C174DC"/>
    <w:rsid w:val="00C17685"/>
    <w:rsid w:val="00C202DA"/>
    <w:rsid w:val="00C20CBD"/>
    <w:rsid w:val="00C223A5"/>
    <w:rsid w:val="00C22456"/>
    <w:rsid w:val="00C23A93"/>
    <w:rsid w:val="00C23BCF"/>
    <w:rsid w:val="00C2648A"/>
    <w:rsid w:val="00C2711D"/>
    <w:rsid w:val="00C275B4"/>
    <w:rsid w:val="00C310A0"/>
    <w:rsid w:val="00C32DF0"/>
    <w:rsid w:val="00C351DB"/>
    <w:rsid w:val="00C36A88"/>
    <w:rsid w:val="00C4070B"/>
    <w:rsid w:val="00C417E0"/>
    <w:rsid w:val="00C44141"/>
    <w:rsid w:val="00C53EEF"/>
    <w:rsid w:val="00C55A01"/>
    <w:rsid w:val="00C56A39"/>
    <w:rsid w:val="00C56FA8"/>
    <w:rsid w:val="00C57DD6"/>
    <w:rsid w:val="00C61F76"/>
    <w:rsid w:val="00C62A8F"/>
    <w:rsid w:val="00C630BE"/>
    <w:rsid w:val="00C634E0"/>
    <w:rsid w:val="00C6410A"/>
    <w:rsid w:val="00C64870"/>
    <w:rsid w:val="00C671BC"/>
    <w:rsid w:val="00C6762B"/>
    <w:rsid w:val="00C70919"/>
    <w:rsid w:val="00C72E3E"/>
    <w:rsid w:val="00C759E4"/>
    <w:rsid w:val="00C75BEC"/>
    <w:rsid w:val="00C7681C"/>
    <w:rsid w:val="00C80D96"/>
    <w:rsid w:val="00C83560"/>
    <w:rsid w:val="00C836E3"/>
    <w:rsid w:val="00C83A19"/>
    <w:rsid w:val="00C851F6"/>
    <w:rsid w:val="00C8527E"/>
    <w:rsid w:val="00C855D2"/>
    <w:rsid w:val="00C85E96"/>
    <w:rsid w:val="00C86FBD"/>
    <w:rsid w:val="00C9128F"/>
    <w:rsid w:val="00C91666"/>
    <w:rsid w:val="00C9219D"/>
    <w:rsid w:val="00C923D5"/>
    <w:rsid w:val="00C931C7"/>
    <w:rsid w:val="00C94E84"/>
    <w:rsid w:val="00CA18FB"/>
    <w:rsid w:val="00CA1BD1"/>
    <w:rsid w:val="00CA1CEF"/>
    <w:rsid w:val="00CA6167"/>
    <w:rsid w:val="00CA6919"/>
    <w:rsid w:val="00CA7190"/>
    <w:rsid w:val="00CB030A"/>
    <w:rsid w:val="00CB125C"/>
    <w:rsid w:val="00CB455B"/>
    <w:rsid w:val="00CB4D87"/>
    <w:rsid w:val="00CC1BA2"/>
    <w:rsid w:val="00CC24F0"/>
    <w:rsid w:val="00CC4E6E"/>
    <w:rsid w:val="00CC6E0A"/>
    <w:rsid w:val="00CC7617"/>
    <w:rsid w:val="00CC7935"/>
    <w:rsid w:val="00CD009D"/>
    <w:rsid w:val="00CD0EED"/>
    <w:rsid w:val="00CD17D1"/>
    <w:rsid w:val="00CD66B7"/>
    <w:rsid w:val="00CD66FB"/>
    <w:rsid w:val="00CD67D5"/>
    <w:rsid w:val="00CE0A68"/>
    <w:rsid w:val="00CE52FE"/>
    <w:rsid w:val="00CE63CA"/>
    <w:rsid w:val="00CE6D2A"/>
    <w:rsid w:val="00CE70E4"/>
    <w:rsid w:val="00CF0889"/>
    <w:rsid w:val="00CF2156"/>
    <w:rsid w:val="00CF2AC8"/>
    <w:rsid w:val="00CF3102"/>
    <w:rsid w:val="00CF37BC"/>
    <w:rsid w:val="00CF41C5"/>
    <w:rsid w:val="00CF4D7B"/>
    <w:rsid w:val="00CF5F8F"/>
    <w:rsid w:val="00CF6914"/>
    <w:rsid w:val="00CF7F24"/>
    <w:rsid w:val="00CF7F30"/>
    <w:rsid w:val="00D003AF"/>
    <w:rsid w:val="00D049C3"/>
    <w:rsid w:val="00D056C1"/>
    <w:rsid w:val="00D07715"/>
    <w:rsid w:val="00D106FE"/>
    <w:rsid w:val="00D118EE"/>
    <w:rsid w:val="00D125E8"/>
    <w:rsid w:val="00D12D3B"/>
    <w:rsid w:val="00D1447F"/>
    <w:rsid w:val="00D148D9"/>
    <w:rsid w:val="00D151D4"/>
    <w:rsid w:val="00D15FDA"/>
    <w:rsid w:val="00D161B7"/>
    <w:rsid w:val="00D165E0"/>
    <w:rsid w:val="00D165ED"/>
    <w:rsid w:val="00D20334"/>
    <w:rsid w:val="00D21ED8"/>
    <w:rsid w:val="00D22A32"/>
    <w:rsid w:val="00D23012"/>
    <w:rsid w:val="00D233FB"/>
    <w:rsid w:val="00D26AC6"/>
    <w:rsid w:val="00D26EC1"/>
    <w:rsid w:val="00D2709A"/>
    <w:rsid w:val="00D30569"/>
    <w:rsid w:val="00D3114F"/>
    <w:rsid w:val="00D31F30"/>
    <w:rsid w:val="00D31F45"/>
    <w:rsid w:val="00D33287"/>
    <w:rsid w:val="00D335BB"/>
    <w:rsid w:val="00D34B05"/>
    <w:rsid w:val="00D37504"/>
    <w:rsid w:val="00D37996"/>
    <w:rsid w:val="00D42BF2"/>
    <w:rsid w:val="00D4725F"/>
    <w:rsid w:val="00D4756D"/>
    <w:rsid w:val="00D476C1"/>
    <w:rsid w:val="00D51660"/>
    <w:rsid w:val="00D54091"/>
    <w:rsid w:val="00D54B9A"/>
    <w:rsid w:val="00D54F2F"/>
    <w:rsid w:val="00D557F5"/>
    <w:rsid w:val="00D61100"/>
    <w:rsid w:val="00D61C45"/>
    <w:rsid w:val="00D62AEF"/>
    <w:rsid w:val="00D62CE1"/>
    <w:rsid w:val="00D6327D"/>
    <w:rsid w:val="00D64DD6"/>
    <w:rsid w:val="00D6587C"/>
    <w:rsid w:val="00D72C4E"/>
    <w:rsid w:val="00D74B15"/>
    <w:rsid w:val="00D756CA"/>
    <w:rsid w:val="00D77713"/>
    <w:rsid w:val="00D7798A"/>
    <w:rsid w:val="00D8307B"/>
    <w:rsid w:val="00D836F7"/>
    <w:rsid w:val="00D84509"/>
    <w:rsid w:val="00D84645"/>
    <w:rsid w:val="00D84EFB"/>
    <w:rsid w:val="00D85D38"/>
    <w:rsid w:val="00D864F8"/>
    <w:rsid w:val="00D879A3"/>
    <w:rsid w:val="00D9074B"/>
    <w:rsid w:val="00D93123"/>
    <w:rsid w:val="00D93A8E"/>
    <w:rsid w:val="00D945BD"/>
    <w:rsid w:val="00DA533C"/>
    <w:rsid w:val="00DA5B6B"/>
    <w:rsid w:val="00DA700C"/>
    <w:rsid w:val="00DB2147"/>
    <w:rsid w:val="00DB2EF0"/>
    <w:rsid w:val="00DB4640"/>
    <w:rsid w:val="00DB72D0"/>
    <w:rsid w:val="00DC44F4"/>
    <w:rsid w:val="00DD027E"/>
    <w:rsid w:val="00DD0447"/>
    <w:rsid w:val="00DD27D9"/>
    <w:rsid w:val="00DE2783"/>
    <w:rsid w:val="00DE27B8"/>
    <w:rsid w:val="00DE3D55"/>
    <w:rsid w:val="00DE454A"/>
    <w:rsid w:val="00DE70C6"/>
    <w:rsid w:val="00DF0C56"/>
    <w:rsid w:val="00DF0DB1"/>
    <w:rsid w:val="00DF1FFC"/>
    <w:rsid w:val="00DF21A8"/>
    <w:rsid w:val="00DF3A84"/>
    <w:rsid w:val="00E0061F"/>
    <w:rsid w:val="00E01663"/>
    <w:rsid w:val="00E07277"/>
    <w:rsid w:val="00E074CD"/>
    <w:rsid w:val="00E07A39"/>
    <w:rsid w:val="00E104EF"/>
    <w:rsid w:val="00E125CB"/>
    <w:rsid w:val="00E13EDF"/>
    <w:rsid w:val="00E146EE"/>
    <w:rsid w:val="00E14A44"/>
    <w:rsid w:val="00E15373"/>
    <w:rsid w:val="00E165C9"/>
    <w:rsid w:val="00E17165"/>
    <w:rsid w:val="00E202E6"/>
    <w:rsid w:val="00E21B3E"/>
    <w:rsid w:val="00E21F7E"/>
    <w:rsid w:val="00E224C3"/>
    <w:rsid w:val="00E25D87"/>
    <w:rsid w:val="00E300EC"/>
    <w:rsid w:val="00E31E46"/>
    <w:rsid w:val="00E34AE2"/>
    <w:rsid w:val="00E35D13"/>
    <w:rsid w:val="00E37601"/>
    <w:rsid w:val="00E42235"/>
    <w:rsid w:val="00E43B3E"/>
    <w:rsid w:val="00E443BA"/>
    <w:rsid w:val="00E45FB7"/>
    <w:rsid w:val="00E470CE"/>
    <w:rsid w:val="00E47E41"/>
    <w:rsid w:val="00E50F94"/>
    <w:rsid w:val="00E528C9"/>
    <w:rsid w:val="00E52BC5"/>
    <w:rsid w:val="00E5462E"/>
    <w:rsid w:val="00E579CE"/>
    <w:rsid w:val="00E65605"/>
    <w:rsid w:val="00E65AFF"/>
    <w:rsid w:val="00E67411"/>
    <w:rsid w:val="00E6767D"/>
    <w:rsid w:val="00E7411A"/>
    <w:rsid w:val="00E775C6"/>
    <w:rsid w:val="00E77A83"/>
    <w:rsid w:val="00E83219"/>
    <w:rsid w:val="00E85972"/>
    <w:rsid w:val="00E85B6F"/>
    <w:rsid w:val="00E868F9"/>
    <w:rsid w:val="00E90E9C"/>
    <w:rsid w:val="00E91F67"/>
    <w:rsid w:val="00E93A6E"/>
    <w:rsid w:val="00E93D9F"/>
    <w:rsid w:val="00E93E89"/>
    <w:rsid w:val="00E9512C"/>
    <w:rsid w:val="00EA0077"/>
    <w:rsid w:val="00EA0E38"/>
    <w:rsid w:val="00EA1872"/>
    <w:rsid w:val="00EA604E"/>
    <w:rsid w:val="00EA6140"/>
    <w:rsid w:val="00EA6536"/>
    <w:rsid w:val="00EA6803"/>
    <w:rsid w:val="00EA7167"/>
    <w:rsid w:val="00EB34AD"/>
    <w:rsid w:val="00EB39F8"/>
    <w:rsid w:val="00EB3AE8"/>
    <w:rsid w:val="00EB5C52"/>
    <w:rsid w:val="00EB6196"/>
    <w:rsid w:val="00EB67F0"/>
    <w:rsid w:val="00EB6B0C"/>
    <w:rsid w:val="00EB6F46"/>
    <w:rsid w:val="00EC058C"/>
    <w:rsid w:val="00EC1BDE"/>
    <w:rsid w:val="00EC1F4B"/>
    <w:rsid w:val="00ED1413"/>
    <w:rsid w:val="00ED1663"/>
    <w:rsid w:val="00ED1976"/>
    <w:rsid w:val="00ED49E6"/>
    <w:rsid w:val="00ED50F5"/>
    <w:rsid w:val="00ED6BE1"/>
    <w:rsid w:val="00ED7757"/>
    <w:rsid w:val="00EE027B"/>
    <w:rsid w:val="00EE31DF"/>
    <w:rsid w:val="00EE5C10"/>
    <w:rsid w:val="00EE7916"/>
    <w:rsid w:val="00EF1C6E"/>
    <w:rsid w:val="00EF3FD3"/>
    <w:rsid w:val="00EF4D3B"/>
    <w:rsid w:val="00EF6A34"/>
    <w:rsid w:val="00EF7579"/>
    <w:rsid w:val="00F00BE0"/>
    <w:rsid w:val="00F016BD"/>
    <w:rsid w:val="00F04C2B"/>
    <w:rsid w:val="00F0680A"/>
    <w:rsid w:val="00F06ED0"/>
    <w:rsid w:val="00F1006F"/>
    <w:rsid w:val="00F10A95"/>
    <w:rsid w:val="00F12013"/>
    <w:rsid w:val="00F12999"/>
    <w:rsid w:val="00F12EE5"/>
    <w:rsid w:val="00F13822"/>
    <w:rsid w:val="00F14565"/>
    <w:rsid w:val="00F14A70"/>
    <w:rsid w:val="00F1737F"/>
    <w:rsid w:val="00F175A5"/>
    <w:rsid w:val="00F212FC"/>
    <w:rsid w:val="00F230F1"/>
    <w:rsid w:val="00F26AB4"/>
    <w:rsid w:val="00F27B8D"/>
    <w:rsid w:val="00F304FB"/>
    <w:rsid w:val="00F313F8"/>
    <w:rsid w:val="00F315AB"/>
    <w:rsid w:val="00F35871"/>
    <w:rsid w:val="00F35D52"/>
    <w:rsid w:val="00F373E1"/>
    <w:rsid w:val="00F400F4"/>
    <w:rsid w:val="00F42574"/>
    <w:rsid w:val="00F425D4"/>
    <w:rsid w:val="00F45257"/>
    <w:rsid w:val="00F45CA2"/>
    <w:rsid w:val="00F45D78"/>
    <w:rsid w:val="00F46154"/>
    <w:rsid w:val="00F46AD5"/>
    <w:rsid w:val="00F47616"/>
    <w:rsid w:val="00F47DCD"/>
    <w:rsid w:val="00F50CA4"/>
    <w:rsid w:val="00F50CE7"/>
    <w:rsid w:val="00F5301A"/>
    <w:rsid w:val="00F549E7"/>
    <w:rsid w:val="00F5550D"/>
    <w:rsid w:val="00F618BB"/>
    <w:rsid w:val="00F6302F"/>
    <w:rsid w:val="00F63F99"/>
    <w:rsid w:val="00F67625"/>
    <w:rsid w:val="00F710DA"/>
    <w:rsid w:val="00F76B14"/>
    <w:rsid w:val="00F85F21"/>
    <w:rsid w:val="00F90CF5"/>
    <w:rsid w:val="00F91AD8"/>
    <w:rsid w:val="00F922B1"/>
    <w:rsid w:val="00F964D7"/>
    <w:rsid w:val="00FA1CBD"/>
    <w:rsid w:val="00FA56EF"/>
    <w:rsid w:val="00FA5D99"/>
    <w:rsid w:val="00FA72F6"/>
    <w:rsid w:val="00FB0E27"/>
    <w:rsid w:val="00FB10A3"/>
    <w:rsid w:val="00FB2842"/>
    <w:rsid w:val="00FB36D4"/>
    <w:rsid w:val="00FB3B0F"/>
    <w:rsid w:val="00FB42A1"/>
    <w:rsid w:val="00FB510B"/>
    <w:rsid w:val="00FB5D1B"/>
    <w:rsid w:val="00FC1C97"/>
    <w:rsid w:val="00FC26BF"/>
    <w:rsid w:val="00FC3491"/>
    <w:rsid w:val="00FC423E"/>
    <w:rsid w:val="00FC523E"/>
    <w:rsid w:val="00FC6CE0"/>
    <w:rsid w:val="00FC7232"/>
    <w:rsid w:val="00FC7525"/>
    <w:rsid w:val="00FD2F3C"/>
    <w:rsid w:val="00FD418F"/>
    <w:rsid w:val="00FD4365"/>
    <w:rsid w:val="00FD46B0"/>
    <w:rsid w:val="00FD4D39"/>
    <w:rsid w:val="00FD4F52"/>
    <w:rsid w:val="00FE1EF3"/>
    <w:rsid w:val="00FE315D"/>
    <w:rsid w:val="00FE3182"/>
    <w:rsid w:val="00FE41E1"/>
    <w:rsid w:val="00FE55F1"/>
    <w:rsid w:val="00FE7613"/>
    <w:rsid w:val="00FF0175"/>
    <w:rsid w:val="00FF213C"/>
    <w:rsid w:val="00FF4D81"/>
    <w:rsid w:val="00FF75F5"/>
    <w:rsid w:val="012C5761"/>
    <w:rsid w:val="012F41F1"/>
    <w:rsid w:val="017046B5"/>
    <w:rsid w:val="018F054B"/>
    <w:rsid w:val="024B26CE"/>
    <w:rsid w:val="02AB0B8E"/>
    <w:rsid w:val="02D347AB"/>
    <w:rsid w:val="03433819"/>
    <w:rsid w:val="03822C68"/>
    <w:rsid w:val="03CB50B5"/>
    <w:rsid w:val="041651F4"/>
    <w:rsid w:val="049F43DF"/>
    <w:rsid w:val="04B22E9E"/>
    <w:rsid w:val="051D1B41"/>
    <w:rsid w:val="05540833"/>
    <w:rsid w:val="05DF46DF"/>
    <w:rsid w:val="060E433A"/>
    <w:rsid w:val="061C08DF"/>
    <w:rsid w:val="06225B6E"/>
    <w:rsid w:val="06667684"/>
    <w:rsid w:val="07C1731B"/>
    <w:rsid w:val="081E1F70"/>
    <w:rsid w:val="08C84FC6"/>
    <w:rsid w:val="09A37CB3"/>
    <w:rsid w:val="09BD6E8E"/>
    <w:rsid w:val="09D449C2"/>
    <w:rsid w:val="0A6D7B49"/>
    <w:rsid w:val="0A774A1C"/>
    <w:rsid w:val="0A9C1B06"/>
    <w:rsid w:val="0AA8018E"/>
    <w:rsid w:val="0B1873A5"/>
    <w:rsid w:val="0B450737"/>
    <w:rsid w:val="0B49704E"/>
    <w:rsid w:val="0BC03108"/>
    <w:rsid w:val="0BDC744C"/>
    <w:rsid w:val="0BE47B36"/>
    <w:rsid w:val="0C054382"/>
    <w:rsid w:val="0C9A104D"/>
    <w:rsid w:val="0CDC6CA4"/>
    <w:rsid w:val="0D386B75"/>
    <w:rsid w:val="0DB74BA1"/>
    <w:rsid w:val="0EB16EFF"/>
    <w:rsid w:val="0F0136F4"/>
    <w:rsid w:val="0F3A3F99"/>
    <w:rsid w:val="0F7A70CC"/>
    <w:rsid w:val="0FA1651E"/>
    <w:rsid w:val="0FC50D8F"/>
    <w:rsid w:val="10451C7D"/>
    <w:rsid w:val="10794606"/>
    <w:rsid w:val="10A3646A"/>
    <w:rsid w:val="118848CF"/>
    <w:rsid w:val="124E25CC"/>
    <w:rsid w:val="13172843"/>
    <w:rsid w:val="132451DE"/>
    <w:rsid w:val="13472720"/>
    <w:rsid w:val="138A3509"/>
    <w:rsid w:val="14377EC4"/>
    <w:rsid w:val="14675B7E"/>
    <w:rsid w:val="14CE2B49"/>
    <w:rsid w:val="155E4085"/>
    <w:rsid w:val="15EC5AC1"/>
    <w:rsid w:val="168A6CDE"/>
    <w:rsid w:val="168E2D78"/>
    <w:rsid w:val="169F1276"/>
    <w:rsid w:val="16C04C56"/>
    <w:rsid w:val="16EB2471"/>
    <w:rsid w:val="172E2B9C"/>
    <w:rsid w:val="18003993"/>
    <w:rsid w:val="18196A06"/>
    <w:rsid w:val="18254FAC"/>
    <w:rsid w:val="182D3D5F"/>
    <w:rsid w:val="18434A76"/>
    <w:rsid w:val="18A272E6"/>
    <w:rsid w:val="18BA600F"/>
    <w:rsid w:val="1956552E"/>
    <w:rsid w:val="19583C58"/>
    <w:rsid w:val="1A1E209D"/>
    <w:rsid w:val="1A3426E3"/>
    <w:rsid w:val="1A7D3617"/>
    <w:rsid w:val="1A8523C2"/>
    <w:rsid w:val="1A853F9F"/>
    <w:rsid w:val="1AEC041D"/>
    <w:rsid w:val="1AEC419B"/>
    <w:rsid w:val="1AF6583C"/>
    <w:rsid w:val="1B792368"/>
    <w:rsid w:val="1C085136"/>
    <w:rsid w:val="1D1A1D54"/>
    <w:rsid w:val="1D242FC2"/>
    <w:rsid w:val="1DC01C11"/>
    <w:rsid w:val="1DE87BD4"/>
    <w:rsid w:val="1E054C48"/>
    <w:rsid w:val="1E1B3173"/>
    <w:rsid w:val="1E211684"/>
    <w:rsid w:val="1F2C37B2"/>
    <w:rsid w:val="1FCF77B6"/>
    <w:rsid w:val="20572949"/>
    <w:rsid w:val="20D65FDF"/>
    <w:rsid w:val="2133411B"/>
    <w:rsid w:val="214B4697"/>
    <w:rsid w:val="223A00A8"/>
    <w:rsid w:val="23447637"/>
    <w:rsid w:val="23F5768F"/>
    <w:rsid w:val="246529A6"/>
    <w:rsid w:val="25997426"/>
    <w:rsid w:val="25BF62B8"/>
    <w:rsid w:val="25CF59CB"/>
    <w:rsid w:val="260C39F2"/>
    <w:rsid w:val="261A0491"/>
    <w:rsid w:val="26C66E06"/>
    <w:rsid w:val="26D259BC"/>
    <w:rsid w:val="270246D4"/>
    <w:rsid w:val="271257BE"/>
    <w:rsid w:val="27645745"/>
    <w:rsid w:val="27C621B9"/>
    <w:rsid w:val="28855A7D"/>
    <w:rsid w:val="28E40298"/>
    <w:rsid w:val="299C178C"/>
    <w:rsid w:val="29A21E55"/>
    <w:rsid w:val="2A0A2D83"/>
    <w:rsid w:val="2A472991"/>
    <w:rsid w:val="2AAB0BA0"/>
    <w:rsid w:val="2AFB4D94"/>
    <w:rsid w:val="2B755F4B"/>
    <w:rsid w:val="2BA67271"/>
    <w:rsid w:val="2BE0319D"/>
    <w:rsid w:val="2BE95450"/>
    <w:rsid w:val="2C6544D8"/>
    <w:rsid w:val="2C8C39F6"/>
    <w:rsid w:val="2CD52E61"/>
    <w:rsid w:val="2CF2533C"/>
    <w:rsid w:val="2D632394"/>
    <w:rsid w:val="2DE515E5"/>
    <w:rsid w:val="2EB22755"/>
    <w:rsid w:val="2EB65D97"/>
    <w:rsid w:val="2EC64046"/>
    <w:rsid w:val="2F434FDE"/>
    <w:rsid w:val="2F725AED"/>
    <w:rsid w:val="30561E3F"/>
    <w:rsid w:val="306150E4"/>
    <w:rsid w:val="30735F9F"/>
    <w:rsid w:val="30A06F64"/>
    <w:rsid w:val="30CC197B"/>
    <w:rsid w:val="31B91D72"/>
    <w:rsid w:val="31E22C88"/>
    <w:rsid w:val="322C3A43"/>
    <w:rsid w:val="328205D3"/>
    <w:rsid w:val="32C9667D"/>
    <w:rsid w:val="32E853BA"/>
    <w:rsid w:val="33760457"/>
    <w:rsid w:val="33EB1895"/>
    <w:rsid w:val="34066E5C"/>
    <w:rsid w:val="350D4388"/>
    <w:rsid w:val="353A46B7"/>
    <w:rsid w:val="356F73C9"/>
    <w:rsid w:val="35B1151A"/>
    <w:rsid w:val="35B6520A"/>
    <w:rsid w:val="36035BCB"/>
    <w:rsid w:val="36524D5F"/>
    <w:rsid w:val="36593EB8"/>
    <w:rsid w:val="365E0BEC"/>
    <w:rsid w:val="3680580C"/>
    <w:rsid w:val="369B0D16"/>
    <w:rsid w:val="3799633A"/>
    <w:rsid w:val="37C07E80"/>
    <w:rsid w:val="37DD6BEF"/>
    <w:rsid w:val="38520B8E"/>
    <w:rsid w:val="39070852"/>
    <w:rsid w:val="3929383F"/>
    <w:rsid w:val="399B1DB8"/>
    <w:rsid w:val="3A12743D"/>
    <w:rsid w:val="3B181276"/>
    <w:rsid w:val="3BC978A7"/>
    <w:rsid w:val="3BFC46F4"/>
    <w:rsid w:val="3C183F80"/>
    <w:rsid w:val="3C18466D"/>
    <w:rsid w:val="3C792FD5"/>
    <w:rsid w:val="3CDB4807"/>
    <w:rsid w:val="3D2179C7"/>
    <w:rsid w:val="3D3E557C"/>
    <w:rsid w:val="3E2954D1"/>
    <w:rsid w:val="3E727BBA"/>
    <w:rsid w:val="3F3A5152"/>
    <w:rsid w:val="3FC833AB"/>
    <w:rsid w:val="3FDD5629"/>
    <w:rsid w:val="3FFC0940"/>
    <w:rsid w:val="40156849"/>
    <w:rsid w:val="40345B32"/>
    <w:rsid w:val="4049358C"/>
    <w:rsid w:val="40A904D7"/>
    <w:rsid w:val="40D85040"/>
    <w:rsid w:val="412214B2"/>
    <w:rsid w:val="4160274D"/>
    <w:rsid w:val="44086403"/>
    <w:rsid w:val="44086C32"/>
    <w:rsid w:val="44E504A9"/>
    <w:rsid w:val="44EF1B82"/>
    <w:rsid w:val="45644B25"/>
    <w:rsid w:val="45E77C31"/>
    <w:rsid w:val="45FD1FD2"/>
    <w:rsid w:val="461B2714"/>
    <w:rsid w:val="465855D4"/>
    <w:rsid w:val="469B2720"/>
    <w:rsid w:val="473D2DF8"/>
    <w:rsid w:val="491B7D4D"/>
    <w:rsid w:val="499B2B75"/>
    <w:rsid w:val="4A226C77"/>
    <w:rsid w:val="4A4C1516"/>
    <w:rsid w:val="4AF01045"/>
    <w:rsid w:val="4B307AE9"/>
    <w:rsid w:val="4B717BA7"/>
    <w:rsid w:val="4B862CAD"/>
    <w:rsid w:val="4BDA5CFE"/>
    <w:rsid w:val="4CFA39CE"/>
    <w:rsid w:val="4D282CB4"/>
    <w:rsid w:val="4D3B1AB9"/>
    <w:rsid w:val="4D48236F"/>
    <w:rsid w:val="4DC1760D"/>
    <w:rsid w:val="4DC62853"/>
    <w:rsid w:val="4E6B322B"/>
    <w:rsid w:val="4EC56C2F"/>
    <w:rsid w:val="4EEE449A"/>
    <w:rsid w:val="4F231585"/>
    <w:rsid w:val="4F7E6A86"/>
    <w:rsid w:val="4F9547EC"/>
    <w:rsid w:val="502D02BC"/>
    <w:rsid w:val="503700FB"/>
    <w:rsid w:val="51423F3F"/>
    <w:rsid w:val="516914A3"/>
    <w:rsid w:val="51750FFC"/>
    <w:rsid w:val="5176537C"/>
    <w:rsid w:val="517944E3"/>
    <w:rsid w:val="51933661"/>
    <w:rsid w:val="51AC6956"/>
    <w:rsid w:val="51E5108B"/>
    <w:rsid w:val="52D24297"/>
    <w:rsid w:val="52D32AFD"/>
    <w:rsid w:val="52E16C74"/>
    <w:rsid w:val="53240C30"/>
    <w:rsid w:val="535D0F42"/>
    <w:rsid w:val="55314071"/>
    <w:rsid w:val="556E1D75"/>
    <w:rsid w:val="56D97FD1"/>
    <w:rsid w:val="572A1B2D"/>
    <w:rsid w:val="57827D4C"/>
    <w:rsid w:val="578E58A0"/>
    <w:rsid w:val="57B53639"/>
    <w:rsid w:val="58881554"/>
    <w:rsid w:val="58A40196"/>
    <w:rsid w:val="59E11BC5"/>
    <w:rsid w:val="5AF56077"/>
    <w:rsid w:val="5B001520"/>
    <w:rsid w:val="5B9E0C30"/>
    <w:rsid w:val="5C223BC9"/>
    <w:rsid w:val="5C7C6396"/>
    <w:rsid w:val="5C9A03FD"/>
    <w:rsid w:val="5D8D419C"/>
    <w:rsid w:val="5DC155E2"/>
    <w:rsid w:val="5DD51960"/>
    <w:rsid w:val="5DED6DA2"/>
    <w:rsid w:val="5DF94AE0"/>
    <w:rsid w:val="5E3B443B"/>
    <w:rsid w:val="5EC42D73"/>
    <w:rsid w:val="5F197194"/>
    <w:rsid w:val="5F3D2878"/>
    <w:rsid w:val="5F55219B"/>
    <w:rsid w:val="5F944D2C"/>
    <w:rsid w:val="5FCB4D87"/>
    <w:rsid w:val="5FED68F6"/>
    <w:rsid w:val="5FF95CF0"/>
    <w:rsid w:val="60384F4A"/>
    <w:rsid w:val="603E49EB"/>
    <w:rsid w:val="60A05BA1"/>
    <w:rsid w:val="60C648E5"/>
    <w:rsid w:val="60C66115"/>
    <w:rsid w:val="60CD4825"/>
    <w:rsid w:val="61800D2B"/>
    <w:rsid w:val="61BC2A15"/>
    <w:rsid w:val="61D86AC2"/>
    <w:rsid w:val="62337EF3"/>
    <w:rsid w:val="624B51DE"/>
    <w:rsid w:val="62716BBC"/>
    <w:rsid w:val="627E7A26"/>
    <w:rsid w:val="634E7828"/>
    <w:rsid w:val="639F78D1"/>
    <w:rsid w:val="63B63F59"/>
    <w:rsid w:val="65117867"/>
    <w:rsid w:val="654639B4"/>
    <w:rsid w:val="66700908"/>
    <w:rsid w:val="668D28D9"/>
    <w:rsid w:val="66A40EC3"/>
    <w:rsid w:val="67375276"/>
    <w:rsid w:val="67A535E2"/>
    <w:rsid w:val="67A80762"/>
    <w:rsid w:val="688C19B0"/>
    <w:rsid w:val="689A7718"/>
    <w:rsid w:val="6917469A"/>
    <w:rsid w:val="697E2311"/>
    <w:rsid w:val="69B33D58"/>
    <w:rsid w:val="69F50936"/>
    <w:rsid w:val="6A0368D7"/>
    <w:rsid w:val="6A472730"/>
    <w:rsid w:val="6AA628DF"/>
    <w:rsid w:val="6B94314E"/>
    <w:rsid w:val="6B974B12"/>
    <w:rsid w:val="6BAB7017"/>
    <w:rsid w:val="6BD4551A"/>
    <w:rsid w:val="6BDD4FB2"/>
    <w:rsid w:val="6BEF2BAB"/>
    <w:rsid w:val="6C283CF7"/>
    <w:rsid w:val="6CC0101E"/>
    <w:rsid w:val="6D8816C8"/>
    <w:rsid w:val="6E505373"/>
    <w:rsid w:val="6EA16987"/>
    <w:rsid w:val="6EA25DF9"/>
    <w:rsid w:val="6F8D1FC2"/>
    <w:rsid w:val="6F8D5C1A"/>
    <w:rsid w:val="6FD27139"/>
    <w:rsid w:val="7010208F"/>
    <w:rsid w:val="703B6854"/>
    <w:rsid w:val="704A44DC"/>
    <w:rsid w:val="70BF1008"/>
    <w:rsid w:val="71326C39"/>
    <w:rsid w:val="716147BD"/>
    <w:rsid w:val="724725E3"/>
    <w:rsid w:val="72611DE4"/>
    <w:rsid w:val="726E545D"/>
    <w:rsid w:val="72B73FF5"/>
    <w:rsid w:val="72BB1D27"/>
    <w:rsid w:val="72FF44EF"/>
    <w:rsid w:val="74A165CC"/>
    <w:rsid w:val="755B645C"/>
    <w:rsid w:val="75615E2A"/>
    <w:rsid w:val="75776E8F"/>
    <w:rsid w:val="75B60F89"/>
    <w:rsid w:val="761728C2"/>
    <w:rsid w:val="76B07EDE"/>
    <w:rsid w:val="775D10FB"/>
    <w:rsid w:val="77695595"/>
    <w:rsid w:val="77D47CF8"/>
    <w:rsid w:val="77D74BCA"/>
    <w:rsid w:val="791D4BEA"/>
    <w:rsid w:val="7987697C"/>
    <w:rsid w:val="79D1422E"/>
    <w:rsid w:val="7A081EDB"/>
    <w:rsid w:val="7A9F47F8"/>
    <w:rsid w:val="7B602F54"/>
    <w:rsid w:val="7C1C6325"/>
    <w:rsid w:val="7C520C2F"/>
    <w:rsid w:val="7CC067C4"/>
    <w:rsid w:val="7D1A69A5"/>
    <w:rsid w:val="7D3E444E"/>
    <w:rsid w:val="7D447D3A"/>
    <w:rsid w:val="7D602FB4"/>
    <w:rsid w:val="7D622872"/>
    <w:rsid w:val="7DD74FBC"/>
    <w:rsid w:val="7E462371"/>
    <w:rsid w:val="7F083EE0"/>
    <w:rsid w:val="7F4B70A4"/>
    <w:rsid w:val="7F862913"/>
    <w:rsid w:val="7F991C92"/>
    <w:rsid w:val="7FBB3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7">
    <w:name w:val="heading 1"/>
    <w:basedOn w:val="1"/>
    <w:next w:val="1"/>
    <w:link w:val="70"/>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8">
    <w:name w:val="heading 2"/>
    <w:basedOn w:val="1"/>
    <w:next w:val="1"/>
    <w:link w:val="75"/>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9">
    <w:name w:val="heading 3"/>
    <w:basedOn w:val="1"/>
    <w:next w:val="1"/>
    <w:link w:val="64"/>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paragraph" w:styleId="6">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65"/>
    <w:qFormat/>
    <w:uiPriority w:val="0"/>
    <w:pPr>
      <w:tabs>
        <w:tab w:val="left" w:pos="567"/>
      </w:tabs>
      <w:spacing w:before="120" w:line="22" w:lineRule="atLeast"/>
    </w:pPr>
    <w:rPr>
      <w:rFonts w:ascii="宋体" w:hAnsi="宋体"/>
      <w:sz w:val="24"/>
    </w:rPr>
  </w:style>
  <w:style w:type="paragraph" w:styleId="3">
    <w:name w:val="Body Text First Indent"/>
    <w:basedOn w:val="2"/>
    <w:next w:val="4"/>
    <w:qFormat/>
    <w:uiPriority w:val="0"/>
    <w:pPr>
      <w:autoSpaceDE w:val="0"/>
      <w:autoSpaceDN w:val="0"/>
      <w:adjustRightInd w:val="0"/>
      <w:spacing w:line="360" w:lineRule="auto"/>
      <w:ind w:firstLine="420" w:firstLineChars="200"/>
    </w:pPr>
    <w:rPr>
      <w:rFonts w:ascii="Arial" w:hAnsi="Arial"/>
      <w:szCs w:val="21"/>
    </w:rPr>
  </w:style>
  <w:style w:type="paragraph" w:styleId="4">
    <w:name w:val="Body Text First Indent 2"/>
    <w:basedOn w:val="5"/>
    <w:next w:val="3"/>
    <w:unhideWhenUsed/>
    <w:qFormat/>
    <w:uiPriority w:val="99"/>
    <w:pPr>
      <w:ind w:firstLine="420" w:firstLineChars="200"/>
    </w:pPr>
  </w:style>
  <w:style w:type="paragraph" w:styleId="5">
    <w:name w:val="Body Text Indent"/>
    <w:basedOn w:val="1"/>
    <w:next w:val="6"/>
    <w:qFormat/>
    <w:uiPriority w:val="0"/>
    <w:pPr>
      <w:spacing w:line="360" w:lineRule="auto"/>
      <w:ind w:firstLine="570"/>
    </w:pPr>
    <w:rPr>
      <w:sz w:val="24"/>
    </w:rPr>
  </w:style>
  <w:style w:type="paragraph" w:styleId="10">
    <w:name w:val="toc 7"/>
    <w:basedOn w:val="1"/>
    <w:next w:val="1"/>
    <w:qFormat/>
    <w:uiPriority w:val="39"/>
    <w:pPr>
      <w:ind w:left="2520" w:leftChars="1200"/>
    </w:pPr>
  </w:style>
  <w:style w:type="paragraph" w:styleId="11">
    <w:name w:val="Normal Indent"/>
    <w:basedOn w:val="1"/>
    <w:next w:val="12"/>
    <w:qFormat/>
    <w:uiPriority w:val="0"/>
    <w:pPr>
      <w:autoSpaceDE w:val="0"/>
      <w:autoSpaceDN w:val="0"/>
      <w:adjustRightInd w:val="0"/>
      <w:ind w:firstLine="420"/>
      <w:jc w:val="left"/>
    </w:pPr>
    <w:rPr>
      <w:rFonts w:ascii="宋体"/>
      <w:kern w:val="0"/>
      <w:sz w:val="24"/>
      <w:szCs w:val="20"/>
    </w:rPr>
  </w:style>
  <w:style w:type="paragraph" w:customStyle="1" w:styleId="12">
    <w:name w:val="样式 正文缩进 + 首行缩进:  2 字符"/>
    <w:basedOn w:val="11"/>
    <w:qFormat/>
    <w:uiPriority w:val="0"/>
    <w:pPr>
      <w:ind w:firstLine="560" w:firstLineChars="200"/>
    </w:pPr>
    <w:rPr>
      <w:rFonts w:cs="宋体"/>
    </w:rPr>
  </w:style>
  <w:style w:type="paragraph" w:styleId="13">
    <w:name w:val="annotation text"/>
    <w:basedOn w:val="1"/>
    <w:link w:val="59"/>
    <w:qFormat/>
    <w:uiPriority w:val="99"/>
    <w:pPr>
      <w:jc w:val="left"/>
    </w:pPr>
  </w:style>
  <w:style w:type="paragraph" w:styleId="14">
    <w:name w:val="Body Text 3"/>
    <w:basedOn w:val="1"/>
    <w:unhideWhenUsed/>
    <w:qFormat/>
    <w:uiPriority w:val="99"/>
    <w:pPr>
      <w:spacing w:after="120"/>
    </w:pPr>
    <w:rPr>
      <w:rFonts w:eastAsia="宋体"/>
      <w:sz w:val="16"/>
      <w:szCs w:val="16"/>
    </w:rPr>
  </w:style>
  <w:style w:type="paragraph" w:styleId="15">
    <w:name w:val="toc 5"/>
    <w:basedOn w:val="1"/>
    <w:next w:val="1"/>
    <w:qFormat/>
    <w:uiPriority w:val="39"/>
    <w:pPr>
      <w:ind w:left="1680" w:leftChars="800"/>
    </w:pPr>
  </w:style>
  <w:style w:type="paragraph" w:styleId="16">
    <w:name w:val="toc 3"/>
    <w:basedOn w:val="1"/>
    <w:next w:val="1"/>
    <w:qFormat/>
    <w:uiPriority w:val="39"/>
    <w:pPr>
      <w:tabs>
        <w:tab w:val="left" w:pos="1260"/>
        <w:tab w:val="right" w:leader="dot" w:pos="8630"/>
      </w:tabs>
      <w:ind w:left="840" w:leftChars="400"/>
    </w:pPr>
  </w:style>
  <w:style w:type="paragraph" w:styleId="17">
    <w:name w:val="Plain Text"/>
    <w:basedOn w:val="1"/>
    <w:link w:val="63"/>
    <w:qFormat/>
    <w:uiPriority w:val="0"/>
    <w:rPr>
      <w:rFonts w:ascii="宋体" w:hAnsi="Courier New"/>
      <w:szCs w:val="20"/>
    </w:rPr>
  </w:style>
  <w:style w:type="paragraph" w:styleId="18">
    <w:name w:val="toc 8"/>
    <w:basedOn w:val="1"/>
    <w:next w:val="1"/>
    <w:qFormat/>
    <w:uiPriority w:val="39"/>
    <w:pPr>
      <w:ind w:left="2940" w:leftChars="1400"/>
    </w:pPr>
  </w:style>
  <w:style w:type="paragraph" w:styleId="19">
    <w:name w:val="Date"/>
    <w:basedOn w:val="1"/>
    <w:next w:val="1"/>
    <w:link w:val="68"/>
    <w:qFormat/>
    <w:uiPriority w:val="0"/>
    <w:pPr>
      <w:ind w:left="100" w:leftChars="2500"/>
    </w:pPr>
    <w:rPr>
      <w:rFonts w:ascii="仿宋_GB2312" w:hAnsi="宋体" w:eastAsia="仿宋_GB2312"/>
      <w:color w:val="000000"/>
      <w:sz w:val="24"/>
    </w:rPr>
  </w:style>
  <w:style w:type="paragraph" w:styleId="20">
    <w:name w:val="Body Text Indent 2"/>
    <w:basedOn w:val="1"/>
    <w:qFormat/>
    <w:uiPriority w:val="0"/>
    <w:pPr>
      <w:ind w:firstLine="480" w:firstLineChars="200"/>
    </w:pPr>
    <w:rPr>
      <w:rFonts w:ascii="仿宋_GB2312" w:eastAsia="仿宋_GB2312"/>
      <w:sz w:val="24"/>
    </w:rPr>
  </w:style>
  <w:style w:type="paragraph" w:styleId="21">
    <w:name w:val="Balloon Text"/>
    <w:basedOn w:val="1"/>
    <w:link w:val="61"/>
    <w:qFormat/>
    <w:uiPriority w:val="0"/>
    <w:rPr>
      <w:sz w:val="18"/>
      <w:szCs w:val="18"/>
    </w:rPr>
  </w:style>
  <w:style w:type="paragraph" w:styleId="22">
    <w:name w:val="footer"/>
    <w:basedOn w:val="1"/>
    <w:link w:val="56"/>
    <w:qFormat/>
    <w:uiPriority w:val="99"/>
    <w:pPr>
      <w:tabs>
        <w:tab w:val="center" w:pos="4153"/>
        <w:tab w:val="right" w:pos="8306"/>
      </w:tabs>
      <w:autoSpaceDE w:val="0"/>
      <w:autoSpaceDN w:val="0"/>
      <w:adjustRightInd w:val="0"/>
      <w:snapToGrid w:val="0"/>
      <w:jc w:val="left"/>
    </w:pPr>
    <w:rPr>
      <w:rFonts w:ascii="宋体"/>
      <w:kern w:val="0"/>
      <w:sz w:val="18"/>
      <w:szCs w:val="20"/>
    </w:rPr>
  </w:style>
  <w:style w:type="paragraph" w:styleId="23">
    <w:name w:val="envelope return"/>
    <w:basedOn w:val="1"/>
    <w:qFormat/>
    <w:uiPriority w:val="0"/>
    <w:pPr>
      <w:snapToGrid w:val="0"/>
    </w:pPr>
    <w:rPr>
      <w:rFonts w:ascii="Arial" w:hAnsi="Arial"/>
    </w:rPr>
  </w:style>
  <w:style w:type="paragraph" w:styleId="24">
    <w:name w:val="header"/>
    <w:basedOn w:val="1"/>
    <w:link w:val="69"/>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style>
  <w:style w:type="paragraph" w:styleId="26">
    <w:name w:val="toc 4"/>
    <w:basedOn w:val="1"/>
    <w:next w:val="1"/>
    <w:qFormat/>
    <w:uiPriority w:val="39"/>
    <w:pPr>
      <w:ind w:left="1260" w:leftChars="600"/>
    </w:pPr>
  </w:style>
  <w:style w:type="paragraph" w:styleId="27">
    <w:name w:val="List"/>
    <w:basedOn w:val="1"/>
    <w:qFormat/>
    <w:uiPriority w:val="0"/>
    <w:pPr>
      <w:ind w:left="420" w:hanging="420"/>
    </w:pPr>
    <w:rPr>
      <w:sz w:val="24"/>
      <w:szCs w:val="20"/>
    </w:rPr>
  </w:style>
  <w:style w:type="paragraph" w:styleId="28">
    <w:name w:val="footnote text"/>
    <w:basedOn w:val="1"/>
    <w:qFormat/>
    <w:uiPriority w:val="0"/>
    <w:pPr>
      <w:adjustRightInd w:val="0"/>
      <w:spacing w:line="315" w:lineRule="atLeast"/>
      <w:textAlignment w:val="baseline"/>
    </w:pPr>
    <w:rPr>
      <w:rFonts w:ascii="宋体" w:hAnsi="宋体"/>
      <w:sz w:val="18"/>
      <w:szCs w:val="18"/>
    </w:rPr>
  </w:style>
  <w:style w:type="paragraph" w:styleId="29">
    <w:name w:val="toc 6"/>
    <w:basedOn w:val="1"/>
    <w:next w:val="1"/>
    <w:qFormat/>
    <w:uiPriority w:val="39"/>
    <w:pPr>
      <w:ind w:left="2100" w:leftChars="1000"/>
    </w:pPr>
  </w:style>
  <w:style w:type="paragraph" w:styleId="30">
    <w:name w:val="Body Text Indent 3"/>
    <w:basedOn w:val="1"/>
    <w:qFormat/>
    <w:uiPriority w:val="0"/>
    <w:pPr>
      <w:autoSpaceDE w:val="0"/>
      <w:autoSpaceDN w:val="0"/>
      <w:adjustRightInd w:val="0"/>
      <w:spacing w:before="120" w:line="22" w:lineRule="atLeast"/>
      <w:ind w:left="720" w:firstLine="480"/>
      <w:jc w:val="left"/>
    </w:pPr>
    <w:rPr>
      <w:rFonts w:ascii="宋体"/>
      <w:kern w:val="0"/>
      <w:sz w:val="24"/>
      <w:szCs w:val="20"/>
    </w:rPr>
  </w:style>
  <w:style w:type="paragraph" w:styleId="31">
    <w:name w:val="toc 2"/>
    <w:basedOn w:val="1"/>
    <w:next w:val="1"/>
    <w:qFormat/>
    <w:uiPriority w:val="39"/>
    <w:pPr>
      <w:ind w:left="420" w:leftChars="200"/>
    </w:pPr>
  </w:style>
  <w:style w:type="paragraph" w:styleId="32">
    <w:name w:val="toc 9"/>
    <w:basedOn w:val="1"/>
    <w:next w:val="1"/>
    <w:qFormat/>
    <w:uiPriority w:val="39"/>
    <w:pPr>
      <w:ind w:left="3360" w:leftChars="1600"/>
    </w:pPr>
  </w:style>
  <w:style w:type="paragraph" w:styleId="33">
    <w:name w:val="Body Text 2"/>
    <w:basedOn w:val="1"/>
    <w:qFormat/>
    <w:uiPriority w:val="0"/>
    <w:pPr>
      <w:spacing w:after="120" w:line="480" w:lineRule="auto"/>
    </w:pPr>
    <w:rPr>
      <w:rFonts w:ascii="Arial" w:hAnsi="Arial"/>
      <w:sz w:val="24"/>
    </w:rPr>
  </w:style>
  <w:style w:type="paragraph" w:styleId="34">
    <w:name w:val="Normal (Web)"/>
    <w:basedOn w:val="1"/>
    <w:qFormat/>
    <w:uiPriority w:val="0"/>
    <w:pPr>
      <w:widowControl/>
      <w:jc w:val="left"/>
    </w:pPr>
    <w:rPr>
      <w:rFonts w:ascii="宋体" w:hAnsi="宋体" w:cs="宋体"/>
      <w:kern w:val="0"/>
      <w:sz w:val="24"/>
    </w:rPr>
  </w:style>
  <w:style w:type="paragraph" w:styleId="35">
    <w:name w:val="index 1"/>
    <w:basedOn w:val="1"/>
    <w:next w:val="1"/>
    <w:semiHidden/>
    <w:qFormat/>
    <w:uiPriority w:val="0"/>
    <w:rPr>
      <w:szCs w:val="20"/>
    </w:rPr>
  </w:style>
  <w:style w:type="paragraph" w:styleId="36">
    <w:name w:val="annotation subject"/>
    <w:basedOn w:val="13"/>
    <w:next w:val="13"/>
    <w:link w:val="62"/>
    <w:qFormat/>
    <w:uiPriority w:val="0"/>
    <w:rPr>
      <w:b/>
      <w:bCs/>
    </w:rPr>
  </w:style>
  <w:style w:type="table" w:styleId="38">
    <w:name w:val="Table Grid"/>
    <w:basedOn w:val="3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0"/>
    <w:rPr>
      <w:rFonts w:ascii="Arial" w:hAnsi="Arial" w:eastAsia="Times New Roman" w:cs="Verdana"/>
      <w:b/>
      <w:bCs/>
      <w:kern w:val="0"/>
      <w:sz w:val="24"/>
      <w:lang w:eastAsia="en-US"/>
    </w:rPr>
  </w:style>
  <w:style w:type="character" w:styleId="41">
    <w:name w:val="page number"/>
    <w:qFormat/>
    <w:uiPriority w:val="0"/>
  </w:style>
  <w:style w:type="character" w:styleId="42">
    <w:name w:val="Hyperlink"/>
    <w:qFormat/>
    <w:uiPriority w:val="99"/>
    <w:rPr>
      <w:color w:val="0000FF"/>
      <w:u w:val="single"/>
    </w:rPr>
  </w:style>
  <w:style w:type="character" w:styleId="43">
    <w:name w:val="annotation reference"/>
    <w:qFormat/>
    <w:uiPriority w:val="99"/>
    <w:rPr>
      <w:sz w:val="21"/>
      <w:szCs w:val="21"/>
    </w:rPr>
  </w:style>
  <w:style w:type="paragraph" w:customStyle="1" w:styleId="44">
    <w:name w:val="Default"/>
    <w:next w:val="1"/>
    <w:qFormat/>
    <w:uiPriority w:val="0"/>
    <w:pPr>
      <w:widowControl w:val="0"/>
      <w:autoSpaceDE w:val="0"/>
      <w:autoSpaceDN w:val="0"/>
    </w:pPr>
    <w:rPr>
      <w:rFonts w:ascii="宋体" w:hAnsi="Times New Roman" w:eastAsia="宋体" w:cs="宋体"/>
      <w:color w:val="000000"/>
      <w:sz w:val="24"/>
      <w:szCs w:val="24"/>
      <w:lang w:val="en-US" w:eastAsia="zh-CN" w:bidi="ar-SA"/>
    </w:rPr>
  </w:style>
  <w:style w:type="paragraph" w:customStyle="1" w:styleId="45">
    <w:name w:val="样式1"/>
    <w:basedOn w:val="1"/>
    <w:qFormat/>
    <w:uiPriority w:val="0"/>
    <w:pPr>
      <w:adjustRightInd w:val="0"/>
      <w:textAlignment w:val="baseline"/>
    </w:pPr>
    <w:rPr>
      <w:rFonts w:ascii="宋体" w:hAnsi="宋体"/>
      <w:kern w:val="0"/>
      <w:szCs w:val="21"/>
    </w:rPr>
  </w:style>
  <w:style w:type="paragraph" w:customStyle="1" w:styleId="46">
    <w:name w:val="列出段落1"/>
    <w:basedOn w:val="1"/>
    <w:qFormat/>
    <w:uiPriority w:val="99"/>
    <w:pPr>
      <w:ind w:firstLine="420" w:firstLineChars="200"/>
    </w:pPr>
  </w:style>
  <w:style w:type="paragraph" w:customStyle="1" w:styleId="47">
    <w:name w:val="正文1"/>
    <w:basedOn w:val="1"/>
    <w:qFormat/>
    <w:uiPriority w:val="0"/>
    <w:pPr>
      <w:ind w:firstLine="420" w:firstLineChars="200"/>
    </w:pPr>
    <w:rPr>
      <w:rFonts w:ascii="宋体" w:hAnsi="宋体"/>
    </w:rPr>
  </w:style>
  <w:style w:type="paragraph" w:styleId="48">
    <w:name w:val="List Paragraph"/>
    <w:basedOn w:val="1"/>
    <w:qFormat/>
    <w:uiPriority w:val="34"/>
    <w:pPr>
      <w:widowControl/>
      <w:ind w:firstLine="420" w:firstLineChars="200"/>
      <w:jc w:val="left"/>
    </w:pPr>
    <w:rPr>
      <w:kern w:val="0"/>
      <w:sz w:val="24"/>
    </w:rPr>
  </w:style>
  <w:style w:type="paragraph" w:customStyle="1" w:styleId="49">
    <w:name w:val="Char"/>
    <w:basedOn w:val="1"/>
    <w:qFormat/>
    <w:uiPriority w:val="0"/>
    <w:pPr>
      <w:tabs>
        <w:tab w:val="left" w:pos="360"/>
      </w:tabs>
    </w:pPr>
    <w:rPr>
      <w:sz w:val="24"/>
    </w:rPr>
  </w:style>
  <w:style w:type="paragraph" w:customStyle="1" w:styleId="50">
    <w:name w:val="标号标题"/>
    <w:basedOn w:val="1"/>
    <w:qFormat/>
    <w:uiPriority w:val="99"/>
    <w:pPr>
      <w:widowControl/>
      <w:numPr>
        <w:ilvl w:val="0"/>
        <w:numId w:val="1"/>
      </w:numPr>
      <w:tabs>
        <w:tab w:val="left" w:pos="360"/>
        <w:tab w:val="left" w:pos="1133"/>
      </w:tabs>
      <w:spacing w:line="360" w:lineRule="auto"/>
      <w:jc w:val="left"/>
    </w:pPr>
    <w:rPr>
      <w:b/>
      <w:bCs/>
      <w:szCs w:val="21"/>
    </w:rPr>
  </w:style>
  <w:style w:type="paragraph" w:customStyle="1" w:styleId="51">
    <w:name w:val="索引 11"/>
    <w:basedOn w:val="1"/>
    <w:next w:val="1"/>
    <w:qFormat/>
    <w:uiPriority w:val="0"/>
    <w:pPr>
      <w:spacing w:line="360" w:lineRule="auto"/>
    </w:pPr>
    <w:rPr>
      <w:rFonts w:ascii="仿宋_GB2312" w:eastAsia="仿宋_GB2312"/>
      <w:sz w:val="24"/>
      <w:szCs w:val="20"/>
    </w:rPr>
  </w:style>
  <w:style w:type="paragraph" w:customStyle="1" w:styleId="52">
    <w:name w:val="纯文本1"/>
    <w:basedOn w:val="1"/>
    <w:link w:val="57"/>
    <w:qFormat/>
    <w:uiPriority w:val="0"/>
    <w:rPr>
      <w:rFonts w:ascii="宋体" w:hAnsi="Courier New"/>
      <w:kern w:val="0"/>
      <w:sz w:val="20"/>
      <w:szCs w:val="20"/>
    </w:rPr>
  </w:style>
  <w:style w:type="paragraph" w:customStyle="1" w:styleId="53">
    <w:name w:val="正文缩进1"/>
    <w:basedOn w:val="1"/>
    <w:link w:val="67"/>
    <w:qFormat/>
    <w:uiPriority w:val="0"/>
    <w:pPr>
      <w:autoSpaceDE w:val="0"/>
      <w:autoSpaceDN w:val="0"/>
      <w:adjustRightInd w:val="0"/>
      <w:ind w:firstLine="420"/>
      <w:jc w:val="left"/>
    </w:pPr>
    <w:rPr>
      <w:rFonts w:ascii="宋体"/>
      <w:kern w:val="0"/>
      <w:sz w:val="24"/>
      <w:szCs w:val="20"/>
    </w:rPr>
  </w:style>
  <w:style w:type="character" w:customStyle="1" w:styleId="54">
    <w:name w:val="页眉 Char1"/>
    <w:semiHidden/>
    <w:qFormat/>
    <w:uiPriority w:val="99"/>
    <w:rPr>
      <w:kern w:val="2"/>
      <w:sz w:val="18"/>
      <w:szCs w:val="18"/>
    </w:rPr>
  </w:style>
  <w:style w:type="character" w:customStyle="1" w:styleId="55">
    <w:name w:val="标题 2 Char"/>
    <w:link w:val="8"/>
    <w:qFormat/>
    <w:uiPriority w:val="0"/>
    <w:rPr>
      <w:rFonts w:ascii="Arial" w:hAnsi="Arial" w:eastAsia="黑体"/>
      <w:b/>
      <w:sz w:val="30"/>
    </w:rPr>
  </w:style>
  <w:style w:type="character" w:customStyle="1" w:styleId="56">
    <w:name w:val="页脚 Char"/>
    <w:link w:val="22"/>
    <w:qFormat/>
    <w:uiPriority w:val="99"/>
    <w:rPr>
      <w:rFonts w:ascii="宋体"/>
      <w:sz w:val="18"/>
    </w:rPr>
  </w:style>
  <w:style w:type="character" w:customStyle="1" w:styleId="57">
    <w:name w:val="纯文本 Char1"/>
    <w:link w:val="52"/>
    <w:qFormat/>
    <w:uiPriority w:val="0"/>
    <w:rPr>
      <w:rFonts w:ascii="宋体" w:hAnsi="Courier New"/>
    </w:rPr>
  </w:style>
  <w:style w:type="character" w:customStyle="1" w:styleId="58">
    <w:name w:val="NormalCharacter"/>
    <w:qFormat/>
    <w:uiPriority w:val="0"/>
  </w:style>
  <w:style w:type="character" w:customStyle="1" w:styleId="59">
    <w:name w:val="批注文字 Char"/>
    <w:link w:val="13"/>
    <w:qFormat/>
    <w:uiPriority w:val="99"/>
    <w:rPr>
      <w:kern w:val="2"/>
      <w:sz w:val="21"/>
      <w:szCs w:val="24"/>
    </w:rPr>
  </w:style>
  <w:style w:type="character" w:customStyle="1" w:styleId="60">
    <w:name w:val="批注主题 Char1"/>
    <w:semiHidden/>
    <w:qFormat/>
    <w:uiPriority w:val="99"/>
    <w:rPr>
      <w:b/>
      <w:bCs/>
      <w:kern w:val="2"/>
      <w:sz w:val="21"/>
      <w:szCs w:val="24"/>
    </w:rPr>
  </w:style>
  <w:style w:type="character" w:customStyle="1" w:styleId="61">
    <w:name w:val="批注框文本 Char"/>
    <w:link w:val="21"/>
    <w:qFormat/>
    <w:uiPriority w:val="0"/>
    <w:rPr>
      <w:kern w:val="2"/>
      <w:sz w:val="18"/>
      <w:szCs w:val="18"/>
    </w:rPr>
  </w:style>
  <w:style w:type="character" w:customStyle="1" w:styleId="62">
    <w:name w:val="批注主题 Char"/>
    <w:link w:val="36"/>
    <w:qFormat/>
    <w:uiPriority w:val="0"/>
    <w:rPr>
      <w:b/>
      <w:bCs/>
      <w:kern w:val="2"/>
      <w:sz w:val="21"/>
      <w:szCs w:val="24"/>
    </w:rPr>
  </w:style>
  <w:style w:type="character" w:customStyle="1" w:styleId="63">
    <w:name w:val="纯文本 Char"/>
    <w:link w:val="17"/>
    <w:qFormat/>
    <w:uiPriority w:val="0"/>
    <w:rPr>
      <w:rFonts w:ascii="宋体" w:hAnsi="Courier New"/>
      <w:kern w:val="2"/>
      <w:sz w:val="21"/>
    </w:rPr>
  </w:style>
  <w:style w:type="character" w:customStyle="1" w:styleId="64">
    <w:name w:val="标题 3 Char"/>
    <w:link w:val="9"/>
    <w:qFormat/>
    <w:uiPriority w:val="0"/>
    <w:rPr>
      <w:rFonts w:ascii="宋体"/>
      <w:b/>
      <w:sz w:val="24"/>
      <w:u w:val="single"/>
    </w:rPr>
  </w:style>
  <w:style w:type="character" w:customStyle="1" w:styleId="65">
    <w:name w:val="正文文本 Char"/>
    <w:link w:val="2"/>
    <w:qFormat/>
    <w:uiPriority w:val="0"/>
    <w:rPr>
      <w:rFonts w:ascii="宋体" w:hAnsi="宋体"/>
      <w:kern w:val="2"/>
      <w:sz w:val="24"/>
      <w:szCs w:val="24"/>
    </w:rPr>
  </w:style>
  <w:style w:type="character" w:customStyle="1" w:styleId="66">
    <w:name w:val="批注框文本 Char1"/>
    <w:semiHidden/>
    <w:qFormat/>
    <w:uiPriority w:val="99"/>
    <w:rPr>
      <w:kern w:val="2"/>
      <w:sz w:val="18"/>
      <w:szCs w:val="18"/>
    </w:rPr>
  </w:style>
  <w:style w:type="character" w:customStyle="1" w:styleId="67">
    <w:name w:val="正文缩进 Char1"/>
    <w:link w:val="53"/>
    <w:qFormat/>
    <w:uiPriority w:val="0"/>
    <w:rPr>
      <w:rFonts w:ascii="宋体"/>
      <w:sz w:val="24"/>
    </w:rPr>
  </w:style>
  <w:style w:type="character" w:customStyle="1" w:styleId="68">
    <w:name w:val="日期 Char"/>
    <w:link w:val="19"/>
    <w:qFormat/>
    <w:uiPriority w:val="0"/>
    <w:rPr>
      <w:rFonts w:ascii="仿宋_GB2312" w:hAnsi="宋体" w:eastAsia="仿宋_GB2312"/>
      <w:color w:val="000000"/>
      <w:kern w:val="2"/>
      <w:sz w:val="24"/>
      <w:szCs w:val="24"/>
    </w:rPr>
  </w:style>
  <w:style w:type="character" w:customStyle="1" w:styleId="69">
    <w:name w:val="页眉 Char"/>
    <w:link w:val="24"/>
    <w:qFormat/>
    <w:uiPriority w:val="0"/>
    <w:rPr>
      <w:kern w:val="2"/>
      <w:sz w:val="18"/>
      <w:szCs w:val="18"/>
    </w:rPr>
  </w:style>
  <w:style w:type="character" w:customStyle="1" w:styleId="70">
    <w:name w:val="标题 1 Char"/>
    <w:link w:val="7"/>
    <w:qFormat/>
    <w:uiPriority w:val="0"/>
    <w:rPr>
      <w:rFonts w:ascii="宋体"/>
      <w:b/>
      <w:kern w:val="44"/>
      <w:sz w:val="32"/>
    </w:rPr>
  </w:style>
  <w:style w:type="character" w:customStyle="1" w:styleId="71">
    <w:name w:val="批注文字 Char1"/>
    <w:semiHidden/>
    <w:qFormat/>
    <w:uiPriority w:val="99"/>
    <w:rPr>
      <w:kern w:val="2"/>
      <w:sz w:val="21"/>
      <w:szCs w:val="24"/>
    </w:rPr>
  </w:style>
  <w:style w:type="table" w:customStyle="1" w:styleId="72">
    <w:name w:val="Table Normal"/>
    <w:qFormat/>
    <w:uiPriority w:val="0"/>
    <w:tblPr>
      <w:tblCellMar>
        <w:top w:w="0" w:type="dxa"/>
        <w:left w:w="0" w:type="dxa"/>
        <w:bottom w:w="0" w:type="dxa"/>
        <w:right w:w="0" w:type="dxa"/>
      </w:tblCellMar>
    </w:tblPr>
  </w:style>
  <w:style w:type="character" w:customStyle="1" w:styleId="73">
    <w:name w:val="fontstyle01"/>
    <w:basedOn w:val="39"/>
    <w:qFormat/>
    <w:uiPriority w:val="0"/>
    <w:rPr>
      <w:rFonts w:hint="eastAsia" w:ascii="仿宋_GB2312" w:eastAsia="仿宋_GB2312"/>
      <w:color w:val="000000"/>
      <w:sz w:val="28"/>
      <w:szCs w:val="28"/>
    </w:rPr>
  </w:style>
  <w:style w:type="paragraph" w:customStyle="1" w:styleId="74">
    <w:name w:val="Table Paragraph"/>
    <w:basedOn w:val="1"/>
    <w:qFormat/>
    <w:uiPriority w:val="1"/>
    <w:rPr>
      <w:rFonts w:ascii="宋体" w:hAnsi="宋体" w:cs="宋体"/>
      <w:lang w:val="zh-CN" w:bidi="zh-CN"/>
    </w:rPr>
  </w:style>
  <w:style w:type="character" w:customStyle="1" w:styleId="75">
    <w:name w:val="标题 2 Char1"/>
    <w:link w:val="8"/>
    <w:qFormat/>
    <w:uiPriority w:val="0"/>
    <w:rPr>
      <w:rFonts w:ascii="Arial" w:hAnsi="Arial" w:eastAsia="黑体" w:cs="Times New Roman"/>
      <w:b/>
      <w:bCs/>
      <w:sz w:val="32"/>
      <w:szCs w:val="32"/>
    </w:rPr>
  </w:style>
  <w:style w:type="paragraph" w:customStyle="1" w:styleId="76">
    <w:name w:val="WPSOffice手动目录 1"/>
    <w:uiPriority w:val="0"/>
    <w:pPr>
      <w:ind w:leftChars="0"/>
    </w:pPr>
    <w:rPr>
      <w:rFonts w:ascii="Times New Roman" w:hAnsi="Times New Roman" w:eastAsia="宋体" w:cs="Times New Roman"/>
      <w:sz w:val="20"/>
      <w:szCs w:val="20"/>
    </w:rPr>
  </w:style>
  <w:style w:type="paragraph" w:customStyle="1" w:styleId="77">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101</Pages>
  <Words>53702</Words>
  <Characters>58352</Characters>
  <Lines>399</Lines>
  <Paragraphs>112</Paragraphs>
  <TotalTime>1</TotalTime>
  <ScaleCrop>false</ScaleCrop>
  <LinksUpToDate>false</LinksUpToDate>
  <CharactersWithSpaces>61361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2021-04-05T13:24:00Z</dcterms:created>
  <dc:creator>USER-</dc:creator>
  <cp:lastModifiedBy>孙丽</cp:lastModifiedBy>
  <cp:lastPrinted>2021-11-29T04:41:00Z</cp:lastPrinted>
  <dcterms:modified xsi:type="dcterms:W3CDTF">2023-02-14T10:53:23Z</dcterms:modified>
  <dc:title>02年杜范本稿</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5526BFCA5DAA466BAB6D93D5890D9F64</vt:lpwstr>
  </property>
</Properties>
</file>