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3AC5">
      <w:pPr>
        <w:autoSpaceDE w:val="0"/>
        <w:autoSpaceDN w:val="0"/>
        <w:spacing w:line="360" w:lineRule="auto"/>
        <w:rPr>
          <w:rFonts w:hint="eastAsia" w:ascii="仿宋" w:hAnsi="仿宋" w:eastAsia="仿宋" w:cs="仿宋"/>
          <w:b/>
          <w:color w:val="auto"/>
          <w:kern w:val="0"/>
          <w:sz w:val="36"/>
          <w:szCs w:val="36"/>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ZCD(GK)[202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sz w:val="30"/>
          <w:szCs w:val="30"/>
          <w:lang w:eastAsia="zh-CN"/>
        </w:rPr>
        <w:t>03</w:t>
      </w:r>
      <w:r>
        <w:rPr>
          <w:rFonts w:hint="eastAsia" w:ascii="仿宋" w:hAnsi="仿宋" w:eastAsia="仿宋" w:cs="仿宋"/>
          <w:b/>
          <w:bCs/>
          <w:color w:val="auto"/>
          <w:sz w:val="30"/>
          <w:szCs w:val="30"/>
          <w:lang w:val="en-US" w:eastAsia="zh-CN"/>
        </w:rPr>
        <w:t xml:space="preserve">0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【采购】</w:t>
      </w:r>
    </w:p>
    <w:p w14:paraId="4DA22083">
      <w:pPr>
        <w:autoSpaceDE w:val="0"/>
        <w:autoSpaceDN w:val="0"/>
        <w:jc w:val="center"/>
        <w:outlineLvl w:val="9"/>
        <w:rPr>
          <w:rFonts w:hint="eastAsia" w:ascii="仿宋" w:hAnsi="仿宋" w:eastAsia="仿宋" w:cs="仿宋"/>
          <w:b/>
          <w:bCs/>
          <w:color w:val="auto"/>
          <w:kern w:val="36"/>
          <w:sz w:val="15"/>
          <w:szCs w:val="15"/>
          <w:lang w:val="en-US" w:eastAsia="zh-CN"/>
        </w:rPr>
      </w:pPr>
      <w:r>
        <w:rPr>
          <w:rFonts w:hint="eastAsia" w:ascii="仿宋" w:hAnsi="仿宋" w:eastAsia="仿宋" w:cs="仿宋"/>
          <w:b/>
          <w:bCs/>
          <w:color w:val="auto"/>
          <w:kern w:val="36"/>
          <w:sz w:val="15"/>
          <w:szCs w:val="15"/>
          <w:lang w:val="en-US" w:eastAsia="zh-CN"/>
        </w:rPr>
        <w:t xml:space="preserve"> </w:t>
      </w:r>
    </w:p>
    <w:p w14:paraId="74BAEE77">
      <w:pPr>
        <w:autoSpaceDE w:val="0"/>
        <w:autoSpaceDN w:val="0"/>
        <w:jc w:val="center"/>
        <w:rPr>
          <w:rFonts w:hint="eastAsia" w:ascii="仿宋" w:hAnsi="仿宋" w:eastAsia="仿宋" w:cs="仿宋"/>
          <w:b/>
          <w:bCs/>
          <w:color w:val="auto"/>
          <w:kern w:val="36"/>
          <w:sz w:val="48"/>
          <w:szCs w:val="48"/>
          <w:lang w:eastAsia="zh-CN"/>
        </w:rPr>
      </w:pPr>
      <w:r>
        <w:rPr>
          <w:rFonts w:hint="eastAsia" w:ascii="仿宋" w:hAnsi="仿宋" w:eastAsia="仿宋" w:cs="仿宋"/>
          <w:b/>
          <w:bCs/>
          <w:color w:val="auto"/>
          <w:kern w:val="36"/>
          <w:sz w:val="48"/>
          <w:szCs w:val="48"/>
          <w:lang w:eastAsia="zh-CN"/>
        </w:rPr>
        <w:t>喀什地区纤维检验所棉花公检实验室AGV自动转运调度系统采购项目</w:t>
      </w:r>
    </w:p>
    <w:p w14:paraId="6FB1CD9D">
      <w:pPr>
        <w:autoSpaceDE w:val="0"/>
        <w:autoSpaceDN w:val="0"/>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（综合评分</w:t>
      </w:r>
      <w:r>
        <w:rPr>
          <w:rFonts w:hint="eastAsia" w:ascii="仿宋" w:hAnsi="仿宋" w:eastAsia="仿宋" w:cs="仿宋"/>
          <w:b/>
          <w:bCs/>
          <w:color w:val="auto"/>
          <w:kern w:val="0"/>
          <w:sz w:val="30"/>
          <w:szCs w:val="30"/>
        </w:rPr>
        <w:t>法</w:t>
      </w:r>
      <w:r>
        <w:rPr>
          <w:rFonts w:hint="eastAsia" w:ascii="仿宋" w:hAnsi="仿宋" w:eastAsia="仿宋" w:cs="仿宋"/>
          <w:b/>
          <w:bCs/>
          <w:color w:val="auto"/>
          <w:sz w:val="30"/>
          <w:szCs w:val="30"/>
          <w:lang w:val="zh-CN"/>
        </w:rPr>
        <w:t>）</w:t>
      </w:r>
    </w:p>
    <w:p w14:paraId="6DB7E18F">
      <w:pPr>
        <w:widowControl/>
        <w:autoSpaceDE w:val="0"/>
        <w:autoSpaceDN w:val="0"/>
        <w:ind w:right="-26"/>
        <w:textAlignment w:val="bottom"/>
        <w:rPr>
          <w:rFonts w:hint="eastAsia" w:ascii="仿宋" w:hAnsi="仿宋" w:eastAsia="仿宋" w:cs="仿宋"/>
          <w:b/>
          <w:color w:val="auto"/>
          <w:sz w:val="96"/>
          <w:szCs w:val="96"/>
        </w:rPr>
      </w:pP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r>
        <w:rPr>
          <w:rFonts w:hint="eastAsia" w:ascii="仿宋" w:hAnsi="仿宋" w:eastAsia="仿宋" w:cs="仿宋"/>
          <w:b/>
          <w:color w:val="auto"/>
          <w:sz w:val="96"/>
          <w:szCs w:val="96"/>
          <w:lang w:val="en-US" w:eastAsia="zh-CN"/>
        </w:rPr>
        <w:t xml:space="preserve"> </w:t>
      </w:r>
    </w:p>
    <w:p w14:paraId="09CAB1CB">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0" w:name="_Toc24249"/>
      <w:bookmarkStart w:id="1" w:name="_Toc1841"/>
      <w:bookmarkStart w:id="2" w:name="_Toc18345"/>
      <w:bookmarkStart w:id="3" w:name="_Toc17309"/>
      <w:bookmarkStart w:id="4" w:name="_Toc15809"/>
      <w:bookmarkStart w:id="5" w:name="_Toc14504"/>
      <w:bookmarkStart w:id="6" w:name="_Toc32725"/>
      <w:bookmarkStart w:id="7" w:name="_Toc30622"/>
      <w:bookmarkStart w:id="8" w:name="_Toc4787"/>
      <w:bookmarkStart w:id="9" w:name="_Toc26939"/>
      <w:r>
        <w:rPr>
          <w:rFonts w:hint="eastAsia" w:ascii="仿宋" w:hAnsi="仿宋" w:eastAsia="仿宋" w:cs="仿宋"/>
          <w:b/>
          <w:color w:val="auto"/>
          <w:sz w:val="96"/>
          <w:szCs w:val="96"/>
        </w:rPr>
        <w:t>招</w:t>
      </w:r>
      <w:bookmarkEnd w:id="0"/>
      <w:bookmarkEnd w:id="1"/>
      <w:bookmarkEnd w:id="2"/>
      <w:bookmarkEnd w:id="3"/>
      <w:bookmarkEnd w:id="4"/>
      <w:bookmarkEnd w:id="5"/>
      <w:bookmarkEnd w:id="6"/>
      <w:bookmarkEnd w:id="7"/>
      <w:bookmarkEnd w:id="8"/>
      <w:bookmarkEnd w:id="9"/>
    </w:p>
    <w:p w14:paraId="2FFDE801">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10" w:name="_Toc24413"/>
      <w:bookmarkStart w:id="11" w:name="_Toc1417"/>
      <w:bookmarkStart w:id="12" w:name="_Toc5848"/>
      <w:bookmarkStart w:id="13" w:name="_Toc13648"/>
      <w:bookmarkStart w:id="14" w:name="_Toc23869"/>
      <w:bookmarkStart w:id="15" w:name="_Toc26139"/>
      <w:bookmarkStart w:id="16" w:name="_Toc1186"/>
      <w:bookmarkStart w:id="17" w:name="_Toc6582"/>
      <w:bookmarkStart w:id="18" w:name="_Toc9481"/>
      <w:bookmarkStart w:id="19" w:name="_Toc22003"/>
      <w:r>
        <w:rPr>
          <w:rFonts w:hint="eastAsia" w:ascii="仿宋" w:hAnsi="仿宋" w:eastAsia="仿宋" w:cs="仿宋"/>
          <w:b/>
          <w:color w:val="auto"/>
          <w:sz w:val="96"/>
          <w:szCs w:val="96"/>
        </w:rPr>
        <w:t>标</w:t>
      </w:r>
      <w:bookmarkEnd w:id="10"/>
      <w:bookmarkEnd w:id="11"/>
      <w:bookmarkEnd w:id="12"/>
      <w:bookmarkEnd w:id="13"/>
      <w:bookmarkEnd w:id="14"/>
      <w:bookmarkEnd w:id="15"/>
      <w:bookmarkEnd w:id="16"/>
      <w:bookmarkEnd w:id="17"/>
      <w:bookmarkEnd w:id="18"/>
      <w:bookmarkEnd w:id="19"/>
    </w:p>
    <w:p w14:paraId="4CB4D16A">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20" w:name="_Toc2785"/>
      <w:bookmarkStart w:id="21" w:name="_Toc2052"/>
      <w:bookmarkStart w:id="22" w:name="_Toc12778"/>
      <w:bookmarkStart w:id="23" w:name="_Toc11276"/>
      <w:bookmarkStart w:id="24" w:name="_Toc12096"/>
      <w:bookmarkStart w:id="25" w:name="_Toc3874"/>
      <w:bookmarkStart w:id="26" w:name="_Toc1192"/>
      <w:bookmarkStart w:id="27" w:name="_Toc13583"/>
      <w:bookmarkStart w:id="28" w:name="_Toc19787"/>
      <w:bookmarkStart w:id="29" w:name="_Toc14657"/>
      <w:r>
        <w:rPr>
          <w:rFonts w:hint="eastAsia" w:ascii="仿宋" w:hAnsi="仿宋" w:eastAsia="仿宋" w:cs="仿宋"/>
          <w:b/>
          <w:color w:val="auto"/>
          <w:sz w:val="96"/>
          <w:szCs w:val="96"/>
        </w:rPr>
        <w:t>文</w:t>
      </w:r>
      <w:bookmarkEnd w:id="20"/>
      <w:bookmarkEnd w:id="21"/>
      <w:bookmarkEnd w:id="22"/>
      <w:bookmarkEnd w:id="23"/>
      <w:bookmarkEnd w:id="24"/>
      <w:bookmarkEnd w:id="25"/>
      <w:bookmarkEnd w:id="26"/>
      <w:bookmarkEnd w:id="27"/>
      <w:bookmarkEnd w:id="28"/>
      <w:bookmarkEnd w:id="29"/>
    </w:p>
    <w:p w14:paraId="4396C356">
      <w:pPr>
        <w:widowControl/>
        <w:autoSpaceDE w:val="0"/>
        <w:autoSpaceDN w:val="0"/>
        <w:ind w:right="-26"/>
        <w:jc w:val="center"/>
        <w:textAlignment w:val="bottom"/>
        <w:outlineLvl w:val="0"/>
        <w:rPr>
          <w:rFonts w:hint="eastAsia" w:ascii="仿宋" w:hAnsi="仿宋" w:eastAsia="仿宋" w:cs="仿宋"/>
          <w:b/>
          <w:color w:val="auto"/>
          <w:sz w:val="96"/>
          <w:szCs w:val="96"/>
        </w:rPr>
      </w:pPr>
      <w:bookmarkStart w:id="30" w:name="_Toc30157"/>
      <w:bookmarkStart w:id="31" w:name="_Toc2631"/>
      <w:bookmarkStart w:id="32" w:name="_Toc5061"/>
      <w:bookmarkStart w:id="33" w:name="_Toc21065"/>
      <w:bookmarkStart w:id="34" w:name="_Toc6442"/>
      <w:bookmarkStart w:id="35" w:name="_Toc15326"/>
      <w:bookmarkStart w:id="36" w:name="_Toc28263"/>
      <w:bookmarkStart w:id="37" w:name="_Toc14636"/>
      <w:bookmarkStart w:id="38" w:name="_Toc2955"/>
      <w:bookmarkStart w:id="39" w:name="_Toc6725"/>
      <w:r>
        <w:rPr>
          <w:rFonts w:hint="eastAsia" w:ascii="仿宋" w:hAnsi="仿宋" w:eastAsia="仿宋" w:cs="仿宋"/>
          <w:b/>
          <w:color w:val="auto"/>
          <w:sz w:val="96"/>
          <w:szCs w:val="96"/>
        </w:rPr>
        <w:t>件</w:t>
      </w:r>
      <w:bookmarkEnd w:id="30"/>
      <w:bookmarkEnd w:id="31"/>
      <w:bookmarkEnd w:id="32"/>
      <w:bookmarkEnd w:id="33"/>
      <w:bookmarkEnd w:id="34"/>
      <w:bookmarkEnd w:id="35"/>
      <w:bookmarkEnd w:id="36"/>
      <w:bookmarkEnd w:id="37"/>
      <w:bookmarkEnd w:id="38"/>
      <w:bookmarkEnd w:id="39"/>
    </w:p>
    <w:p w14:paraId="51156E3F">
      <w:pPr>
        <w:widowControl/>
        <w:autoSpaceDE w:val="0"/>
        <w:autoSpaceDN w:val="0"/>
        <w:ind w:right="-26"/>
        <w:textAlignment w:val="bottom"/>
        <w:rPr>
          <w:rFonts w:hint="eastAsia" w:ascii="仿宋" w:hAnsi="仿宋" w:eastAsia="仿宋" w:cs="仿宋"/>
          <w:b/>
          <w:color w:val="auto"/>
          <w:sz w:val="32"/>
        </w:rPr>
      </w:pPr>
    </w:p>
    <w:p w14:paraId="1238AA76">
      <w:pPr>
        <w:widowControl/>
        <w:autoSpaceDE w:val="0"/>
        <w:autoSpaceDN w:val="0"/>
        <w:ind w:right="-26"/>
        <w:textAlignment w:val="bottom"/>
        <w:rPr>
          <w:rFonts w:hint="eastAsia" w:ascii="仿宋" w:hAnsi="仿宋" w:eastAsia="仿宋" w:cs="仿宋"/>
          <w:b/>
          <w:color w:val="auto"/>
          <w:sz w:val="32"/>
        </w:rPr>
      </w:pPr>
    </w:p>
    <w:p w14:paraId="3F05DC03">
      <w:pPr>
        <w:pStyle w:val="26"/>
        <w:rPr>
          <w:rFonts w:hint="eastAsia" w:ascii="仿宋" w:hAnsi="仿宋" w:eastAsia="仿宋" w:cs="仿宋"/>
          <w:b/>
          <w:color w:val="auto"/>
          <w:sz w:val="32"/>
        </w:rPr>
      </w:pPr>
    </w:p>
    <w:p w14:paraId="3534B65C">
      <w:pPr>
        <w:pStyle w:val="12"/>
        <w:rPr>
          <w:rFonts w:hint="eastAsia"/>
          <w:color w:val="auto"/>
        </w:rPr>
      </w:pPr>
    </w:p>
    <w:p w14:paraId="07C02736">
      <w:pPr>
        <w:widowControl/>
        <w:autoSpaceDE w:val="0"/>
        <w:autoSpaceDN w:val="0"/>
        <w:ind w:right="-26"/>
        <w:textAlignment w:val="bottom"/>
        <w:rPr>
          <w:rFonts w:hint="eastAsia" w:ascii="仿宋" w:hAnsi="仿宋" w:eastAsia="仿宋" w:cs="仿宋"/>
          <w:b/>
          <w:color w:val="auto"/>
          <w:sz w:val="32"/>
          <w:lang w:eastAsia="zh-CN"/>
        </w:rPr>
      </w:pPr>
      <w:r>
        <w:rPr>
          <w:rFonts w:hint="eastAsia" w:ascii="仿宋" w:hAnsi="仿宋" w:eastAsia="仿宋" w:cs="仿宋"/>
          <w:b/>
          <w:color w:val="auto"/>
          <w:sz w:val="32"/>
          <w:lang w:eastAsia="zh-CN"/>
        </w:rPr>
        <w:t>采购单位</w:t>
      </w:r>
      <w:r>
        <w:rPr>
          <w:rFonts w:hint="eastAsia" w:ascii="仿宋" w:hAnsi="仿宋" w:eastAsia="仿宋" w:cs="仿宋"/>
          <w:b/>
          <w:color w:val="auto"/>
          <w:sz w:val="32"/>
        </w:rPr>
        <w:t>：</w:t>
      </w:r>
      <w:r>
        <w:rPr>
          <w:rFonts w:hint="eastAsia" w:ascii="仿宋" w:hAnsi="仿宋" w:eastAsia="仿宋" w:cs="仿宋"/>
          <w:b/>
          <w:color w:val="auto"/>
          <w:sz w:val="32"/>
          <w:lang w:eastAsia="zh-CN"/>
        </w:rPr>
        <w:t>喀什地区纤维检验所</w:t>
      </w:r>
    </w:p>
    <w:p w14:paraId="2F39A364">
      <w:pPr>
        <w:widowControl/>
        <w:autoSpaceDE w:val="0"/>
        <w:autoSpaceDN w:val="0"/>
        <w:ind w:right="-26"/>
        <w:textAlignment w:val="bottom"/>
        <w:rPr>
          <w:rFonts w:hint="eastAsia" w:ascii="仿宋" w:hAnsi="仿宋" w:eastAsia="仿宋" w:cs="仿宋"/>
          <w:b/>
          <w:color w:val="auto"/>
          <w:sz w:val="32"/>
        </w:rPr>
      </w:pPr>
    </w:p>
    <w:p w14:paraId="22C10289">
      <w:pPr>
        <w:widowControl/>
        <w:autoSpaceDE w:val="0"/>
        <w:autoSpaceDN w:val="0"/>
        <w:ind w:right="-26"/>
        <w:textAlignment w:val="bottom"/>
        <w:rPr>
          <w:rFonts w:hint="eastAsia" w:ascii="仿宋" w:hAnsi="仿宋" w:eastAsia="仿宋" w:cs="仿宋"/>
          <w:color w:val="auto"/>
          <w:sz w:val="84"/>
          <w:szCs w:val="84"/>
          <w:lang w:eastAsia="zh-CN"/>
        </w:rPr>
      </w:pPr>
      <w:r>
        <w:rPr>
          <w:rFonts w:hint="eastAsia" w:ascii="仿宋" w:hAnsi="仿宋" w:eastAsia="仿宋" w:cs="仿宋"/>
          <w:b/>
          <w:color w:val="auto"/>
          <w:sz w:val="32"/>
        </w:rPr>
        <w:t>代理机构：</w:t>
      </w:r>
      <w:r>
        <w:rPr>
          <w:rFonts w:hint="eastAsia" w:ascii="仿宋" w:hAnsi="仿宋" w:eastAsia="仿宋" w:cs="仿宋"/>
          <w:b/>
          <w:color w:val="auto"/>
          <w:sz w:val="32"/>
          <w:lang w:eastAsia="zh-CN"/>
        </w:rPr>
        <w:t>智诚达项目管理咨询有限公司</w:t>
      </w:r>
    </w:p>
    <w:p w14:paraId="3A4A2A85">
      <w:pPr>
        <w:spacing w:line="240" w:lineRule="atLeast"/>
        <w:ind w:left="1079" w:leftChars="257" w:hanging="540"/>
        <w:jc w:val="center"/>
        <w:rPr>
          <w:rFonts w:ascii="仿宋" w:hAnsi="仿宋" w:eastAsia="仿宋" w:cs="仿宋"/>
          <w:b/>
          <w:color w:val="auto"/>
          <w:kern w:val="0"/>
          <w:sz w:val="36"/>
          <w:szCs w:val="36"/>
        </w:rPr>
      </w:pPr>
    </w:p>
    <w:p w14:paraId="57DBE91D">
      <w:pPr>
        <w:spacing w:line="240" w:lineRule="atLeast"/>
        <w:ind w:left="1079" w:leftChars="257" w:hanging="540"/>
        <w:jc w:val="center"/>
        <w:rPr>
          <w:rFonts w:ascii="仿宋" w:hAnsi="仿宋" w:eastAsia="仿宋" w:cs="仿宋"/>
          <w:b/>
          <w:color w:val="auto"/>
          <w:kern w:val="0"/>
          <w:sz w:val="36"/>
          <w:szCs w:val="36"/>
        </w:rPr>
      </w:pPr>
    </w:p>
    <w:p w14:paraId="020F8BA1">
      <w:pPr>
        <w:pStyle w:val="2"/>
        <w:rPr>
          <w:rFonts w:ascii="仿宋" w:hAnsi="仿宋" w:eastAsia="仿宋" w:cs="仿宋"/>
          <w:b/>
          <w:color w:val="auto"/>
          <w:kern w:val="0"/>
          <w:sz w:val="36"/>
          <w:szCs w:val="36"/>
        </w:rPr>
      </w:pPr>
    </w:p>
    <w:p w14:paraId="54BB7C2C">
      <w:pPr>
        <w:rPr>
          <w:rFonts w:ascii="仿宋" w:hAnsi="仿宋" w:eastAsia="仿宋" w:cs="仿宋"/>
          <w:b/>
          <w:color w:val="auto"/>
          <w:kern w:val="0"/>
          <w:sz w:val="36"/>
          <w:szCs w:val="36"/>
        </w:rPr>
      </w:pPr>
    </w:p>
    <w:p w14:paraId="105FE280">
      <w:pPr>
        <w:pStyle w:val="2"/>
        <w:rPr>
          <w:rFonts w:ascii="仿宋" w:hAnsi="仿宋" w:eastAsia="仿宋" w:cs="仿宋"/>
          <w:b/>
          <w:color w:val="auto"/>
          <w:kern w:val="0"/>
          <w:sz w:val="36"/>
          <w:szCs w:val="36"/>
        </w:rPr>
      </w:pPr>
    </w:p>
    <w:p w14:paraId="3A83CC8B">
      <w:pPr>
        <w:rPr>
          <w:rFonts w:ascii="仿宋" w:hAnsi="仿宋" w:eastAsia="仿宋" w:cs="仿宋"/>
          <w:b/>
          <w:color w:val="auto"/>
          <w:kern w:val="0"/>
          <w:sz w:val="36"/>
          <w:szCs w:val="36"/>
        </w:rPr>
      </w:pPr>
    </w:p>
    <w:p w14:paraId="222E4521">
      <w:pPr>
        <w:pStyle w:val="2"/>
        <w:rPr>
          <w:rFonts w:ascii="仿宋" w:hAnsi="仿宋" w:eastAsia="仿宋" w:cs="仿宋"/>
          <w:b/>
          <w:color w:val="auto"/>
          <w:kern w:val="0"/>
          <w:sz w:val="36"/>
          <w:szCs w:val="36"/>
        </w:rPr>
      </w:pPr>
    </w:p>
    <w:p w14:paraId="335D7A29">
      <w:pPr>
        <w:rPr>
          <w:rFonts w:ascii="仿宋" w:hAnsi="仿宋" w:eastAsia="仿宋" w:cs="仿宋"/>
          <w:b/>
          <w:color w:val="auto"/>
          <w:kern w:val="0"/>
          <w:sz w:val="36"/>
          <w:szCs w:val="36"/>
        </w:rPr>
      </w:pPr>
    </w:p>
    <w:p w14:paraId="52086126">
      <w:pPr>
        <w:pStyle w:val="2"/>
        <w:rPr>
          <w:rFonts w:ascii="仿宋" w:hAnsi="仿宋" w:eastAsia="仿宋" w:cs="仿宋"/>
          <w:b/>
          <w:color w:val="auto"/>
          <w:kern w:val="0"/>
          <w:sz w:val="36"/>
          <w:szCs w:val="36"/>
        </w:rPr>
      </w:pPr>
    </w:p>
    <w:p w14:paraId="0556F19B">
      <w:pPr>
        <w:rPr>
          <w:rFonts w:ascii="仿宋" w:hAnsi="仿宋" w:eastAsia="仿宋" w:cs="仿宋"/>
          <w:b/>
          <w:color w:val="auto"/>
          <w:kern w:val="0"/>
          <w:sz w:val="36"/>
          <w:szCs w:val="36"/>
        </w:rPr>
      </w:pPr>
    </w:p>
    <w:p w14:paraId="18C65CFE">
      <w:pPr>
        <w:pStyle w:val="2"/>
        <w:rPr>
          <w:rFonts w:ascii="仿宋" w:hAnsi="仿宋" w:eastAsia="仿宋" w:cs="仿宋"/>
          <w:b/>
          <w:color w:val="auto"/>
          <w:kern w:val="0"/>
          <w:sz w:val="36"/>
          <w:szCs w:val="36"/>
        </w:rPr>
      </w:pPr>
    </w:p>
    <w:p w14:paraId="122CD449">
      <w:pPr>
        <w:rPr>
          <w:rFonts w:ascii="仿宋" w:hAnsi="仿宋" w:eastAsia="仿宋" w:cs="仿宋"/>
          <w:b/>
          <w:color w:val="auto"/>
          <w:kern w:val="0"/>
          <w:sz w:val="36"/>
          <w:szCs w:val="36"/>
        </w:rPr>
      </w:pPr>
    </w:p>
    <w:p w14:paraId="17D95353">
      <w:pPr>
        <w:pStyle w:val="2"/>
        <w:rPr>
          <w:rFonts w:ascii="仿宋" w:hAnsi="仿宋" w:eastAsia="仿宋" w:cs="仿宋"/>
          <w:b/>
          <w:color w:val="auto"/>
          <w:kern w:val="0"/>
          <w:sz w:val="36"/>
          <w:szCs w:val="36"/>
        </w:rPr>
      </w:pPr>
    </w:p>
    <w:p w14:paraId="3D7DE827">
      <w:pPr>
        <w:rPr>
          <w:rFonts w:ascii="仿宋" w:hAnsi="仿宋" w:eastAsia="仿宋" w:cs="仿宋"/>
          <w:b/>
          <w:color w:val="auto"/>
          <w:kern w:val="0"/>
          <w:sz w:val="36"/>
          <w:szCs w:val="36"/>
        </w:rPr>
      </w:pPr>
    </w:p>
    <w:p w14:paraId="2D9AAEC4">
      <w:pPr>
        <w:pStyle w:val="2"/>
        <w:rPr>
          <w:rFonts w:ascii="仿宋" w:hAnsi="仿宋" w:eastAsia="仿宋" w:cs="仿宋"/>
          <w:b/>
          <w:color w:val="auto"/>
          <w:kern w:val="0"/>
          <w:sz w:val="36"/>
          <w:szCs w:val="36"/>
        </w:rPr>
      </w:pPr>
    </w:p>
    <w:p w14:paraId="0E4A17E4">
      <w:pPr>
        <w:rPr>
          <w:rFonts w:ascii="仿宋" w:hAnsi="仿宋" w:eastAsia="仿宋" w:cs="仿宋"/>
          <w:b/>
          <w:color w:val="auto"/>
          <w:kern w:val="0"/>
          <w:sz w:val="36"/>
          <w:szCs w:val="36"/>
        </w:rPr>
      </w:pPr>
    </w:p>
    <w:p w14:paraId="7ACE4E2D">
      <w:pPr>
        <w:pStyle w:val="2"/>
        <w:rPr>
          <w:rFonts w:ascii="仿宋" w:hAnsi="仿宋" w:eastAsia="仿宋" w:cs="仿宋"/>
          <w:b/>
          <w:color w:val="auto"/>
          <w:kern w:val="0"/>
          <w:sz w:val="36"/>
          <w:szCs w:val="36"/>
        </w:rPr>
      </w:pPr>
    </w:p>
    <w:p w14:paraId="61D62AB0">
      <w:pPr>
        <w:rPr>
          <w:rFonts w:ascii="仿宋" w:hAnsi="仿宋" w:eastAsia="仿宋" w:cs="仿宋"/>
          <w:b/>
          <w:color w:val="auto"/>
          <w:kern w:val="0"/>
          <w:sz w:val="36"/>
          <w:szCs w:val="36"/>
        </w:rPr>
      </w:pPr>
    </w:p>
    <w:p w14:paraId="5D3FD10B">
      <w:pPr>
        <w:pStyle w:val="2"/>
        <w:rPr>
          <w:rFonts w:ascii="仿宋" w:hAnsi="仿宋" w:eastAsia="仿宋" w:cs="仿宋"/>
          <w:b/>
          <w:color w:val="auto"/>
          <w:kern w:val="0"/>
          <w:sz w:val="36"/>
          <w:szCs w:val="36"/>
        </w:rPr>
      </w:pPr>
    </w:p>
    <w:p w14:paraId="4BA47B18">
      <w:pPr>
        <w:rPr>
          <w:rFonts w:ascii="仿宋" w:hAnsi="仿宋" w:eastAsia="仿宋" w:cs="仿宋"/>
          <w:b/>
          <w:color w:val="auto"/>
          <w:kern w:val="0"/>
          <w:sz w:val="36"/>
          <w:szCs w:val="36"/>
        </w:rPr>
      </w:pPr>
    </w:p>
    <w:p w14:paraId="0E6BD35D">
      <w:pPr>
        <w:pStyle w:val="2"/>
        <w:rPr>
          <w:rFonts w:ascii="仿宋" w:hAnsi="仿宋" w:eastAsia="仿宋" w:cs="仿宋"/>
          <w:b/>
          <w:color w:val="auto"/>
          <w:kern w:val="0"/>
          <w:sz w:val="36"/>
          <w:szCs w:val="36"/>
        </w:rPr>
      </w:pPr>
    </w:p>
    <w:p w14:paraId="4B024DCC">
      <w:pPr>
        <w:rPr>
          <w:rFonts w:ascii="仿宋" w:hAnsi="仿宋" w:eastAsia="仿宋" w:cs="仿宋"/>
          <w:b/>
          <w:color w:val="auto"/>
          <w:kern w:val="0"/>
          <w:sz w:val="36"/>
          <w:szCs w:val="36"/>
        </w:rPr>
      </w:pPr>
    </w:p>
    <w:p w14:paraId="1735BD64">
      <w:pPr>
        <w:pStyle w:val="2"/>
        <w:rPr>
          <w:rFonts w:ascii="仿宋" w:hAnsi="仿宋" w:eastAsia="仿宋" w:cs="仿宋"/>
          <w:b/>
          <w:color w:val="auto"/>
          <w:kern w:val="0"/>
          <w:sz w:val="36"/>
          <w:szCs w:val="36"/>
        </w:rPr>
      </w:pPr>
    </w:p>
    <w:p w14:paraId="19024A49">
      <w:pPr>
        <w:pStyle w:val="2"/>
        <w:ind w:left="0" w:leftChars="0" w:firstLine="0" w:firstLineChars="0"/>
        <w:rPr>
          <w:color w:val="auto"/>
        </w:rPr>
      </w:pPr>
    </w:p>
    <w:p w14:paraId="448038D4">
      <w:pPr>
        <w:spacing w:line="240" w:lineRule="atLeast"/>
        <w:ind w:left="1079" w:leftChars="257" w:hanging="540"/>
        <w:jc w:val="center"/>
        <w:outlineLvl w:val="0"/>
        <w:rPr>
          <w:rFonts w:hint="eastAsia" w:ascii="仿宋" w:hAnsi="仿宋" w:eastAsia="仿宋" w:cs="仿宋"/>
          <w:b/>
          <w:color w:val="auto"/>
          <w:sz w:val="32"/>
          <w:szCs w:val="32"/>
        </w:rPr>
      </w:pPr>
      <w:bookmarkStart w:id="40" w:name="_Toc27769"/>
      <w:bookmarkStart w:id="41" w:name="_Toc24933"/>
      <w:bookmarkStart w:id="42" w:name="_Toc11989"/>
      <w:bookmarkStart w:id="43" w:name="_Toc10199"/>
      <w:bookmarkStart w:id="44" w:name="_Toc164"/>
      <w:bookmarkStart w:id="45" w:name="_Toc25609"/>
      <w:bookmarkStart w:id="46" w:name="_Toc31135"/>
      <w:bookmarkStart w:id="47" w:name="_Toc4422"/>
      <w:bookmarkStart w:id="48" w:name="_Toc11440"/>
      <w:bookmarkStart w:id="49" w:name="_Toc32278"/>
      <w:r>
        <w:rPr>
          <w:rFonts w:hint="eastAsia" w:ascii="仿宋" w:hAnsi="仿宋" w:eastAsia="仿宋" w:cs="仿宋"/>
          <w:b/>
          <w:color w:val="auto"/>
          <w:kern w:val="0"/>
          <w:sz w:val="36"/>
          <w:szCs w:val="36"/>
          <w:lang w:eastAsia="zh-CN"/>
        </w:rPr>
        <w:t>喀什地区纤维检验所棉花公检实验室AGV自动转运调度系统采购项目</w:t>
      </w:r>
    </w:p>
    <w:p w14:paraId="38B8770F">
      <w:pPr>
        <w:spacing w:line="240" w:lineRule="atLeast"/>
        <w:ind w:left="1079" w:leftChars="257" w:hanging="540"/>
        <w:jc w:val="center"/>
        <w:outlineLvl w:val="0"/>
        <w:rPr>
          <w:rFonts w:hint="eastAsia" w:ascii="仿宋" w:hAnsi="仿宋" w:eastAsia="仿宋" w:cs="仿宋"/>
          <w:b/>
          <w:color w:val="auto"/>
          <w:sz w:val="32"/>
          <w:szCs w:val="32"/>
        </w:rPr>
      </w:pPr>
    </w:p>
    <w:p w14:paraId="5293C0BF">
      <w:pPr>
        <w:spacing w:line="240" w:lineRule="atLeast"/>
        <w:ind w:left="1079" w:leftChars="257" w:hanging="540"/>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招标文件</w:t>
      </w:r>
      <w:bookmarkEnd w:id="40"/>
      <w:bookmarkEnd w:id="41"/>
      <w:bookmarkEnd w:id="42"/>
      <w:bookmarkEnd w:id="43"/>
      <w:bookmarkEnd w:id="44"/>
      <w:bookmarkEnd w:id="45"/>
      <w:bookmarkEnd w:id="46"/>
      <w:bookmarkEnd w:id="47"/>
      <w:bookmarkEnd w:id="48"/>
      <w:bookmarkEnd w:id="49"/>
    </w:p>
    <w:p w14:paraId="70072125">
      <w:pPr>
        <w:spacing w:line="240" w:lineRule="atLeast"/>
        <w:ind w:firstLine="1500" w:firstLineChars="500"/>
        <w:rPr>
          <w:rFonts w:ascii="仿宋" w:hAnsi="仿宋" w:eastAsia="仿宋" w:cs="仿宋"/>
          <w:b/>
          <w:color w:val="auto"/>
          <w:sz w:val="30"/>
          <w:szCs w:val="30"/>
        </w:rPr>
      </w:pPr>
    </w:p>
    <w:p w14:paraId="6355AFB3">
      <w:pPr>
        <w:spacing w:line="240" w:lineRule="atLeast"/>
        <w:ind w:firstLine="2100" w:firstLineChars="7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0</w:t>
      </w:r>
      <w:r>
        <w:rPr>
          <w:rFonts w:hint="eastAsia" w:ascii="仿宋" w:hAnsi="仿宋" w:eastAsia="仿宋" w:cs="仿宋"/>
          <w:b/>
          <w:color w:val="auto"/>
          <w:sz w:val="30"/>
          <w:szCs w:val="30"/>
        </w:rPr>
        <w:t>）</w:t>
      </w:r>
    </w:p>
    <w:p w14:paraId="6D6D71E4">
      <w:pPr>
        <w:spacing w:line="240" w:lineRule="atLeast"/>
        <w:ind w:left="1079" w:leftChars="257" w:hanging="540"/>
        <w:rPr>
          <w:rFonts w:ascii="仿宋" w:hAnsi="仿宋" w:eastAsia="仿宋" w:cs="仿宋"/>
          <w:b/>
          <w:color w:val="auto"/>
          <w:sz w:val="28"/>
        </w:rPr>
      </w:pPr>
    </w:p>
    <w:p w14:paraId="7842D8DD">
      <w:pPr>
        <w:spacing w:line="240" w:lineRule="atLeast"/>
        <w:ind w:firstLine="3840" w:firstLineChars="1200"/>
        <w:outlineLvl w:val="0"/>
        <w:rPr>
          <w:rFonts w:ascii="仿宋" w:hAnsi="仿宋" w:eastAsia="仿宋" w:cs="仿宋"/>
          <w:b/>
          <w:color w:val="auto"/>
          <w:sz w:val="32"/>
          <w:szCs w:val="32"/>
        </w:rPr>
      </w:pPr>
      <w:bookmarkStart w:id="50" w:name="_Toc20369"/>
      <w:bookmarkStart w:id="51" w:name="_Toc25457"/>
      <w:bookmarkStart w:id="52" w:name="_Toc22514"/>
      <w:bookmarkStart w:id="53" w:name="_Toc30821"/>
      <w:bookmarkStart w:id="54" w:name="_Toc15640"/>
      <w:bookmarkStart w:id="55" w:name="_Toc2429"/>
      <w:bookmarkStart w:id="56" w:name="_Toc23704"/>
      <w:bookmarkStart w:id="57" w:name="_Toc7218"/>
      <w:bookmarkStart w:id="58" w:name="_Toc21403"/>
      <w:bookmarkStart w:id="59" w:name="_Toc2957"/>
      <w:r>
        <w:rPr>
          <w:rFonts w:hint="eastAsia" w:ascii="仿宋" w:hAnsi="仿宋" w:eastAsia="仿宋" w:cs="仿宋"/>
          <w:b/>
          <w:color w:val="auto"/>
          <w:sz w:val="32"/>
          <w:szCs w:val="32"/>
        </w:rPr>
        <w:t>第一册</w:t>
      </w:r>
      <w:bookmarkEnd w:id="50"/>
      <w:bookmarkEnd w:id="51"/>
      <w:bookmarkEnd w:id="52"/>
      <w:bookmarkEnd w:id="53"/>
      <w:bookmarkEnd w:id="54"/>
      <w:bookmarkEnd w:id="55"/>
      <w:bookmarkEnd w:id="56"/>
      <w:bookmarkEnd w:id="57"/>
      <w:bookmarkEnd w:id="58"/>
      <w:bookmarkEnd w:id="59"/>
    </w:p>
    <w:p w14:paraId="3ACF903E">
      <w:pPr>
        <w:spacing w:line="240" w:lineRule="atLeast"/>
        <w:ind w:left="1079" w:leftChars="257" w:hanging="540"/>
        <w:jc w:val="center"/>
        <w:rPr>
          <w:rFonts w:ascii="仿宋" w:hAnsi="仿宋" w:eastAsia="仿宋" w:cs="仿宋"/>
          <w:b/>
          <w:color w:val="auto"/>
          <w:sz w:val="52"/>
        </w:rPr>
      </w:pPr>
    </w:p>
    <w:p w14:paraId="5F6EEFEC">
      <w:pPr>
        <w:pStyle w:val="2"/>
        <w:ind w:left="0" w:leftChars="0" w:firstLine="0" w:firstLineChars="0"/>
        <w:rPr>
          <w:rFonts w:ascii="仿宋" w:hAnsi="仿宋" w:eastAsia="仿宋" w:cs="仿宋"/>
          <w:b/>
          <w:color w:val="auto"/>
          <w:sz w:val="52"/>
        </w:rPr>
      </w:pPr>
    </w:p>
    <w:p w14:paraId="30659154">
      <w:pPr>
        <w:rPr>
          <w:rFonts w:ascii="仿宋" w:hAnsi="仿宋" w:eastAsia="仿宋" w:cs="仿宋"/>
          <w:b/>
          <w:color w:val="auto"/>
          <w:sz w:val="52"/>
        </w:rPr>
      </w:pPr>
    </w:p>
    <w:p w14:paraId="52A7A61B">
      <w:pPr>
        <w:pStyle w:val="2"/>
        <w:rPr>
          <w:color w:val="auto"/>
        </w:rPr>
      </w:pPr>
    </w:p>
    <w:p w14:paraId="74FF7AC3">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highlight w:val="none"/>
          <w:lang w:eastAsia="zh-CN"/>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单</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位</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喀什地区纤维检验所</w:t>
      </w:r>
      <w:r>
        <w:rPr>
          <w:rFonts w:hint="eastAsia" w:ascii="仿宋" w:hAnsi="仿宋" w:eastAsia="仿宋" w:cs="仿宋"/>
          <w:b/>
          <w:bCs/>
          <w:color w:val="auto"/>
          <w:sz w:val="30"/>
          <w:szCs w:val="30"/>
          <w:u w:val="single"/>
        </w:rPr>
        <w:t xml:space="preserve">　                  </w:t>
      </w:r>
    </w:p>
    <w:p w14:paraId="22173DAC">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13579339955                    </w:t>
      </w:r>
    </w:p>
    <w:p w14:paraId="07051289">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采购代理机构：</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智诚达项目管理咨询有限公司</w:t>
      </w:r>
      <w:r>
        <w:rPr>
          <w:rFonts w:hint="eastAsia" w:ascii="仿宋" w:hAnsi="仿宋" w:eastAsia="仿宋" w:cs="仿宋"/>
          <w:b/>
          <w:bCs/>
          <w:color w:val="auto"/>
          <w:sz w:val="30"/>
          <w:szCs w:val="30"/>
          <w:u w:val="single"/>
        </w:rPr>
        <w:t xml:space="preserve">           </w:t>
      </w:r>
    </w:p>
    <w:p w14:paraId="36F63140">
      <w:pPr>
        <w:spacing w:line="500" w:lineRule="exact"/>
        <w:ind w:left="2096" w:hanging="2088" w:hangingChars="696"/>
        <w:rPr>
          <w:rFonts w:ascii="仿宋" w:hAnsi="仿宋" w:eastAsia="仿宋" w:cs="仿宋"/>
          <w:b/>
          <w:bCs/>
          <w:color w:val="auto"/>
          <w:sz w:val="30"/>
          <w:szCs w:val="30"/>
          <w:u w:val="single"/>
        </w:rPr>
      </w:pPr>
      <w:r>
        <w:rPr>
          <w:rFonts w:hint="eastAsia" w:ascii="仿宋" w:hAnsi="仿宋" w:eastAsia="仿宋" w:cs="仿宋"/>
          <w:b/>
          <w:bCs/>
          <w:color w:val="auto"/>
          <w:sz w:val="30"/>
          <w:szCs w:val="30"/>
        </w:rPr>
        <w:t>代理机构地址：</w:t>
      </w:r>
      <w:r>
        <w:rPr>
          <w:rFonts w:hint="eastAsia" w:ascii="仿宋" w:hAnsi="仿宋" w:eastAsia="仿宋" w:cs="仿宋"/>
          <w:b/>
          <w:bCs/>
          <w:color w:val="auto"/>
          <w:sz w:val="30"/>
          <w:szCs w:val="30"/>
          <w:u w:val="single"/>
        </w:rPr>
        <w:t>新疆喀什地区喀什经济开发区深喀大道</w:t>
      </w:r>
      <w:r>
        <w:rPr>
          <w:rFonts w:hint="eastAsia" w:ascii="仿宋" w:hAnsi="仿宋" w:eastAsia="仿宋" w:cs="仿宋"/>
          <w:b/>
          <w:bCs/>
          <w:color w:val="auto"/>
          <w:sz w:val="30"/>
          <w:szCs w:val="30"/>
          <w:u w:val="single"/>
          <w:lang w:val="en-US" w:eastAsia="zh-CN"/>
        </w:rPr>
        <w:t>川渝</w:t>
      </w:r>
      <w:r>
        <w:rPr>
          <w:rFonts w:hint="eastAsia" w:ascii="仿宋" w:hAnsi="仿宋" w:eastAsia="仿宋" w:cs="仿宋"/>
          <w:b/>
          <w:bCs/>
          <w:color w:val="auto"/>
          <w:sz w:val="30"/>
          <w:szCs w:val="30"/>
          <w:u w:val="single"/>
        </w:rPr>
        <w:t>大厦1</w:t>
      </w:r>
      <w:r>
        <w:rPr>
          <w:rFonts w:hint="eastAsia" w:ascii="仿宋" w:hAnsi="仿宋" w:eastAsia="仿宋" w:cs="仿宋"/>
          <w:b/>
          <w:bCs/>
          <w:color w:val="auto"/>
          <w:sz w:val="30"/>
          <w:szCs w:val="30"/>
          <w:u w:val="single"/>
          <w:lang w:val="en-US" w:eastAsia="zh-CN"/>
        </w:rPr>
        <w:t>0</w:t>
      </w:r>
      <w:r>
        <w:rPr>
          <w:rFonts w:hint="eastAsia" w:ascii="仿宋" w:hAnsi="仿宋" w:eastAsia="仿宋" w:cs="仿宋"/>
          <w:b/>
          <w:bCs/>
          <w:color w:val="auto"/>
          <w:sz w:val="30"/>
          <w:szCs w:val="30"/>
          <w:u w:val="single"/>
        </w:rPr>
        <w:t>楼</w:t>
      </w:r>
      <w:r>
        <w:rPr>
          <w:rFonts w:hint="eastAsia" w:ascii="仿宋" w:hAnsi="仿宋" w:eastAsia="仿宋" w:cs="仿宋"/>
          <w:b/>
          <w:bCs/>
          <w:color w:val="auto"/>
          <w:sz w:val="30"/>
          <w:szCs w:val="30"/>
          <w:u w:val="single"/>
          <w:lang w:val="en-US" w:eastAsia="zh-CN"/>
        </w:rPr>
        <w:t>1003</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381CA7AC">
      <w:pPr>
        <w:spacing w:line="50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乔成江</w:t>
      </w:r>
      <w:r>
        <w:rPr>
          <w:rFonts w:hint="eastAsia" w:ascii="仿宋" w:hAnsi="仿宋" w:eastAsia="仿宋" w:cs="仿宋"/>
          <w:b/>
          <w:bCs/>
          <w:color w:val="auto"/>
          <w:sz w:val="30"/>
          <w:szCs w:val="30"/>
          <w:u w:val="single"/>
        </w:rPr>
        <w:t xml:space="preserve">                            </w:t>
      </w:r>
    </w:p>
    <w:p w14:paraId="5F0178A2">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19229005360</w:t>
      </w:r>
      <w:r>
        <w:rPr>
          <w:rFonts w:hint="eastAsia" w:ascii="仿宋" w:hAnsi="仿宋" w:eastAsia="仿宋" w:cs="仿宋"/>
          <w:b/>
          <w:bCs/>
          <w:color w:val="auto"/>
          <w:sz w:val="30"/>
          <w:szCs w:val="30"/>
          <w:u w:val="single"/>
        </w:rPr>
        <w:t xml:space="preserve">                        </w:t>
      </w:r>
    </w:p>
    <w:p w14:paraId="16C61DB1">
      <w:pPr>
        <w:spacing w:line="600" w:lineRule="exact"/>
        <w:ind w:firstLine="2100" w:firstLineChars="700"/>
        <w:rPr>
          <w:rFonts w:hint="eastAsia" w:ascii="仿宋" w:hAnsi="仿宋" w:eastAsia="仿宋" w:cs="仿宋"/>
          <w:b/>
          <w:color w:val="auto"/>
          <w:sz w:val="30"/>
          <w:szCs w:val="30"/>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u w:val="single"/>
        </w:rPr>
        <w:t xml:space="preserve">  202</w:t>
      </w:r>
      <w:r>
        <w:rPr>
          <w:rFonts w:hint="eastAsia" w:ascii="仿宋" w:hAnsi="仿宋" w:eastAsia="仿宋" w:cs="仿宋"/>
          <w:b/>
          <w:bCs/>
          <w:color w:val="auto"/>
          <w:sz w:val="30"/>
          <w:szCs w:val="30"/>
          <w:u w:val="single"/>
          <w:lang w:val="en-US" w:eastAsia="zh-CN"/>
        </w:rPr>
        <w:t>5</w:t>
      </w:r>
      <w:r>
        <w:rPr>
          <w:rFonts w:hint="eastAsia" w:ascii="仿宋" w:hAnsi="仿宋" w:eastAsia="仿宋" w:cs="仿宋"/>
          <w:b/>
          <w:bCs/>
          <w:color w:val="auto"/>
          <w:sz w:val="30"/>
          <w:szCs w:val="30"/>
          <w:u w:val="single"/>
        </w:rPr>
        <w:t>年</w:t>
      </w:r>
      <w:r>
        <w:rPr>
          <w:rFonts w:hint="eastAsia" w:ascii="仿宋" w:hAnsi="仿宋" w:eastAsia="仿宋" w:cs="仿宋"/>
          <w:b/>
          <w:bCs/>
          <w:color w:val="auto"/>
          <w:sz w:val="30"/>
          <w:szCs w:val="30"/>
          <w:u w:val="single"/>
          <w:lang w:val="en-US" w:eastAsia="zh-CN"/>
        </w:rPr>
        <w:t>6</w:t>
      </w:r>
      <w:r>
        <w:rPr>
          <w:rFonts w:hint="eastAsia" w:ascii="仿宋" w:hAnsi="仿宋" w:eastAsia="仿宋" w:cs="仿宋"/>
          <w:b/>
          <w:bCs/>
          <w:color w:val="auto"/>
          <w:sz w:val="30"/>
          <w:szCs w:val="30"/>
          <w:u w:val="single"/>
        </w:rPr>
        <w:t xml:space="preserve">月  </w:t>
      </w:r>
    </w:p>
    <w:p w14:paraId="3A5A2FDB">
      <w:pPr>
        <w:spacing w:line="240" w:lineRule="atLeast"/>
        <w:jc w:val="center"/>
        <w:rPr>
          <w:color w:val="auto"/>
        </w:rPr>
      </w:pPr>
      <w:r>
        <w:rPr>
          <w:rFonts w:hint="eastAsia" w:ascii="仿宋" w:hAnsi="仿宋" w:eastAsia="仿宋" w:cs="仿宋"/>
          <w:b/>
          <w:color w:val="auto"/>
          <w:sz w:val="30"/>
          <w:szCs w:val="30"/>
        </w:rPr>
        <w:t>目</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录</w:t>
      </w:r>
    </w:p>
    <w:sdt>
      <w:sdtPr>
        <w:rPr>
          <w:rFonts w:ascii="宋体" w:hAnsi="宋体" w:eastAsia="宋体" w:cs="Times New Roman"/>
          <w:color w:val="auto"/>
          <w:kern w:val="2"/>
          <w:sz w:val="21"/>
          <w:szCs w:val="24"/>
          <w:lang w:val="en-US" w:eastAsia="zh-CN" w:bidi="ar-SA"/>
        </w:rPr>
        <w:id w:val="147479220"/>
        <w15:color w:val="DBDBDB"/>
        <w:docPartObj>
          <w:docPartGallery w:val="Table of Contents"/>
          <w:docPartUnique/>
        </w:docPartObj>
      </w:sdtPr>
      <w:sdtEndPr>
        <w:rPr>
          <w:rFonts w:ascii="宋体" w:hAnsi="Times New Roman" w:eastAsia="宋体" w:cs="Times New Roman"/>
          <w:color w:val="auto"/>
          <w:kern w:val="0"/>
          <w:sz w:val="24"/>
          <w:szCs w:val="20"/>
          <w:lang w:val="en-US" w:eastAsia="zh-CN" w:bidi="ar-SA"/>
        </w:rPr>
      </w:sdtEndPr>
      <w:sdtContent>
        <w:p w14:paraId="23C55ABC">
          <w:pPr>
            <w:spacing w:before="0" w:beforeLines="0" w:after="0" w:afterLines="0" w:line="240" w:lineRule="auto"/>
            <w:ind w:left="0" w:leftChars="0" w:right="0" w:rightChars="0" w:firstLine="0" w:firstLineChars="0"/>
            <w:jc w:val="center"/>
            <w:rPr>
              <w:color w:val="auto"/>
            </w:rPr>
          </w:pPr>
        </w:p>
        <w:p w14:paraId="04AA27BD">
          <w:pPr>
            <w:pStyle w:val="55"/>
            <w:tabs>
              <w:tab w:val="right" w:leader="dot" w:pos="8312"/>
            </w:tabs>
            <w:rPr>
              <w:color w:val="auto"/>
            </w:rPr>
          </w:pPr>
          <w:r>
            <w:rPr>
              <w:rFonts w:ascii="宋体" w:hAnsi="Times New Roman" w:eastAsia="宋体" w:cs="Times New Roman"/>
              <w:b/>
              <w:color w:val="auto"/>
              <w:kern w:val="0"/>
              <w:sz w:val="24"/>
              <w:szCs w:val="20"/>
              <w:lang w:val="en-US" w:eastAsia="zh-CN" w:bidi="ar-SA"/>
            </w:rPr>
            <w:fldChar w:fldCharType="begin"/>
          </w:r>
          <w:r>
            <w:rPr>
              <w:rFonts w:ascii="宋体" w:hAnsi="Times New Roman" w:eastAsia="宋体" w:cs="Times New Roman"/>
              <w:b/>
              <w:color w:val="auto"/>
              <w:kern w:val="0"/>
              <w:sz w:val="24"/>
              <w:szCs w:val="20"/>
              <w:lang w:val="en-US" w:eastAsia="zh-CN" w:bidi="ar-SA"/>
            </w:rPr>
            <w:instrText xml:space="preserve">TOC \o "1-1" \h \u </w:instrText>
          </w:r>
          <w:r>
            <w:rPr>
              <w:rFonts w:ascii="宋体" w:hAnsi="Times New Roman" w:eastAsia="宋体" w:cs="Times New Roman"/>
              <w:b/>
              <w:color w:val="auto"/>
              <w:kern w:val="0"/>
              <w:sz w:val="24"/>
              <w:szCs w:val="20"/>
              <w:lang w:val="en-US" w:eastAsia="zh-CN" w:bidi="ar-SA"/>
            </w:rPr>
            <w:fldChar w:fldCharType="separate"/>
          </w:r>
        </w:p>
        <w:p w14:paraId="66F9DC6B">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_Toc622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kern w:val="0"/>
              <w:szCs w:val="21"/>
            </w:rPr>
            <w:t>第一章</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rPr>
            <w:t>投标人须知</w:t>
          </w:r>
          <w:r>
            <w:rPr>
              <w:color w:val="auto"/>
            </w:rPr>
            <w:tab/>
          </w:r>
          <w:r>
            <w:rPr>
              <w:color w:val="auto"/>
            </w:rPr>
            <w:fldChar w:fldCharType="begin"/>
          </w:r>
          <w:r>
            <w:rPr>
              <w:color w:val="auto"/>
            </w:rPr>
            <w:instrText xml:space="preserve"> PAGEREF _Toc622 \h </w:instrText>
          </w:r>
          <w:r>
            <w:rPr>
              <w:color w:val="auto"/>
            </w:rPr>
            <w:fldChar w:fldCharType="separate"/>
          </w:r>
          <w:r>
            <w:rPr>
              <w:color w:val="auto"/>
            </w:rPr>
            <w:t>6</w:t>
          </w:r>
          <w:r>
            <w:rPr>
              <w:color w:val="auto"/>
            </w:rPr>
            <w:fldChar w:fldCharType="end"/>
          </w:r>
          <w:r>
            <w:rPr>
              <w:rFonts w:ascii="宋体" w:hAnsi="Times New Roman" w:eastAsia="宋体" w:cs="Times New Roman"/>
              <w:color w:val="auto"/>
              <w:kern w:val="0"/>
              <w:szCs w:val="20"/>
              <w:lang w:val="en-US" w:eastAsia="zh-CN" w:bidi="ar-SA"/>
            </w:rPr>
            <w:fldChar w:fldCharType="end"/>
          </w:r>
        </w:p>
        <w:p w14:paraId="698670B6">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_Toc15818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r>
            <w:rPr>
              <w:color w:val="auto"/>
            </w:rPr>
            <w:tab/>
          </w:r>
          <w:r>
            <w:rPr>
              <w:color w:val="auto"/>
            </w:rPr>
            <w:fldChar w:fldCharType="begin"/>
          </w:r>
          <w:r>
            <w:rPr>
              <w:color w:val="auto"/>
            </w:rPr>
            <w:instrText xml:space="preserve"> PAGEREF _Toc15818 \h </w:instrText>
          </w:r>
          <w:r>
            <w:rPr>
              <w:color w:val="auto"/>
            </w:rPr>
            <w:fldChar w:fldCharType="separate"/>
          </w:r>
          <w:r>
            <w:rPr>
              <w:color w:val="auto"/>
            </w:rPr>
            <w:t>24</w:t>
          </w:r>
          <w:r>
            <w:rPr>
              <w:color w:val="auto"/>
            </w:rPr>
            <w:fldChar w:fldCharType="end"/>
          </w:r>
          <w:r>
            <w:rPr>
              <w:rFonts w:ascii="宋体" w:hAnsi="Times New Roman" w:eastAsia="宋体" w:cs="Times New Roman"/>
              <w:color w:val="auto"/>
              <w:kern w:val="0"/>
              <w:szCs w:val="20"/>
              <w:lang w:val="en-US" w:eastAsia="zh-CN" w:bidi="ar-SA"/>
            </w:rPr>
            <w:fldChar w:fldCharType="end"/>
          </w:r>
        </w:p>
        <w:p w14:paraId="0327E989">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_Toc9508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rPr>
            <w:t>第三章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公告</w:t>
          </w:r>
          <w:r>
            <w:rPr>
              <w:color w:val="auto"/>
            </w:rPr>
            <w:tab/>
          </w:r>
          <w:r>
            <w:rPr>
              <w:color w:val="auto"/>
            </w:rPr>
            <w:fldChar w:fldCharType="begin"/>
          </w:r>
          <w:r>
            <w:rPr>
              <w:color w:val="auto"/>
            </w:rPr>
            <w:instrText xml:space="preserve"> PAGEREF _Toc9508 \h </w:instrText>
          </w:r>
          <w:r>
            <w:rPr>
              <w:color w:val="auto"/>
            </w:rPr>
            <w:fldChar w:fldCharType="separate"/>
          </w:r>
          <w:r>
            <w:rPr>
              <w:color w:val="auto"/>
            </w:rPr>
            <w:t>47</w:t>
          </w:r>
          <w:r>
            <w:rPr>
              <w:color w:val="auto"/>
            </w:rPr>
            <w:fldChar w:fldCharType="end"/>
          </w:r>
          <w:r>
            <w:rPr>
              <w:rFonts w:ascii="宋体" w:hAnsi="Times New Roman" w:eastAsia="宋体" w:cs="Times New Roman"/>
              <w:color w:val="auto"/>
              <w:kern w:val="0"/>
              <w:szCs w:val="20"/>
              <w:lang w:val="en-US" w:eastAsia="zh-CN" w:bidi="ar-SA"/>
            </w:rPr>
            <w:fldChar w:fldCharType="end"/>
          </w:r>
        </w:p>
        <w:p w14:paraId="795F2A42">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_Toc6073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第四章  投标人须知资料表</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rFonts w:ascii="宋体" w:hAnsi="Times New Roman" w:eastAsia="宋体" w:cs="Times New Roman"/>
              <w:color w:val="auto"/>
              <w:kern w:val="0"/>
              <w:szCs w:val="20"/>
              <w:lang w:val="en-US" w:eastAsia="zh-CN" w:bidi="ar-SA"/>
            </w:rPr>
            <w:fldChar w:fldCharType="end"/>
          </w:r>
        </w:p>
        <w:p w14:paraId="4A0E8A4E">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_Toc20432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bCs/>
              <w:color w:val="auto"/>
              <w:szCs w:val="32"/>
              <w:highlight w:val="none"/>
              <w:lang w:val="en-US" w:eastAsia="zh-CN"/>
            </w:rPr>
            <w:t xml:space="preserve">第五章  </w:t>
          </w:r>
          <w:r>
            <w:rPr>
              <w:rFonts w:hint="eastAsia" w:ascii="仿宋" w:hAnsi="仿宋" w:eastAsia="仿宋" w:cs="仿宋"/>
              <w:bCs/>
              <w:color w:val="auto"/>
              <w:szCs w:val="32"/>
              <w:highlight w:val="none"/>
            </w:rPr>
            <w:t>货物需求一览表及参数规格</w:t>
          </w:r>
          <w:r>
            <w:rPr>
              <w:color w:val="auto"/>
            </w:rPr>
            <w:tab/>
          </w:r>
          <w:r>
            <w:rPr>
              <w:color w:val="auto"/>
            </w:rPr>
            <w:fldChar w:fldCharType="begin"/>
          </w:r>
          <w:r>
            <w:rPr>
              <w:color w:val="auto"/>
            </w:rPr>
            <w:instrText xml:space="preserve"> PAGEREF _Toc20432 \h </w:instrText>
          </w:r>
          <w:r>
            <w:rPr>
              <w:color w:val="auto"/>
            </w:rPr>
            <w:fldChar w:fldCharType="separate"/>
          </w:r>
          <w:r>
            <w:rPr>
              <w:color w:val="auto"/>
            </w:rPr>
            <w:t>54</w:t>
          </w:r>
          <w:r>
            <w:rPr>
              <w:color w:val="auto"/>
            </w:rPr>
            <w:fldChar w:fldCharType="end"/>
          </w:r>
          <w:r>
            <w:rPr>
              <w:rFonts w:ascii="宋体" w:hAnsi="Times New Roman" w:eastAsia="宋体" w:cs="Times New Roman"/>
              <w:color w:val="auto"/>
              <w:kern w:val="0"/>
              <w:szCs w:val="20"/>
              <w:lang w:val="en-US" w:eastAsia="zh-CN" w:bidi="ar-SA"/>
            </w:rPr>
            <w:fldChar w:fldCharType="end"/>
          </w:r>
        </w:p>
        <w:p w14:paraId="6905DAB9">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_Toc330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rPr>
            <w:t>第六章</w:t>
          </w:r>
          <w:r>
            <w:rPr>
              <w:rFonts w:hint="eastAsia" w:ascii="仿宋" w:hAnsi="仿宋" w:eastAsia="仿宋" w:cs="仿宋"/>
              <w:color w:val="auto"/>
              <w:lang w:val="en-US" w:eastAsia="zh-CN"/>
            </w:rPr>
            <w:t xml:space="preserve">  </w:t>
          </w:r>
          <w:r>
            <w:rPr>
              <w:rFonts w:hint="eastAsia" w:ascii="仿宋" w:hAnsi="仿宋" w:eastAsia="仿宋" w:cs="仿宋"/>
              <w:color w:val="auto"/>
            </w:rPr>
            <w:t>评标方法和标准</w:t>
          </w:r>
          <w:r>
            <w:rPr>
              <w:color w:val="auto"/>
            </w:rPr>
            <w:tab/>
          </w:r>
          <w:r>
            <w:rPr>
              <w:color w:val="auto"/>
            </w:rPr>
            <w:fldChar w:fldCharType="begin"/>
          </w:r>
          <w:r>
            <w:rPr>
              <w:color w:val="auto"/>
            </w:rPr>
            <w:instrText xml:space="preserve"> PAGEREF _Toc330 \h </w:instrText>
          </w:r>
          <w:r>
            <w:rPr>
              <w:color w:val="auto"/>
            </w:rPr>
            <w:fldChar w:fldCharType="separate"/>
          </w:r>
          <w:r>
            <w:rPr>
              <w:color w:val="auto"/>
            </w:rPr>
            <w:t>59</w:t>
          </w:r>
          <w:r>
            <w:rPr>
              <w:color w:val="auto"/>
            </w:rPr>
            <w:fldChar w:fldCharType="end"/>
          </w:r>
          <w:r>
            <w:rPr>
              <w:rFonts w:ascii="宋体" w:hAnsi="Times New Roman" w:eastAsia="宋体" w:cs="Times New Roman"/>
              <w:color w:val="auto"/>
              <w:kern w:val="0"/>
              <w:szCs w:val="20"/>
              <w:lang w:val="en-US" w:eastAsia="zh-CN" w:bidi="ar-SA"/>
            </w:rPr>
            <w:fldChar w:fldCharType="end"/>
          </w:r>
        </w:p>
        <w:p w14:paraId="40B27BA7">
          <w:pPr>
            <w:pStyle w:val="55"/>
            <w:tabs>
              <w:tab w:val="right" w:leader="dot" w:pos="8312"/>
            </w:tabs>
            <w:rPr>
              <w:color w:val="auto"/>
            </w:rPr>
          </w:pPr>
          <w:r>
            <w:rPr>
              <w:rFonts w:ascii="宋体" w:hAnsi="Times New Roman" w:eastAsia="宋体" w:cs="Times New Roman"/>
              <w:color w:val="auto"/>
              <w:kern w:val="0"/>
              <w:szCs w:val="20"/>
              <w:lang w:val="en-US" w:eastAsia="zh-CN" w:bidi="ar-SA"/>
            </w:rPr>
            <w:fldChar w:fldCharType="begin"/>
          </w:r>
          <w:r>
            <w:rPr>
              <w:rFonts w:ascii="宋体" w:hAnsi="Times New Roman" w:eastAsia="宋体" w:cs="Times New Roman"/>
              <w:color w:val="auto"/>
              <w:kern w:val="0"/>
              <w:szCs w:val="20"/>
              <w:lang w:val="en-US" w:eastAsia="zh-CN" w:bidi="ar-SA"/>
            </w:rPr>
            <w:instrText xml:space="preserve"> HYPERLINK \l _Toc12012 </w:instrText>
          </w:r>
          <w:r>
            <w:rPr>
              <w:rFonts w:ascii="宋体" w:hAnsi="Times New Roman" w:eastAsia="宋体" w:cs="Times New Roman"/>
              <w:color w:val="auto"/>
              <w:kern w:val="0"/>
              <w:szCs w:val="20"/>
              <w:lang w:val="en-US" w:eastAsia="zh-CN" w:bidi="ar-SA"/>
            </w:rPr>
            <w:fldChar w:fldCharType="separate"/>
          </w:r>
          <w:r>
            <w:rPr>
              <w:rFonts w:hint="eastAsia" w:ascii="仿宋" w:hAnsi="仿宋" w:eastAsia="仿宋" w:cs="仿宋"/>
              <w:color w:val="auto"/>
              <w:szCs w:val="30"/>
              <w:lang w:eastAsia="zh-CN"/>
            </w:rPr>
            <w:t>第七章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政府采购合同</w:t>
          </w:r>
          <w:r>
            <w:rPr>
              <w:color w:val="auto"/>
            </w:rPr>
            <w:tab/>
          </w:r>
          <w:r>
            <w:rPr>
              <w:color w:val="auto"/>
            </w:rPr>
            <w:fldChar w:fldCharType="begin"/>
          </w:r>
          <w:r>
            <w:rPr>
              <w:color w:val="auto"/>
            </w:rPr>
            <w:instrText xml:space="preserve"> PAGEREF _Toc12012 \h </w:instrText>
          </w:r>
          <w:r>
            <w:rPr>
              <w:color w:val="auto"/>
            </w:rPr>
            <w:fldChar w:fldCharType="separate"/>
          </w:r>
          <w:r>
            <w:rPr>
              <w:color w:val="auto"/>
            </w:rPr>
            <w:t>76</w:t>
          </w:r>
          <w:r>
            <w:rPr>
              <w:color w:val="auto"/>
            </w:rPr>
            <w:fldChar w:fldCharType="end"/>
          </w:r>
          <w:r>
            <w:rPr>
              <w:rFonts w:ascii="宋体" w:hAnsi="Times New Roman" w:eastAsia="宋体" w:cs="Times New Roman"/>
              <w:color w:val="auto"/>
              <w:kern w:val="0"/>
              <w:szCs w:val="20"/>
              <w:lang w:val="en-US" w:eastAsia="zh-CN" w:bidi="ar-SA"/>
            </w:rPr>
            <w:fldChar w:fldCharType="end"/>
          </w:r>
        </w:p>
        <w:p w14:paraId="4910F1AA">
          <w:pPr>
            <w:pStyle w:val="2"/>
            <w:rPr>
              <w:rFonts w:ascii="宋体" w:hAnsi="Times New Roman" w:eastAsia="宋体" w:cs="Times New Roman"/>
              <w:color w:val="auto"/>
              <w:kern w:val="0"/>
              <w:sz w:val="24"/>
              <w:szCs w:val="20"/>
              <w:lang w:val="en-US" w:eastAsia="zh-CN" w:bidi="ar-SA"/>
            </w:rPr>
          </w:pPr>
          <w:r>
            <w:rPr>
              <w:rFonts w:ascii="宋体" w:hAnsi="Times New Roman" w:eastAsia="宋体" w:cs="Times New Roman"/>
              <w:color w:val="auto"/>
              <w:kern w:val="0"/>
              <w:szCs w:val="20"/>
              <w:lang w:val="en-US" w:eastAsia="zh-CN" w:bidi="ar-SA"/>
            </w:rPr>
            <w:fldChar w:fldCharType="end"/>
          </w:r>
        </w:p>
      </w:sdtContent>
    </w:sdt>
    <w:p w14:paraId="587796B8">
      <w:pPr>
        <w:pStyle w:val="2"/>
        <w:rPr>
          <w:rFonts w:ascii="宋体" w:hAnsi="Times New Roman" w:eastAsia="宋体" w:cs="Times New Roman"/>
          <w:color w:val="auto"/>
          <w:kern w:val="0"/>
          <w:sz w:val="24"/>
          <w:szCs w:val="20"/>
          <w:lang w:val="en-US" w:eastAsia="zh-CN" w:bidi="ar-SA"/>
        </w:rPr>
      </w:pPr>
    </w:p>
    <w:p w14:paraId="2D0B2211">
      <w:pPr>
        <w:rPr>
          <w:rFonts w:hint="eastAsia" w:ascii="仿宋" w:hAnsi="仿宋" w:eastAsia="仿宋" w:cs="仿宋"/>
          <w:color w:val="auto"/>
          <w:kern w:val="0"/>
          <w:szCs w:val="21"/>
        </w:rPr>
      </w:pPr>
      <w:bookmarkStart w:id="60" w:name="_Toc17230"/>
      <w:bookmarkStart w:id="61" w:name="_Toc216582804"/>
      <w:bookmarkStart w:id="62" w:name="_Toc22782"/>
    </w:p>
    <w:p w14:paraId="4EBD44C2">
      <w:pPr>
        <w:pStyle w:val="2"/>
        <w:rPr>
          <w:rFonts w:hint="eastAsia" w:ascii="仿宋" w:hAnsi="仿宋" w:eastAsia="仿宋" w:cs="仿宋"/>
          <w:color w:val="auto"/>
          <w:kern w:val="0"/>
          <w:szCs w:val="21"/>
        </w:rPr>
      </w:pPr>
    </w:p>
    <w:p w14:paraId="409805FC">
      <w:pPr>
        <w:rPr>
          <w:rFonts w:hint="eastAsia" w:ascii="仿宋" w:hAnsi="仿宋" w:eastAsia="仿宋" w:cs="仿宋"/>
          <w:color w:val="auto"/>
          <w:kern w:val="0"/>
          <w:szCs w:val="21"/>
        </w:rPr>
      </w:pPr>
    </w:p>
    <w:p w14:paraId="16C8E6BC">
      <w:pPr>
        <w:pStyle w:val="2"/>
        <w:rPr>
          <w:rFonts w:hint="eastAsia" w:ascii="仿宋" w:hAnsi="仿宋" w:eastAsia="仿宋" w:cs="仿宋"/>
          <w:color w:val="auto"/>
          <w:kern w:val="0"/>
          <w:szCs w:val="21"/>
        </w:rPr>
      </w:pPr>
    </w:p>
    <w:p w14:paraId="4944122F">
      <w:pPr>
        <w:rPr>
          <w:rFonts w:hint="eastAsia" w:ascii="仿宋" w:hAnsi="仿宋" w:eastAsia="仿宋" w:cs="仿宋"/>
          <w:color w:val="auto"/>
          <w:kern w:val="0"/>
          <w:szCs w:val="21"/>
        </w:rPr>
      </w:pPr>
    </w:p>
    <w:p w14:paraId="4ACEE093">
      <w:pPr>
        <w:pStyle w:val="2"/>
        <w:rPr>
          <w:rFonts w:hint="eastAsia" w:ascii="仿宋" w:hAnsi="仿宋" w:eastAsia="仿宋" w:cs="仿宋"/>
          <w:color w:val="auto"/>
          <w:kern w:val="0"/>
          <w:szCs w:val="21"/>
        </w:rPr>
      </w:pPr>
    </w:p>
    <w:p w14:paraId="498EAFA1">
      <w:pPr>
        <w:rPr>
          <w:rFonts w:hint="eastAsia" w:ascii="仿宋" w:hAnsi="仿宋" w:eastAsia="仿宋" w:cs="仿宋"/>
          <w:color w:val="auto"/>
          <w:kern w:val="0"/>
          <w:szCs w:val="21"/>
        </w:rPr>
      </w:pPr>
    </w:p>
    <w:p w14:paraId="4CC2DF4C">
      <w:pPr>
        <w:pStyle w:val="2"/>
        <w:rPr>
          <w:rFonts w:hint="eastAsia" w:ascii="仿宋" w:hAnsi="仿宋" w:eastAsia="仿宋" w:cs="仿宋"/>
          <w:color w:val="auto"/>
          <w:kern w:val="0"/>
          <w:szCs w:val="21"/>
        </w:rPr>
      </w:pPr>
    </w:p>
    <w:p w14:paraId="1B1C0695">
      <w:pPr>
        <w:rPr>
          <w:rFonts w:hint="eastAsia"/>
          <w:color w:val="auto"/>
        </w:rPr>
      </w:pPr>
    </w:p>
    <w:p w14:paraId="4DFAEDEC">
      <w:pPr>
        <w:rPr>
          <w:rFonts w:hint="eastAsia" w:ascii="仿宋" w:hAnsi="仿宋" w:eastAsia="仿宋" w:cs="仿宋"/>
          <w:color w:val="auto"/>
          <w:kern w:val="0"/>
          <w:szCs w:val="21"/>
        </w:rPr>
      </w:pPr>
    </w:p>
    <w:p w14:paraId="5D642420">
      <w:pPr>
        <w:pStyle w:val="2"/>
        <w:rPr>
          <w:rFonts w:hint="eastAsia" w:ascii="仿宋" w:hAnsi="仿宋" w:eastAsia="仿宋" w:cs="仿宋"/>
          <w:color w:val="auto"/>
          <w:kern w:val="0"/>
          <w:szCs w:val="21"/>
        </w:rPr>
      </w:pPr>
    </w:p>
    <w:p w14:paraId="4E60510C">
      <w:pPr>
        <w:pStyle w:val="2"/>
        <w:rPr>
          <w:rFonts w:hint="eastAsia" w:ascii="仿宋" w:hAnsi="仿宋" w:eastAsia="仿宋" w:cs="仿宋"/>
          <w:color w:val="auto"/>
          <w:kern w:val="0"/>
          <w:szCs w:val="21"/>
        </w:rPr>
      </w:pPr>
    </w:p>
    <w:p w14:paraId="12DD76C8">
      <w:pPr>
        <w:pStyle w:val="2"/>
        <w:rPr>
          <w:rFonts w:hint="eastAsia" w:ascii="仿宋" w:hAnsi="仿宋" w:eastAsia="仿宋" w:cs="仿宋"/>
          <w:color w:val="auto"/>
          <w:kern w:val="0"/>
          <w:szCs w:val="21"/>
        </w:rPr>
      </w:pPr>
    </w:p>
    <w:p w14:paraId="590B7DD1">
      <w:pPr>
        <w:pStyle w:val="2"/>
        <w:rPr>
          <w:rFonts w:hint="eastAsia" w:ascii="仿宋" w:hAnsi="仿宋" w:eastAsia="仿宋" w:cs="仿宋"/>
          <w:color w:val="auto"/>
          <w:kern w:val="0"/>
          <w:szCs w:val="21"/>
        </w:rPr>
      </w:pPr>
    </w:p>
    <w:p w14:paraId="3FE01EED">
      <w:pPr>
        <w:pStyle w:val="2"/>
        <w:rPr>
          <w:rFonts w:hint="eastAsia" w:ascii="仿宋" w:hAnsi="仿宋" w:eastAsia="仿宋" w:cs="仿宋"/>
          <w:color w:val="auto"/>
          <w:kern w:val="0"/>
          <w:szCs w:val="21"/>
        </w:rPr>
      </w:pPr>
    </w:p>
    <w:p w14:paraId="4AE1DD16">
      <w:pPr>
        <w:pStyle w:val="2"/>
        <w:rPr>
          <w:rFonts w:hint="eastAsia" w:ascii="仿宋" w:hAnsi="仿宋" w:eastAsia="仿宋" w:cs="仿宋"/>
          <w:color w:val="auto"/>
          <w:kern w:val="0"/>
          <w:szCs w:val="21"/>
        </w:rPr>
      </w:pPr>
    </w:p>
    <w:p w14:paraId="0F718208">
      <w:pPr>
        <w:pStyle w:val="2"/>
        <w:rPr>
          <w:rFonts w:hint="eastAsia" w:ascii="仿宋" w:hAnsi="仿宋" w:eastAsia="仿宋" w:cs="仿宋"/>
          <w:color w:val="auto"/>
          <w:kern w:val="0"/>
          <w:szCs w:val="21"/>
        </w:rPr>
      </w:pPr>
    </w:p>
    <w:p w14:paraId="3C0802A6">
      <w:pPr>
        <w:pStyle w:val="2"/>
        <w:rPr>
          <w:rFonts w:hint="eastAsia" w:ascii="仿宋" w:hAnsi="仿宋" w:eastAsia="仿宋" w:cs="仿宋"/>
          <w:color w:val="auto"/>
          <w:kern w:val="0"/>
          <w:szCs w:val="21"/>
        </w:rPr>
      </w:pPr>
    </w:p>
    <w:p w14:paraId="15194BF1">
      <w:pPr>
        <w:pStyle w:val="2"/>
        <w:rPr>
          <w:rFonts w:hint="eastAsia" w:ascii="仿宋" w:hAnsi="仿宋" w:eastAsia="仿宋" w:cs="仿宋"/>
          <w:color w:val="auto"/>
          <w:kern w:val="0"/>
          <w:szCs w:val="21"/>
        </w:rPr>
      </w:pPr>
    </w:p>
    <w:p w14:paraId="3F30DF93">
      <w:pPr>
        <w:pStyle w:val="2"/>
        <w:rPr>
          <w:rFonts w:hint="eastAsia" w:ascii="仿宋" w:hAnsi="仿宋" w:eastAsia="仿宋" w:cs="仿宋"/>
          <w:color w:val="auto"/>
          <w:kern w:val="0"/>
          <w:szCs w:val="21"/>
        </w:rPr>
      </w:pPr>
    </w:p>
    <w:p w14:paraId="0845E3EC">
      <w:pPr>
        <w:pStyle w:val="2"/>
        <w:rPr>
          <w:rFonts w:hint="eastAsia" w:ascii="仿宋" w:hAnsi="仿宋" w:eastAsia="仿宋" w:cs="仿宋"/>
          <w:color w:val="auto"/>
          <w:kern w:val="0"/>
          <w:szCs w:val="21"/>
        </w:rPr>
      </w:pPr>
    </w:p>
    <w:p w14:paraId="5221121E">
      <w:pPr>
        <w:pStyle w:val="2"/>
        <w:rPr>
          <w:rFonts w:hint="eastAsia" w:ascii="仿宋" w:hAnsi="仿宋" w:eastAsia="仿宋" w:cs="仿宋"/>
          <w:color w:val="auto"/>
          <w:kern w:val="0"/>
          <w:szCs w:val="21"/>
        </w:rPr>
      </w:pPr>
    </w:p>
    <w:p w14:paraId="4EAB0D1A">
      <w:pPr>
        <w:pStyle w:val="2"/>
        <w:rPr>
          <w:rFonts w:hint="eastAsia" w:ascii="仿宋" w:hAnsi="仿宋" w:eastAsia="仿宋" w:cs="仿宋"/>
          <w:color w:val="auto"/>
          <w:kern w:val="0"/>
          <w:szCs w:val="21"/>
        </w:rPr>
      </w:pPr>
    </w:p>
    <w:p w14:paraId="3877D739">
      <w:pPr>
        <w:pStyle w:val="2"/>
        <w:rPr>
          <w:rFonts w:hint="eastAsia" w:ascii="仿宋" w:hAnsi="仿宋" w:eastAsia="仿宋" w:cs="仿宋"/>
          <w:color w:val="auto"/>
          <w:kern w:val="0"/>
          <w:szCs w:val="21"/>
        </w:rPr>
      </w:pPr>
    </w:p>
    <w:p w14:paraId="0B41B007">
      <w:pPr>
        <w:pStyle w:val="2"/>
        <w:rPr>
          <w:rFonts w:hint="eastAsia" w:ascii="仿宋" w:hAnsi="仿宋" w:eastAsia="仿宋" w:cs="仿宋"/>
          <w:color w:val="auto"/>
          <w:kern w:val="0"/>
          <w:szCs w:val="21"/>
        </w:rPr>
      </w:pPr>
    </w:p>
    <w:p w14:paraId="0CE1C4B1">
      <w:pPr>
        <w:pStyle w:val="2"/>
        <w:rPr>
          <w:rFonts w:hint="eastAsia" w:ascii="仿宋" w:hAnsi="仿宋" w:eastAsia="仿宋" w:cs="仿宋"/>
          <w:color w:val="auto"/>
          <w:kern w:val="0"/>
          <w:szCs w:val="21"/>
        </w:rPr>
      </w:pPr>
    </w:p>
    <w:p w14:paraId="3AF50DC1">
      <w:pPr>
        <w:pStyle w:val="2"/>
        <w:rPr>
          <w:rFonts w:hint="eastAsia" w:ascii="仿宋" w:hAnsi="仿宋" w:eastAsia="仿宋" w:cs="仿宋"/>
          <w:color w:val="auto"/>
          <w:kern w:val="0"/>
          <w:szCs w:val="21"/>
        </w:rPr>
      </w:pPr>
    </w:p>
    <w:p w14:paraId="5BD9610E">
      <w:pPr>
        <w:pStyle w:val="2"/>
        <w:rPr>
          <w:rFonts w:hint="eastAsia" w:ascii="仿宋" w:hAnsi="仿宋" w:eastAsia="仿宋" w:cs="仿宋"/>
          <w:color w:val="auto"/>
          <w:kern w:val="0"/>
          <w:szCs w:val="21"/>
        </w:rPr>
      </w:pPr>
    </w:p>
    <w:p w14:paraId="27BB52FD">
      <w:pPr>
        <w:pStyle w:val="2"/>
        <w:rPr>
          <w:rFonts w:hint="eastAsia" w:ascii="仿宋" w:hAnsi="仿宋" w:eastAsia="仿宋" w:cs="仿宋"/>
          <w:color w:val="auto"/>
          <w:kern w:val="0"/>
          <w:szCs w:val="21"/>
        </w:rPr>
      </w:pPr>
    </w:p>
    <w:p w14:paraId="1D809505">
      <w:pPr>
        <w:pStyle w:val="34"/>
        <w:rPr>
          <w:rFonts w:hint="eastAsia"/>
          <w:color w:val="auto"/>
        </w:rPr>
      </w:pPr>
    </w:p>
    <w:p w14:paraId="2770B254">
      <w:pPr>
        <w:pStyle w:val="3"/>
        <w:tabs>
          <w:tab w:val="left" w:pos="0"/>
        </w:tabs>
        <w:spacing w:before="0" w:after="0" w:line="240" w:lineRule="atLeast"/>
        <w:jc w:val="center"/>
        <w:rPr>
          <w:rFonts w:ascii="仿宋" w:hAnsi="仿宋" w:eastAsia="仿宋" w:cs="仿宋"/>
          <w:color w:val="auto"/>
        </w:rPr>
      </w:pPr>
      <w:bookmarkStart w:id="63" w:name="_Toc20555"/>
      <w:bookmarkStart w:id="64" w:name="_Toc12199"/>
      <w:bookmarkStart w:id="65" w:name="_Toc622"/>
      <w:bookmarkStart w:id="66" w:name="_Toc14898"/>
      <w:r>
        <w:rPr>
          <w:rFonts w:hint="eastAsia" w:ascii="仿宋" w:hAnsi="仿宋" w:eastAsia="仿宋" w:cs="仿宋"/>
          <w:color w:val="auto"/>
          <w:kern w:val="0"/>
          <w:szCs w:val="21"/>
        </w:rPr>
        <w:t>第一章、</w:t>
      </w:r>
      <w:bookmarkStart w:id="67" w:name="_Toc515647756"/>
      <w:r>
        <w:rPr>
          <w:rFonts w:hint="eastAsia" w:ascii="仿宋" w:hAnsi="仿宋" w:eastAsia="仿宋" w:cs="仿宋"/>
          <w:color w:val="auto"/>
        </w:rPr>
        <w:t>投标人须知</w:t>
      </w:r>
      <w:bookmarkEnd w:id="60"/>
      <w:bookmarkEnd w:id="61"/>
      <w:bookmarkEnd w:id="62"/>
      <w:bookmarkEnd w:id="63"/>
      <w:bookmarkEnd w:id="64"/>
      <w:bookmarkEnd w:id="65"/>
      <w:bookmarkEnd w:id="66"/>
      <w:bookmarkEnd w:id="67"/>
    </w:p>
    <w:p w14:paraId="433160C3">
      <w:pPr>
        <w:rPr>
          <w:rFonts w:ascii="仿宋" w:hAnsi="仿宋" w:eastAsia="仿宋" w:cs="仿宋"/>
          <w:color w:val="auto"/>
        </w:rPr>
      </w:pPr>
    </w:p>
    <w:p w14:paraId="2DD26947">
      <w:pPr>
        <w:pStyle w:val="4"/>
        <w:spacing w:before="0" w:line="240" w:lineRule="atLeast"/>
        <w:ind w:left="1079" w:leftChars="257" w:hanging="540"/>
        <w:rPr>
          <w:rFonts w:ascii="仿宋" w:hAnsi="仿宋" w:eastAsia="仿宋" w:cs="仿宋"/>
          <w:color w:val="auto"/>
          <w:sz w:val="28"/>
        </w:rPr>
      </w:pPr>
      <w:bookmarkStart w:id="68" w:name="_Toc216582805"/>
      <w:bookmarkStart w:id="69" w:name="_Toc515647757"/>
      <w:bookmarkStart w:id="70" w:name="_Toc520356143"/>
      <w:bookmarkStart w:id="71" w:name="_Toc8794"/>
      <w:bookmarkStart w:id="72" w:name="_Toc21015"/>
      <w:bookmarkStart w:id="73" w:name="_Toc13152"/>
      <w:bookmarkStart w:id="74" w:name="_Toc21215"/>
      <w:bookmarkStart w:id="75" w:name="_Toc20679"/>
      <w:r>
        <w:rPr>
          <w:rFonts w:hint="eastAsia" w:ascii="仿宋" w:hAnsi="仿宋" w:eastAsia="仿宋" w:cs="仿宋"/>
          <w:color w:val="auto"/>
          <w:sz w:val="28"/>
        </w:rPr>
        <w:t xml:space="preserve">一   </w:t>
      </w:r>
      <w:bookmarkEnd w:id="68"/>
      <w:bookmarkEnd w:id="69"/>
      <w:bookmarkEnd w:id="70"/>
      <w:r>
        <w:rPr>
          <w:rFonts w:hint="eastAsia" w:ascii="仿宋" w:hAnsi="仿宋" w:eastAsia="仿宋" w:cs="仿宋"/>
          <w:color w:val="auto"/>
          <w:sz w:val="28"/>
        </w:rPr>
        <w:t>总 则</w:t>
      </w:r>
      <w:bookmarkEnd w:id="71"/>
      <w:bookmarkEnd w:id="72"/>
      <w:bookmarkEnd w:id="73"/>
      <w:bookmarkEnd w:id="74"/>
      <w:bookmarkEnd w:id="75"/>
    </w:p>
    <w:p w14:paraId="398FC649">
      <w:pPr>
        <w:pStyle w:val="2"/>
        <w:rPr>
          <w:rFonts w:ascii="仿宋" w:hAnsi="仿宋" w:eastAsia="仿宋" w:cs="仿宋"/>
          <w:color w:val="auto"/>
        </w:rPr>
      </w:pPr>
    </w:p>
    <w:p w14:paraId="25432E58">
      <w:pPr>
        <w:pStyle w:val="5"/>
        <w:spacing w:before="0" w:after="0" w:line="240" w:lineRule="atLeast"/>
        <w:ind w:left="0" w:leftChars="0" w:firstLine="0" w:firstLineChars="0"/>
        <w:outlineLvl w:val="1"/>
        <w:rPr>
          <w:rFonts w:ascii="仿宋" w:hAnsi="仿宋" w:eastAsia="仿宋" w:cs="仿宋"/>
          <w:color w:val="auto"/>
          <w:u w:val="none"/>
        </w:rPr>
      </w:pPr>
      <w:bookmarkStart w:id="76" w:name="_Toc520356144"/>
      <w:bookmarkStart w:id="77" w:name="_Toc32189"/>
      <w:bookmarkStart w:id="78" w:name="_Toc32623"/>
      <w:bookmarkStart w:id="79" w:name="_Toc515647758"/>
      <w:bookmarkStart w:id="80" w:name="_Toc18332"/>
      <w:bookmarkStart w:id="81" w:name="_Toc20682"/>
      <w:r>
        <w:rPr>
          <w:rFonts w:hint="eastAsia" w:ascii="仿宋" w:hAnsi="仿宋" w:eastAsia="仿宋" w:cs="仿宋"/>
          <w:color w:val="auto"/>
          <w:u w:val="none"/>
        </w:rPr>
        <w:t>1.采购人、采购代理机构及</w:t>
      </w:r>
      <w:bookmarkEnd w:id="76"/>
      <w:r>
        <w:rPr>
          <w:rFonts w:hint="eastAsia" w:ascii="仿宋" w:hAnsi="仿宋" w:eastAsia="仿宋" w:cs="仿宋"/>
          <w:color w:val="auto"/>
          <w:u w:val="none"/>
        </w:rPr>
        <w:t>投标人</w:t>
      </w:r>
      <w:bookmarkEnd w:id="77"/>
      <w:bookmarkEnd w:id="78"/>
      <w:bookmarkEnd w:id="79"/>
      <w:bookmarkEnd w:id="80"/>
      <w:bookmarkEnd w:id="81"/>
    </w:p>
    <w:p w14:paraId="0E076918">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14:paraId="41DD2DEE">
      <w:pPr>
        <w:tabs>
          <w:tab w:val="left" w:pos="0"/>
        </w:tabs>
        <w:spacing w:line="240" w:lineRule="atLeast"/>
        <w:ind w:left="900"/>
        <w:rPr>
          <w:rFonts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E3A39A6">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 xml:space="preserve">    采购代理机构：是指在集中采购机构或从事采购代理业务的社会中介机构。本项目的采购代理机构见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2DEC9883">
      <w:pPr>
        <w:numPr>
          <w:ilvl w:val="1"/>
          <w:numId w:val="2"/>
        </w:numPr>
        <w:spacing w:line="240" w:lineRule="atLeast"/>
        <w:ind w:hangingChars="375"/>
        <w:rPr>
          <w:rFonts w:ascii="仿宋" w:hAnsi="仿宋" w:eastAsia="仿宋" w:cs="仿宋"/>
          <w:color w:val="auto"/>
          <w:sz w:val="24"/>
        </w:rPr>
      </w:pPr>
      <w:r>
        <w:rPr>
          <w:rFonts w:hint="eastAsia" w:ascii="仿宋" w:hAnsi="仿宋" w:eastAsia="仿宋" w:cs="仿宋"/>
          <w:color w:val="auto"/>
          <w:sz w:val="24"/>
        </w:rPr>
        <w:t>投标人：是指向采购人提供货物、工程或者服务的法人、非法人组织或者自然人。本项目的投标人及其投标货物须满足以下条件：</w:t>
      </w:r>
    </w:p>
    <w:p w14:paraId="57CCDCB0">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14:paraId="154479B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14:paraId="3EC0A15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1.3.3   以采购代理机构认可的方式获得了本项目的招标文件。</w:t>
      </w:r>
    </w:p>
    <w:p w14:paraId="5C9D2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中规定的其他要求。</w:t>
      </w:r>
    </w:p>
    <w:p w14:paraId="151C441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中写明允许采购进口产品，投标人应保证所投产品可履行合法报通关手续进入中国关境内。</w:t>
      </w:r>
    </w:p>
    <w:p w14:paraId="4BCA118B">
      <w:pPr>
        <w:spacing w:line="240" w:lineRule="atLeast"/>
        <w:ind w:left="898" w:leftChars="428"/>
        <w:rPr>
          <w:rFonts w:ascii="仿宋" w:hAnsi="仿宋" w:eastAsia="仿宋" w:cs="仿宋"/>
          <w:color w:val="auto"/>
          <w:sz w:val="24"/>
        </w:rPr>
      </w:pPr>
      <w:r>
        <w:rPr>
          <w:rFonts w:hint="eastAsia" w:ascii="仿宋" w:hAnsi="仿宋" w:eastAsia="仿宋" w:cs="仿宋"/>
          <w:color w:val="auto"/>
          <w:sz w:val="24"/>
        </w:rPr>
        <w:t>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中未写明允许采购进口产品，如投标人所投产品为进口产品，其投标将被认定为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49F3AAB">
      <w:pPr>
        <w:spacing w:line="240" w:lineRule="atLeast"/>
        <w:ind w:left="840" w:hanging="840" w:hangingChars="350"/>
        <w:rPr>
          <w:rFonts w:ascii="仿宋" w:hAnsi="仿宋" w:eastAsia="仿宋" w:cs="仿宋"/>
          <w:color w:val="auto"/>
          <w:sz w:val="24"/>
        </w:rPr>
      </w:pPr>
      <w:r>
        <w:rPr>
          <w:rFonts w:hint="eastAsia" w:ascii="仿宋" w:hAnsi="仿宋" w:eastAsia="仿宋" w:cs="仿宋"/>
          <w:color w:val="auto"/>
          <w:sz w:val="24"/>
        </w:rPr>
        <w:t>1.3.6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中写明专门面向中小企业采购的，如投标人为非中小企业且所投产品为非中小企业产品，其投标将被认定为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DC2996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中允许联合体投标，对联合体规定如下：</w:t>
      </w:r>
    </w:p>
    <w:p w14:paraId="710066A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   两个以上供应商可以组成一个投标联合体，以一个投标人的身份投标。</w:t>
      </w:r>
    </w:p>
    <w:p w14:paraId="11C6BA1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14:paraId="103A9C9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1.4.3   采购人根据采购项目对投标人的特殊要求，联合体中至少应当有一方符合相关规定。</w:t>
      </w:r>
    </w:p>
    <w:p w14:paraId="5CE0F1B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联合体各方应签订共同投标协议，明确约定联合体各方承担的工作和相应的责任，并将共同投标协议连同作为投标文件第一部分的内容提交。</w:t>
      </w:r>
    </w:p>
    <w:p w14:paraId="0A3DDA2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49A9766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联合体中有同类资质的供应商按照联合体分工承担相同工作的，按照较低的资质等级确定联合体的资质等级。</w:t>
      </w:r>
    </w:p>
    <w:p w14:paraId="24D3C18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338FF5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094E773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0C52FB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A9FCD9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rPr>
        <w:tab/>
      </w:r>
      <w:r>
        <w:rPr>
          <w:rFonts w:hint="eastAsia" w:ascii="仿宋" w:hAnsi="仿宋" w:eastAsia="仿宋" w:cs="仿宋"/>
          <w:color w:val="auto"/>
          <w:sz w:val="24"/>
        </w:rPr>
        <w:t>投标人在投标过程中不得向采购人提供、给予任何有价值的物品，影响其正常决策行为。一经发现，其将被认定为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22E0D0B">
      <w:pPr>
        <w:pStyle w:val="5"/>
        <w:spacing w:before="0" w:after="0" w:line="240" w:lineRule="atLeast"/>
        <w:ind w:left="0" w:leftChars="0" w:firstLine="0" w:firstLineChars="0"/>
        <w:outlineLvl w:val="1"/>
        <w:rPr>
          <w:rFonts w:ascii="仿宋" w:hAnsi="仿宋" w:eastAsia="仿宋" w:cs="仿宋"/>
          <w:color w:val="auto"/>
          <w:u w:val="none"/>
        </w:rPr>
      </w:pPr>
      <w:bookmarkStart w:id="82" w:name="_Toc11481"/>
      <w:bookmarkStart w:id="83" w:name="_Toc12139"/>
      <w:bookmarkStart w:id="84" w:name="_Toc17292"/>
      <w:bookmarkStart w:id="85" w:name="_Toc5286"/>
      <w:bookmarkStart w:id="86" w:name="_Toc515647759"/>
      <w:r>
        <w:rPr>
          <w:rFonts w:hint="eastAsia" w:ascii="仿宋" w:hAnsi="仿宋" w:eastAsia="仿宋" w:cs="仿宋"/>
          <w:color w:val="auto"/>
          <w:u w:val="none"/>
        </w:rPr>
        <w:t>2.资金来源</w:t>
      </w:r>
      <w:bookmarkEnd w:id="82"/>
      <w:bookmarkEnd w:id="83"/>
      <w:bookmarkEnd w:id="84"/>
      <w:bookmarkEnd w:id="85"/>
      <w:bookmarkEnd w:id="86"/>
    </w:p>
    <w:p w14:paraId="3F6CD9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14:paraId="2E3FF2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color w:val="auto"/>
          <w:sz w:val="24"/>
          <w:u w:val="single"/>
        </w:rPr>
        <w:t>见投标人须知资料表</w:t>
      </w:r>
      <w:r>
        <w:rPr>
          <w:rFonts w:hint="eastAsia" w:ascii="仿宋" w:hAnsi="仿宋" w:eastAsia="仿宋" w:cs="仿宋"/>
          <w:color w:val="auto"/>
          <w:sz w:val="24"/>
        </w:rPr>
        <w:t>。</w:t>
      </w:r>
    </w:p>
    <w:p w14:paraId="4E2C694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    投标人报价超过招标文件规定的预算金额或者分项、分包最高限价的，其投标将被认定为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9F13604">
      <w:pPr>
        <w:pStyle w:val="5"/>
        <w:spacing w:before="0" w:after="0" w:line="240" w:lineRule="atLeast"/>
        <w:ind w:left="0" w:leftChars="0" w:firstLine="0" w:firstLineChars="0"/>
        <w:outlineLvl w:val="1"/>
        <w:rPr>
          <w:rFonts w:ascii="仿宋" w:hAnsi="仿宋" w:eastAsia="仿宋" w:cs="仿宋"/>
          <w:color w:val="auto"/>
          <w:u w:val="none"/>
        </w:rPr>
      </w:pPr>
      <w:bookmarkStart w:id="87" w:name="_Toc520356145"/>
      <w:bookmarkStart w:id="88" w:name="_Toc23040"/>
      <w:bookmarkStart w:id="89" w:name="_Toc31772"/>
      <w:bookmarkStart w:id="90" w:name="_Toc15936"/>
      <w:bookmarkStart w:id="91" w:name="_Toc515647760"/>
      <w:bookmarkStart w:id="92" w:name="_Toc20526"/>
      <w:r>
        <w:rPr>
          <w:rFonts w:hint="eastAsia" w:ascii="仿宋" w:hAnsi="仿宋" w:eastAsia="仿宋" w:cs="仿宋"/>
          <w:color w:val="auto"/>
          <w:u w:val="none"/>
        </w:rPr>
        <w:t>3.投标费用</w:t>
      </w:r>
      <w:bookmarkEnd w:id="87"/>
      <w:bookmarkEnd w:id="88"/>
      <w:bookmarkEnd w:id="89"/>
      <w:bookmarkEnd w:id="90"/>
      <w:bookmarkEnd w:id="91"/>
      <w:bookmarkEnd w:id="92"/>
    </w:p>
    <w:p w14:paraId="214EA61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不论投标的结果如何，投标人应承担所有与准备和参加投标有关的费用。</w:t>
      </w:r>
    </w:p>
    <w:p w14:paraId="72556482">
      <w:pPr>
        <w:pStyle w:val="5"/>
        <w:spacing w:before="0" w:after="0" w:line="240" w:lineRule="atLeast"/>
        <w:ind w:left="0" w:leftChars="0" w:firstLine="0" w:firstLineChars="0"/>
        <w:outlineLvl w:val="1"/>
        <w:rPr>
          <w:rFonts w:ascii="仿宋" w:hAnsi="仿宋" w:eastAsia="仿宋" w:cs="仿宋"/>
          <w:color w:val="auto"/>
          <w:u w:val="none"/>
        </w:rPr>
      </w:pPr>
      <w:bookmarkStart w:id="93" w:name="_Toc13283"/>
      <w:bookmarkStart w:id="94" w:name="_Toc4463"/>
      <w:bookmarkStart w:id="95" w:name="_Toc9305"/>
      <w:bookmarkStart w:id="96" w:name="_Toc6116"/>
      <w:bookmarkStart w:id="97" w:name="_Toc515647761"/>
      <w:r>
        <w:rPr>
          <w:rFonts w:hint="eastAsia" w:ascii="仿宋" w:hAnsi="仿宋" w:eastAsia="仿宋" w:cs="仿宋"/>
          <w:color w:val="auto"/>
          <w:u w:val="none"/>
        </w:rPr>
        <w:t>4.适用法律</w:t>
      </w:r>
      <w:bookmarkEnd w:id="93"/>
      <w:bookmarkEnd w:id="94"/>
      <w:bookmarkEnd w:id="95"/>
      <w:bookmarkEnd w:id="96"/>
      <w:bookmarkEnd w:id="97"/>
    </w:p>
    <w:p w14:paraId="24544FB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EA564EF">
      <w:pPr>
        <w:spacing w:line="240" w:lineRule="atLeast"/>
        <w:rPr>
          <w:rFonts w:ascii="仿宋" w:hAnsi="仿宋" w:eastAsia="仿宋" w:cs="仿宋"/>
          <w:color w:val="auto"/>
          <w:sz w:val="24"/>
        </w:rPr>
      </w:pPr>
    </w:p>
    <w:p w14:paraId="057D144D">
      <w:pPr>
        <w:pStyle w:val="4"/>
        <w:spacing w:before="0" w:line="240" w:lineRule="atLeast"/>
        <w:ind w:left="1079" w:leftChars="257" w:hanging="540"/>
        <w:rPr>
          <w:rFonts w:ascii="仿宋" w:hAnsi="仿宋" w:eastAsia="仿宋" w:cs="仿宋"/>
          <w:color w:val="auto"/>
          <w:sz w:val="28"/>
        </w:rPr>
      </w:pPr>
      <w:bookmarkStart w:id="98" w:name="_Toc23137"/>
      <w:bookmarkStart w:id="99" w:name="_Toc21566"/>
      <w:bookmarkStart w:id="100" w:name="_Toc26762"/>
      <w:bookmarkStart w:id="101" w:name="_Toc515647762"/>
      <w:bookmarkStart w:id="102" w:name="_Toc520356146"/>
      <w:bookmarkStart w:id="103" w:name="_Toc216582806"/>
      <w:bookmarkStart w:id="104" w:name="_Toc4365"/>
      <w:r>
        <w:rPr>
          <w:rFonts w:hint="eastAsia" w:ascii="仿宋" w:hAnsi="仿宋" w:eastAsia="仿宋" w:cs="仿宋"/>
          <w:color w:val="auto"/>
          <w:sz w:val="28"/>
        </w:rPr>
        <w:t>二   招标文件</w:t>
      </w:r>
      <w:bookmarkEnd w:id="98"/>
      <w:bookmarkEnd w:id="99"/>
      <w:bookmarkEnd w:id="100"/>
      <w:bookmarkEnd w:id="101"/>
      <w:bookmarkEnd w:id="102"/>
      <w:bookmarkEnd w:id="103"/>
      <w:bookmarkEnd w:id="104"/>
    </w:p>
    <w:p w14:paraId="613E8A29">
      <w:pPr>
        <w:pStyle w:val="2"/>
        <w:rPr>
          <w:rFonts w:ascii="仿宋" w:hAnsi="仿宋" w:eastAsia="仿宋" w:cs="仿宋"/>
          <w:color w:val="auto"/>
        </w:rPr>
      </w:pPr>
    </w:p>
    <w:p w14:paraId="48AACB0E">
      <w:pPr>
        <w:pStyle w:val="5"/>
        <w:spacing w:before="0" w:after="0" w:line="240" w:lineRule="atLeast"/>
        <w:ind w:left="0" w:leftChars="0" w:firstLine="0" w:firstLineChars="0"/>
        <w:outlineLvl w:val="1"/>
        <w:rPr>
          <w:rFonts w:ascii="仿宋" w:hAnsi="仿宋" w:eastAsia="仿宋" w:cs="仿宋"/>
          <w:color w:val="auto"/>
          <w:u w:val="none"/>
        </w:rPr>
      </w:pPr>
      <w:bookmarkStart w:id="105" w:name="_Toc515647763"/>
      <w:bookmarkStart w:id="106" w:name="_Toc3371"/>
      <w:bookmarkStart w:id="107" w:name="_Toc484"/>
      <w:bookmarkStart w:id="108" w:name="_Toc14084"/>
      <w:bookmarkStart w:id="109" w:name="_Toc25743"/>
      <w:bookmarkStart w:id="110" w:name="_Toc520356147"/>
      <w:r>
        <w:rPr>
          <w:rFonts w:hint="eastAsia" w:ascii="仿宋" w:hAnsi="仿宋" w:eastAsia="仿宋" w:cs="仿宋"/>
          <w:color w:val="auto"/>
          <w:u w:val="none"/>
        </w:rPr>
        <w:t>5.招标文件构成</w:t>
      </w:r>
      <w:bookmarkEnd w:id="105"/>
      <w:bookmarkEnd w:id="106"/>
      <w:bookmarkEnd w:id="107"/>
      <w:bookmarkEnd w:id="108"/>
      <w:bookmarkEnd w:id="109"/>
      <w:bookmarkEnd w:id="110"/>
    </w:p>
    <w:p w14:paraId="450F8D4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招标文件分为三册共7章，内容如下：</w:t>
      </w:r>
    </w:p>
    <w:p w14:paraId="761998D3">
      <w:pPr>
        <w:spacing w:line="240" w:lineRule="atLeast"/>
        <w:ind w:left="1078" w:leftChars="428" w:hanging="180" w:hangingChars="75"/>
        <w:rPr>
          <w:rFonts w:ascii="仿宋" w:hAnsi="仿宋" w:eastAsia="仿宋" w:cs="仿宋"/>
          <w:color w:val="auto"/>
          <w:sz w:val="24"/>
        </w:rPr>
      </w:pPr>
      <w:r>
        <w:rPr>
          <w:rFonts w:hint="eastAsia" w:ascii="仿宋" w:hAnsi="仿宋" w:eastAsia="仿宋" w:cs="仿宋"/>
          <w:color w:val="auto"/>
          <w:sz w:val="24"/>
        </w:rPr>
        <w:t>第一册</w:t>
      </w:r>
    </w:p>
    <w:p w14:paraId="16DCDDE9">
      <w:pPr>
        <w:numPr>
          <w:ilvl w:val="0"/>
          <w:numId w:val="3"/>
        </w:numPr>
        <w:tabs>
          <w:tab w:val="left" w:pos="0"/>
        </w:tabs>
        <w:spacing w:line="240" w:lineRule="atLeast"/>
        <w:ind w:hanging="829"/>
        <w:rPr>
          <w:rFonts w:ascii="仿宋" w:hAnsi="仿宋" w:eastAsia="仿宋" w:cs="仿宋"/>
          <w:color w:val="auto"/>
          <w:sz w:val="24"/>
        </w:rPr>
      </w:pPr>
      <w:r>
        <w:rPr>
          <w:rFonts w:hint="eastAsia" w:ascii="仿宋" w:hAnsi="仿宋" w:eastAsia="仿宋" w:cs="仿宋"/>
          <w:color w:val="auto"/>
          <w:sz w:val="24"/>
        </w:rPr>
        <w:t xml:space="preserve"> 投标人须知</w:t>
      </w:r>
    </w:p>
    <w:p w14:paraId="0B743A7A">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投标文件格式</w:t>
      </w:r>
    </w:p>
    <w:p w14:paraId="54FF18CF">
      <w:p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第二册</w:t>
      </w:r>
    </w:p>
    <w:p w14:paraId="41D890B1">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投标邀请</w:t>
      </w:r>
    </w:p>
    <w:p w14:paraId="26DA1C1B">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投标人须知资料表</w:t>
      </w:r>
    </w:p>
    <w:p w14:paraId="01961E6E">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货物需求一览表及技术规格</w:t>
      </w:r>
    </w:p>
    <w:p w14:paraId="65462068">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评标方法和标准</w:t>
      </w:r>
    </w:p>
    <w:p w14:paraId="14809CD8">
      <w:pPr>
        <w:spacing w:line="240" w:lineRule="atLeast"/>
        <w:ind w:left="901"/>
        <w:rPr>
          <w:rFonts w:ascii="仿宋" w:hAnsi="仿宋" w:eastAsia="仿宋" w:cs="仿宋"/>
          <w:color w:val="auto"/>
          <w:sz w:val="24"/>
        </w:rPr>
      </w:pPr>
      <w:r>
        <w:rPr>
          <w:rFonts w:hint="eastAsia" w:ascii="仿宋" w:hAnsi="仿宋" w:eastAsia="仿宋" w:cs="仿宋"/>
          <w:color w:val="auto"/>
          <w:sz w:val="24"/>
        </w:rPr>
        <w:t>第三册</w:t>
      </w:r>
    </w:p>
    <w:p w14:paraId="122F5B17">
      <w:pPr>
        <w:numPr>
          <w:ilvl w:val="0"/>
          <w:numId w:val="3"/>
        </w:numPr>
        <w:spacing w:line="240" w:lineRule="atLeast"/>
        <w:ind w:left="718" w:leftChars="342" w:firstLine="240" w:firstLineChars="100"/>
        <w:rPr>
          <w:rFonts w:ascii="仿宋" w:hAnsi="仿宋" w:eastAsia="仿宋" w:cs="仿宋"/>
          <w:color w:val="auto"/>
          <w:sz w:val="24"/>
        </w:rPr>
      </w:pPr>
      <w:r>
        <w:rPr>
          <w:rFonts w:hint="eastAsia" w:ascii="仿宋" w:hAnsi="仿宋" w:eastAsia="仿宋" w:cs="仿宋"/>
          <w:color w:val="auto"/>
          <w:sz w:val="24"/>
        </w:rPr>
        <w:t xml:space="preserve"> 政府采购合同格式</w:t>
      </w:r>
    </w:p>
    <w:p w14:paraId="0AA3334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14:paraId="37A1210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FBE098D">
      <w:pPr>
        <w:pStyle w:val="5"/>
        <w:spacing w:before="0" w:after="0" w:line="240" w:lineRule="atLeast"/>
        <w:ind w:left="0" w:leftChars="0" w:firstLine="0" w:firstLineChars="0"/>
        <w:outlineLvl w:val="1"/>
        <w:rPr>
          <w:rFonts w:ascii="仿宋" w:hAnsi="仿宋" w:eastAsia="仿宋" w:cs="仿宋"/>
          <w:color w:val="auto"/>
          <w:u w:val="none"/>
        </w:rPr>
      </w:pPr>
      <w:bookmarkStart w:id="111" w:name="_Toc515904805"/>
      <w:bookmarkStart w:id="112" w:name="_Toc520356148"/>
      <w:bookmarkStart w:id="113" w:name="_Toc26044"/>
      <w:bookmarkStart w:id="114" w:name="_Toc9232"/>
      <w:bookmarkStart w:id="115" w:name="_Toc21531"/>
      <w:bookmarkStart w:id="116" w:name="_Toc5084"/>
      <w:r>
        <w:rPr>
          <w:rFonts w:hint="eastAsia" w:ascii="仿宋" w:hAnsi="仿宋" w:eastAsia="仿宋" w:cs="仿宋"/>
          <w:color w:val="auto"/>
          <w:u w:val="none"/>
        </w:rPr>
        <w:t>6.招标文件的澄清</w:t>
      </w:r>
      <w:bookmarkEnd w:id="111"/>
      <w:bookmarkEnd w:id="112"/>
      <w:r>
        <w:rPr>
          <w:rFonts w:hint="eastAsia" w:ascii="仿宋" w:hAnsi="仿宋" w:eastAsia="仿宋" w:cs="仿宋"/>
          <w:color w:val="auto"/>
          <w:u w:val="none"/>
        </w:rPr>
        <w:t>与修改</w:t>
      </w:r>
      <w:bookmarkEnd w:id="113"/>
      <w:bookmarkEnd w:id="114"/>
      <w:bookmarkEnd w:id="115"/>
      <w:bookmarkEnd w:id="116"/>
    </w:p>
    <w:p w14:paraId="7BCB4B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6.1    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color w:val="auto"/>
          <w:sz w:val="24"/>
        </w:rPr>
        <w:t>编制的，采购人、采购代理机构应当在提交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截止之日15个工作日前，以书面形式通知所有接收招标文件的供应商，不足15个工作日的，应当顺延提交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w:t>
      </w:r>
    </w:p>
    <w:p w14:paraId="7E5DDD75">
      <w:pPr>
        <w:spacing w:line="240" w:lineRule="atLeast"/>
        <w:ind w:left="900" w:hanging="900" w:hangingChars="375"/>
        <w:rPr>
          <w:rFonts w:ascii="仿宋" w:hAnsi="仿宋" w:eastAsia="仿宋" w:cs="仿宋"/>
          <w:color w:val="auto"/>
          <w:sz w:val="24"/>
        </w:rPr>
      </w:pPr>
      <w:bookmarkStart w:id="117" w:name="_Toc515904806"/>
      <w:bookmarkStart w:id="118" w:name="_Ref467378678"/>
      <w:bookmarkStart w:id="119" w:name="_Toc520356149"/>
      <w:r>
        <w:rPr>
          <w:rFonts w:hint="eastAsia" w:ascii="仿宋" w:hAnsi="仿宋" w:eastAsia="仿宋" w:cs="仿宋"/>
          <w:color w:val="auto"/>
          <w:sz w:val="24"/>
        </w:rPr>
        <w:t>6.2</w:t>
      </w:r>
      <w:r>
        <w:rPr>
          <w:rFonts w:hint="eastAsia" w:ascii="仿宋" w:hAnsi="仿宋" w:eastAsia="仿宋" w:cs="仿宋"/>
          <w:color w:val="auto"/>
          <w:sz w:val="24"/>
        </w:rPr>
        <w:tab/>
      </w:r>
      <w:r>
        <w:rPr>
          <w:rFonts w:hint="eastAsia" w:ascii="仿宋" w:hAnsi="仿宋" w:eastAsia="仿宋" w:cs="仿宋"/>
          <w:color w:val="auto"/>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21CA4A8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color w:val="auto"/>
          <w:sz w:val="24"/>
        </w:rPr>
        <w:tab/>
      </w:r>
      <w:r>
        <w:rPr>
          <w:rFonts w:hint="eastAsia" w:ascii="仿宋" w:hAnsi="仿宋" w:eastAsia="仿宋" w:cs="仿宋"/>
          <w:color w:val="auto"/>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2E74B979">
      <w:pPr>
        <w:spacing w:line="240" w:lineRule="atLeast"/>
        <w:ind w:left="904" w:hanging="900" w:hangingChars="375"/>
        <w:outlineLvl w:val="1"/>
        <w:rPr>
          <w:rFonts w:ascii="仿宋" w:hAnsi="仿宋" w:eastAsia="仿宋" w:cs="仿宋"/>
          <w:b/>
          <w:bCs/>
          <w:color w:val="auto"/>
          <w:sz w:val="24"/>
        </w:rPr>
      </w:pPr>
      <w:bookmarkStart w:id="120" w:name="_Toc25635"/>
      <w:bookmarkStart w:id="121" w:name="_Toc14569"/>
      <w:bookmarkStart w:id="122" w:name="_Toc2430"/>
      <w:bookmarkStart w:id="123" w:name="_Toc30245"/>
      <w:r>
        <w:rPr>
          <w:rFonts w:hint="eastAsia" w:ascii="仿宋" w:hAnsi="仿宋" w:eastAsia="仿宋" w:cs="仿宋"/>
          <w:b/>
          <w:bCs/>
          <w:color w:val="auto"/>
          <w:sz w:val="24"/>
        </w:rPr>
        <w:t>7</w:t>
      </w:r>
      <w:bookmarkEnd w:id="117"/>
      <w:bookmarkEnd w:id="118"/>
      <w:bookmarkEnd w:id="119"/>
      <w:r>
        <w:rPr>
          <w:rFonts w:hint="eastAsia" w:ascii="仿宋" w:hAnsi="仿宋" w:eastAsia="仿宋" w:cs="仿宋"/>
          <w:b/>
          <w:bCs/>
          <w:color w:val="auto"/>
          <w:sz w:val="24"/>
        </w:rPr>
        <w:t>.投标截止时间的顺延</w:t>
      </w:r>
      <w:bookmarkEnd w:id="120"/>
      <w:bookmarkEnd w:id="121"/>
      <w:bookmarkEnd w:id="122"/>
      <w:bookmarkEnd w:id="123"/>
    </w:p>
    <w:p w14:paraId="12E0C10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为使投标人准备投标时有足够的时间对招标文件的澄清或者修改部分进行研究，采购人将依法决定是否顺延投标截止时间。</w:t>
      </w:r>
    </w:p>
    <w:p w14:paraId="5F376AF3">
      <w:pPr>
        <w:pStyle w:val="4"/>
        <w:tabs>
          <w:tab w:val="left" w:pos="900"/>
        </w:tabs>
        <w:spacing w:before="0" w:line="240" w:lineRule="atLeast"/>
        <w:ind w:left="1079" w:leftChars="257" w:hanging="540"/>
        <w:rPr>
          <w:rFonts w:ascii="仿宋" w:hAnsi="仿宋" w:eastAsia="仿宋" w:cs="仿宋"/>
          <w:color w:val="auto"/>
          <w:sz w:val="28"/>
        </w:rPr>
      </w:pPr>
      <w:bookmarkStart w:id="124" w:name="_Toc516367020"/>
      <w:bookmarkStart w:id="125" w:name="_Toc7636"/>
      <w:bookmarkStart w:id="126" w:name="_Toc515647766"/>
      <w:bookmarkStart w:id="127" w:name="_Toc216582807"/>
      <w:bookmarkStart w:id="128" w:name="_Toc30808"/>
      <w:bookmarkStart w:id="129" w:name="_Toc5414"/>
      <w:bookmarkStart w:id="130" w:name="_Toc520356150"/>
      <w:bookmarkStart w:id="131" w:name="_Toc11560"/>
      <w:r>
        <w:rPr>
          <w:rFonts w:hint="eastAsia" w:ascii="仿宋" w:hAnsi="仿宋" w:eastAsia="仿宋" w:cs="仿宋"/>
          <w:color w:val="auto"/>
          <w:sz w:val="28"/>
        </w:rPr>
        <w:t>三   投标文件</w:t>
      </w:r>
      <w:bookmarkEnd w:id="124"/>
      <w:r>
        <w:rPr>
          <w:rFonts w:hint="eastAsia" w:ascii="仿宋" w:hAnsi="仿宋" w:eastAsia="仿宋" w:cs="仿宋"/>
          <w:color w:val="auto"/>
          <w:sz w:val="28"/>
        </w:rPr>
        <w:t>的编制</w:t>
      </w:r>
      <w:bookmarkEnd w:id="125"/>
      <w:bookmarkEnd w:id="126"/>
      <w:bookmarkEnd w:id="127"/>
      <w:bookmarkEnd w:id="128"/>
      <w:bookmarkEnd w:id="129"/>
      <w:bookmarkEnd w:id="130"/>
      <w:bookmarkEnd w:id="131"/>
    </w:p>
    <w:p w14:paraId="61777473">
      <w:pPr>
        <w:pStyle w:val="2"/>
        <w:rPr>
          <w:rFonts w:ascii="仿宋" w:hAnsi="仿宋" w:eastAsia="仿宋" w:cs="仿宋"/>
          <w:color w:val="auto"/>
        </w:rPr>
      </w:pPr>
    </w:p>
    <w:p w14:paraId="0681FAF5">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2" w:name="_Toc7786"/>
      <w:bookmarkStart w:id="133" w:name="_Toc516367021"/>
      <w:bookmarkStart w:id="134" w:name="_Toc520356151"/>
      <w:bookmarkStart w:id="135" w:name="_Toc515647767"/>
      <w:bookmarkStart w:id="136" w:name="_Toc3553"/>
      <w:bookmarkStart w:id="137" w:name="_Toc20346"/>
      <w:bookmarkStart w:id="138" w:name="_Toc15152"/>
      <w:r>
        <w:rPr>
          <w:rFonts w:hint="eastAsia" w:ascii="仿宋" w:hAnsi="仿宋" w:eastAsia="仿宋" w:cs="仿宋"/>
          <w:color w:val="auto"/>
          <w:sz w:val="24"/>
          <w:szCs w:val="24"/>
          <w:u w:val="none"/>
        </w:rPr>
        <w:t>8.</w:t>
      </w:r>
      <w:r>
        <w:rPr>
          <w:rFonts w:hint="eastAsia" w:ascii="仿宋" w:hAnsi="仿宋" w:eastAsia="仿宋" w:cs="仿宋"/>
          <w:color w:val="auto"/>
          <w:u w:val="none"/>
        </w:rPr>
        <w:tab/>
      </w:r>
      <w:r>
        <w:rPr>
          <w:rFonts w:hint="eastAsia" w:ascii="仿宋" w:hAnsi="仿宋" w:eastAsia="仿宋" w:cs="仿宋"/>
          <w:color w:val="auto"/>
          <w:sz w:val="24"/>
          <w:szCs w:val="24"/>
          <w:u w:val="none"/>
        </w:rPr>
        <w:t>投标范围及投标文件中标准和计量单位的使用</w:t>
      </w:r>
      <w:bookmarkEnd w:id="132"/>
      <w:bookmarkEnd w:id="133"/>
      <w:bookmarkEnd w:id="134"/>
      <w:bookmarkEnd w:id="135"/>
      <w:bookmarkEnd w:id="136"/>
      <w:bookmarkEnd w:id="137"/>
      <w:bookmarkEnd w:id="138"/>
    </w:p>
    <w:p w14:paraId="654DE2A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项目有分包的，投标人可对招标文件其中某一个或几个分包货物进行投标，除非在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中另有规定。</w:t>
      </w:r>
    </w:p>
    <w:p w14:paraId="4759FD0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CC187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8.3     无论招标文件第5章货物需求一览表及技术规格中是否要求，投标人所投货物均应符合国家强制性标准。</w:t>
      </w:r>
    </w:p>
    <w:p w14:paraId="3CE7F64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8.4     除招标文件中有特殊要求外，投标文件中所使用的计量单位，应采用中华人民共和国法定计量单位。</w:t>
      </w:r>
    </w:p>
    <w:p w14:paraId="3C3A0FC3">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39" w:name="_Ref467306676"/>
      <w:bookmarkStart w:id="140" w:name="_Toc516367022"/>
      <w:bookmarkStart w:id="141" w:name="_Ref467306195"/>
      <w:bookmarkStart w:id="142" w:name="_Toc515647768"/>
      <w:bookmarkStart w:id="143" w:name="_Toc24521"/>
      <w:bookmarkStart w:id="144" w:name="_Toc520356152"/>
      <w:bookmarkStart w:id="145" w:name="_Toc28307"/>
      <w:bookmarkStart w:id="146" w:name="_Toc10364"/>
      <w:bookmarkStart w:id="147" w:name="_Toc6294"/>
      <w:r>
        <w:rPr>
          <w:rFonts w:hint="eastAsia" w:ascii="仿宋" w:hAnsi="仿宋" w:eastAsia="仿宋" w:cs="仿宋"/>
          <w:color w:val="auto"/>
          <w:u w:val="none"/>
        </w:rPr>
        <w:t>9.投标文件</w:t>
      </w:r>
      <w:bookmarkEnd w:id="139"/>
      <w:bookmarkEnd w:id="140"/>
      <w:bookmarkEnd w:id="141"/>
      <w:r>
        <w:rPr>
          <w:rFonts w:hint="eastAsia" w:ascii="仿宋" w:hAnsi="仿宋" w:eastAsia="仿宋" w:cs="仿宋"/>
          <w:color w:val="auto"/>
          <w:u w:val="none"/>
        </w:rPr>
        <w:t>构成</w:t>
      </w:r>
      <w:bookmarkEnd w:id="142"/>
      <w:bookmarkEnd w:id="143"/>
      <w:bookmarkEnd w:id="144"/>
      <w:bookmarkEnd w:id="145"/>
      <w:bookmarkEnd w:id="146"/>
      <w:bookmarkEnd w:id="147"/>
    </w:p>
    <w:p w14:paraId="15301378">
      <w:pPr>
        <w:tabs>
          <w:tab w:val="left" w:pos="900"/>
          <w:tab w:val="left" w:pos="5580"/>
        </w:tabs>
        <w:spacing w:line="240" w:lineRule="atLeast"/>
        <w:ind w:left="960" w:hanging="960" w:hangingChars="400"/>
        <w:jc w:val="left"/>
        <w:rPr>
          <w:rFonts w:ascii="仿宋" w:hAnsi="仿宋" w:eastAsia="仿宋" w:cs="仿宋"/>
          <w:b/>
          <w:bCs/>
          <w:iCs/>
          <w:color w:val="auto"/>
          <w:sz w:val="24"/>
          <w:u w:val="single"/>
        </w:rPr>
      </w:pPr>
      <w:bookmarkStart w:id="148" w:name="_Ref467052588"/>
      <w:r>
        <w:rPr>
          <w:rFonts w:hint="eastAsia" w:ascii="仿宋" w:hAnsi="仿宋" w:eastAsia="仿宋" w:cs="仿宋"/>
          <w:color w:val="auto"/>
          <w:sz w:val="24"/>
        </w:rPr>
        <w:t xml:space="preserve">9.1   </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rPr>
        <w:t>为方便评审及进行资格审查，供应商应完整地按</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文件提供的</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格式及要求编写</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 供应商须在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截止时间前完成在系统上递交电子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。供应商的电子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是经过CA证书加密后上传提交的，任何单位或个人均无法在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截止时间(即投标时间)之前查看或篡改，不存在泄密风险。（严格按照政采云电子投标流程制作并上传电子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w:t>
      </w:r>
    </w:p>
    <w:bookmarkEnd w:id="148"/>
    <w:p w14:paraId="2BF8D7E5">
      <w:pPr>
        <w:pStyle w:val="5"/>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jc w:val="left"/>
        <w:textAlignment w:val="auto"/>
        <w:rPr>
          <w:rFonts w:hint="eastAsia" w:ascii="仿宋" w:hAnsi="仿宋" w:eastAsia="仿宋" w:cs="仿宋"/>
          <w:b w:val="0"/>
          <w:bCs/>
          <w:color w:val="auto"/>
          <w:u w:val="none"/>
        </w:rPr>
      </w:pPr>
      <w:bookmarkStart w:id="149" w:name="_Toc28106"/>
      <w:bookmarkStart w:id="150" w:name="_Toc2214"/>
      <w:bookmarkStart w:id="151" w:name="_Toc30886"/>
      <w:bookmarkStart w:id="152" w:name="_Toc24124"/>
      <w:bookmarkStart w:id="153" w:name="_Toc11443"/>
      <w:bookmarkStart w:id="154" w:name="_Toc11112"/>
      <w:bookmarkStart w:id="155" w:name="_Toc18390"/>
      <w:bookmarkStart w:id="156" w:name="_Toc516367023"/>
      <w:bookmarkStart w:id="157" w:name="_Toc4601"/>
      <w:bookmarkStart w:id="158" w:name="_Toc515647769"/>
      <w:bookmarkStart w:id="159" w:name="_Toc520356153"/>
      <w:bookmarkStart w:id="160" w:name="_Toc10379"/>
      <w:r>
        <w:rPr>
          <w:rFonts w:hint="eastAsia" w:ascii="仿宋" w:hAnsi="仿宋" w:eastAsia="仿宋" w:cs="仿宋"/>
          <w:b w:val="0"/>
          <w:bCs/>
          <w:color w:val="auto"/>
          <w:sz w:val="24"/>
          <w:szCs w:val="24"/>
          <w:u w:val="none"/>
          <w:lang w:val="en-US" w:eastAsia="zh-CN"/>
        </w:rPr>
        <w:t>9.2</w:t>
      </w:r>
      <w:bookmarkEnd w:id="149"/>
      <w:r>
        <w:rPr>
          <w:rFonts w:hint="eastAsia" w:ascii="仿宋" w:hAnsi="仿宋" w:eastAsia="仿宋" w:cs="仿宋"/>
          <w:b w:val="0"/>
          <w:bCs/>
          <w:color w:val="auto"/>
          <w:sz w:val="24"/>
          <w:szCs w:val="24"/>
          <w:u w:val="none"/>
          <w:lang w:val="en-US" w:eastAsia="zh-CN"/>
        </w:rPr>
        <w:t xml:space="preserve">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color w:val="auto"/>
          <w:kern w:val="2"/>
          <w:sz w:val="24"/>
          <w:szCs w:val="24"/>
          <w:u w:val="none"/>
          <w:lang w:val="en-US" w:eastAsia="zh-CN" w:bidi="ar-SA"/>
        </w:rPr>
        <w:t>供应商因自身原因导致电子投标文件无法导入电子评标系统的，该投标文件视为无效文件。</w:t>
      </w:r>
      <w:bookmarkEnd w:id="150"/>
      <w:bookmarkEnd w:id="151"/>
      <w:bookmarkEnd w:id="152"/>
      <w:bookmarkEnd w:id="153"/>
      <w:bookmarkEnd w:id="154"/>
      <w:bookmarkEnd w:id="155"/>
    </w:p>
    <w:p w14:paraId="79008705">
      <w:pPr>
        <w:pStyle w:val="5"/>
        <w:keepNext/>
        <w:keepLines/>
        <w:pageBreakBefore w:val="0"/>
        <w:widowControl w:val="0"/>
        <w:tabs>
          <w:tab w:val="left" w:pos="900"/>
        </w:tabs>
        <w:kinsoku/>
        <w:wordWrap/>
        <w:overflowPunct/>
        <w:topLinePunct w:val="0"/>
        <w:autoSpaceDE w:val="0"/>
        <w:autoSpaceDN w:val="0"/>
        <w:bidi w:val="0"/>
        <w:adjustRightInd w:val="0"/>
        <w:snapToGrid/>
        <w:spacing w:before="0" w:after="0" w:line="240" w:lineRule="atLeast"/>
        <w:ind w:left="960" w:leftChars="0" w:hanging="960" w:hangingChars="400"/>
        <w:textAlignment w:val="auto"/>
        <w:rPr>
          <w:rFonts w:hint="eastAsia" w:ascii="仿宋" w:hAnsi="仿宋" w:eastAsia="仿宋" w:cs="仿宋"/>
          <w:b w:val="0"/>
          <w:bCs/>
          <w:color w:val="auto"/>
          <w:u w:val="none"/>
        </w:rPr>
      </w:pPr>
      <w:bookmarkStart w:id="161" w:name="_Toc2540"/>
      <w:bookmarkStart w:id="162" w:name="_Toc23427"/>
      <w:bookmarkStart w:id="163" w:name="_Toc29617"/>
      <w:bookmarkStart w:id="164" w:name="_Toc5914"/>
      <w:bookmarkStart w:id="165" w:name="_Toc25493"/>
      <w:bookmarkStart w:id="166" w:name="_Toc31404"/>
      <w:r>
        <w:rPr>
          <w:rFonts w:hint="eastAsia" w:ascii="仿宋" w:hAnsi="仿宋" w:eastAsia="仿宋" w:cs="仿宋"/>
          <w:b w:val="0"/>
          <w:bCs/>
          <w:color w:val="auto"/>
          <w:sz w:val="24"/>
          <w:szCs w:val="24"/>
          <w:u w:val="none"/>
          <w:lang w:val="en-US" w:eastAsia="zh-CN"/>
        </w:rPr>
        <w:t xml:space="preserve">9.3 </w:t>
      </w:r>
      <w:r>
        <w:rPr>
          <w:rFonts w:hint="eastAsia" w:ascii="仿宋" w:hAnsi="仿宋" w:eastAsia="仿宋" w:cs="仿宋"/>
          <w:b w:val="0"/>
          <w:bCs/>
          <w:color w:val="auto"/>
          <w:u w:val="none"/>
          <w:lang w:val="en-US" w:eastAsia="zh-CN"/>
        </w:rPr>
        <w:t xml:space="preserve">    </w:t>
      </w:r>
      <w:r>
        <w:rPr>
          <w:rFonts w:hint="eastAsia" w:ascii="仿宋" w:hAnsi="仿宋" w:eastAsia="仿宋" w:cs="仿宋"/>
          <w:b w:val="0"/>
          <w:bCs/>
          <w:color w:val="auto"/>
          <w:sz w:val="24"/>
          <w:szCs w:val="24"/>
          <w:u w:val="none"/>
        </w:rPr>
        <w:t>电子</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具有法律效力,与其他形式的</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在内容和格式上等同，若</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与</w:t>
      </w:r>
      <w:r>
        <w:rPr>
          <w:rFonts w:hint="eastAsia" w:ascii="仿宋" w:hAnsi="仿宋" w:eastAsia="仿宋" w:cs="仿宋"/>
          <w:b w:val="0"/>
          <w:bCs/>
          <w:color w:val="auto"/>
          <w:sz w:val="24"/>
          <w:szCs w:val="24"/>
          <w:u w:val="none"/>
          <w:lang w:eastAsia="zh-CN"/>
        </w:rPr>
        <w:t>投标</w:t>
      </w:r>
      <w:r>
        <w:rPr>
          <w:rFonts w:hint="eastAsia" w:ascii="仿宋" w:hAnsi="仿宋" w:eastAsia="仿宋" w:cs="仿宋"/>
          <w:b w:val="0"/>
          <w:bCs/>
          <w:color w:val="auto"/>
          <w:sz w:val="24"/>
          <w:szCs w:val="24"/>
          <w:u w:val="none"/>
        </w:rPr>
        <w:t>文件要求不一致，其内容影响成交结果时，责任由供应商自行承担。</w:t>
      </w:r>
      <w:bookmarkEnd w:id="161"/>
      <w:bookmarkEnd w:id="162"/>
      <w:bookmarkEnd w:id="163"/>
      <w:bookmarkEnd w:id="164"/>
      <w:bookmarkEnd w:id="165"/>
      <w:bookmarkEnd w:id="166"/>
    </w:p>
    <w:p w14:paraId="6610484D">
      <w:pPr>
        <w:pStyle w:val="5"/>
        <w:tabs>
          <w:tab w:val="left" w:pos="900"/>
        </w:tabs>
        <w:spacing w:before="0" w:after="0" w:line="240" w:lineRule="atLeast"/>
        <w:ind w:left="0" w:leftChars="0" w:firstLine="0" w:firstLineChars="0"/>
        <w:outlineLvl w:val="1"/>
        <w:rPr>
          <w:rFonts w:ascii="仿宋" w:hAnsi="仿宋" w:eastAsia="仿宋" w:cs="仿宋"/>
          <w:color w:val="auto"/>
          <w:u w:val="none"/>
        </w:rPr>
      </w:pPr>
      <w:bookmarkStart w:id="167" w:name="_Toc8603"/>
      <w:bookmarkStart w:id="168" w:name="_Toc30687"/>
      <w:r>
        <w:rPr>
          <w:rFonts w:hint="eastAsia" w:ascii="仿宋" w:hAnsi="仿宋" w:eastAsia="仿宋" w:cs="仿宋"/>
          <w:color w:val="auto"/>
          <w:sz w:val="24"/>
          <w:szCs w:val="24"/>
          <w:u w:val="none"/>
        </w:rPr>
        <w:t>10.证明投标标的的合格性和符合招标文件规定的技术文件</w:t>
      </w:r>
      <w:bookmarkEnd w:id="156"/>
      <w:bookmarkEnd w:id="157"/>
      <w:bookmarkEnd w:id="158"/>
      <w:bookmarkEnd w:id="159"/>
      <w:bookmarkEnd w:id="160"/>
      <w:bookmarkEnd w:id="167"/>
      <w:bookmarkEnd w:id="168"/>
    </w:p>
    <w:p w14:paraId="16AAE44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投标人应提交证明文件，证明其投标内容符合招标文件规定。该证明文件是投标文件的一部分。</w:t>
      </w:r>
    </w:p>
    <w:p w14:paraId="40AAF3BC">
      <w:pPr>
        <w:spacing w:line="240" w:lineRule="atLeast"/>
        <w:ind w:left="900" w:hanging="900" w:hangingChars="375"/>
        <w:rPr>
          <w:rFonts w:hint="eastAsia" w:ascii="仿宋" w:hAnsi="仿宋" w:eastAsia="仿宋" w:cs="仿宋"/>
          <w:color w:val="auto"/>
          <w:sz w:val="24"/>
          <w:lang w:eastAsia="zh-CN"/>
        </w:rPr>
      </w:pPr>
      <w:bookmarkStart w:id="169" w:name="_Ref467306244"/>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169"/>
      <w:r>
        <w:rPr>
          <w:rFonts w:hint="eastAsia" w:ascii="仿宋" w:hAnsi="仿宋" w:eastAsia="仿宋" w:cs="仿宋"/>
          <w:color w:val="auto"/>
          <w:sz w:val="24"/>
          <w:lang w:eastAsia="zh-CN"/>
        </w:rPr>
        <w:t>。</w:t>
      </w:r>
    </w:p>
    <w:p w14:paraId="1A1CBB1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10.2.1</w:t>
      </w:r>
      <w:r>
        <w:rPr>
          <w:rFonts w:hint="eastAsia" w:ascii="仿宋" w:hAnsi="仿宋" w:eastAsia="仿宋" w:cs="仿宋"/>
          <w:color w:val="auto"/>
          <w:sz w:val="24"/>
        </w:rPr>
        <w:tab/>
      </w:r>
      <w:r>
        <w:rPr>
          <w:rFonts w:hint="eastAsia" w:ascii="仿宋" w:hAnsi="仿宋" w:eastAsia="仿宋" w:cs="仿宋"/>
          <w:color w:val="auto"/>
          <w:sz w:val="24"/>
        </w:rPr>
        <w:t>货物主要技术指标和性能的详细说明；</w:t>
      </w:r>
    </w:p>
    <w:p w14:paraId="52520FE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10.2.2</w:t>
      </w:r>
      <w:r>
        <w:rPr>
          <w:rFonts w:hint="eastAsia" w:ascii="仿宋" w:hAnsi="仿宋" w:eastAsia="仿宋" w:cs="仿宋"/>
          <w:color w:val="auto"/>
          <w:sz w:val="24"/>
        </w:rPr>
        <w:tab/>
      </w:r>
      <w:r>
        <w:rPr>
          <w:rFonts w:hint="eastAsia" w:ascii="仿宋" w:hAnsi="仿宋" w:eastAsia="仿宋" w:cs="仿宋"/>
          <w:color w:val="auto"/>
          <w:sz w:val="24"/>
        </w:rPr>
        <w:t>货物从买方开始使用至招标文件规定的保质期内正常、连续地使用所必须的备件和专用工具清单，包括备件和专用工具的货源及现行价格；</w:t>
      </w:r>
    </w:p>
    <w:p w14:paraId="251A22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10.2.3</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对照招标文件技术规格，逐条说明所提供货物及伴随的工程和服务已对招标文件的技术规格做出了实质性的响应，或申明与技术规格条文的偏差和例外。</w:t>
      </w:r>
    </w:p>
    <w:p w14:paraId="169989A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2278ED6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70" w:name="_Toc515647770"/>
      <w:bookmarkStart w:id="171" w:name="_Toc2248"/>
      <w:bookmarkStart w:id="172" w:name="_Toc6849"/>
      <w:bookmarkStart w:id="173" w:name="_Toc23231"/>
      <w:bookmarkStart w:id="174" w:name="_Toc520356155"/>
      <w:bookmarkStart w:id="175" w:name="_Toc6249"/>
      <w:r>
        <w:rPr>
          <w:rFonts w:hint="eastAsia" w:ascii="仿宋" w:hAnsi="仿宋" w:eastAsia="仿宋" w:cs="仿宋"/>
          <w:color w:val="auto"/>
          <w:sz w:val="24"/>
          <w:szCs w:val="24"/>
          <w:u w:val="none"/>
        </w:rPr>
        <w:t>11.投标报价</w:t>
      </w:r>
      <w:bookmarkEnd w:id="170"/>
      <w:bookmarkEnd w:id="171"/>
      <w:bookmarkEnd w:id="172"/>
      <w:bookmarkEnd w:id="173"/>
      <w:bookmarkEnd w:id="174"/>
      <w:bookmarkEnd w:id="175"/>
    </w:p>
    <w:p w14:paraId="5D88779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66934F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投标人应在投标分项报价表上标明投标货物及相关服务的单价（如适用）和总价，并由法定代表人或其授权代表签署。</w:t>
      </w:r>
    </w:p>
    <w:p w14:paraId="1802F21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投标分项报价表上的价格应按下列方式填写：</w:t>
      </w:r>
    </w:p>
    <w:p w14:paraId="7885447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17A6725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2251F90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7D399F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11.5</w:t>
      </w:r>
      <w:r>
        <w:rPr>
          <w:rFonts w:hint="eastAsia" w:ascii="仿宋" w:hAnsi="仿宋" w:eastAsia="仿宋" w:cs="仿宋"/>
          <w:color w:val="auto"/>
          <w:sz w:val="24"/>
        </w:rPr>
        <w:tab/>
      </w:r>
      <w:r>
        <w:rPr>
          <w:rFonts w:hint="eastAsia" w:ascii="仿宋" w:hAnsi="仿宋" w:eastAsia="仿宋" w:cs="仿宋"/>
          <w:color w:val="auto"/>
          <w:sz w:val="24"/>
        </w:rPr>
        <w:t>每种货物只能有一个投标报价。采购人不接受具有附加条件的报价。</w:t>
      </w:r>
    </w:p>
    <w:p w14:paraId="08375268">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76" w:name="_Toc4170"/>
      <w:bookmarkStart w:id="177" w:name="_Toc11514"/>
      <w:bookmarkStart w:id="178" w:name="_Toc520356156"/>
      <w:bookmarkStart w:id="179" w:name="_Toc515647771"/>
      <w:bookmarkStart w:id="180" w:name="_Ref467306513"/>
      <w:bookmarkStart w:id="181" w:name="_Toc17788"/>
      <w:bookmarkStart w:id="182" w:name="_Toc13153"/>
      <w:bookmarkStart w:id="183" w:name="_Toc520356165"/>
      <w:bookmarkStart w:id="184" w:name="_Toc19296"/>
      <w:bookmarkStart w:id="185" w:name="_Toc21372"/>
      <w:bookmarkStart w:id="186" w:name="_Toc515647780"/>
      <w:r>
        <w:rPr>
          <w:rFonts w:hint="eastAsia" w:ascii="仿宋" w:hAnsi="仿宋" w:eastAsia="仿宋" w:cs="仿宋"/>
          <w:color w:val="auto"/>
          <w:sz w:val="24"/>
          <w:szCs w:val="24"/>
          <w:u w:val="none"/>
        </w:rPr>
        <w:t>12.投标保证金</w:t>
      </w:r>
      <w:bookmarkEnd w:id="176"/>
      <w:bookmarkEnd w:id="177"/>
      <w:bookmarkEnd w:id="178"/>
      <w:bookmarkEnd w:id="179"/>
      <w:bookmarkEnd w:id="180"/>
      <w:bookmarkEnd w:id="181"/>
      <w:bookmarkEnd w:id="182"/>
    </w:p>
    <w:p w14:paraId="4AABCBDA">
      <w:pPr>
        <w:spacing w:line="240" w:lineRule="atLeast"/>
        <w:ind w:left="900" w:hanging="900" w:hangingChars="375"/>
        <w:rPr>
          <w:rFonts w:ascii="仿宋" w:hAnsi="仿宋" w:eastAsia="仿宋" w:cs="仿宋"/>
          <w:color w:val="auto"/>
          <w:sz w:val="24"/>
        </w:rPr>
      </w:pPr>
      <w:bookmarkStart w:id="187"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投标人应提交</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中规定的投标保证金</w:t>
      </w:r>
      <w:bookmarkEnd w:id="187"/>
      <w:r>
        <w:rPr>
          <w:rFonts w:hint="eastAsia" w:ascii="仿宋" w:hAnsi="仿宋" w:eastAsia="仿宋" w:cs="仿宋"/>
          <w:color w:val="auto"/>
          <w:sz w:val="24"/>
        </w:rPr>
        <w:t>，并作为其投标的一部分。</w:t>
      </w:r>
    </w:p>
    <w:p w14:paraId="5FA66148">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b/>
          <w:bCs/>
          <w:color w:val="auto"/>
          <w:sz w:val="24"/>
        </w:rPr>
        <w:t>投标人存在下列情形的，投标保证金不予退还：</w:t>
      </w:r>
    </w:p>
    <w:p w14:paraId="27409B7D">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（1）在投标有效期内，撤销投标的；</w:t>
      </w:r>
    </w:p>
    <w:p w14:paraId="1481A611">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（2）中标后不按本须知第30条的规定与采购人签订合同的；</w:t>
      </w:r>
    </w:p>
    <w:p w14:paraId="5E3F922F">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（3）中标后不按本须知第31条的规定提交履约保证金的；</w:t>
      </w:r>
    </w:p>
    <w:p w14:paraId="09E29C56">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（4）中标后不按本须知第32条的规定缴纳中标服务费的；</w:t>
      </w:r>
    </w:p>
    <w:p w14:paraId="07FD2744">
      <w:pPr>
        <w:pStyle w:val="15"/>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（5）存在其他违法违规行为的。</w:t>
      </w:r>
    </w:p>
    <w:p w14:paraId="1BF54EFE">
      <w:pPr>
        <w:spacing w:line="240" w:lineRule="atLeast"/>
        <w:ind w:left="900" w:hanging="900" w:hangingChars="375"/>
        <w:rPr>
          <w:rFonts w:ascii="仿宋" w:hAnsi="仿宋" w:eastAsia="仿宋" w:cs="仿宋"/>
          <w:color w:val="auto"/>
          <w:sz w:val="24"/>
        </w:rPr>
      </w:pPr>
      <w:bookmarkStart w:id="188"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188"/>
      <w:r>
        <w:rPr>
          <w:rFonts w:hint="eastAsia" w:ascii="仿宋" w:hAnsi="仿宋" w:eastAsia="仿宋" w:cs="仿宋"/>
          <w:color w:val="auto"/>
          <w:sz w:val="24"/>
        </w:rPr>
        <w:t>政府采购信用担保试点范围内的项目，接受符合财政部门规定的政府采购投标担保函原件。</w:t>
      </w:r>
    </w:p>
    <w:p w14:paraId="3695418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投标人未按本须知第12.1和12.3条规定提交投标保证金的，其投标将被认定为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B22D10B">
      <w:pPr>
        <w:spacing w:line="240" w:lineRule="atLeast"/>
        <w:rPr>
          <w:rFonts w:ascii="仿宋" w:hAnsi="仿宋" w:eastAsia="仿宋" w:cs="仿宋"/>
          <w:color w:val="auto"/>
          <w:sz w:val="24"/>
        </w:rPr>
      </w:pPr>
      <w:r>
        <w:rPr>
          <w:rFonts w:hint="eastAsia" w:ascii="仿宋" w:hAnsi="仿宋" w:eastAsia="仿宋" w:cs="仿宋"/>
          <w:color w:val="auto"/>
          <w:sz w:val="24"/>
        </w:rPr>
        <w:t>12.4.1  采用电汇形式的，一般可以实时入账。</w:t>
      </w:r>
    </w:p>
    <w:p w14:paraId="76B03C7E">
      <w:pPr>
        <w:spacing w:line="240" w:lineRule="atLeast"/>
        <w:ind w:left="960" w:hanging="960" w:hangingChars="400"/>
        <w:jc w:val="left"/>
        <w:rPr>
          <w:rFonts w:ascii="仿宋" w:hAnsi="仿宋" w:eastAsia="仿宋" w:cs="仿宋"/>
          <w:color w:val="auto"/>
          <w:sz w:val="24"/>
        </w:rPr>
      </w:pPr>
      <w:r>
        <w:rPr>
          <w:rFonts w:hint="eastAsia" w:ascii="仿宋" w:hAnsi="仿宋" w:eastAsia="仿宋" w:cs="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F0C786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12.5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联合体投标的，可以由联合体中的一方或者共同提交投标保证金。以一方名义提交投标保证金的，对联合体各方均具有约束力。</w:t>
      </w:r>
    </w:p>
    <w:p w14:paraId="58DCB11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投标保证金的退还</w:t>
      </w:r>
    </w:p>
    <w:p w14:paraId="44D2C5C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14:paraId="322F672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12.6.2  未中标投标人的投标保证金将在中标通知书发出之日暨中标结果公告公布之日起5个工作日内无息退还。投标人应及时联系保证金收受机构办理退还投标保证金手续。</w:t>
      </w:r>
    </w:p>
    <w:p w14:paraId="39C0B197">
      <w:pPr>
        <w:spacing w:line="240" w:lineRule="atLeast"/>
        <w:rPr>
          <w:rFonts w:ascii="仿宋" w:hAnsi="仿宋" w:eastAsia="仿宋" w:cs="仿宋"/>
          <w:color w:val="auto"/>
          <w:sz w:val="24"/>
        </w:rPr>
      </w:pPr>
      <w:r>
        <w:rPr>
          <w:rFonts w:hint="eastAsia" w:ascii="仿宋" w:hAnsi="仿宋" w:eastAsia="仿宋" w:cs="仿宋"/>
          <w:color w:val="auto"/>
          <w:sz w:val="24"/>
        </w:rPr>
        <w:t>12.6.3  政府采购投标担保函不予退回。</w:t>
      </w:r>
    </w:p>
    <w:p w14:paraId="46C8DED6">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12.7    因投标人自身原因导致无法及时退还的，采购人或采购代理机构将不承担相应责任。</w:t>
      </w:r>
    </w:p>
    <w:p w14:paraId="63D1838F">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189" w:name="_Toc23590"/>
      <w:bookmarkStart w:id="190" w:name="_Toc31103"/>
      <w:bookmarkStart w:id="191" w:name="_Toc515647772"/>
      <w:bookmarkStart w:id="192" w:name="_Toc23763"/>
      <w:bookmarkStart w:id="193" w:name="_Toc520356157"/>
      <w:bookmarkStart w:id="194" w:name="_Toc32569"/>
      <w:r>
        <w:rPr>
          <w:rFonts w:hint="eastAsia" w:ascii="仿宋" w:hAnsi="仿宋" w:eastAsia="仿宋" w:cs="仿宋"/>
          <w:color w:val="auto"/>
          <w:sz w:val="24"/>
          <w:szCs w:val="24"/>
          <w:u w:val="none"/>
        </w:rPr>
        <w:t>13.投标有效期</w:t>
      </w:r>
      <w:bookmarkEnd w:id="189"/>
      <w:bookmarkEnd w:id="190"/>
      <w:bookmarkEnd w:id="191"/>
      <w:bookmarkEnd w:id="192"/>
      <w:bookmarkEnd w:id="193"/>
      <w:bookmarkEnd w:id="194"/>
    </w:p>
    <w:p w14:paraId="3646108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65BE0D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A6114FA">
      <w:pPr>
        <w:pStyle w:val="5"/>
        <w:spacing w:before="0" w:after="0" w:line="240" w:lineRule="atLeast"/>
        <w:ind w:left="0" w:leftChars="0" w:firstLine="0" w:firstLineChars="0"/>
        <w:outlineLvl w:val="1"/>
        <w:rPr>
          <w:rFonts w:hint="eastAsia" w:ascii="仿宋" w:hAnsi="仿宋" w:eastAsia="仿宋" w:cs="仿宋"/>
          <w:color w:val="auto"/>
          <w:sz w:val="24"/>
          <w:szCs w:val="24"/>
          <w:u w:val="none"/>
        </w:rPr>
      </w:pPr>
      <w:bookmarkStart w:id="195" w:name="_Toc520356158"/>
      <w:bookmarkStart w:id="196" w:name="_Toc25222"/>
      <w:bookmarkStart w:id="197" w:name="_Toc515647773"/>
      <w:bookmarkStart w:id="198" w:name="_Toc17074"/>
      <w:bookmarkStart w:id="199" w:name="_Toc22713"/>
      <w:bookmarkStart w:id="200" w:name="_Toc493"/>
      <w:r>
        <w:rPr>
          <w:rFonts w:hint="eastAsia" w:ascii="仿宋" w:hAnsi="仿宋" w:eastAsia="仿宋" w:cs="仿宋"/>
          <w:color w:val="auto"/>
          <w:sz w:val="24"/>
          <w:szCs w:val="24"/>
          <w:u w:val="none"/>
        </w:rPr>
        <w:t>14.投标文件的签署</w:t>
      </w:r>
      <w:bookmarkEnd w:id="195"/>
      <w:r>
        <w:rPr>
          <w:rFonts w:hint="eastAsia" w:ascii="仿宋" w:hAnsi="仿宋" w:eastAsia="仿宋" w:cs="仿宋"/>
          <w:color w:val="auto"/>
          <w:sz w:val="24"/>
          <w:szCs w:val="24"/>
          <w:u w:val="none"/>
        </w:rPr>
        <w:t>及规定</w:t>
      </w:r>
      <w:bookmarkEnd w:id="196"/>
      <w:bookmarkEnd w:id="197"/>
      <w:bookmarkEnd w:id="198"/>
      <w:bookmarkEnd w:id="199"/>
      <w:bookmarkEnd w:id="200"/>
    </w:p>
    <w:p w14:paraId="2E4C4A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供应商应按</w:t>
      </w:r>
      <w:r>
        <w:rPr>
          <w:rFonts w:hint="eastAsia" w:ascii="仿宋" w:hAnsi="仿宋" w:eastAsia="仿宋" w:cs="仿宋"/>
          <w:color w:val="auto"/>
          <w:sz w:val="24"/>
          <w:lang w:eastAsia="zh-CN"/>
        </w:rPr>
        <w:t>供应商须知资料表</w:t>
      </w:r>
      <w:r>
        <w:rPr>
          <w:rFonts w:hint="eastAsia" w:ascii="仿宋" w:hAnsi="仿宋" w:eastAsia="仿宋" w:cs="仿宋"/>
          <w:color w:val="auto"/>
          <w:sz w:val="24"/>
        </w:rPr>
        <w:t>中的规定，准备和递交（加密上传）电子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70DEAB5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所有</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w:t>
      </w:r>
    </w:p>
    <w:p w14:paraId="05D7CCC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因字迹潦草、表达不清或未按照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文件规定的格式填写、签署和盖章所引起的后果由供应商负责。</w:t>
      </w:r>
    </w:p>
    <w:p w14:paraId="6C9F204B">
      <w:pPr>
        <w:spacing w:line="240" w:lineRule="atLeast"/>
        <w:ind w:left="900" w:hanging="900" w:hangingChars="375"/>
        <w:rPr>
          <w:rFonts w:ascii="仿宋" w:hAnsi="仿宋" w:eastAsia="仿宋" w:cs="仿宋"/>
          <w:color w:val="auto"/>
          <w:sz w:val="24"/>
        </w:rPr>
      </w:pPr>
    </w:p>
    <w:p w14:paraId="35EAC30F">
      <w:pPr>
        <w:pStyle w:val="5"/>
        <w:spacing w:before="0" w:after="0" w:line="240" w:lineRule="atLeast"/>
        <w:outlineLvl w:val="1"/>
        <w:rPr>
          <w:rFonts w:hint="eastAsia" w:ascii="仿宋" w:hAnsi="仿宋" w:eastAsia="仿宋" w:cs="仿宋"/>
          <w:color w:val="auto"/>
          <w:sz w:val="24"/>
          <w:szCs w:val="24"/>
          <w:highlight w:val="none"/>
          <w:u w:val="none"/>
        </w:rPr>
      </w:pPr>
      <w:bookmarkStart w:id="201" w:name="_Toc515647775"/>
      <w:bookmarkStart w:id="202" w:name="_Toc21645"/>
      <w:bookmarkStart w:id="203" w:name="_Toc18172"/>
      <w:bookmarkStart w:id="204" w:name="_Toc3353"/>
      <w:bookmarkStart w:id="205" w:name="_Toc7631"/>
      <w:bookmarkStart w:id="206" w:name="_Toc520356160"/>
      <w:bookmarkStart w:id="207" w:name="_Toc32337"/>
      <w:bookmarkStart w:id="208" w:name="_Toc12751"/>
      <w:bookmarkStart w:id="209" w:name="_Toc9840"/>
      <w:bookmarkStart w:id="210" w:name="_Toc520356161"/>
      <w:bookmarkStart w:id="211" w:name="_Toc515647776"/>
      <w:r>
        <w:rPr>
          <w:rFonts w:hint="eastAsia" w:ascii="仿宋" w:hAnsi="仿宋" w:eastAsia="仿宋" w:cs="仿宋"/>
          <w:color w:val="auto"/>
          <w:sz w:val="24"/>
          <w:szCs w:val="24"/>
          <w:highlight w:val="none"/>
          <w:u w:val="none"/>
        </w:rPr>
        <w:t>15.投标文件的密封和标记</w:t>
      </w:r>
      <w:bookmarkEnd w:id="201"/>
      <w:bookmarkEnd w:id="202"/>
      <w:bookmarkEnd w:id="203"/>
      <w:bookmarkEnd w:id="204"/>
      <w:bookmarkEnd w:id="205"/>
      <w:bookmarkEnd w:id="206"/>
      <w:bookmarkEnd w:id="207"/>
    </w:p>
    <w:p w14:paraId="58ADA67C">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为方便评审及进行资格审查，供应商应完整地按</w:t>
      </w:r>
      <w:r>
        <w:rPr>
          <w:rFonts w:hint="eastAsia" w:ascii="仿宋" w:hAnsi="仿宋" w:eastAsia="仿宋" w:cs="仿宋"/>
          <w:color w:val="auto"/>
          <w:sz w:val="24"/>
          <w:lang w:eastAsia="zh-CN"/>
        </w:rPr>
        <w:t>投标</w:t>
      </w:r>
      <w:r>
        <w:rPr>
          <w:rFonts w:hint="eastAsia" w:ascii="仿宋" w:hAnsi="仿宋" w:eastAsia="仿宋" w:cs="仿宋"/>
          <w:color w:val="auto"/>
          <w:sz w:val="24"/>
        </w:rPr>
        <w:t>文件提供的</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格式及要求编写</w:t>
      </w:r>
      <w:r>
        <w:rPr>
          <w:rFonts w:hint="eastAsia" w:ascii="仿宋" w:hAnsi="仿宋" w:eastAsia="仿宋" w:cs="仿宋"/>
          <w:color w:val="auto"/>
          <w:sz w:val="24"/>
          <w:lang w:eastAsia="zh-CN"/>
        </w:rPr>
        <w:t>投标文件</w:t>
      </w:r>
      <w:r>
        <w:rPr>
          <w:rFonts w:hint="eastAsia" w:ascii="仿宋" w:hAnsi="仿宋" w:eastAsia="仿宋" w:cs="仿宋"/>
          <w:color w:val="auto"/>
          <w:sz w:val="24"/>
        </w:rPr>
        <w:t>， 供应商须在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截止时间前完成在系统上递交电子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。供应商的电子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是经过CA证书加密后上传提交的，任何单位或个人均无法在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截止时间(即投标时间)之前查看或篡改，不存在泄密风险。（严格按照政采云电子投标流程制作并上传电子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430BE29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供应商因自身原因导致电子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无法导入电子评标系统的，该</w:t>
      </w:r>
      <w:r>
        <w:rPr>
          <w:rFonts w:hint="eastAsia" w:ascii="仿宋" w:hAnsi="仿宋" w:eastAsia="仿宋" w:cs="仿宋"/>
          <w:color w:val="auto"/>
          <w:sz w:val="24"/>
          <w:lang w:eastAsia="zh-CN"/>
        </w:rPr>
        <w:t>投标文件</w:t>
      </w:r>
      <w:r>
        <w:rPr>
          <w:rFonts w:hint="eastAsia" w:ascii="仿宋" w:hAnsi="仿宋" w:eastAsia="仿宋" w:cs="仿宋"/>
          <w:color w:val="auto"/>
          <w:sz w:val="24"/>
        </w:rPr>
        <w:t>视为无效文件。</w:t>
      </w:r>
    </w:p>
    <w:p w14:paraId="4FFC070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具有法律效力,与其他形式的</w:t>
      </w:r>
      <w:r>
        <w:rPr>
          <w:rFonts w:hint="eastAsia" w:ascii="仿宋" w:hAnsi="仿宋" w:eastAsia="仿宋" w:cs="仿宋"/>
          <w:color w:val="auto"/>
          <w:sz w:val="24"/>
          <w:lang w:eastAsia="zh-CN"/>
        </w:rPr>
        <w:t>投标文件</w:t>
      </w:r>
      <w:r>
        <w:rPr>
          <w:rFonts w:hint="eastAsia" w:ascii="仿宋" w:hAnsi="仿宋" w:eastAsia="仿宋" w:cs="仿宋"/>
          <w:color w:val="auto"/>
          <w:sz w:val="24"/>
        </w:rPr>
        <w:t>在内容和格式上等</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同，若</w:t>
      </w:r>
      <w:r>
        <w:rPr>
          <w:rFonts w:hint="eastAsia" w:ascii="仿宋" w:hAnsi="仿宋" w:eastAsia="仿宋" w:cs="仿宋"/>
          <w:color w:val="auto"/>
          <w:sz w:val="24"/>
          <w:lang w:eastAsia="zh-CN"/>
        </w:rPr>
        <w:t>投标文件</w:t>
      </w:r>
      <w:r>
        <w:rPr>
          <w:rFonts w:hint="eastAsia" w:ascii="仿宋" w:hAnsi="仿宋" w:eastAsia="仿宋" w:cs="仿宋"/>
          <w:color w:val="auto"/>
          <w:sz w:val="24"/>
        </w:rPr>
        <w:t>与</w:t>
      </w:r>
      <w:r>
        <w:rPr>
          <w:rFonts w:hint="eastAsia" w:ascii="仿宋" w:hAnsi="仿宋" w:eastAsia="仿宋" w:cs="仿宋"/>
          <w:color w:val="auto"/>
          <w:sz w:val="24"/>
          <w:lang w:eastAsia="zh-CN"/>
        </w:rPr>
        <w:t>投标</w:t>
      </w:r>
      <w:r>
        <w:rPr>
          <w:rFonts w:hint="eastAsia" w:ascii="仿宋" w:hAnsi="仿宋" w:eastAsia="仿宋" w:cs="仿宋"/>
          <w:color w:val="auto"/>
          <w:sz w:val="24"/>
        </w:rPr>
        <w:t>文件要求不一致，其内容影响成交结果时，责任由供应商自行承担。</w:t>
      </w:r>
    </w:p>
    <w:p w14:paraId="29833B16">
      <w:pPr>
        <w:pStyle w:val="4"/>
        <w:spacing w:before="0" w:line="240" w:lineRule="atLeast"/>
        <w:ind w:left="1079" w:leftChars="257" w:hanging="540"/>
        <w:rPr>
          <w:rFonts w:ascii="仿宋" w:hAnsi="仿宋" w:eastAsia="仿宋" w:cs="仿宋"/>
          <w:color w:val="auto"/>
          <w:sz w:val="24"/>
        </w:rPr>
      </w:pPr>
      <w:bookmarkStart w:id="212" w:name="_Toc515647774"/>
      <w:bookmarkStart w:id="213" w:name="_Toc216582808"/>
      <w:bookmarkStart w:id="214" w:name="_Toc13313"/>
      <w:bookmarkStart w:id="215" w:name="_Toc16865"/>
      <w:bookmarkStart w:id="216" w:name="_Toc17847"/>
      <w:bookmarkStart w:id="217" w:name="_Toc520356159"/>
      <w:bookmarkStart w:id="218" w:name="_Toc11179"/>
      <w:bookmarkStart w:id="219" w:name="_Toc31191"/>
      <w:bookmarkStart w:id="220" w:name="_Toc14993"/>
      <w:r>
        <w:rPr>
          <w:rFonts w:hint="eastAsia" w:ascii="仿宋" w:hAnsi="仿宋" w:eastAsia="仿宋" w:cs="仿宋"/>
          <w:color w:val="auto"/>
          <w:sz w:val="24"/>
        </w:rPr>
        <w:t>四   投标文件的递交</w:t>
      </w:r>
      <w:bookmarkEnd w:id="212"/>
      <w:bookmarkEnd w:id="213"/>
      <w:bookmarkEnd w:id="214"/>
      <w:bookmarkEnd w:id="215"/>
      <w:bookmarkEnd w:id="216"/>
      <w:bookmarkEnd w:id="217"/>
      <w:bookmarkEnd w:id="218"/>
    </w:p>
    <w:p w14:paraId="7CFFF45C">
      <w:pPr>
        <w:pStyle w:val="2"/>
        <w:rPr>
          <w:rFonts w:ascii="仿宋" w:hAnsi="仿宋" w:eastAsia="仿宋" w:cs="仿宋"/>
          <w:color w:val="auto"/>
        </w:rPr>
      </w:pPr>
    </w:p>
    <w:p w14:paraId="3D0BED5E">
      <w:pPr>
        <w:pStyle w:val="5"/>
        <w:spacing w:before="0" w:after="0" w:line="240" w:lineRule="atLeast"/>
        <w:ind w:left="0" w:leftChars="0" w:firstLine="0" w:firstLineChars="0"/>
        <w:outlineLvl w:val="1"/>
        <w:rPr>
          <w:rFonts w:ascii="仿宋" w:hAnsi="仿宋" w:eastAsia="仿宋" w:cs="仿宋"/>
          <w:color w:val="auto"/>
          <w:sz w:val="24"/>
          <w:szCs w:val="24"/>
          <w:u w:val="none"/>
        </w:rPr>
      </w:pPr>
      <w:r>
        <w:rPr>
          <w:rFonts w:hint="eastAsia" w:ascii="仿宋" w:hAnsi="仿宋" w:eastAsia="仿宋" w:cs="仿宋"/>
          <w:color w:val="auto"/>
          <w:sz w:val="24"/>
          <w:szCs w:val="24"/>
          <w:u w:val="none"/>
        </w:rPr>
        <w:t>16.投标截止</w:t>
      </w:r>
      <w:bookmarkEnd w:id="208"/>
      <w:bookmarkEnd w:id="209"/>
      <w:bookmarkEnd w:id="210"/>
      <w:bookmarkEnd w:id="211"/>
      <w:bookmarkEnd w:id="219"/>
      <w:bookmarkEnd w:id="220"/>
    </w:p>
    <w:p w14:paraId="0F0235FA">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投标人应在</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规定的截止时间前，将投标文件递交到招标公告中规定的地点。</w:t>
      </w:r>
      <w:r>
        <w:rPr>
          <w:rFonts w:hint="eastAsia" w:ascii="仿宋" w:hAnsi="仿宋" w:eastAsia="仿宋" w:cs="仿宋"/>
          <w:b/>
          <w:bCs/>
          <w:color w:val="auto"/>
          <w:sz w:val="24"/>
        </w:rPr>
        <w:t>解密时间30分钟，逾期未解密的视为投标无效。</w:t>
      </w:r>
    </w:p>
    <w:p w14:paraId="0AE5EE0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328FF63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采购人和采购代理机构将拒绝接收在投标截止时间后送达的投标文件。</w:t>
      </w:r>
    </w:p>
    <w:p w14:paraId="6D36DD23">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21" w:name="_Toc24275"/>
      <w:bookmarkStart w:id="222" w:name="_Toc520356162"/>
      <w:bookmarkStart w:id="223" w:name="_Toc515647777"/>
      <w:bookmarkStart w:id="224" w:name="_Toc15577"/>
      <w:bookmarkStart w:id="225" w:name="_Toc18537"/>
      <w:bookmarkStart w:id="226" w:name="_Toc23364"/>
      <w:r>
        <w:rPr>
          <w:rFonts w:hint="eastAsia" w:ascii="仿宋" w:hAnsi="仿宋" w:eastAsia="仿宋" w:cs="仿宋"/>
          <w:color w:val="auto"/>
          <w:sz w:val="24"/>
          <w:szCs w:val="24"/>
          <w:u w:val="none"/>
        </w:rPr>
        <w:t>17.投标文件的接收、修改与撤回</w:t>
      </w:r>
      <w:bookmarkEnd w:id="221"/>
      <w:bookmarkEnd w:id="222"/>
      <w:bookmarkEnd w:id="223"/>
      <w:bookmarkEnd w:id="224"/>
      <w:bookmarkEnd w:id="225"/>
      <w:bookmarkEnd w:id="226"/>
    </w:p>
    <w:p w14:paraId="03F30A8A">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在</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文件截止时间后上传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文件的，采购人和采购代理机构将拒绝接收。</w:t>
      </w:r>
    </w:p>
    <w:p w14:paraId="2232439E">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递交</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文件以后，如果供应商要进行修改或撤回投标，须提出书面申请并在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截止时间前上传至新疆政采云平台https://www.zcygov.cn ，供应商对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的修改或撤回通知应按本须知规定编制、密封、标记。采购人和采购代理机构将予以接收，并视为</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文件的组成部分。</w:t>
      </w:r>
    </w:p>
    <w:p w14:paraId="10E033A0">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在投标截止期之后，采购人和采购代理机构不接受供应商主动对其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文件做任何修改。</w:t>
      </w:r>
    </w:p>
    <w:p w14:paraId="51DE6D3F">
      <w:pPr>
        <w:spacing w:line="240" w:lineRule="atLeast"/>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4    </w:t>
      </w:r>
      <w:r>
        <w:rPr>
          <w:rFonts w:hint="eastAsia" w:ascii="仿宋" w:hAnsi="仿宋" w:eastAsia="仿宋" w:cs="仿宋"/>
          <w:color w:val="auto"/>
          <w:sz w:val="24"/>
        </w:rPr>
        <w:t>采购人和采购代理机构对所接收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文件概不退回。</w:t>
      </w:r>
    </w:p>
    <w:p w14:paraId="08540B58">
      <w:pPr>
        <w:spacing w:line="240" w:lineRule="atLeast"/>
        <w:rPr>
          <w:rFonts w:ascii="仿宋" w:hAnsi="仿宋" w:eastAsia="仿宋" w:cs="仿宋"/>
          <w:color w:val="auto"/>
          <w:sz w:val="24"/>
        </w:rPr>
      </w:pPr>
    </w:p>
    <w:p w14:paraId="378CEB19">
      <w:pPr>
        <w:pStyle w:val="4"/>
        <w:spacing w:before="0" w:line="240" w:lineRule="atLeast"/>
        <w:ind w:left="1079" w:leftChars="257" w:hanging="540"/>
        <w:rPr>
          <w:rFonts w:ascii="仿宋" w:hAnsi="仿宋" w:eastAsia="仿宋" w:cs="仿宋"/>
          <w:color w:val="auto"/>
        </w:rPr>
      </w:pPr>
      <w:bookmarkStart w:id="227" w:name="_Toc28398"/>
      <w:bookmarkStart w:id="228" w:name="_Toc515647778"/>
      <w:bookmarkStart w:id="229" w:name="_Toc8713"/>
      <w:bookmarkStart w:id="230" w:name="_Toc520356163"/>
      <w:bookmarkStart w:id="231" w:name="_Toc17461"/>
      <w:bookmarkStart w:id="232" w:name="_Toc12436"/>
      <w:bookmarkStart w:id="233" w:name="_Toc216582809"/>
      <w:r>
        <w:rPr>
          <w:rFonts w:hint="eastAsia" w:ascii="仿宋" w:hAnsi="仿宋" w:eastAsia="仿宋" w:cs="仿宋"/>
          <w:color w:val="auto"/>
          <w:sz w:val="24"/>
        </w:rPr>
        <w:t>五   开标及评标</w:t>
      </w:r>
      <w:bookmarkEnd w:id="227"/>
      <w:bookmarkEnd w:id="228"/>
      <w:bookmarkEnd w:id="229"/>
      <w:bookmarkEnd w:id="230"/>
      <w:bookmarkEnd w:id="231"/>
      <w:bookmarkEnd w:id="232"/>
      <w:bookmarkEnd w:id="233"/>
    </w:p>
    <w:p w14:paraId="441846D0">
      <w:pPr>
        <w:pStyle w:val="5"/>
        <w:numPr>
          <w:ilvl w:val="0"/>
          <w:numId w:val="0"/>
        </w:numPr>
        <w:spacing w:line="240" w:lineRule="atLeast"/>
        <w:outlineLvl w:val="1"/>
        <w:rPr>
          <w:rFonts w:ascii="仿宋" w:hAnsi="仿宋" w:eastAsia="仿宋" w:cs="仿宋"/>
          <w:color w:val="auto"/>
        </w:rPr>
      </w:pPr>
      <w:bookmarkStart w:id="234" w:name="_Toc7186"/>
      <w:bookmarkStart w:id="235" w:name="_Toc25345"/>
      <w:bookmarkStart w:id="236" w:name="_Toc520356164"/>
      <w:bookmarkStart w:id="237" w:name="_Toc31720"/>
      <w:bookmarkStart w:id="238" w:name="_Toc515647779"/>
      <w:bookmarkStart w:id="239" w:name="_Toc9872"/>
      <w:r>
        <w:rPr>
          <w:rFonts w:hint="eastAsia" w:ascii="仿宋" w:hAnsi="仿宋" w:eastAsia="仿宋" w:cs="仿宋"/>
          <w:color w:val="auto"/>
          <w:u w:val="none"/>
          <w:lang w:val="en-US" w:eastAsia="zh-CN"/>
        </w:rPr>
        <w:t>18.</w:t>
      </w:r>
      <w:r>
        <w:rPr>
          <w:rFonts w:hint="eastAsia" w:ascii="仿宋" w:hAnsi="仿宋" w:eastAsia="仿宋" w:cs="仿宋"/>
          <w:color w:val="auto"/>
          <w:u w:val="none"/>
        </w:rPr>
        <w:t>开标</w:t>
      </w:r>
      <w:bookmarkEnd w:id="234"/>
      <w:bookmarkEnd w:id="235"/>
      <w:bookmarkEnd w:id="236"/>
      <w:bookmarkEnd w:id="237"/>
      <w:bookmarkEnd w:id="238"/>
      <w:bookmarkEnd w:id="239"/>
    </w:p>
    <w:p w14:paraId="3972A3CC">
      <w:pPr>
        <w:numPr>
          <w:ilvl w:val="1"/>
          <w:numId w:val="4"/>
        </w:num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采购人和采购代理机构将按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中规定的开标时间和地点组织公开开标并邀请所有投标人代表参加。投标人不足3家的，不得开标。</w:t>
      </w:r>
    </w:p>
    <w:p w14:paraId="7D2D8D0D">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供应商按照须知资料表中规定的开标时间和地点，在规定时间内上传</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。本项目实行电子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的有关要求按</w:t>
      </w:r>
      <w:r>
        <w:rPr>
          <w:rFonts w:hint="eastAsia" w:ascii="仿宋" w:hAnsi="仿宋" w:eastAsia="仿宋" w:cs="仿宋"/>
          <w:b/>
          <w:bCs/>
          <w:color w:val="auto"/>
          <w:sz w:val="24"/>
          <w:lang w:eastAsia="zh-CN"/>
        </w:rPr>
        <w:t>供应商须知资料表</w:t>
      </w:r>
      <w:r>
        <w:rPr>
          <w:rFonts w:hint="eastAsia" w:ascii="仿宋" w:hAnsi="仿宋" w:eastAsia="仿宋" w:cs="仿宋"/>
          <w:b/>
          <w:bCs/>
          <w:color w:val="auto"/>
          <w:sz w:val="24"/>
        </w:rPr>
        <w:t>要求，供应商应该使用供应商CA锁对电子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加密，否则，其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将被拒绝评审。开标时，供应商必须使用加密该文件的CA锁，以便开标时对其电子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进行解密，由于供应商自身原因未能成功导入评标系统的，均视为不响应</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将被拒绝评审。未按规定时间在</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文件要求的开评标系统解密成功的电子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无效。</w:t>
      </w:r>
    </w:p>
    <w:p w14:paraId="1509BD97">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采购代理机构在规定时间内对</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进行解密，时长为30分钟。</w:t>
      </w:r>
    </w:p>
    <w:p w14:paraId="60E97EDC">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由采购代理机构开启开标记录，须供应商在政采云平台对报价进行签字确认。</w:t>
      </w:r>
    </w:p>
    <w:p w14:paraId="727B362F">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采购人或采购代理机构将对开标过程进行记录，由参加开标的相关工 </w:t>
      </w:r>
    </w:p>
    <w:p w14:paraId="6063A2ED">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作人员签字确认，并存档备查。</w:t>
      </w:r>
    </w:p>
    <w:p w14:paraId="3BC7E4EA">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供应商代表对开标过程和开标记录有疑义，以及认为采购人、采购代理机构相关工作人员有需要回避的情形的，应当场提出询问或者回避申请。</w:t>
      </w:r>
    </w:p>
    <w:p w14:paraId="5174A6CD">
      <w:pPr>
        <w:pStyle w:val="5"/>
        <w:pageBreakBefore w:val="0"/>
        <w:widowControl w:val="0"/>
        <w:numPr>
          <w:ilvl w:val="0"/>
          <w:numId w:val="0"/>
        </w:numPr>
        <w:kinsoku/>
        <w:wordWrap/>
        <w:overflowPunct/>
        <w:topLinePunct w:val="0"/>
        <w:bidi w:val="0"/>
        <w:spacing w:before="0" w:after="0" w:line="400" w:lineRule="atLeast"/>
        <w:ind w:leftChars="-375" w:firstLine="960" w:firstLineChars="400"/>
        <w:textAlignment w:val="auto"/>
        <w:outlineLvl w:val="1"/>
        <w:rPr>
          <w:rFonts w:ascii="仿宋" w:hAnsi="仿宋" w:eastAsia="仿宋" w:cs="仿宋"/>
          <w:color w:val="auto"/>
          <w:sz w:val="24"/>
          <w:szCs w:val="24"/>
          <w:u w:val="none"/>
        </w:rPr>
      </w:pPr>
      <w:bookmarkStart w:id="240" w:name="_Toc28328"/>
      <w:bookmarkStart w:id="241" w:name="_Toc21547"/>
      <w:r>
        <w:rPr>
          <w:rFonts w:hint="eastAsia" w:ascii="仿宋" w:hAnsi="仿宋" w:eastAsia="仿宋" w:cs="仿宋"/>
          <w:color w:val="auto"/>
          <w:sz w:val="24"/>
          <w:szCs w:val="24"/>
          <w:u w:val="none"/>
        </w:rPr>
        <w:t>19.</w:t>
      </w:r>
      <w:bookmarkEnd w:id="183"/>
      <w:r>
        <w:rPr>
          <w:rFonts w:hint="eastAsia" w:ascii="仿宋" w:hAnsi="仿宋" w:eastAsia="仿宋" w:cs="仿宋"/>
          <w:color w:val="auto"/>
          <w:sz w:val="24"/>
          <w:szCs w:val="24"/>
          <w:u w:val="none"/>
        </w:rPr>
        <w:t>资格审查及组建评标委员会</w:t>
      </w:r>
      <w:bookmarkEnd w:id="184"/>
      <w:bookmarkEnd w:id="185"/>
      <w:bookmarkEnd w:id="186"/>
      <w:bookmarkEnd w:id="240"/>
      <w:bookmarkEnd w:id="241"/>
    </w:p>
    <w:p w14:paraId="05DDBCD7">
      <w:pPr>
        <w:pageBreakBefore w:val="0"/>
        <w:widowControl w:val="0"/>
        <w:kinsoku/>
        <w:wordWrap/>
        <w:overflowPunct/>
        <w:topLinePunct w:val="0"/>
        <w:bidi w:val="0"/>
        <w:spacing w:line="400" w:lineRule="atLeast"/>
        <w:ind w:left="960" w:hanging="960" w:hangingChars="400"/>
        <w:textAlignment w:val="auto"/>
        <w:rPr>
          <w:rFonts w:hint="eastAsia" w:ascii="微软雅黑" w:hAnsi="微软雅黑" w:eastAsia="微软雅黑" w:cs="微软雅黑"/>
          <w:color w:val="auto"/>
          <w:sz w:val="24"/>
        </w:rPr>
      </w:pPr>
      <w:r>
        <w:rPr>
          <w:rFonts w:hint="eastAsia" w:ascii="仿宋" w:hAnsi="仿宋" w:eastAsia="仿宋" w:cs="仿宋"/>
          <w:color w:val="auto"/>
          <w:sz w:val="24"/>
        </w:rPr>
        <w:t xml:space="preserve">19.1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采购人依据法律法规和招标文件中规定的内容，对投标人及其货物的资格进行审查</w:t>
      </w:r>
      <w:r>
        <w:rPr>
          <w:rFonts w:hint="eastAsia" w:ascii="仿宋" w:hAnsi="仿宋" w:eastAsia="仿宋" w:cs="仿宋"/>
          <w:color w:val="auto"/>
          <w:sz w:val="24"/>
          <w:lang w:eastAsia="zh-CN"/>
        </w:rPr>
        <w:t>。</w:t>
      </w:r>
      <w:r>
        <w:rPr>
          <w:rFonts w:hint="eastAsia" w:ascii="微软雅黑" w:hAnsi="微软雅黑" w:eastAsia="微软雅黑" w:cs="微软雅黑"/>
          <w:color w:val="auto"/>
          <w:sz w:val="24"/>
        </w:rPr>
        <w:t xml:space="preserve"> </w:t>
      </w:r>
    </w:p>
    <w:p w14:paraId="17C9B309">
      <w:pPr>
        <w:pageBreakBefore w:val="0"/>
        <w:widowControl w:val="0"/>
        <w:kinsoku/>
        <w:wordWrap/>
        <w:overflowPunct/>
        <w:topLinePunct w:val="0"/>
        <w:bidi w:val="0"/>
        <w:spacing w:line="400" w:lineRule="atLeast"/>
        <w:ind w:firstLine="960" w:firstLineChars="400"/>
        <w:jc w:val="left"/>
        <w:textAlignment w:val="auto"/>
        <w:rPr>
          <w:rFonts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资格审查资料须附在投标文件中</w:t>
      </w:r>
      <w:r>
        <w:rPr>
          <w:rFonts w:hint="eastAsia" w:ascii="仿宋" w:hAnsi="仿宋" w:eastAsia="仿宋" w:cs="仿宋"/>
          <w:b/>
          <w:color w:val="auto"/>
          <w:sz w:val="24"/>
        </w:rPr>
        <w:t>：</w:t>
      </w:r>
    </w:p>
    <w:p w14:paraId="75C113A6">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（1）提供有效期内的营业执照；</w:t>
      </w:r>
    </w:p>
    <w:p w14:paraId="33367AD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（2）法定代表人授权书及被委托人身份证（法定代表人投标提供法定代表人身份证）;</w:t>
      </w:r>
    </w:p>
    <w:p w14:paraId="06F65132">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（3）202</w:t>
      </w:r>
      <w:r>
        <w:rPr>
          <w:rFonts w:hint="eastAsia" w:ascii="仿宋" w:hAnsi="仿宋" w:eastAsia="仿宋" w:cs="仿宋"/>
          <w:b/>
          <w:bCs/>
          <w:color w:val="auto"/>
          <w:spacing w:val="-3"/>
          <w:w w:val="100"/>
          <w:kern w:val="2"/>
          <w:sz w:val="24"/>
          <w:szCs w:val="24"/>
          <w:lang w:val="en-US" w:eastAsia="zh-CN" w:bidi="ar-SA"/>
        </w:rPr>
        <w:t>3</w:t>
      </w:r>
      <w:r>
        <w:rPr>
          <w:rFonts w:hint="eastAsia" w:ascii="仿宋" w:hAnsi="仿宋" w:eastAsia="仿宋" w:cs="仿宋"/>
          <w:b/>
          <w:bCs/>
          <w:color w:val="auto"/>
          <w:spacing w:val="-3"/>
          <w:w w:val="100"/>
          <w:kern w:val="2"/>
          <w:sz w:val="24"/>
          <w:szCs w:val="24"/>
          <w:lang w:val="en-US" w:eastAsia="en-US" w:bidi="ar-SA"/>
        </w:rPr>
        <w:t>年度</w:t>
      </w:r>
      <w:r>
        <w:rPr>
          <w:rFonts w:hint="eastAsia" w:ascii="仿宋" w:hAnsi="仿宋" w:eastAsia="仿宋" w:cs="仿宋"/>
          <w:b/>
          <w:bCs/>
          <w:color w:val="auto"/>
          <w:spacing w:val="-3"/>
          <w:w w:val="100"/>
          <w:kern w:val="2"/>
          <w:sz w:val="24"/>
          <w:szCs w:val="24"/>
          <w:lang w:val="en-US" w:eastAsia="zh-CN" w:bidi="ar-SA"/>
        </w:rPr>
        <w:t>或2024年</w:t>
      </w:r>
      <w:r>
        <w:rPr>
          <w:rFonts w:hint="eastAsia" w:ascii="仿宋" w:hAnsi="仿宋" w:eastAsia="仿宋" w:cs="仿宋"/>
          <w:b/>
          <w:bCs/>
          <w:color w:val="auto"/>
          <w:spacing w:val="-3"/>
          <w:w w:val="100"/>
          <w:kern w:val="2"/>
          <w:sz w:val="24"/>
          <w:szCs w:val="24"/>
          <w:lang w:val="en-US" w:eastAsia="en-US" w:bidi="ar-SA"/>
        </w:rPr>
        <w:t>的财务审计报告（新成立未满一年的公司需提供有效的银行资信证明）</w:t>
      </w:r>
      <w:r>
        <w:rPr>
          <w:rFonts w:hint="eastAsia" w:ascii="仿宋" w:hAnsi="仿宋" w:eastAsia="仿宋" w:cs="仿宋"/>
          <w:b/>
          <w:bCs/>
          <w:color w:val="auto"/>
          <w:spacing w:val="-3"/>
          <w:w w:val="100"/>
          <w:kern w:val="2"/>
          <w:sz w:val="24"/>
          <w:szCs w:val="24"/>
          <w:lang w:val="en-US" w:eastAsia="zh-CN" w:bidi="ar-SA"/>
        </w:rPr>
        <w:t>；</w:t>
      </w:r>
    </w:p>
    <w:p w14:paraId="2175BE1F">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4</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提供近六个月任意一个月社保缴纳证明；</w:t>
      </w:r>
    </w:p>
    <w:p w14:paraId="2724459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both"/>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 xml:space="preserve">5）提供近六个月任意一个月税务局开具的完税证明（非社保类）； </w:t>
      </w:r>
    </w:p>
    <w:p w14:paraId="49F81C5C">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en-US"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6</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w:t>
      </w:r>
      <w:r>
        <w:rPr>
          <w:rFonts w:hint="eastAsia" w:ascii="仿宋" w:hAnsi="仿宋" w:eastAsia="仿宋" w:cs="仿宋"/>
          <w:b/>
          <w:bCs/>
          <w:color w:val="auto"/>
          <w:spacing w:val="-3"/>
          <w:w w:val="100"/>
          <w:kern w:val="2"/>
          <w:sz w:val="24"/>
          <w:szCs w:val="24"/>
          <w:lang w:val="en-US" w:eastAsia="zh-CN" w:bidi="ar-SA"/>
        </w:rPr>
        <w:t>；</w:t>
      </w:r>
      <w:r>
        <w:rPr>
          <w:rFonts w:hint="eastAsia" w:ascii="仿宋" w:hAnsi="仿宋" w:eastAsia="仿宋" w:cs="仿宋"/>
          <w:b/>
          <w:bCs/>
          <w:color w:val="auto"/>
          <w:spacing w:val="-3"/>
          <w:w w:val="100"/>
          <w:kern w:val="2"/>
          <w:sz w:val="24"/>
          <w:szCs w:val="24"/>
          <w:lang w:val="en-US" w:eastAsia="en-US" w:bidi="ar-SA"/>
        </w:rPr>
        <w:t>中国政府采购网（http://www.ccgp.gov.cn/search/cr/）严重违法失信行为信息记录名单的（尚在处罚期内的）；将拒绝其参加本次招标活动；</w:t>
      </w:r>
    </w:p>
    <w:p w14:paraId="7D8645D5">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7</w:t>
      </w: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参与政府采购活动前三年内未被列入失信、重大税收违法案件、财政部门禁止参加政府采购活动的承诺书（自拟）；</w:t>
      </w:r>
    </w:p>
    <w:p w14:paraId="3527B4A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8</w:t>
      </w:r>
      <w:r>
        <w:rPr>
          <w:rFonts w:hint="eastAsia" w:ascii="仿宋" w:hAnsi="仿宋" w:eastAsia="仿宋" w:cs="仿宋"/>
          <w:b/>
          <w:bCs/>
          <w:color w:val="auto"/>
          <w:spacing w:val="-3"/>
          <w:w w:val="100"/>
          <w:kern w:val="2"/>
          <w:sz w:val="24"/>
          <w:szCs w:val="24"/>
          <w:lang w:val="en-US" w:eastAsia="en-US" w:bidi="ar-SA"/>
        </w:rPr>
        <w:t>）针对本项目的反商业贿赂承诺书（自拟）</w:t>
      </w:r>
      <w:r>
        <w:rPr>
          <w:rFonts w:hint="eastAsia" w:ascii="仿宋" w:hAnsi="仿宋" w:eastAsia="仿宋" w:cs="仿宋"/>
          <w:b/>
          <w:bCs/>
          <w:color w:val="auto"/>
          <w:spacing w:val="-3"/>
          <w:w w:val="100"/>
          <w:kern w:val="2"/>
          <w:sz w:val="24"/>
          <w:szCs w:val="24"/>
          <w:lang w:val="en-US" w:eastAsia="zh-CN" w:bidi="ar-SA"/>
        </w:rPr>
        <w:t>；</w:t>
      </w:r>
    </w:p>
    <w:p w14:paraId="515F2A3E">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02" w:firstLineChars="300"/>
        <w:jc w:val="left"/>
        <w:textAlignment w:val="auto"/>
        <w:rPr>
          <w:rFonts w:hint="eastAsia" w:ascii="仿宋" w:hAnsi="仿宋" w:eastAsia="仿宋" w:cs="仿宋"/>
          <w:b/>
          <w:bCs/>
          <w:color w:val="auto"/>
          <w:spacing w:val="-3"/>
          <w:w w:val="100"/>
          <w:kern w:val="2"/>
          <w:sz w:val="24"/>
          <w:szCs w:val="24"/>
          <w:lang w:val="en-US" w:eastAsia="zh-CN" w:bidi="ar-SA"/>
        </w:rPr>
      </w:pPr>
      <w:r>
        <w:rPr>
          <w:rFonts w:hint="eastAsia" w:ascii="仿宋" w:hAnsi="仿宋" w:eastAsia="仿宋" w:cs="仿宋"/>
          <w:b/>
          <w:bCs/>
          <w:color w:val="auto"/>
          <w:spacing w:val="-3"/>
          <w:w w:val="100"/>
          <w:kern w:val="2"/>
          <w:sz w:val="24"/>
          <w:szCs w:val="24"/>
          <w:lang w:val="en-US" w:eastAsia="en-US" w:bidi="ar-SA"/>
        </w:rPr>
        <w:t>（</w:t>
      </w:r>
      <w:r>
        <w:rPr>
          <w:rFonts w:hint="eastAsia" w:ascii="仿宋" w:hAnsi="仿宋" w:eastAsia="仿宋" w:cs="仿宋"/>
          <w:b/>
          <w:bCs/>
          <w:color w:val="auto"/>
          <w:spacing w:val="-3"/>
          <w:w w:val="100"/>
          <w:kern w:val="2"/>
          <w:sz w:val="24"/>
          <w:szCs w:val="24"/>
          <w:lang w:val="en-US" w:eastAsia="zh-CN" w:bidi="ar-SA"/>
        </w:rPr>
        <w:t>10</w:t>
      </w:r>
      <w:r>
        <w:rPr>
          <w:rFonts w:hint="eastAsia" w:ascii="仿宋" w:hAnsi="仿宋" w:eastAsia="仿宋" w:cs="仿宋"/>
          <w:b/>
          <w:bCs/>
          <w:color w:val="auto"/>
          <w:spacing w:val="-3"/>
          <w:w w:val="100"/>
          <w:kern w:val="2"/>
          <w:sz w:val="24"/>
          <w:szCs w:val="24"/>
          <w:lang w:val="en-US" w:eastAsia="en-US" w:bidi="ar-SA"/>
        </w:rPr>
        <w:t>）缴纳投标保证金的有效凭证</w:t>
      </w:r>
      <w:r>
        <w:rPr>
          <w:rFonts w:hint="eastAsia" w:ascii="仿宋" w:hAnsi="仿宋" w:eastAsia="仿宋" w:cs="仿宋"/>
          <w:b/>
          <w:bCs/>
          <w:color w:val="auto"/>
          <w:spacing w:val="-3"/>
          <w:w w:val="100"/>
          <w:kern w:val="2"/>
          <w:sz w:val="24"/>
          <w:szCs w:val="24"/>
          <w:lang w:val="en-US" w:eastAsia="zh-CN" w:bidi="ar-SA"/>
        </w:rPr>
        <w:t>；</w:t>
      </w:r>
    </w:p>
    <w:p w14:paraId="69591966">
      <w:pPr>
        <w:pStyle w:val="22"/>
        <w:pageBreakBefore w:val="0"/>
        <w:widowControl w:val="0"/>
        <w:kinsoku/>
        <w:wordWrap/>
        <w:overflowPunct/>
        <w:topLinePunct w:val="0"/>
        <w:bidi w:val="0"/>
        <w:spacing w:line="400" w:lineRule="atLeast"/>
        <w:ind w:firstLine="702" w:firstLineChars="300"/>
        <w:textAlignment w:val="auto"/>
        <w:rPr>
          <w:rFonts w:hint="eastAsia" w:ascii="仿宋" w:hAnsi="仿宋" w:eastAsia="仿宋" w:cs="仿宋"/>
          <w:color w:val="auto"/>
          <w:sz w:val="24"/>
        </w:rPr>
      </w:pPr>
      <w:r>
        <w:rPr>
          <w:rFonts w:hint="eastAsia" w:ascii="仿宋" w:hAnsi="仿宋" w:eastAsia="仿宋" w:cs="仿宋"/>
          <w:b/>
          <w:bCs/>
          <w:color w:val="auto"/>
          <w:spacing w:val="-3"/>
          <w:w w:val="100"/>
          <w:kern w:val="2"/>
          <w:sz w:val="24"/>
          <w:szCs w:val="24"/>
          <w:lang w:val="en-US" w:eastAsia="zh-CN" w:bidi="ar-SA"/>
        </w:rPr>
        <w:t xml:space="preserve"> </w:t>
      </w:r>
    </w:p>
    <w:p w14:paraId="63D9A84F">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color w:val="auto"/>
          <w:sz w:val="24"/>
        </w:rPr>
      </w:pPr>
      <w:r>
        <w:rPr>
          <w:rFonts w:hint="eastAsia" w:ascii="仿宋" w:hAnsi="仿宋" w:eastAsia="仿宋" w:cs="仿宋"/>
          <w:color w:val="auto"/>
          <w:sz w:val="24"/>
        </w:rPr>
        <w:t>19.2   采购人或采购代理机构将在投标截止后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color w:val="auto"/>
          <w:sz w:val="24"/>
        </w:rPr>
        <w:t>其投标将被认定为</w:t>
      </w:r>
      <w:r>
        <w:rPr>
          <w:rFonts w:hint="eastAsia" w:ascii="仿宋" w:hAnsi="仿宋" w:eastAsia="仿宋" w:cs="仿宋"/>
          <w:b/>
          <w:bCs/>
          <w:color w:val="auto"/>
          <w:sz w:val="24"/>
        </w:rPr>
        <w:t>投标无效。</w:t>
      </w:r>
    </w:p>
    <w:p w14:paraId="7A6C7E8F">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19.3   </w:t>
      </w:r>
      <w:r>
        <w:rPr>
          <w:rFonts w:hint="eastAsia" w:ascii="仿宋" w:hAnsi="仿宋" w:eastAsia="仿宋" w:cs="仿宋"/>
          <w:color w:val="auto"/>
          <w:sz w:val="24"/>
        </w:rPr>
        <w:t>不良信用记录指：投标人在中国政府采购网（www.ccgp.gov.cn）被列入政府采购严重违法失信行为记录名单，或在“信用中国”网站（www.creditchina.gov.cn）以及存在《中华人民共和国政府采购法实施条例》第十九条规定的行政处罚记录。</w:t>
      </w:r>
    </w:p>
    <w:p w14:paraId="7CB5737A">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19.4   </w:t>
      </w: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B37D196">
      <w:pPr>
        <w:pStyle w:val="2"/>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5</w:t>
      </w:r>
      <w:r>
        <w:rPr>
          <w:rFonts w:hint="eastAsia" w:ascii="仿宋" w:hAnsi="仿宋" w:eastAsia="仿宋" w:cs="仿宋"/>
          <w:color w:val="auto"/>
        </w:rPr>
        <w:t xml:space="preserve">   查询及记录方式：采购人或采购代理机构经办人将查询网页打印、签字并存档备查。投标人不良信用记录以采购人或采购代理机构查询结果为准。</w:t>
      </w:r>
    </w:p>
    <w:p w14:paraId="7CFDCCE0">
      <w:pPr>
        <w:pStyle w:val="2"/>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3566935A">
      <w:pPr>
        <w:pStyle w:val="2"/>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投标人自行提供的与网站信息不一致的其他证明材料亦不作为资格审查依据。</w:t>
      </w:r>
    </w:p>
    <w:p w14:paraId="769243D3">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color w:val="auto"/>
          <w:sz w:val="24"/>
          <w:u w:val="single"/>
        </w:rPr>
      </w:pPr>
      <w:r>
        <w:rPr>
          <w:rFonts w:hint="eastAsia" w:ascii="仿宋" w:hAnsi="仿宋" w:eastAsia="仿宋" w:cs="仿宋"/>
          <w:color w:val="auto"/>
          <w:sz w:val="24"/>
        </w:rPr>
        <w:t>19.</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bookmarkStart w:id="242" w:name="_Toc520356166"/>
      <w:r>
        <w:rPr>
          <w:rFonts w:hint="eastAsia" w:ascii="仿宋" w:hAnsi="仿宋" w:eastAsia="仿宋" w:cs="仿宋"/>
          <w:color w:val="auto"/>
          <w:sz w:val="24"/>
        </w:rPr>
        <w:t>按照《中华人民共和国政府采购法》、《中华人民共和国政府采购法实 施条例》、《政府采购货物和服务招标投标管理办法》财政部令第 87 号及本项目本级和上级财政部门的有关规定依法组建的评标委员会，负责本项目评标工作。本项目评标委员会由5人组成(依法从政采云平台专家库随机抽取5名专家)</w:t>
      </w:r>
    </w:p>
    <w:p w14:paraId="7964D75F">
      <w:pPr>
        <w:pStyle w:val="5"/>
        <w:pageBreakBefore w:val="0"/>
        <w:widowControl w:val="0"/>
        <w:kinsoku/>
        <w:wordWrap/>
        <w:overflowPunct/>
        <w:topLinePunct w:val="0"/>
        <w:bidi w:val="0"/>
        <w:snapToGrid/>
        <w:spacing w:before="0" w:after="0" w:line="340" w:lineRule="atLeast"/>
        <w:ind w:left="0" w:leftChars="0" w:firstLine="0" w:firstLineChars="0"/>
        <w:textAlignment w:val="auto"/>
        <w:outlineLvl w:val="1"/>
        <w:rPr>
          <w:rFonts w:ascii="仿宋" w:hAnsi="仿宋" w:eastAsia="仿宋" w:cs="仿宋"/>
          <w:b w:val="0"/>
          <w:bCs/>
          <w:color w:val="auto"/>
          <w:sz w:val="24"/>
          <w:szCs w:val="24"/>
          <w:bdr w:val="single" w:color="auto" w:sz="4" w:space="0"/>
        </w:rPr>
      </w:pPr>
      <w:bookmarkStart w:id="243" w:name="_Toc2237"/>
      <w:bookmarkStart w:id="244" w:name="_Toc32584"/>
      <w:bookmarkStart w:id="245" w:name="_Toc19949"/>
      <w:bookmarkStart w:id="246" w:name="_Toc515647781"/>
      <w:bookmarkStart w:id="247" w:name="_Toc28479"/>
      <w:r>
        <w:rPr>
          <w:rFonts w:hint="eastAsia" w:ascii="仿宋" w:hAnsi="仿宋" w:eastAsia="仿宋" w:cs="仿宋"/>
          <w:color w:val="auto"/>
          <w:sz w:val="24"/>
          <w:szCs w:val="24"/>
          <w:u w:val="none"/>
        </w:rPr>
        <w:t>20.投标文件</w:t>
      </w:r>
      <w:bookmarkEnd w:id="242"/>
      <w:r>
        <w:rPr>
          <w:rFonts w:hint="eastAsia" w:ascii="仿宋" w:hAnsi="仿宋" w:eastAsia="仿宋" w:cs="仿宋"/>
          <w:color w:val="auto"/>
          <w:sz w:val="24"/>
          <w:szCs w:val="24"/>
          <w:u w:val="none"/>
        </w:rPr>
        <w:t>符合性审查与澄清</w:t>
      </w:r>
      <w:bookmarkEnd w:id="243"/>
      <w:bookmarkEnd w:id="244"/>
      <w:bookmarkEnd w:id="245"/>
      <w:bookmarkEnd w:id="246"/>
      <w:bookmarkEnd w:id="247"/>
    </w:p>
    <w:p w14:paraId="28773ADD">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20.1   符合性审查是指依据招标文件的规定，从投标文件的有效性和完整性对招标文件的响应程度进行审查，以确定是否对招标文件的实质性要求做出响应。</w:t>
      </w:r>
      <w:bookmarkStart w:id="248" w:name="_Hlt522424701"/>
      <w:bookmarkEnd w:id="248"/>
      <w:bookmarkStart w:id="249" w:name="_Toc520356167"/>
    </w:p>
    <w:p w14:paraId="497F2A93">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p>
    <w:p w14:paraId="686D446F">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9B46F7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20.2.2  投标人的澄清、说明或补正将作为投标文件的一部分。</w:t>
      </w:r>
    </w:p>
    <w:p w14:paraId="150EAF0B">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xml:space="preserve">20.3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投标文件报价出现前后不一致的，按照下列规定修正：</w:t>
      </w:r>
    </w:p>
    <w:p w14:paraId="28D5A315">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（一）投标文件中开标一览表（报价表）内容与投标文件中相应内容不一致的，以开标一览表（报价表）为准；</w:t>
      </w:r>
    </w:p>
    <w:p w14:paraId="5439AB98">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（二）大写金额和小写金额不一致的，以大写金额为准；</w:t>
      </w:r>
    </w:p>
    <w:p w14:paraId="193E3477">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14:paraId="25A83670">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14:paraId="25CCFFCE">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同时出现两种以上不一致的，按照前款规定的顺序修正。修正后的报价按照第20.2条的规定经投标人确认后产生约束力，投标人不确认的，</w:t>
      </w:r>
    </w:p>
    <w:p w14:paraId="5FA94904">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color w:val="auto"/>
          <w:sz w:val="24"/>
        </w:rPr>
      </w:pPr>
      <w:r>
        <w:rPr>
          <w:rFonts w:hint="eastAsia" w:ascii="仿宋" w:hAnsi="仿宋" w:eastAsia="仿宋" w:cs="仿宋"/>
          <w:color w:val="auto"/>
          <w:sz w:val="24"/>
        </w:rPr>
        <w:t>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8532B5E">
      <w:pPr>
        <w:spacing w:line="340" w:lineRule="exact"/>
        <w:ind w:left="735" w:leftChars="350" w:firstLine="120" w:firstLineChars="5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7D1CE8E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20.4   如一个分包内只有一种产品，不同投标人所投产品为同一品牌的，按如下方式处理：</w:t>
      </w:r>
    </w:p>
    <w:p w14:paraId="75CCE8E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2EF8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D9A304E">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20.5   如一个分包内包含多种产品的，采购人或采购代理机构将在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中载明核心产品，多家投标人提供的核心产品品牌相同的，按第20.4条规定处理。</w:t>
      </w:r>
    </w:p>
    <w:p w14:paraId="21AA448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AFADF90">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77048A7">
      <w:pPr>
        <w:pStyle w:val="5"/>
        <w:spacing w:before="0" w:after="0" w:line="340" w:lineRule="exact"/>
        <w:ind w:left="0" w:leftChars="0" w:firstLine="0" w:firstLineChars="0"/>
        <w:outlineLvl w:val="1"/>
        <w:rPr>
          <w:rFonts w:ascii="仿宋" w:hAnsi="仿宋" w:eastAsia="仿宋" w:cs="仿宋"/>
          <w:color w:val="auto"/>
          <w:sz w:val="24"/>
          <w:szCs w:val="24"/>
          <w:u w:val="none"/>
        </w:rPr>
      </w:pPr>
      <w:bookmarkStart w:id="250" w:name="_Toc9741"/>
      <w:bookmarkStart w:id="251" w:name="_Toc515647782"/>
      <w:bookmarkStart w:id="252" w:name="_Toc6364"/>
      <w:bookmarkStart w:id="253" w:name="_Toc9469"/>
      <w:bookmarkStart w:id="254" w:name="_Toc12155"/>
      <w:r>
        <w:rPr>
          <w:rFonts w:hint="eastAsia" w:ascii="仿宋" w:hAnsi="仿宋" w:eastAsia="仿宋" w:cs="仿宋"/>
          <w:color w:val="auto"/>
          <w:sz w:val="24"/>
          <w:szCs w:val="24"/>
          <w:u w:val="none"/>
        </w:rPr>
        <w:t>21.投标偏离</w:t>
      </w:r>
      <w:bookmarkEnd w:id="250"/>
      <w:bookmarkEnd w:id="251"/>
      <w:bookmarkEnd w:id="252"/>
      <w:bookmarkEnd w:id="253"/>
      <w:bookmarkEnd w:id="254"/>
    </w:p>
    <w:p w14:paraId="154B6762">
      <w:pPr>
        <w:spacing w:line="340" w:lineRule="exact"/>
        <w:ind w:left="847" w:leftChars="99" w:hanging="640" w:hangingChars="267"/>
        <w:rPr>
          <w:rFonts w:ascii="仿宋" w:hAnsi="仿宋" w:eastAsia="仿宋" w:cs="仿宋"/>
          <w:color w:val="auto"/>
          <w:sz w:val="24"/>
        </w:rPr>
      </w:pPr>
      <w:r>
        <w:rPr>
          <w:rFonts w:hint="eastAsia" w:ascii="仿宋" w:hAnsi="仿宋" w:eastAsia="仿宋" w:cs="仿宋"/>
          <w:color w:val="auto"/>
          <w:sz w:val="24"/>
        </w:rPr>
        <w:t xml:space="preserve">     评标委员会可以接受投标文件中不构成实质性偏离的不正规或不一致。</w:t>
      </w:r>
    </w:p>
    <w:p w14:paraId="3556A2E5">
      <w:pPr>
        <w:pStyle w:val="5"/>
        <w:spacing w:before="0" w:after="0" w:line="340" w:lineRule="exact"/>
        <w:ind w:left="0" w:leftChars="0" w:firstLine="0" w:firstLineChars="0"/>
        <w:outlineLvl w:val="1"/>
        <w:rPr>
          <w:rFonts w:ascii="仿宋" w:hAnsi="仿宋" w:eastAsia="仿宋" w:cs="仿宋"/>
          <w:color w:val="auto"/>
          <w:sz w:val="24"/>
          <w:szCs w:val="24"/>
          <w:u w:val="none"/>
        </w:rPr>
      </w:pPr>
      <w:bookmarkStart w:id="255" w:name="_Toc515647783"/>
      <w:bookmarkStart w:id="256" w:name="_Toc25244"/>
      <w:bookmarkStart w:id="257" w:name="_Toc6092"/>
      <w:bookmarkStart w:id="258" w:name="_Toc886"/>
      <w:bookmarkStart w:id="259" w:name="_Toc4950"/>
      <w:r>
        <w:rPr>
          <w:rFonts w:hint="eastAsia" w:ascii="仿宋" w:hAnsi="仿宋" w:eastAsia="仿宋" w:cs="仿宋"/>
          <w:color w:val="auto"/>
          <w:sz w:val="24"/>
          <w:szCs w:val="24"/>
          <w:u w:val="none"/>
        </w:rPr>
        <w:t>22.投标</w:t>
      </w:r>
      <w:bookmarkEnd w:id="255"/>
      <w:r>
        <w:rPr>
          <w:rFonts w:hint="eastAsia" w:ascii="仿宋" w:hAnsi="仿宋" w:eastAsia="仿宋" w:cs="仿宋"/>
          <w:color w:val="auto"/>
          <w:sz w:val="24"/>
          <w:szCs w:val="24"/>
          <w:u w:val="none"/>
        </w:rPr>
        <w:t>无效</w:t>
      </w:r>
      <w:bookmarkEnd w:id="256"/>
      <w:bookmarkEnd w:id="257"/>
      <w:bookmarkEnd w:id="258"/>
      <w:bookmarkEnd w:id="259"/>
    </w:p>
    <w:p w14:paraId="073D7175">
      <w:pPr>
        <w:spacing w:line="340" w:lineRule="exact"/>
        <w:ind w:left="852" w:leftChars="-23" w:hanging="900" w:hangingChars="375"/>
        <w:rPr>
          <w:rFonts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。投标人不得通过修正或撤销不符合</w:t>
      </w:r>
    </w:p>
    <w:p w14:paraId="287A8B24">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要求的偏离，从而使其投标成为实质上响应的投标。</w:t>
      </w:r>
    </w:p>
    <w:p w14:paraId="28535F6A">
      <w:pPr>
        <w:spacing w:line="240" w:lineRule="atLeast"/>
        <w:ind w:left="791" w:leftChars="377"/>
        <w:rPr>
          <w:rFonts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评标委员会决定投标的响应性只根据招标文件要求、投标文件内容及财政主管部门指定相关信息发布媒体。</w:t>
      </w:r>
    </w:p>
    <w:p w14:paraId="63915CD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6B153D84">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未按招标文件规定的形式和金额提交投标保证金的；</w:t>
      </w:r>
    </w:p>
    <w:p w14:paraId="63576F3B">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未按照招标文件规定要求签署、盖章的；</w:t>
      </w:r>
    </w:p>
    <w:p w14:paraId="4B73131A">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未满足招标文件中技术条款的实质性要求；</w:t>
      </w:r>
    </w:p>
    <w:p w14:paraId="77E08842">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与其他投标人串通投标，或者与招标人串通投标；</w:t>
      </w:r>
    </w:p>
    <w:p w14:paraId="3C258DE3">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属于招标文件规定的其他投标无效情形；</w:t>
      </w:r>
    </w:p>
    <w:p w14:paraId="1E308A17">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1A917D60">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14:paraId="648F05B1">
      <w:pPr>
        <w:numPr>
          <w:ilvl w:val="0"/>
          <w:numId w:val="5"/>
        </w:numPr>
        <w:tabs>
          <w:tab w:val="left" w:pos="0"/>
        </w:tabs>
        <w:spacing w:line="240" w:lineRule="atLeast"/>
        <w:ind w:left="1080" w:leftChars="429" w:hanging="180"/>
        <w:rPr>
          <w:rFonts w:ascii="仿宋" w:hAnsi="仿宋" w:eastAsia="仿宋" w:cs="仿宋"/>
          <w:b/>
          <w:bCs/>
          <w:color w:val="auto"/>
        </w:rPr>
      </w:pPr>
      <w:r>
        <w:rPr>
          <w:rFonts w:hint="eastAsia" w:ascii="仿宋" w:hAnsi="仿宋" w:eastAsia="仿宋" w:cs="仿宋"/>
          <w:b/>
          <w:bCs/>
          <w:color w:val="auto"/>
          <w:sz w:val="24"/>
        </w:rPr>
        <w:t>不符合法规和招标文件中规定的其他实质性要求的。</w:t>
      </w:r>
    </w:p>
    <w:p w14:paraId="36A9CB6F">
      <w:pPr>
        <w:spacing w:line="240" w:lineRule="atLeast"/>
        <w:outlineLvl w:val="1"/>
        <w:rPr>
          <w:rFonts w:ascii="仿宋" w:hAnsi="仿宋" w:eastAsia="仿宋" w:cs="仿宋"/>
          <w:b/>
          <w:color w:val="auto"/>
          <w:kern w:val="0"/>
          <w:sz w:val="24"/>
          <w:szCs w:val="20"/>
        </w:rPr>
      </w:pPr>
      <w:bookmarkStart w:id="260" w:name="_Toc22941"/>
      <w:bookmarkStart w:id="261" w:name="_Toc57"/>
      <w:bookmarkStart w:id="262" w:name="_Toc13652"/>
      <w:bookmarkStart w:id="263" w:name="_Toc22490"/>
      <w:bookmarkStart w:id="264" w:name="_Toc515647784"/>
      <w:r>
        <w:rPr>
          <w:rFonts w:hint="eastAsia" w:ascii="仿宋" w:hAnsi="仿宋" w:eastAsia="仿宋" w:cs="仿宋"/>
          <w:b/>
          <w:color w:val="auto"/>
          <w:kern w:val="0"/>
          <w:sz w:val="24"/>
          <w:szCs w:val="20"/>
        </w:rPr>
        <w:t>23.</w:t>
      </w:r>
      <w:bookmarkEnd w:id="249"/>
      <w:r>
        <w:rPr>
          <w:rFonts w:hint="eastAsia" w:ascii="仿宋" w:hAnsi="仿宋" w:eastAsia="仿宋" w:cs="仿宋"/>
          <w:b/>
          <w:color w:val="auto"/>
          <w:kern w:val="0"/>
          <w:sz w:val="24"/>
          <w:szCs w:val="20"/>
        </w:rPr>
        <w:t>比较与评价</w:t>
      </w:r>
      <w:bookmarkEnd w:id="260"/>
      <w:bookmarkEnd w:id="261"/>
      <w:bookmarkEnd w:id="262"/>
      <w:bookmarkEnd w:id="263"/>
      <w:bookmarkEnd w:id="264"/>
    </w:p>
    <w:p w14:paraId="6639C11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768C4FE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中规定采用下列一种评标方法，详细评标标准见招标文件</w:t>
      </w:r>
      <w:r>
        <w:rPr>
          <w:rFonts w:hint="eastAsia" w:ascii="仿宋" w:hAnsi="仿宋" w:eastAsia="仿宋" w:cs="仿宋"/>
          <w:b/>
          <w:color w:val="auto"/>
          <w:sz w:val="24"/>
        </w:rPr>
        <w:t>第六章</w:t>
      </w:r>
      <w:r>
        <w:rPr>
          <w:rFonts w:hint="eastAsia" w:ascii="仿宋" w:hAnsi="仿宋" w:eastAsia="仿宋" w:cs="仿宋"/>
          <w:color w:val="auto"/>
          <w:sz w:val="24"/>
        </w:rPr>
        <w:t>：</w:t>
      </w:r>
    </w:p>
    <w:p w14:paraId="6A847D86">
      <w:pPr>
        <w:pStyle w:val="15"/>
        <w:spacing w:line="240" w:lineRule="atLeast"/>
        <w:ind w:left="957" w:leftChars="456"/>
        <w:rPr>
          <w:rFonts w:ascii="仿宋" w:hAnsi="仿宋" w:eastAsia="仿宋" w:cs="仿宋"/>
          <w:color w:val="auto"/>
          <w:sz w:val="24"/>
          <w:szCs w:val="24"/>
        </w:rPr>
      </w:pPr>
      <w:r>
        <w:rPr>
          <w:rFonts w:hint="eastAsia" w:ascii="仿宋" w:hAnsi="仿宋" w:eastAsia="仿宋" w:cs="仿宋"/>
          <w:color w:val="auto"/>
          <w:sz w:val="24"/>
          <w:szCs w:val="24"/>
        </w:rPr>
        <w:t>（1） 最低评标价法，是指投标文件满足招标文件全部实质性要求，且投标报价最低的投标人为中标候选人的评标方法。</w:t>
      </w:r>
    </w:p>
    <w:p w14:paraId="31116C6B">
      <w:pPr>
        <w:pStyle w:val="15"/>
        <w:spacing w:line="240" w:lineRule="atLeast"/>
        <w:ind w:left="957" w:leftChars="456" w:firstLine="33" w:firstLineChars="14"/>
        <w:rPr>
          <w:rFonts w:hint="eastAsia" w:ascii="仿宋" w:hAnsi="仿宋" w:eastAsia="仿宋" w:cs="仿宋"/>
          <w:color w:val="auto"/>
          <w:sz w:val="24"/>
          <w:szCs w:val="24"/>
        </w:rPr>
      </w:pPr>
      <w:r>
        <w:rPr>
          <w:rFonts w:hint="eastAsia" w:ascii="仿宋" w:hAnsi="仿宋" w:eastAsia="仿宋" w:cs="仿宋"/>
          <w:color w:val="auto"/>
          <w:sz w:val="24"/>
          <w:szCs w:val="24"/>
        </w:rPr>
        <w:t>（2） 综合评分法，是指投标文件满足招标文件全部实质性要求，且按照评审因素的量化指标评审得分最高的投标人为中标候选人的评标方法。</w:t>
      </w:r>
    </w:p>
    <w:p w14:paraId="2ABEA692">
      <w:pPr>
        <w:pStyle w:val="15"/>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lang w:val="en-US" w:eastAsia="zh-CN"/>
        </w:rPr>
        <w:t>其中报价占30分，商务及技术占70分</w:t>
      </w:r>
      <w:r>
        <w:rPr>
          <w:rFonts w:hint="eastAsia" w:ascii="仿宋" w:hAnsi="仿宋" w:eastAsia="仿宋" w:cs="仿宋"/>
          <w:b/>
          <w:bCs/>
          <w:i w:val="0"/>
          <w:iCs w:val="0"/>
          <w:color w:val="auto"/>
          <w:sz w:val="24"/>
          <w:szCs w:val="24"/>
          <w:highlight w:val="none"/>
          <w:u w:val="single"/>
          <w:lang w:eastAsia="zh-CN"/>
        </w:rPr>
        <w:t>）。</w:t>
      </w:r>
    </w:p>
    <w:p w14:paraId="60061436">
      <w:pPr>
        <w:widowControl/>
        <w:spacing w:line="400" w:lineRule="atLeast"/>
        <w:ind w:left="840" w:hanging="840" w:hangingChars="400"/>
        <w:jc w:val="left"/>
        <w:rPr>
          <w:rFonts w:ascii="仿宋" w:hAnsi="仿宋" w:eastAsia="仿宋" w:cs="仿宋"/>
          <w:color w:val="auto"/>
          <w:sz w:val="24"/>
        </w:rPr>
      </w:pPr>
      <w:r>
        <w:rPr>
          <w:rFonts w:hint="eastAsia" w:ascii="仿宋" w:hAnsi="仿宋" w:eastAsia="仿宋" w:cs="仿宋"/>
          <w:color w:val="auto"/>
        </w:rPr>
        <w:t xml:space="preserve">23.3    </w:t>
      </w:r>
      <w:r>
        <w:rPr>
          <w:rFonts w:hint="eastAsia" w:ascii="仿宋" w:hAnsi="仿宋" w:eastAsia="仿宋" w:cs="仿宋"/>
          <w:color w:val="auto"/>
          <w:sz w:val="24"/>
          <w:szCs w:val="24"/>
        </w:rPr>
        <w:t>根据《财政部司法部关于政府采购支持监狱企业发展有关问题的通知》（财库〔2014〕68号）和《三部门联合发布关于促进残疾人就业政府采购政策的通知》（财库〔2017〕141号）和《政府采购促进中小企业发展管理办法》（财库〔2020〕46号）</w:t>
      </w:r>
      <w:r>
        <w:rPr>
          <w:rFonts w:hint="eastAsia" w:ascii="仿宋" w:hAnsi="仿宋" w:eastAsia="仿宋" w:cs="仿宋"/>
          <w:color w:val="auto"/>
          <w:sz w:val="24"/>
          <w:szCs w:val="24"/>
          <w:lang w:eastAsia="zh-CN"/>
        </w:rPr>
        <w:t>、《财政部关于进一步加大政府采购支持中小企业力度的通知》（财库〔2022〕19号）</w:t>
      </w:r>
      <w:r>
        <w:rPr>
          <w:rFonts w:hint="eastAsia" w:ascii="仿宋" w:hAnsi="仿宋" w:eastAsia="仿宋" w:cs="仿宋"/>
          <w:color w:val="auto"/>
          <w:sz w:val="24"/>
          <w:szCs w:val="24"/>
        </w:rPr>
        <w:t>的规定，对满足价格扣除条件且在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中提交了《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企业类型声明函》或省级以上监狱管理局、戒毒管理局（含新疆生产建设兵团）出具的属于监狱企业的证明文件及中小企业出具的证明文件的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实行</w:t>
      </w:r>
      <w:r>
        <w:rPr>
          <w:rFonts w:hint="eastAsia" w:ascii="仿宋" w:hAnsi="仿宋" w:eastAsia="仿宋" w:cs="仿宋"/>
          <w:b w:val="0"/>
          <w:bCs w:val="0"/>
          <w:color w:val="auto"/>
          <w:sz w:val="24"/>
          <w:szCs w:val="24"/>
          <w:u w:val="single"/>
          <w:lang w:val="en-US" w:eastAsia="zh-CN"/>
        </w:rPr>
        <w:t>10%-20</w:t>
      </w:r>
      <w:r>
        <w:rPr>
          <w:rFonts w:hint="eastAsia" w:ascii="仿宋" w:hAnsi="仿宋" w:eastAsia="仿宋" w:cs="仿宋"/>
          <w:b w:val="0"/>
          <w:bCs w:val="0"/>
          <w:color w:val="auto"/>
          <w:sz w:val="24"/>
          <w:szCs w:val="24"/>
          <w:u w:val="single"/>
        </w:rPr>
        <w:t>%</w:t>
      </w:r>
      <w:r>
        <w:rPr>
          <w:rFonts w:hint="eastAsia" w:ascii="仿宋" w:hAnsi="仿宋" w:eastAsia="仿宋" w:cs="仿宋"/>
          <w:color w:val="auto"/>
          <w:sz w:val="24"/>
          <w:szCs w:val="24"/>
        </w:rPr>
        <w:t>价格扣除制度，用扣除后的价格参与价格因素评审。具体办法详见</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第6章。</w:t>
      </w:r>
    </w:p>
    <w:p w14:paraId="0061A87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65" w:name="_Toc520356168"/>
      <w:bookmarkStart w:id="266" w:name="_Toc20227"/>
      <w:bookmarkStart w:id="267" w:name="_Toc15317"/>
      <w:bookmarkStart w:id="268" w:name="_Toc9378"/>
      <w:bookmarkStart w:id="269" w:name="_Toc11974"/>
      <w:bookmarkStart w:id="270" w:name="_Toc515647785"/>
      <w:r>
        <w:rPr>
          <w:rFonts w:hint="eastAsia" w:ascii="仿宋" w:hAnsi="仿宋" w:eastAsia="仿宋" w:cs="仿宋"/>
          <w:color w:val="auto"/>
          <w:sz w:val="24"/>
          <w:szCs w:val="24"/>
          <w:u w:val="none"/>
        </w:rPr>
        <w:t>24</w:t>
      </w:r>
      <w:bookmarkEnd w:id="265"/>
      <w:r>
        <w:rPr>
          <w:rFonts w:hint="eastAsia" w:ascii="仿宋" w:hAnsi="仿宋" w:eastAsia="仿宋" w:cs="仿宋"/>
          <w:color w:val="auto"/>
          <w:sz w:val="24"/>
          <w:szCs w:val="24"/>
          <w:u w:val="none"/>
        </w:rPr>
        <w:t>.废标</w:t>
      </w:r>
      <w:bookmarkEnd w:id="266"/>
      <w:bookmarkEnd w:id="267"/>
      <w:bookmarkEnd w:id="268"/>
      <w:bookmarkEnd w:id="269"/>
      <w:bookmarkEnd w:id="270"/>
    </w:p>
    <w:p w14:paraId="764E0AB2">
      <w:pPr>
        <w:spacing w:line="240" w:lineRule="atLeast"/>
        <w:ind w:left="897" w:leftChars="399" w:hanging="60" w:hangingChars="25"/>
        <w:rPr>
          <w:rFonts w:ascii="仿宋" w:hAnsi="仿宋" w:eastAsia="仿宋" w:cs="仿宋"/>
          <w:b/>
          <w:bCs/>
          <w:color w:val="auto"/>
          <w:sz w:val="24"/>
        </w:rPr>
      </w:pPr>
      <w:r>
        <w:rPr>
          <w:rFonts w:hint="eastAsia" w:ascii="仿宋" w:hAnsi="仿宋" w:eastAsia="仿宋" w:cs="仿宋"/>
          <w:b/>
          <w:bCs/>
          <w:color w:val="auto"/>
          <w:sz w:val="24"/>
        </w:rPr>
        <w:t xml:space="preserve">出现下列情形之一，将导致项目废标： </w:t>
      </w:r>
    </w:p>
    <w:p w14:paraId="75373327">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（1）符合专业条件的供应商或者对招标文件做实质性响应的供应商不足三家；</w:t>
      </w:r>
    </w:p>
    <w:p w14:paraId="5B36598C">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（2）出现影响采购公正的违法、违规行为的；</w:t>
      </w:r>
    </w:p>
    <w:p w14:paraId="1DA24C07">
      <w:pPr>
        <w:spacing w:line="240" w:lineRule="atLeast"/>
        <w:ind w:firstLine="840" w:firstLineChars="350"/>
        <w:rPr>
          <w:rFonts w:ascii="仿宋" w:hAnsi="仿宋" w:eastAsia="仿宋" w:cs="仿宋"/>
          <w:b/>
          <w:bCs/>
          <w:color w:val="auto"/>
          <w:sz w:val="24"/>
        </w:rPr>
      </w:pPr>
      <w:r>
        <w:rPr>
          <w:rFonts w:hint="eastAsia" w:ascii="仿宋" w:hAnsi="仿宋" w:eastAsia="仿宋" w:cs="仿宋"/>
          <w:b/>
          <w:bCs/>
          <w:color w:val="auto"/>
          <w:sz w:val="24"/>
        </w:rPr>
        <w:t>（3）投标人的报价均超过了采购预算，采购人不能支付的；</w:t>
      </w:r>
    </w:p>
    <w:p w14:paraId="19790C14">
      <w:pPr>
        <w:spacing w:line="240" w:lineRule="atLeast"/>
        <w:ind w:firstLine="840" w:firstLineChars="350"/>
        <w:rPr>
          <w:rFonts w:ascii="仿宋" w:hAnsi="仿宋" w:eastAsia="仿宋" w:cs="仿宋"/>
          <w:color w:val="auto"/>
          <w:sz w:val="24"/>
        </w:rPr>
      </w:pPr>
      <w:r>
        <w:rPr>
          <w:rFonts w:hint="eastAsia" w:ascii="仿宋" w:hAnsi="仿宋" w:eastAsia="仿宋" w:cs="仿宋"/>
          <w:b/>
          <w:bCs/>
          <w:color w:val="auto"/>
          <w:sz w:val="24"/>
        </w:rPr>
        <w:t>（4）因重大变故，采购任务取消的</w:t>
      </w:r>
      <w:r>
        <w:rPr>
          <w:rFonts w:hint="eastAsia" w:ascii="仿宋" w:hAnsi="仿宋" w:eastAsia="仿宋" w:cs="仿宋"/>
          <w:color w:val="auto"/>
          <w:sz w:val="24"/>
        </w:rPr>
        <w:t xml:space="preserve">。   </w:t>
      </w:r>
    </w:p>
    <w:p w14:paraId="6D7988D5">
      <w:pPr>
        <w:pStyle w:val="5"/>
        <w:spacing w:before="0" w:after="0" w:line="240" w:lineRule="atLeast"/>
        <w:outlineLvl w:val="1"/>
        <w:rPr>
          <w:rFonts w:ascii="仿宋" w:hAnsi="仿宋" w:eastAsia="仿宋" w:cs="仿宋"/>
          <w:color w:val="auto"/>
          <w:sz w:val="24"/>
          <w:szCs w:val="24"/>
          <w:u w:val="none"/>
        </w:rPr>
      </w:pPr>
      <w:bookmarkStart w:id="271" w:name="_Toc24412"/>
      <w:bookmarkStart w:id="272" w:name="_Toc31289"/>
      <w:bookmarkStart w:id="273" w:name="_Toc24972"/>
      <w:bookmarkStart w:id="274" w:name="_Toc515647786"/>
      <w:bookmarkStart w:id="275" w:name="_Toc8173"/>
      <w:bookmarkStart w:id="276" w:name="_Toc216582810"/>
      <w:bookmarkStart w:id="277" w:name="_Toc23904"/>
      <w:bookmarkStart w:id="278" w:name="_Toc515647787"/>
      <w:bookmarkStart w:id="279" w:name="_Toc520356169"/>
      <w:bookmarkStart w:id="280" w:name="_Toc12143"/>
      <w:r>
        <w:rPr>
          <w:rFonts w:hint="eastAsia" w:ascii="仿宋" w:hAnsi="仿宋" w:eastAsia="仿宋" w:cs="仿宋"/>
          <w:color w:val="auto"/>
          <w:sz w:val="24"/>
          <w:szCs w:val="24"/>
          <w:u w:val="none"/>
        </w:rPr>
        <w:t>25.保密原则</w:t>
      </w:r>
      <w:bookmarkEnd w:id="271"/>
      <w:bookmarkEnd w:id="272"/>
      <w:bookmarkEnd w:id="273"/>
      <w:bookmarkEnd w:id="274"/>
      <w:bookmarkEnd w:id="275"/>
    </w:p>
    <w:p w14:paraId="2E116EF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4B6483C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7DBE99DB">
      <w:pPr>
        <w:pStyle w:val="4"/>
        <w:spacing w:before="0" w:line="240" w:lineRule="atLeast"/>
        <w:ind w:left="1079" w:leftChars="257" w:hanging="540"/>
        <w:rPr>
          <w:rFonts w:ascii="仿宋" w:hAnsi="仿宋" w:eastAsia="仿宋" w:cs="仿宋"/>
          <w:color w:val="auto"/>
        </w:rPr>
      </w:pPr>
      <w:bookmarkStart w:id="281" w:name="_Toc21539"/>
      <w:bookmarkStart w:id="282" w:name="_Toc30370"/>
      <w:r>
        <w:rPr>
          <w:rFonts w:hint="eastAsia" w:ascii="仿宋" w:hAnsi="仿宋" w:eastAsia="仿宋" w:cs="仿宋"/>
          <w:color w:val="auto"/>
          <w:sz w:val="24"/>
        </w:rPr>
        <w:t>六   确定中标</w:t>
      </w:r>
      <w:bookmarkEnd w:id="281"/>
      <w:bookmarkEnd w:id="282"/>
    </w:p>
    <w:p w14:paraId="6A13C138">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83" w:name="_Toc23664"/>
      <w:bookmarkStart w:id="284" w:name="_Toc9259"/>
      <w:r>
        <w:rPr>
          <w:rFonts w:hint="eastAsia" w:ascii="仿宋" w:hAnsi="仿宋" w:eastAsia="仿宋" w:cs="仿宋"/>
          <w:color w:val="auto"/>
          <w:sz w:val="24"/>
          <w:szCs w:val="24"/>
          <w:u w:val="none"/>
        </w:rPr>
        <w:t>26.中标候选人的确定原则及标准</w:t>
      </w:r>
      <w:bookmarkEnd w:id="283"/>
      <w:bookmarkEnd w:id="284"/>
    </w:p>
    <w:p w14:paraId="084C482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除第28条规定外，对实质上响应招标文件的投标人按下列方法进行排序，确定投标候选人：</w:t>
      </w:r>
    </w:p>
    <w:p w14:paraId="0C79EC27">
      <w:pPr>
        <w:numPr>
          <w:ilvl w:val="0"/>
          <w:numId w:val="6"/>
        </w:numPr>
        <w:spacing w:line="240" w:lineRule="atLeast"/>
        <w:ind w:left="901"/>
        <w:rPr>
          <w:rFonts w:ascii="仿宋" w:hAnsi="仿宋" w:eastAsia="仿宋" w:cs="仿宋"/>
          <w:color w:val="auto"/>
          <w:sz w:val="24"/>
        </w:rPr>
      </w:pPr>
      <w:r>
        <w:rPr>
          <w:rFonts w:hint="eastAsia" w:ascii="仿宋" w:hAnsi="仿宋" w:eastAsia="仿宋" w:cs="仿宋"/>
          <w:color w:val="auto"/>
          <w:sz w:val="24"/>
        </w:rPr>
        <w:t>采用最低评标价法的，除了算术修正和落实政府采购政策需进行的价格扣除外，不对投标人的投标价格进行任何调整。评标结果按修正和扣除后的投标报价由低到高顺序排列。</w:t>
      </w:r>
    </w:p>
    <w:p w14:paraId="709BC9EE">
      <w:pPr>
        <w:pStyle w:val="15"/>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rPr>
        <w:t>采用</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60D86B39">
      <w:pPr>
        <w:pStyle w:val="15"/>
        <w:numPr>
          <w:ilvl w:val="0"/>
          <w:numId w:val="0"/>
        </w:numPr>
        <w:spacing w:line="240" w:lineRule="atLeast"/>
        <w:ind w:left="901" w:leftChars="0"/>
        <w:rPr>
          <w:rFonts w:ascii="仿宋" w:hAnsi="仿宋" w:eastAsia="仿宋" w:cs="仿宋"/>
          <w:b/>
          <w:bCs/>
          <w:color w:val="auto"/>
          <w:sz w:val="24"/>
          <w:highlight w:val="none"/>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w:t>
      </w:r>
      <w:r>
        <w:rPr>
          <w:rFonts w:hint="eastAsia" w:ascii="仿宋" w:hAnsi="仿宋" w:eastAsia="仿宋" w:cs="仿宋"/>
          <w:b/>
          <w:bCs/>
          <w:color w:val="auto"/>
          <w:sz w:val="24"/>
          <w:szCs w:val="24"/>
          <w:highlight w:val="none"/>
        </w:rPr>
        <w:t>将每位投标商的价格得分、技术得分、商务得分相加即为该投标商的总得分。</w:t>
      </w:r>
      <w:r>
        <w:rPr>
          <w:rFonts w:hint="eastAsia" w:ascii="仿宋" w:hAnsi="仿宋" w:eastAsia="仿宋" w:cs="仿宋"/>
          <w:b/>
          <w:bCs/>
          <w:color w:val="auto"/>
          <w:sz w:val="24"/>
          <w:highlight w:val="none"/>
        </w:rPr>
        <w:t>报价相同的处理方式详见招标文件第6章。</w:t>
      </w:r>
    </w:p>
    <w:bookmarkEnd w:id="276"/>
    <w:bookmarkEnd w:id="277"/>
    <w:bookmarkEnd w:id="278"/>
    <w:bookmarkEnd w:id="279"/>
    <w:bookmarkEnd w:id="280"/>
    <w:p w14:paraId="3C8C6580">
      <w:pPr>
        <w:pStyle w:val="5"/>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85" w:name="_Toc21654"/>
      <w:bookmarkStart w:id="286" w:name="_Toc8971"/>
      <w:bookmarkStart w:id="287" w:name="_Toc23951"/>
      <w:bookmarkStart w:id="288" w:name="_Toc520356171"/>
      <w:bookmarkStart w:id="289" w:name="_Toc9653"/>
      <w:bookmarkStart w:id="290" w:name="_Toc515647789"/>
      <w:r>
        <w:rPr>
          <w:rFonts w:hint="eastAsia" w:ascii="仿宋" w:hAnsi="仿宋" w:eastAsia="仿宋" w:cs="仿宋"/>
          <w:color w:val="auto"/>
          <w:sz w:val="24"/>
          <w:szCs w:val="24"/>
          <w:u w:val="none"/>
        </w:rPr>
        <w:t>27.确定中标候选人和中标人</w:t>
      </w:r>
      <w:bookmarkEnd w:id="285"/>
      <w:bookmarkEnd w:id="286"/>
    </w:p>
    <w:p w14:paraId="3CA2C69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规定数量推荐中标候选人，</w:t>
      </w:r>
      <w:r>
        <w:rPr>
          <w:rFonts w:hint="eastAsia" w:ascii="仿宋" w:hAnsi="仿宋" w:eastAsia="仿宋" w:cs="仿宋"/>
          <w:color w:val="auto"/>
          <w:sz w:val="24"/>
          <w:lang w:val="en-US" w:eastAsia="zh-CN"/>
        </w:rPr>
        <w:t>或根据采购人的委托，</w:t>
      </w:r>
      <w:r>
        <w:rPr>
          <w:rFonts w:hint="eastAsia" w:ascii="仿宋" w:hAnsi="仿宋" w:eastAsia="仿宋" w:cs="仿宋"/>
          <w:color w:val="auto"/>
          <w:sz w:val="24"/>
        </w:rPr>
        <w:t>直接确定中标人。</w:t>
      </w:r>
    </w:p>
    <w:p w14:paraId="10CA6822">
      <w:pPr>
        <w:pStyle w:val="5"/>
        <w:tabs>
          <w:tab w:val="left" w:pos="900"/>
        </w:tabs>
        <w:spacing w:before="0" w:after="0" w:line="240" w:lineRule="atLeast"/>
        <w:ind w:left="0" w:leftChars="0" w:firstLine="0" w:firstLineChars="0"/>
        <w:outlineLvl w:val="1"/>
        <w:rPr>
          <w:rFonts w:ascii="仿宋" w:hAnsi="仿宋" w:eastAsia="仿宋" w:cs="仿宋"/>
          <w:color w:val="auto"/>
          <w:sz w:val="24"/>
          <w:szCs w:val="24"/>
          <w:u w:val="none"/>
        </w:rPr>
      </w:pPr>
      <w:bookmarkStart w:id="291" w:name="_Toc31414"/>
      <w:bookmarkStart w:id="292" w:name="_Toc10789"/>
      <w:r>
        <w:rPr>
          <w:rFonts w:hint="eastAsia" w:ascii="仿宋" w:hAnsi="仿宋" w:eastAsia="仿宋" w:cs="仿宋"/>
          <w:color w:val="auto"/>
          <w:sz w:val="24"/>
          <w:szCs w:val="24"/>
          <w:u w:val="none"/>
        </w:rPr>
        <w:t>28.采购任务取消</w:t>
      </w:r>
      <w:bookmarkEnd w:id="291"/>
      <w:bookmarkEnd w:id="292"/>
    </w:p>
    <w:p w14:paraId="650235C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因重大变故采购任务取消时，采购人有权拒绝任何投标人中标，且对受影响的投标人不承担任何责任。</w:t>
      </w:r>
    </w:p>
    <w:p w14:paraId="5F8939D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93" w:name="_Toc21313"/>
      <w:bookmarkStart w:id="294" w:name="_Toc32607"/>
      <w:r>
        <w:rPr>
          <w:rFonts w:hint="eastAsia" w:ascii="仿宋" w:hAnsi="仿宋" w:eastAsia="仿宋" w:cs="仿宋"/>
          <w:color w:val="auto"/>
          <w:sz w:val="24"/>
          <w:szCs w:val="24"/>
          <w:u w:val="none"/>
        </w:rPr>
        <w:t>29.中标通知书和招标结果通知书</w:t>
      </w:r>
      <w:bookmarkEnd w:id="293"/>
      <w:bookmarkEnd w:id="294"/>
    </w:p>
    <w:p w14:paraId="380A7BC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14:paraId="547EC55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14:paraId="6ED8130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29.3    招标结果通知书和中标通知书同时发出。招标结果通知书中将告知未通过资格审查的投标人未通过的原因；</w:t>
      </w:r>
      <w:bookmarkEnd w:id="287"/>
      <w:bookmarkEnd w:id="288"/>
      <w:bookmarkEnd w:id="289"/>
      <w:bookmarkEnd w:id="290"/>
    </w:p>
    <w:p w14:paraId="1BC05F1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295" w:name="_Toc520356175"/>
      <w:bookmarkStart w:id="296" w:name="_Ref467307062"/>
      <w:bookmarkStart w:id="297" w:name="_Ref467306978"/>
      <w:bookmarkStart w:id="298" w:name="_Ref467307204"/>
      <w:bookmarkStart w:id="299" w:name="_Ref467306377"/>
      <w:bookmarkStart w:id="300" w:name="_Toc3630"/>
      <w:bookmarkStart w:id="301" w:name="_Toc7779"/>
      <w:bookmarkStart w:id="302" w:name="_Toc21935"/>
      <w:bookmarkStart w:id="303" w:name="_Toc515647792"/>
      <w:bookmarkStart w:id="304" w:name="_Toc790"/>
      <w:r>
        <w:rPr>
          <w:rFonts w:hint="eastAsia" w:ascii="仿宋" w:hAnsi="仿宋" w:eastAsia="仿宋" w:cs="仿宋"/>
          <w:color w:val="auto"/>
          <w:sz w:val="24"/>
          <w:szCs w:val="24"/>
          <w:u w:val="none"/>
        </w:rPr>
        <w:t>30.签订合同</w:t>
      </w:r>
      <w:bookmarkEnd w:id="295"/>
      <w:bookmarkEnd w:id="296"/>
      <w:bookmarkEnd w:id="297"/>
      <w:bookmarkEnd w:id="298"/>
      <w:bookmarkEnd w:id="299"/>
      <w:bookmarkEnd w:id="300"/>
      <w:bookmarkEnd w:id="301"/>
      <w:bookmarkEnd w:id="302"/>
      <w:bookmarkEnd w:id="303"/>
      <w:bookmarkEnd w:id="304"/>
    </w:p>
    <w:p w14:paraId="52E9B3A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采购人与中标、成交供应商应当在中标、成交通知书发出之日起三十日内，按照采购文件确定的事项签订政府采购合同。</w:t>
      </w:r>
    </w:p>
    <w:p w14:paraId="33A36EA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305" w:name="_Ref467307090"/>
      <w:bookmarkStart w:id="306" w:name="_Ref467306425"/>
      <w:bookmarkStart w:id="307" w:name="_Toc520356176"/>
      <w:r>
        <w:rPr>
          <w:rFonts w:hint="eastAsia" w:ascii="仿宋" w:hAnsi="仿宋" w:eastAsia="仿宋" w:cs="仿宋"/>
          <w:color w:val="auto"/>
          <w:sz w:val="24"/>
        </w:rPr>
        <w:t>招标文件、中标人的投标文件及其澄清文件等，均为签订合同的依据。</w:t>
      </w:r>
    </w:p>
    <w:p w14:paraId="20E1FCC0">
      <w:pPr>
        <w:pStyle w:val="9"/>
        <w:ind w:left="960" w:hanging="960" w:hangingChars="400"/>
        <w:rPr>
          <w:rFonts w:ascii="仿宋" w:hAnsi="仿宋" w:eastAsia="仿宋" w:cs="仿宋"/>
          <w:color w:val="auto"/>
          <w:sz w:val="24"/>
        </w:rPr>
      </w:pPr>
      <w:r>
        <w:rPr>
          <w:rFonts w:hint="eastAsia" w:ascii="仿宋" w:hAnsi="仿宋" w:eastAsia="仿宋" w:cs="仿宋"/>
          <w:color w:val="auto"/>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4B22323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14:paraId="3D7A2CFC">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08" w:name="_Toc27174"/>
      <w:bookmarkStart w:id="309" w:name="_Toc515647793"/>
      <w:bookmarkStart w:id="310" w:name="_Toc14080"/>
      <w:bookmarkStart w:id="311" w:name="_Toc22555"/>
      <w:bookmarkStart w:id="312" w:name="_Toc17849"/>
      <w:r>
        <w:rPr>
          <w:rFonts w:hint="eastAsia" w:ascii="仿宋" w:hAnsi="仿宋" w:eastAsia="仿宋" w:cs="仿宋"/>
          <w:color w:val="auto"/>
          <w:sz w:val="24"/>
          <w:szCs w:val="24"/>
          <w:u w:val="none"/>
        </w:rPr>
        <w:t>31.履约保证金</w:t>
      </w:r>
      <w:bookmarkEnd w:id="305"/>
      <w:bookmarkEnd w:id="306"/>
      <w:bookmarkEnd w:id="307"/>
      <w:bookmarkEnd w:id="308"/>
      <w:bookmarkEnd w:id="309"/>
      <w:bookmarkEnd w:id="310"/>
      <w:bookmarkEnd w:id="311"/>
      <w:bookmarkEnd w:id="312"/>
    </w:p>
    <w:p w14:paraId="1359D0A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规定向采购人缴纳履约保证金（如采用保函形式，格式见本章附件1）。</w:t>
      </w:r>
    </w:p>
    <w:p w14:paraId="40C0C30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14:paraId="4289390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15F0D314">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13" w:name="_Toc515647794"/>
      <w:bookmarkStart w:id="314" w:name="_Toc1248"/>
      <w:bookmarkStart w:id="315" w:name="_Toc22955"/>
      <w:bookmarkStart w:id="316" w:name="_Toc29408"/>
      <w:bookmarkStart w:id="317" w:name="_Toc3090"/>
      <w:r>
        <w:rPr>
          <w:rFonts w:hint="eastAsia" w:ascii="仿宋" w:hAnsi="仿宋" w:eastAsia="仿宋" w:cs="仿宋"/>
          <w:color w:val="auto"/>
          <w:sz w:val="24"/>
          <w:szCs w:val="24"/>
          <w:u w:val="none"/>
        </w:rPr>
        <w:t>32.中标服务费</w:t>
      </w:r>
      <w:bookmarkEnd w:id="313"/>
      <w:bookmarkEnd w:id="314"/>
      <w:bookmarkEnd w:id="315"/>
      <w:bookmarkEnd w:id="316"/>
      <w:bookmarkEnd w:id="317"/>
    </w:p>
    <w:p w14:paraId="1898D91B">
      <w:pPr>
        <w:spacing w:line="240" w:lineRule="atLeast"/>
        <w:ind w:left="840" w:leftChars="200" w:hanging="420" w:hangingChars="175"/>
        <w:rPr>
          <w:rFonts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14:paraId="0AE1FD2A">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18" w:name="_Toc6923"/>
      <w:bookmarkStart w:id="319" w:name="_Toc17360"/>
      <w:bookmarkStart w:id="320" w:name="_Toc515647795"/>
      <w:bookmarkStart w:id="321" w:name="_Toc7049"/>
      <w:bookmarkStart w:id="322" w:name="_Toc8457"/>
      <w:r>
        <w:rPr>
          <w:rFonts w:hint="eastAsia" w:ascii="仿宋" w:hAnsi="仿宋" w:eastAsia="仿宋" w:cs="仿宋"/>
          <w:color w:val="auto"/>
          <w:sz w:val="24"/>
          <w:szCs w:val="24"/>
          <w:u w:val="none"/>
        </w:rPr>
        <w:t>33.政府采购信用担保</w:t>
      </w:r>
      <w:bookmarkEnd w:id="318"/>
      <w:bookmarkEnd w:id="319"/>
      <w:bookmarkEnd w:id="320"/>
      <w:bookmarkEnd w:id="321"/>
      <w:bookmarkEnd w:id="322"/>
    </w:p>
    <w:p w14:paraId="7466EC6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DAA5B22">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33.2   如属于政府采购信用担保试点范围内，中小型企业投标人可以自由按照财政部门的规定，采用投标担保、履约担保和融资担保。</w:t>
      </w:r>
    </w:p>
    <w:p w14:paraId="53CEE0F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33.2.1 投标人递交的投标担保函和履约担保函应符合本招标文件的规定。</w:t>
      </w:r>
    </w:p>
    <w:p w14:paraId="72B234E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14:paraId="16C9372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33.2.3 合格的政府采购专业信用担保机构名单见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A7D68D6">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23" w:name="_Toc23796"/>
      <w:bookmarkStart w:id="324" w:name="_Toc2133"/>
      <w:bookmarkStart w:id="325" w:name="_Toc23999"/>
      <w:bookmarkStart w:id="326" w:name="_Toc515647796"/>
      <w:bookmarkStart w:id="327" w:name="_Toc24291"/>
      <w:r>
        <w:rPr>
          <w:rFonts w:hint="eastAsia" w:ascii="仿宋" w:hAnsi="仿宋" w:eastAsia="仿宋" w:cs="仿宋"/>
          <w:color w:val="auto"/>
          <w:sz w:val="24"/>
          <w:szCs w:val="24"/>
          <w:u w:val="none"/>
        </w:rPr>
        <w:t>34.廉洁自律规定</w:t>
      </w:r>
      <w:bookmarkEnd w:id="323"/>
      <w:bookmarkEnd w:id="324"/>
      <w:bookmarkEnd w:id="325"/>
      <w:bookmarkEnd w:id="326"/>
      <w:bookmarkEnd w:id="327"/>
    </w:p>
    <w:p w14:paraId="4D6C87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14:paraId="206AACE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14:paraId="7CA2858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投标人须知资料表中的</w:t>
      </w:r>
      <w:r>
        <w:rPr>
          <w:rFonts w:hint="eastAsia" w:ascii="仿宋" w:hAnsi="仿宋" w:eastAsia="仿宋" w:cs="仿宋"/>
          <w:color w:val="auto"/>
          <w:sz w:val="24"/>
        </w:rPr>
        <w:t>监督电话和邮箱，反映采购代理机构的廉洁自律等问题。</w:t>
      </w:r>
    </w:p>
    <w:p w14:paraId="374A8180">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28" w:name="_Toc20677"/>
      <w:bookmarkStart w:id="329" w:name="_Toc17856"/>
      <w:bookmarkStart w:id="330" w:name="_Toc515647797"/>
      <w:bookmarkStart w:id="331" w:name="_Toc25480"/>
      <w:bookmarkStart w:id="332" w:name="_Toc11586"/>
      <w:r>
        <w:rPr>
          <w:rFonts w:hint="eastAsia" w:ascii="仿宋" w:hAnsi="仿宋" w:eastAsia="仿宋" w:cs="仿宋"/>
          <w:color w:val="auto"/>
          <w:sz w:val="24"/>
          <w:szCs w:val="24"/>
          <w:u w:val="none"/>
        </w:rPr>
        <w:t>35.人员回避</w:t>
      </w:r>
      <w:bookmarkEnd w:id="328"/>
      <w:bookmarkEnd w:id="329"/>
      <w:bookmarkEnd w:id="330"/>
      <w:bookmarkEnd w:id="331"/>
      <w:bookmarkEnd w:id="332"/>
    </w:p>
    <w:p w14:paraId="1C2333F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投标人认为采购人员及其相关人员有法律法规所列与其他供应商有利害关系的，可以向采购人或采购代理机构书面提出回避申请，并说明理由。</w:t>
      </w:r>
    </w:p>
    <w:p w14:paraId="2E16B5A2">
      <w:pPr>
        <w:pStyle w:val="5"/>
        <w:spacing w:before="0" w:after="0" w:line="240" w:lineRule="atLeast"/>
        <w:ind w:left="0" w:leftChars="0" w:firstLine="0" w:firstLineChars="0"/>
        <w:outlineLvl w:val="1"/>
        <w:rPr>
          <w:rFonts w:ascii="仿宋" w:hAnsi="仿宋" w:eastAsia="仿宋" w:cs="仿宋"/>
          <w:color w:val="auto"/>
          <w:sz w:val="24"/>
          <w:szCs w:val="24"/>
          <w:u w:val="none"/>
        </w:rPr>
      </w:pPr>
      <w:bookmarkStart w:id="333" w:name="_Toc4482"/>
      <w:bookmarkStart w:id="334" w:name="_Toc11115"/>
      <w:bookmarkStart w:id="335" w:name="_Toc32223"/>
      <w:bookmarkStart w:id="336" w:name="_Toc1148"/>
      <w:bookmarkStart w:id="337" w:name="_Toc515647798"/>
      <w:r>
        <w:rPr>
          <w:rFonts w:hint="eastAsia" w:ascii="仿宋" w:hAnsi="仿宋" w:eastAsia="仿宋" w:cs="仿宋"/>
          <w:color w:val="auto"/>
          <w:sz w:val="24"/>
          <w:szCs w:val="24"/>
          <w:u w:val="none"/>
        </w:rPr>
        <w:t>36.质疑与接收</w:t>
      </w:r>
      <w:bookmarkEnd w:id="333"/>
      <w:bookmarkEnd w:id="334"/>
      <w:bookmarkEnd w:id="335"/>
      <w:bookmarkEnd w:id="336"/>
      <w:bookmarkEnd w:id="337"/>
    </w:p>
    <w:p w14:paraId="04B60F59">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81673FB">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2B9C501">
      <w:pPr>
        <w:spacing w:line="240" w:lineRule="atLeast"/>
        <w:ind w:left="851" w:leftChars="405" w:hanging="1"/>
        <w:rPr>
          <w:rFonts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14:paraId="5154FAF2">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投标人须知资料表。</w:t>
      </w:r>
    </w:p>
    <w:p w14:paraId="3C36676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36.4、质疑的提出</w:t>
      </w:r>
    </w:p>
    <w:p w14:paraId="41326B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本采购文件中所称质疑及答复，是指参加本次采购活动的供应商对政府采购活动中的采购文件、采购过程和成交结果向采购方提出质疑，采购方答复质疑的行为。</w:t>
      </w:r>
    </w:p>
    <w:p w14:paraId="342A4F15">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FB82BE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14:paraId="357CDFE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14:paraId="4761D00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（三）对成交结果提出质疑的，为成交结果公告期限届满之日。</w:t>
      </w:r>
    </w:p>
    <w:p w14:paraId="56606319">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14:paraId="60843974">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开启、评审等各个采购程序环节。</w:t>
      </w:r>
    </w:p>
    <w:p w14:paraId="6646DC27">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36.9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提出质疑应当符合下列条件：</w:t>
      </w:r>
    </w:p>
    <w:p w14:paraId="0304EC8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14:paraId="2AD8FE8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14:paraId="38AAF98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14:paraId="37FEB6C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14:paraId="0155B57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85F25C7">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质疑人所提供的证明材料应当具有真实性、合法性以及与质疑事项的关联性和证明力，否则不能作为认定该质疑事项成立的依据。</w:t>
      </w:r>
    </w:p>
    <w:p w14:paraId="2886640B">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质疑人提出质疑时应当提交质疑函。质疑函包括下列内容：</w:t>
      </w:r>
    </w:p>
    <w:p w14:paraId="07377AA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14:paraId="175DA3C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48EEB4B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14:paraId="51DF3B9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14:paraId="201652F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14:paraId="5227031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57072B2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075184E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质疑人可以委托代理人进行质疑。代理人应当提交授权委托书。授权委托书应当载明委托代理的具体权限、期限和相关事项。</w:t>
      </w:r>
    </w:p>
    <w:p w14:paraId="2056AEA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.4、质疑的审查和受理</w:t>
      </w:r>
    </w:p>
    <w:p w14:paraId="285B71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采购方在收到质疑函后应当及时审查是否符合质疑受理条件，对符合质疑受理条件的，及时予以受理。</w:t>
      </w:r>
    </w:p>
    <w:p w14:paraId="21DC5199">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.5  对不符合质疑受理条件的，分别按照下列不同情形予以处理：</w:t>
      </w:r>
    </w:p>
    <w:p w14:paraId="3F95B48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14:paraId="4CC21A4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14:paraId="1A55C4C8">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14:paraId="5B8B878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14:paraId="47CBEC6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14:paraId="64A3AC0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14:paraId="11F00F6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质疑的处理和答复</w:t>
      </w:r>
    </w:p>
    <w:p w14:paraId="56C8536E">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.7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采购方受理质疑后，将及时把质疑函发送给被质疑人，并要求其在一定限期</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提交书面答复，同时提供有关证据、依据和相关材料。</w:t>
      </w:r>
    </w:p>
    <w:p w14:paraId="58F6907D">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对于质疑事项中涉及的问题较多、情况比较复杂的，为了全面查清事实、取得充分的证据，采购方认为有必要时，可以进行调查取证或者组织质证。</w:t>
      </w:r>
    </w:p>
    <w:p w14:paraId="51DDAEC4">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.9  对评审过程、成交结果提出质疑的，采购方可以组织原评审委员会协助</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答复质疑。</w:t>
      </w:r>
    </w:p>
    <w:p w14:paraId="69B88CD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质疑处理过程中，质疑人书面申请撤回质疑的，将终止质疑处理程序。</w:t>
      </w:r>
    </w:p>
    <w:p w14:paraId="28EE2B53">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质疑人拒绝配合采购方依法对质疑进行调查处理的，采购方将按质疑人自动撤回质疑处理；被质疑人拒绝配合采购方依法对质疑进行调查处理的，采购方将视同其认可质疑事项。</w:t>
      </w:r>
    </w:p>
    <w:p w14:paraId="389C15F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采购方将在正式受理质疑后7个工作日内作出答复，但处理质疑需要进行调查取证、组织专家评审、质疑人及被质疑人提交或补正材料等所需时间，不计算在质疑处理期限内。</w:t>
      </w:r>
    </w:p>
    <w:p w14:paraId="29EFA98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采购方经调查、论证、核实，认定质疑不能成立的，继续开展采购活动；认定质疑成立的，按照以下情况处理：</w:t>
      </w:r>
    </w:p>
    <w:p w14:paraId="6C7EF71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1F7546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AB20D31">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采购方将书面答复质疑，质疑答复包括下列内容：</w:t>
      </w:r>
    </w:p>
    <w:p w14:paraId="4E03088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14:paraId="2CF1387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14:paraId="5426494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14:paraId="5FF9974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14:paraId="7E9C759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14:paraId="7C8498D1">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质疑人有下列行为之一的，属于虚假、恶意质疑，将由采购方建议财政部门将其列入不良行为记录名单，禁止其1至3年内参加政府采购活动：</w:t>
      </w:r>
    </w:p>
    <w:p w14:paraId="6A807DF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（一）捏造事实；</w:t>
      </w:r>
    </w:p>
    <w:p w14:paraId="0542176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（二）提供虚假材料；</w:t>
      </w:r>
    </w:p>
    <w:p w14:paraId="608FAA3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（三）以非法手段取得证明材料或者无法提供证据的合法来源；</w:t>
      </w:r>
    </w:p>
    <w:p w14:paraId="7814741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（四）法律法规规定的其他违法情形。</w:t>
      </w:r>
    </w:p>
    <w:p w14:paraId="73F3795C">
      <w:pPr>
        <w:spacing w:line="240" w:lineRule="atLeast"/>
        <w:rPr>
          <w:rFonts w:hint="eastAsia" w:ascii="仿宋" w:hAnsi="仿宋" w:eastAsia="仿宋" w:cs="仿宋"/>
          <w:color w:val="auto"/>
          <w:szCs w:val="24"/>
        </w:rPr>
      </w:pPr>
      <w:r>
        <w:rPr>
          <w:rFonts w:hint="eastAsia" w:ascii="仿宋" w:hAnsi="仿宋" w:eastAsia="仿宋" w:cs="仿宋"/>
          <w:color w:val="auto"/>
          <w:sz w:val="24"/>
          <w:szCs w:val="24"/>
        </w:rPr>
        <w:br w:type="page"/>
      </w:r>
      <w:bookmarkStart w:id="338" w:name="_Toc515647799"/>
      <w:bookmarkStart w:id="339" w:name="_Toc16186"/>
      <w:bookmarkStart w:id="340" w:name="_Toc21748"/>
    </w:p>
    <w:p w14:paraId="3B0F2676">
      <w:pPr>
        <w:pStyle w:val="4"/>
        <w:spacing w:before="0" w:line="240" w:lineRule="atLeast"/>
        <w:rPr>
          <w:rFonts w:ascii="仿宋" w:hAnsi="仿宋" w:eastAsia="仿宋" w:cs="仿宋"/>
          <w:color w:val="auto"/>
          <w:szCs w:val="24"/>
        </w:rPr>
      </w:pPr>
      <w:bookmarkStart w:id="341" w:name="_Toc10604"/>
      <w:bookmarkStart w:id="342" w:name="_Toc4204"/>
      <w:bookmarkStart w:id="343" w:name="_Toc524"/>
      <w:r>
        <w:rPr>
          <w:rFonts w:hint="eastAsia" w:ascii="仿宋" w:hAnsi="仿宋" w:eastAsia="仿宋" w:cs="仿宋"/>
          <w:color w:val="auto"/>
          <w:szCs w:val="24"/>
        </w:rPr>
        <w:t>附件1：履约保证金保函（格式）</w:t>
      </w:r>
      <w:bookmarkEnd w:id="338"/>
      <w:bookmarkEnd w:id="339"/>
      <w:bookmarkEnd w:id="340"/>
      <w:bookmarkEnd w:id="341"/>
      <w:bookmarkEnd w:id="342"/>
      <w:bookmarkEnd w:id="343"/>
    </w:p>
    <w:p w14:paraId="2CB769B9">
      <w:pPr>
        <w:pStyle w:val="15"/>
        <w:spacing w:line="240" w:lineRule="atLeast"/>
        <w:ind w:left="1079" w:leftChars="257" w:hanging="540"/>
        <w:rPr>
          <w:rFonts w:ascii="仿宋" w:hAnsi="仿宋" w:eastAsia="仿宋" w:cs="仿宋"/>
          <w:b/>
          <w:color w:val="auto"/>
          <w:sz w:val="24"/>
        </w:rPr>
      </w:pPr>
      <w:r>
        <w:rPr>
          <w:rFonts w:hint="eastAsia" w:ascii="仿宋" w:hAnsi="仿宋" w:eastAsia="仿宋" w:cs="仿宋"/>
          <w:b/>
          <w:color w:val="auto"/>
          <w:sz w:val="24"/>
        </w:rPr>
        <w:t xml:space="preserve">                         （中标后开具）</w:t>
      </w:r>
    </w:p>
    <w:p w14:paraId="1BFA019E">
      <w:pPr>
        <w:pStyle w:val="15"/>
        <w:spacing w:line="240" w:lineRule="atLeast"/>
        <w:ind w:left="1079" w:leftChars="257" w:hanging="540"/>
        <w:rPr>
          <w:rFonts w:ascii="仿宋" w:hAnsi="仿宋" w:eastAsia="仿宋" w:cs="仿宋"/>
          <w:b/>
          <w:color w:val="auto"/>
          <w:sz w:val="24"/>
        </w:rPr>
      </w:pPr>
    </w:p>
    <w:p w14:paraId="43711E0B">
      <w:pPr>
        <w:pStyle w:val="15"/>
        <w:spacing w:line="240" w:lineRule="atLeast"/>
        <w:ind w:left="1079" w:leftChars="257" w:hanging="540"/>
        <w:rPr>
          <w:rFonts w:ascii="仿宋" w:hAnsi="仿宋" w:eastAsia="仿宋" w:cs="仿宋"/>
          <w:b/>
          <w:color w:val="auto"/>
          <w:sz w:val="24"/>
        </w:rPr>
      </w:pPr>
    </w:p>
    <w:p w14:paraId="656C25C1">
      <w:pPr>
        <w:pStyle w:val="15"/>
        <w:spacing w:line="240" w:lineRule="atLeast"/>
        <w:rPr>
          <w:rFonts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14:paraId="65982AC8">
      <w:pPr>
        <w:pStyle w:val="15"/>
        <w:spacing w:line="240" w:lineRule="atLeast"/>
        <w:ind w:left="1079" w:leftChars="257" w:hanging="540"/>
        <w:jc w:val="center"/>
        <w:rPr>
          <w:rFonts w:ascii="仿宋" w:hAnsi="仿宋" w:eastAsia="仿宋" w:cs="仿宋"/>
          <w:color w:val="auto"/>
          <w:sz w:val="24"/>
        </w:rPr>
      </w:pPr>
      <w:r>
        <w:rPr>
          <w:rFonts w:hint="eastAsia" w:ascii="仿宋" w:hAnsi="仿宋" w:eastAsia="仿宋" w:cs="仿宋"/>
          <w:color w:val="auto"/>
          <w:sz w:val="24"/>
        </w:rPr>
        <w:t>号合同履约保函</w:t>
      </w:r>
    </w:p>
    <w:p w14:paraId="1F40DF57">
      <w:pPr>
        <w:pStyle w:val="15"/>
        <w:spacing w:line="240" w:lineRule="atLeast"/>
        <w:ind w:left="1079" w:leftChars="257" w:hanging="540"/>
        <w:jc w:val="center"/>
        <w:rPr>
          <w:rFonts w:ascii="仿宋" w:hAnsi="仿宋" w:eastAsia="仿宋" w:cs="仿宋"/>
          <w:color w:val="auto"/>
          <w:sz w:val="24"/>
        </w:rPr>
      </w:pPr>
    </w:p>
    <w:p w14:paraId="5BF4EE05">
      <w:pPr>
        <w:pStyle w:val="15"/>
        <w:spacing w:line="240" w:lineRule="atLeast"/>
        <w:ind w:firstLine="600" w:firstLineChars="250"/>
        <w:rPr>
          <w:rFonts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)(以下简称卖方)于年月日就项目(以下简称项目)项下提供(</w:t>
      </w:r>
      <w:r>
        <w:rPr>
          <w:rFonts w:hint="eastAsia" w:ascii="仿宋" w:hAnsi="仿宋" w:eastAsia="仿宋" w:cs="仿宋"/>
          <w:i/>
          <w:color w:val="auto"/>
          <w:sz w:val="24"/>
          <w:u w:val="single"/>
        </w:rPr>
        <w:t>货物名称</w:t>
      </w:r>
      <w:r>
        <w:rPr>
          <w:rFonts w:hint="eastAsia" w:ascii="仿宋" w:hAnsi="仿宋" w:eastAsia="仿宋" w:cs="仿宋"/>
          <w:color w:val="auto"/>
          <w:sz w:val="24"/>
        </w:rPr>
        <w:t>)(以下简称货物)签订的(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14:paraId="3C2F0404">
      <w:pPr>
        <w:pStyle w:val="15"/>
        <w:spacing w:line="240" w:lineRule="atLeast"/>
        <w:ind w:firstLine="540" w:firstLineChars="225"/>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),即相当于合同价格的%,并以此约定如下:</w:t>
      </w:r>
    </w:p>
    <w:p w14:paraId="67D4447E">
      <w:pPr>
        <w:pStyle w:val="15"/>
        <w:spacing w:line="240" w:lineRule="atLeast"/>
        <w:ind w:left="539" w:leftChars="257"/>
        <w:rPr>
          <w:rFonts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77E0BAC5">
      <w:pPr>
        <w:pStyle w:val="15"/>
        <w:spacing w:line="240" w:lineRule="atLeast"/>
        <w:ind w:left="540"/>
        <w:rPr>
          <w:rFonts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14:paraId="0625E500">
      <w:pPr>
        <w:pStyle w:val="15"/>
        <w:spacing w:line="240" w:lineRule="atLeast"/>
        <w:ind w:left="540"/>
        <w:rPr>
          <w:rFonts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930D0CE">
      <w:pPr>
        <w:pStyle w:val="15"/>
        <w:spacing w:line="240" w:lineRule="atLeast"/>
        <w:ind w:left="1079" w:leftChars="257" w:hanging="540"/>
        <w:outlineLvl w:val="1"/>
        <w:rPr>
          <w:rFonts w:ascii="仿宋" w:hAnsi="仿宋" w:eastAsia="仿宋" w:cs="仿宋"/>
          <w:color w:val="auto"/>
          <w:sz w:val="24"/>
        </w:rPr>
      </w:pPr>
      <w:bookmarkStart w:id="344" w:name="_Toc12469"/>
      <w:bookmarkStart w:id="345" w:name="_Toc10753"/>
      <w:bookmarkStart w:id="346" w:name="_Toc30297"/>
      <w:r>
        <w:rPr>
          <w:rFonts w:hint="eastAsia" w:ascii="仿宋" w:hAnsi="仿宋" w:eastAsia="仿宋" w:cs="仿宋"/>
          <w:color w:val="auto"/>
          <w:sz w:val="24"/>
        </w:rPr>
        <w:t>4.本保函在本合同规定的保证期期满前完全有效。</w:t>
      </w:r>
      <w:bookmarkEnd w:id="344"/>
      <w:bookmarkEnd w:id="345"/>
      <w:bookmarkEnd w:id="346"/>
    </w:p>
    <w:p w14:paraId="06835420">
      <w:pPr>
        <w:pStyle w:val="15"/>
        <w:spacing w:line="240" w:lineRule="atLeast"/>
        <w:ind w:left="1079" w:leftChars="257" w:hanging="540"/>
        <w:rPr>
          <w:rFonts w:ascii="仿宋" w:hAnsi="仿宋" w:eastAsia="仿宋" w:cs="仿宋"/>
          <w:color w:val="auto"/>
          <w:sz w:val="24"/>
        </w:rPr>
      </w:pPr>
    </w:p>
    <w:p w14:paraId="06291FA4">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谨启</w:t>
      </w:r>
    </w:p>
    <w:p w14:paraId="40212176">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出具保函银行名称：</w:t>
      </w:r>
    </w:p>
    <w:p w14:paraId="270671B7">
      <w:pPr>
        <w:pStyle w:val="15"/>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签字人姓名和职务：</w:t>
      </w:r>
    </w:p>
    <w:p w14:paraId="670934D2">
      <w:pPr>
        <w:pStyle w:val="15"/>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签字人签名：</w:t>
      </w:r>
    </w:p>
    <w:p w14:paraId="79E6C938">
      <w:pPr>
        <w:pStyle w:val="15"/>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公章：</w:t>
      </w:r>
    </w:p>
    <w:p w14:paraId="3FB21BF8">
      <w:pPr>
        <w:pStyle w:val="4"/>
        <w:spacing w:before="0" w:line="240" w:lineRule="atLeast"/>
        <w:ind w:left="1079" w:leftChars="257" w:hanging="540"/>
        <w:rPr>
          <w:rFonts w:ascii="仿宋" w:hAnsi="仿宋" w:eastAsia="仿宋" w:cs="仿宋"/>
          <w:color w:val="auto"/>
          <w:szCs w:val="24"/>
        </w:rPr>
      </w:pPr>
      <w:r>
        <w:rPr>
          <w:rFonts w:hint="eastAsia" w:ascii="仿宋" w:hAnsi="仿宋" w:eastAsia="仿宋" w:cs="仿宋"/>
          <w:color w:val="auto"/>
        </w:rPr>
        <w:br w:type="page"/>
      </w:r>
      <w:bookmarkStart w:id="347" w:name="_Toc28153"/>
      <w:bookmarkStart w:id="348" w:name="_Toc10951"/>
      <w:bookmarkStart w:id="349" w:name="_Toc27938"/>
      <w:bookmarkStart w:id="350" w:name="_Toc18532"/>
      <w:bookmarkStart w:id="351" w:name="_Toc6548"/>
      <w:bookmarkStart w:id="352" w:name="_Toc515647800"/>
      <w:r>
        <w:rPr>
          <w:rFonts w:hint="eastAsia" w:ascii="仿宋" w:hAnsi="仿宋" w:eastAsia="仿宋" w:cs="仿宋"/>
          <w:color w:val="auto"/>
          <w:szCs w:val="24"/>
        </w:rPr>
        <w:t>附件2：履约担保函格式</w:t>
      </w:r>
      <w:bookmarkEnd w:id="347"/>
      <w:bookmarkEnd w:id="348"/>
      <w:bookmarkEnd w:id="349"/>
      <w:bookmarkEnd w:id="350"/>
      <w:bookmarkEnd w:id="351"/>
      <w:bookmarkEnd w:id="352"/>
    </w:p>
    <w:p w14:paraId="792A49FE">
      <w:pPr>
        <w:pStyle w:val="4"/>
        <w:spacing w:before="0" w:line="240" w:lineRule="atLeast"/>
        <w:ind w:left="1079" w:leftChars="257" w:hanging="540"/>
        <w:rPr>
          <w:rFonts w:ascii="仿宋" w:hAnsi="仿宋" w:eastAsia="仿宋" w:cs="仿宋"/>
          <w:b w:val="0"/>
          <w:color w:val="auto"/>
        </w:rPr>
      </w:pPr>
      <w:bookmarkStart w:id="353" w:name="_Toc515647801"/>
      <w:bookmarkStart w:id="354" w:name="_Toc162"/>
      <w:bookmarkStart w:id="355" w:name="_Toc10755"/>
      <w:bookmarkStart w:id="356" w:name="_Toc20039"/>
      <w:bookmarkStart w:id="357" w:name="_Toc13962"/>
      <w:bookmarkStart w:id="358" w:name="_Toc23910"/>
      <w:r>
        <w:rPr>
          <w:rFonts w:hint="eastAsia" w:ascii="仿宋" w:hAnsi="仿宋" w:eastAsia="仿宋" w:cs="仿宋"/>
          <w:color w:val="auto"/>
          <w:szCs w:val="24"/>
        </w:rPr>
        <w:t>（采用政府采购信用担保形式时使用）</w:t>
      </w:r>
      <w:bookmarkEnd w:id="353"/>
      <w:bookmarkEnd w:id="354"/>
      <w:bookmarkEnd w:id="355"/>
      <w:bookmarkEnd w:id="356"/>
      <w:bookmarkEnd w:id="357"/>
      <w:bookmarkEnd w:id="358"/>
    </w:p>
    <w:p w14:paraId="4DC04377">
      <w:pPr>
        <w:spacing w:line="240" w:lineRule="atLeast"/>
        <w:ind w:left="1079" w:leftChars="257" w:hanging="540"/>
        <w:rPr>
          <w:rFonts w:ascii="仿宋" w:hAnsi="仿宋" w:eastAsia="仿宋" w:cs="仿宋"/>
          <w:b/>
          <w:color w:val="auto"/>
          <w:kern w:val="0"/>
          <w:sz w:val="24"/>
          <w:szCs w:val="20"/>
        </w:rPr>
      </w:pPr>
    </w:p>
    <w:p w14:paraId="1C7AF12D">
      <w:pPr>
        <w:jc w:val="center"/>
        <w:rPr>
          <w:rFonts w:ascii="仿宋" w:hAnsi="仿宋" w:eastAsia="仿宋" w:cs="仿宋"/>
          <w:color w:val="auto"/>
          <w:sz w:val="24"/>
        </w:rPr>
      </w:pPr>
      <w:r>
        <w:rPr>
          <w:rFonts w:hint="eastAsia" w:ascii="仿宋" w:hAnsi="仿宋" w:eastAsia="仿宋" w:cs="仿宋"/>
          <w:color w:val="auto"/>
          <w:sz w:val="24"/>
        </w:rPr>
        <w:t>政府采购履约担保函（项目用）</w:t>
      </w:r>
    </w:p>
    <w:p w14:paraId="175BAFA4">
      <w:pPr>
        <w:rPr>
          <w:rFonts w:ascii="仿宋" w:hAnsi="仿宋" w:eastAsia="仿宋" w:cs="仿宋"/>
          <w:color w:val="auto"/>
          <w:sz w:val="24"/>
        </w:rPr>
      </w:pPr>
      <w:r>
        <w:rPr>
          <w:rFonts w:hint="eastAsia" w:ascii="仿宋" w:hAnsi="仿宋" w:eastAsia="仿宋" w:cs="仿宋"/>
          <w:color w:val="auto"/>
          <w:sz w:val="24"/>
        </w:rPr>
        <w:t xml:space="preserve">                                                   编号：</w:t>
      </w:r>
    </w:p>
    <w:p w14:paraId="7D9681FB">
      <w:pPr>
        <w:rPr>
          <w:rFonts w:ascii="仿宋" w:hAnsi="仿宋" w:eastAsia="仿宋" w:cs="仿宋"/>
          <w:color w:val="auto"/>
          <w:sz w:val="24"/>
        </w:rPr>
      </w:pPr>
    </w:p>
    <w:p w14:paraId="3CE0A96E">
      <w:pPr>
        <w:rPr>
          <w:rFonts w:ascii="仿宋" w:hAnsi="仿宋" w:eastAsia="仿宋" w:cs="仿宋"/>
          <w:color w:val="auto"/>
          <w:sz w:val="24"/>
        </w:rPr>
      </w:pPr>
      <w:r>
        <w:rPr>
          <w:rFonts w:hint="eastAsia" w:ascii="仿宋" w:hAnsi="仿宋" w:eastAsia="仿宋" w:cs="仿宋"/>
          <w:color w:val="auto"/>
          <w:sz w:val="24"/>
        </w:rPr>
        <w:t>（采购人）：</w:t>
      </w:r>
    </w:p>
    <w:p w14:paraId="282A86D9">
      <w:pPr>
        <w:rPr>
          <w:rFonts w:ascii="仿宋" w:hAnsi="仿宋" w:eastAsia="仿宋" w:cs="仿宋"/>
          <w:color w:val="auto"/>
          <w:sz w:val="24"/>
        </w:rPr>
      </w:pPr>
    </w:p>
    <w:p w14:paraId="0B779559">
      <w:pPr>
        <w:ind w:firstLine="480" w:firstLineChars="200"/>
        <w:rPr>
          <w:rFonts w:ascii="仿宋" w:hAnsi="仿宋" w:eastAsia="仿宋" w:cs="仿宋"/>
          <w:color w:val="auto"/>
          <w:sz w:val="24"/>
        </w:rPr>
      </w:pPr>
      <w:r>
        <w:rPr>
          <w:rFonts w:hint="eastAsia" w:ascii="仿宋" w:hAnsi="仿宋" w:eastAsia="仿宋" w:cs="仿宋"/>
          <w:color w:val="auto"/>
          <w:sz w:val="24"/>
        </w:rPr>
        <w:t>鉴于你方与（以下简称供应商）于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日签定编号为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的《政府采购合同》（以下简称主合同），且依据该合同的约定，供应商应在年</w:t>
      </w:r>
    </w:p>
    <w:p w14:paraId="259AAC4F">
      <w:pPr>
        <w:rPr>
          <w:rFonts w:ascii="仿宋" w:hAnsi="仿宋" w:eastAsia="仿宋" w:cs="仿宋"/>
          <w:color w:val="auto"/>
          <w:sz w:val="24"/>
        </w:rPr>
      </w:pPr>
      <w:r>
        <w:rPr>
          <w:rFonts w:hint="eastAsia" w:ascii="仿宋" w:hAnsi="仿宋" w:eastAsia="仿宋" w:cs="仿宋"/>
          <w:color w:val="auto"/>
          <w:sz w:val="24"/>
        </w:rPr>
        <w:t>月日前向你方交纳履约保证金，且可以履约担保函的形式交纳履约保证金。应供应商的申请，我方以保证的方式向你方提供如下履约保证金担保：</w:t>
      </w:r>
    </w:p>
    <w:p w14:paraId="14B48641">
      <w:pPr>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14:paraId="0E0E43D1">
      <w:pPr>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3EF0B70D">
      <w:pPr>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4395D26E">
      <w:pPr>
        <w:outlineLvl w:val="1"/>
        <w:rPr>
          <w:rFonts w:ascii="仿宋" w:hAnsi="仿宋" w:eastAsia="仿宋" w:cs="仿宋"/>
          <w:color w:val="auto"/>
          <w:sz w:val="24"/>
        </w:rPr>
      </w:pPr>
      <w:r>
        <w:rPr>
          <w:rFonts w:hint="eastAsia" w:ascii="仿宋" w:hAnsi="仿宋" w:eastAsia="仿宋" w:cs="仿宋"/>
          <w:color w:val="auto"/>
          <w:sz w:val="24"/>
        </w:rPr>
        <w:t>　　</w:t>
      </w:r>
      <w:bookmarkStart w:id="359" w:name="_Toc28627"/>
      <w:bookmarkStart w:id="360" w:name="_Toc5419"/>
      <w:bookmarkStart w:id="361" w:name="_Toc24493"/>
      <w:r>
        <w:rPr>
          <w:rFonts w:hint="eastAsia" w:ascii="仿宋" w:hAnsi="仿宋" w:eastAsia="仿宋" w:cs="仿宋"/>
          <w:color w:val="auto"/>
          <w:sz w:val="24"/>
        </w:rPr>
        <w:t>2．主合同约定的应当缴纳履约保证金的情形:</w:t>
      </w:r>
      <w:bookmarkEnd w:id="359"/>
      <w:bookmarkEnd w:id="360"/>
      <w:bookmarkEnd w:id="361"/>
      <w:r>
        <w:rPr>
          <w:rFonts w:hint="eastAsia" w:ascii="仿宋" w:hAnsi="仿宋" w:eastAsia="仿宋" w:cs="仿宋"/>
          <w:color w:val="auto"/>
          <w:sz w:val="24"/>
        </w:rPr>
        <w:t xml:space="preserve"> </w:t>
      </w:r>
    </w:p>
    <w:p w14:paraId="1E50CD03">
      <w:pPr>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0A9A554B">
      <w:pPr>
        <w:ind w:firstLine="480" w:firstLineChars="200"/>
        <w:rPr>
          <w:rFonts w:ascii="仿宋" w:hAnsi="仿宋" w:eastAsia="仿宋" w:cs="仿宋"/>
          <w:color w:val="auto"/>
          <w:sz w:val="24"/>
        </w:rPr>
      </w:pPr>
      <w:r>
        <w:rPr>
          <w:rFonts w:hint="eastAsia" w:ascii="仿宋" w:hAnsi="仿宋" w:eastAsia="仿宋" w:cs="仿宋"/>
          <w:color w:val="auto"/>
          <w:sz w:val="24"/>
        </w:rPr>
        <w:t>（2）。</w:t>
      </w:r>
    </w:p>
    <w:p w14:paraId="592AD6A2">
      <w:pPr>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（二）我方的保证范围是主合同约定的合同价款总额的%数额为元（大写），币种为。（即主合同履约保证金金额）</w:t>
      </w:r>
    </w:p>
    <w:p w14:paraId="65A2CC14">
      <w:pPr>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14:paraId="57C87D82">
      <w:pPr>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14:paraId="360FFB85">
      <w:pPr>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我方保证的期间为：自本合同生效之日起至供应商按照主合同约定的供货/完工期限届满后日内。</w:t>
      </w:r>
    </w:p>
    <w:p w14:paraId="729C0C02">
      <w:pPr>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3812935B">
      <w:pPr>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14:paraId="43D7161E">
      <w:pPr>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31D291">
      <w:pPr>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F577E7B">
      <w:pPr>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我方收到你方的书面索赔通知及相应证明材料，在工作日内进行核定后按照本保函的承诺承担保证责任。</w:t>
      </w:r>
    </w:p>
    <w:p w14:paraId="560F4613">
      <w:pPr>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14:paraId="4E424C77">
      <w:pPr>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623D6C2">
      <w:pPr>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75BAD26B">
      <w:pPr>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46C3D4A5">
      <w:pPr>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21FA43">
      <w:pPr>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14:paraId="58F33152">
      <w:pPr>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3677FEA3">
      <w:pPr>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2B19880E">
      <w:pPr>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1AD0ECAB">
      <w:pPr>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14:paraId="6AE72A39">
      <w:pPr>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因本保函发生的纠纷，由你我双方协商解决，协商不成的，通过诉讼程序解决，诉讼管辖地法院为法院。</w:t>
      </w:r>
    </w:p>
    <w:p w14:paraId="621A6289">
      <w:pPr>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14:paraId="2AF5A98F">
      <w:pPr>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14:paraId="740A3A0E">
      <w:pPr>
        <w:rPr>
          <w:rFonts w:ascii="仿宋" w:hAnsi="仿宋" w:eastAsia="仿宋" w:cs="仿宋"/>
          <w:color w:val="auto"/>
          <w:sz w:val="24"/>
        </w:rPr>
      </w:pPr>
    </w:p>
    <w:p w14:paraId="5F032A5C">
      <w:pPr>
        <w:rPr>
          <w:rFonts w:ascii="仿宋" w:hAnsi="仿宋" w:eastAsia="仿宋" w:cs="仿宋"/>
          <w:color w:val="auto"/>
          <w:sz w:val="24"/>
        </w:rPr>
      </w:pPr>
    </w:p>
    <w:p w14:paraId="37F4FCBC">
      <w:pPr>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14:paraId="20CE00FA">
      <w:pPr>
        <w:rPr>
          <w:rFonts w:ascii="仿宋" w:hAnsi="仿宋" w:eastAsia="仿宋" w:cs="仿宋"/>
          <w:color w:val="auto"/>
          <w:sz w:val="24"/>
        </w:rPr>
      </w:pPr>
    </w:p>
    <w:p w14:paraId="3B61FDA2">
      <w:pPr>
        <w:rPr>
          <w:rFonts w:ascii="仿宋" w:hAnsi="仿宋" w:eastAsia="仿宋" w:cs="仿宋"/>
          <w:color w:val="auto"/>
          <w:sz w:val="24"/>
        </w:rPr>
      </w:pPr>
      <w:r>
        <w:rPr>
          <w:rFonts w:hint="eastAsia" w:ascii="仿宋" w:hAnsi="仿宋" w:eastAsia="仿宋" w:cs="仿宋"/>
          <w:color w:val="auto"/>
          <w:sz w:val="24"/>
        </w:rPr>
        <w:t xml:space="preserve">                                                   年     月      日</w:t>
      </w:r>
    </w:p>
    <w:p w14:paraId="4DD35B70">
      <w:pPr>
        <w:pStyle w:val="2"/>
        <w:spacing w:line="240" w:lineRule="atLeast"/>
        <w:ind w:firstLine="0"/>
        <w:rPr>
          <w:rFonts w:ascii="仿宋" w:hAnsi="仿宋" w:eastAsia="仿宋" w:cs="仿宋"/>
          <w:b/>
          <w:color w:val="auto"/>
        </w:rPr>
      </w:pPr>
    </w:p>
    <w:p w14:paraId="6E92CBD6">
      <w:pPr>
        <w:pStyle w:val="2"/>
        <w:spacing w:line="240" w:lineRule="atLeast"/>
        <w:ind w:firstLine="0"/>
        <w:rPr>
          <w:rFonts w:ascii="仿宋" w:hAnsi="仿宋" w:eastAsia="仿宋" w:cs="仿宋"/>
          <w:b/>
          <w:color w:val="auto"/>
        </w:rPr>
      </w:pPr>
    </w:p>
    <w:p w14:paraId="5320DCDE">
      <w:pPr>
        <w:pStyle w:val="2"/>
        <w:spacing w:line="240" w:lineRule="atLeast"/>
        <w:ind w:firstLine="0"/>
        <w:rPr>
          <w:rFonts w:ascii="仿宋" w:hAnsi="仿宋" w:eastAsia="仿宋" w:cs="仿宋"/>
          <w:b/>
          <w:color w:val="auto"/>
        </w:rPr>
      </w:pPr>
    </w:p>
    <w:p w14:paraId="5325F6E7">
      <w:pPr>
        <w:pStyle w:val="2"/>
        <w:spacing w:line="240" w:lineRule="atLeast"/>
        <w:ind w:firstLine="0"/>
        <w:rPr>
          <w:rFonts w:ascii="仿宋" w:hAnsi="仿宋" w:eastAsia="仿宋" w:cs="仿宋"/>
          <w:b/>
          <w:color w:val="auto"/>
        </w:rPr>
      </w:pPr>
    </w:p>
    <w:p w14:paraId="61CF7BD8">
      <w:pPr>
        <w:pStyle w:val="2"/>
        <w:spacing w:line="240" w:lineRule="atLeast"/>
        <w:ind w:firstLine="0"/>
        <w:rPr>
          <w:rFonts w:ascii="仿宋" w:hAnsi="仿宋" w:eastAsia="仿宋" w:cs="仿宋"/>
          <w:b/>
          <w:color w:val="auto"/>
        </w:rPr>
      </w:pPr>
    </w:p>
    <w:p w14:paraId="12C5E0B8">
      <w:pPr>
        <w:pStyle w:val="2"/>
        <w:spacing w:line="240" w:lineRule="atLeast"/>
        <w:ind w:firstLine="0"/>
        <w:rPr>
          <w:rFonts w:ascii="仿宋" w:hAnsi="仿宋" w:eastAsia="仿宋" w:cs="仿宋"/>
          <w:b/>
          <w:color w:val="auto"/>
        </w:rPr>
      </w:pPr>
    </w:p>
    <w:p w14:paraId="3980FD05">
      <w:pPr>
        <w:pStyle w:val="2"/>
        <w:spacing w:line="240" w:lineRule="atLeast"/>
        <w:ind w:firstLine="0"/>
        <w:rPr>
          <w:rFonts w:ascii="仿宋" w:hAnsi="仿宋" w:eastAsia="仿宋" w:cs="仿宋"/>
          <w:b/>
          <w:color w:val="auto"/>
        </w:rPr>
      </w:pPr>
    </w:p>
    <w:p w14:paraId="162E69F2">
      <w:pPr>
        <w:pStyle w:val="2"/>
        <w:spacing w:line="240" w:lineRule="atLeast"/>
        <w:ind w:firstLine="0"/>
        <w:rPr>
          <w:rFonts w:ascii="仿宋" w:hAnsi="仿宋" w:eastAsia="仿宋" w:cs="仿宋"/>
          <w:b/>
          <w:color w:val="auto"/>
        </w:rPr>
      </w:pPr>
    </w:p>
    <w:p w14:paraId="52499882">
      <w:pPr>
        <w:pStyle w:val="2"/>
        <w:spacing w:line="240" w:lineRule="atLeast"/>
        <w:ind w:firstLine="0"/>
        <w:rPr>
          <w:rFonts w:ascii="仿宋" w:hAnsi="仿宋" w:eastAsia="仿宋" w:cs="仿宋"/>
          <w:b/>
          <w:color w:val="auto"/>
        </w:rPr>
      </w:pPr>
    </w:p>
    <w:p w14:paraId="103E0324">
      <w:pPr>
        <w:pStyle w:val="2"/>
        <w:spacing w:line="240" w:lineRule="atLeast"/>
        <w:ind w:firstLine="0"/>
        <w:rPr>
          <w:rFonts w:ascii="仿宋" w:hAnsi="仿宋" w:eastAsia="仿宋" w:cs="仿宋"/>
          <w:b/>
          <w:color w:val="auto"/>
        </w:rPr>
      </w:pPr>
    </w:p>
    <w:p w14:paraId="4C72A17F">
      <w:pPr>
        <w:pStyle w:val="2"/>
        <w:spacing w:line="240" w:lineRule="atLeast"/>
        <w:ind w:firstLine="0"/>
        <w:rPr>
          <w:rFonts w:ascii="仿宋" w:hAnsi="仿宋" w:eastAsia="仿宋" w:cs="仿宋"/>
          <w:b/>
          <w:color w:val="auto"/>
        </w:rPr>
      </w:pPr>
    </w:p>
    <w:p w14:paraId="1D1A68DF">
      <w:pPr>
        <w:pStyle w:val="2"/>
        <w:spacing w:line="240" w:lineRule="atLeast"/>
        <w:ind w:firstLine="0"/>
        <w:rPr>
          <w:rFonts w:ascii="仿宋" w:hAnsi="仿宋" w:eastAsia="仿宋" w:cs="仿宋"/>
          <w:b/>
          <w:color w:val="auto"/>
        </w:rPr>
      </w:pPr>
    </w:p>
    <w:p w14:paraId="3403D8DE">
      <w:pPr>
        <w:pStyle w:val="2"/>
        <w:spacing w:line="240" w:lineRule="atLeast"/>
        <w:ind w:firstLine="0"/>
        <w:rPr>
          <w:rFonts w:ascii="仿宋" w:hAnsi="仿宋" w:eastAsia="仿宋" w:cs="仿宋"/>
          <w:b/>
          <w:color w:val="auto"/>
        </w:rPr>
      </w:pPr>
    </w:p>
    <w:p w14:paraId="3E4786BE">
      <w:pPr>
        <w:pStyle w:val="2"/>
        <w:spacing w:line="240" w:lineRule="atLeast"/>
        <w:ind w:firstLine="0"/>
        <w:rPr>
          <w:rFonts w:ascii="仿宋" w:hAnsi="仿宋" w:eastAsia="仿宋" w:cs="仿宋"/>
          <w:b/>
          <w:color w:val="auto"/>
        </w:rPr>
      </w:pPr>
    </w:p>
    <w:p w14:paraId="344635F5">
      <w:pPr>
        <w:pStyle w:val="2"/>
        <w:spacing w:line="240" w:lineRule="atLeast"/>
        <w:ind w:firstLine="0"/>
        <w:rPr>
          <w:rFonts w:ascii="仿宋" w:hAnsi="仿宋" w:eastAsia="仿宋" w:cs="仿宋"/>
          <w:b/>
          <w:color w:val="auto"/>
        </w:rPr>
      </w:pPr>
    </w:p>
    <w:p w14:paraId="372C625D">
      <w:pPr>
        <w:pStyle w:val="2"/>
        <w:spacing w:line="240" w:lineRule="atLeast"/>
        <w:ind w:firstLine="0"/>
        <w:rPr>
          <w:rFonts w:ascii="仿宋" w:hAnsi="仿宋" w:eastAsia="仿宋" w:cs="仿宋"/>
          <w:b/>
          <w:color w:val="auto"/>
        </w:rPr>
      </w:pPr>
    </w:p>
    <w:p w14:paraId="3F763A56">
      <w:pPr>
        <w:pStyle w:val="2"/>
        <w:spacing w:line="240" w:lineRule="atLeast"/>
        <w:ind w:firstLine="0"/>
        <w:rPr>
          <w:rFonts w:ascii="仿宋" w:hAnsi="仿宋" w:eastAsia="仿宋" w:cs="仿宋"/>
          <w:b/>
          <w:color w:val="auto"/>
        </w:rPr>
      </w:pPr>
    </w:p>
    <w:p w14:paraId="022AA107">
      <w:pPr>
        <w:pStyle w:val="2"/>
        <w:spacing w:line="240" w:lineRule="atLeast"/>
        <w:ind w:firstLine="0"/>
        <w:rPr>
          <w:rFonts w:ascii="仿宋" w:hAnsi="仿宋" w:eastAsia="仿宋" w:cs="仿宋"/>
          <w:b/>
          <w:color w:val="auto"/>
        </w:rPr>
      </w:pPr>
    </w:p>
    <w:p w14:paraId="5A82D112">
      <w:pPr>
        <w:pStyle w:val="2"/>
        <w:spacing w:line="240" w:lineRule="atLeast"/>
        <w:ind w:firstLine="0"/>
        <w:rPr>
          <w:rFonts w:ascii="仿宋" w:hAnsi="仿宋" w:eastAsia="仿宋" w:cs="仿宋"/>
          <w:b/>
          <w:color w:val="auto"/>
        </w:rPr>
      </w:pPr>
    </w:p>
    <w:p w14:paraId="7BFAC502">
      <w:pPr>
        <w:rPr>
          <w:color w:val="auto"/>
        </w:rPr>
      </w:pPr>
    </w:p>
    <w:p w14:paraId="60BE15D1">
      <w:pPr>
        <w:pStyle w:val="3"/>
        <w:numPr>
          <w:ilvl w:val="0"/>
          <w:numId w:val="0"/>
        </w:numPr>
        <w:spacing w:before="0" w:after="0" w:line="240" w:lineRule="atLeast"/>
        <w:ind w:left="1844" w:leftChars="0" w:firstLine="320" w:firstLineChars="100"/>
        <w:jc w:val="both"/>
        <w:rPr>
          <w:rFonts w:ascii="仿宋" w:hAnsi="仿宋" w:eastAsia="仿宋" w:cs="仿宋"/>
          <w:color w:val="auto"/>
        </w:rPr>
      </w:pPr>
      <w:bookmarkStart w:id="362" w:name="_Toc728"/>
      <w:bookmarkStart w:id="363" w:name="_Toc702"/>
      <w:bookmarkStart w:id="364" w:name="_Toc515647802"/>
      <w:bookmarkStart w:id="365" w:name="_Toc15818"/>
      <w:bookmarkStart w:id="366" w:name="_Toc28750"/>
      <w:bookmarkStart w:id="367" w:name="_Toc7614"/>
      <w:bookmarkStart w:id="368" w:name="_Toc216582812"/>
      <w:r>
        <w:rPr>
          <w:rFonts w:hint="eastAsia" w:ascii="仿宋" w:hAnsi="仿宋" w:eastAsia="仿宋" w:cs="仿宋"/>
          <w:color w:val="auto"/>
          <w:lang w:val="en-US" w:eastAsia="zh-CN"/>
        </w:rPr>
        <w:t xml:space="preserve">第二章   </w:t>
      </w:r>
      <w:r>
        <w:rPr>
          <w:rFonts w:hint="eastAsia" w:ascii="仿宋" w:hAnsi="仿宋" w:eastAsia="仿宋" w:cs="仿宋"/>
          <w:color w:val="auto"/>
        </w:rPr>
        <w:t>投标文件格式</w:t>
      </w:r>
      <w:bookmarkEnd w:id="362"/>
      <w:bookmarkEnd w:id="363"/>
      <w:bookmarkEnd w:id="364"/>
      <w:bookmarkEnd w:id="365"/>
      <w:bookmarkEnd w:id="366"/>
      <w:bookmarkEnd w:id="367"/>
      <w:bookmarkEnd w:id="368"/>
    </w:p>
    <w:p w14:paraId="320AD11F">
      <w:pPr>
        <w:spacing w:line="240" w:lineRule="atLeast"/>
        <w:ind w:left="735" w:leftChars="350" w:firstLine="120" w:firstLineChars="50"/>
        <w:rPr>
          <w:rFonts w:ascii="仿宋" w:hAnsi="仿宋" w:eastAsia="仿宋" w:cs="仿宋"/>
          <w:color w:val="auto"/>
          <w:sz w:val="24"/>
        </w:rPr>
      </w:pPr>
    </w:p>
    <w:p w14:paraId="35332A5B">
      <w:pPr>
        <w:pStyle w:val="4"/>
        <w:spacing w:before="0" w:line="240" w:lineRule="atLeast"/>
        <w:ind w:left="1257" w:leftChars="599" w:firstLine="343" w:firstLineChars="143"/>
        <w:jc w:val="both"/>
        <w:outlineLvl w:val="1"/>
        <w:rPr>
          <w:rFonts w:ascii="仿宋" w:hAnsi="仿宋" w:eastAsia="仿宋" w:cs="仿宋"/>
          <w:color w:val="auto"/>
          <w:sz w:val="24"/>
          <w:highlight w:val="none"/>
        </w:rPr>
      </w:pPr>
      <w:bookmarkStart w:id="369" w:name="_Toc515647803"/>
      <w:bookmarkStart w:id="370" w:name="_Toc7659"/>
      <w:bookmarkStart w:id="371" w:name="_Toc26476"/>
      <w:bookmarkStart w:id="372" w:name="_Toc18694"/>
      <w:bookmarkStart w:id="373" w:name="_Toc18974"/>
      <w:bookmarkStart w:id="374" w:name="_Toc31242"/>
      <w:bookmarkStart w:id="375" w:name="_Toc3042"/>
      <w:r>
        <w:rPr>
          <w:rFonts w:hint="eastAsia" w:ascii="仿宋" w:hAnsi="仿宋" w:eastAsia="仿宋" w:cs="仿宋"/>
          <w:color w:val="auto"/>
          <w:sz w:val="24"/>
          <w:highlight w:val="none"/>
        </w:rPr>
        <w:t>第一部分 开标一览表及资格证明文件</w:t>
      </w:r>
      <w:bookmarkEnd w:id="369"/>
      <w:bookmarkEnd w:id="370"/>
      <w:bookmarkEnd w:id="371"/>
      <w:bookmarkEnd w:id="372"/>
      <w:bookmarkEnd w:id="373"/>
      <w:bookmarkEnd w:id="374"/>
      <w:bookmarkEnd w:id="375"/>
    </w:p>
    <w:p w14:paraId="31569469">
      <w:pPr>
        <w:spacing w:line="240" w:lineRule="atLeast"/>
        <w:ind w:left="708" w:hanging="708" w:hangingChars="295"/>
        <w:jc w:val="center"/>
        <w:rPr>
          <w:rFonts w:ascii="仿宋" w:hAnsi="仿宋" w:eastAsia="仿宋" w:cs="仿宋"/>
          <w:color w:val="auto"/>
          <w:sz w:val="24"/>
        </w:rPr>
      </w:pPr>
    </w:p>
    <w:p w14:paraId="36F64651">
      <w:pPr>
        <w:tabs>
          <w:tab w:val="left" w:pos="5580"/>
        </w:tabs>
        <w:spacing w:line="240" w:lineRule="atLeast"/>
        <w:ind w:firstLine="424" w:firstLineChars="177"/>
        <w:rPr>
          <w:rFonts w:ascii="仿宋" w:hAnsi="仿宋" w:eastAsia="仿宋" w:cs="仿宋"/>
          <w:color w:val="auto"/>
          <w:sz w:val="24"/>
        </w:rPr>
      </w:pPr>
      <w:r>
        <w:rPr>
          <w:rFonts w:hint="eastAsia" w:ascii="仿宋" w:hAnsi="仿宋" w:eastAsia="仿宋" w:cs="仿宋"/>
          <w:color w:val="auto"/>
          <w:sz w:val="24"/>
        </w:rPr>
        <w:t xml:space="preserve"> 1</w:t>
      </w:r>
      <w:r>
        <w:rPr>
          <w:rFonts w:hint="eastAsia" w:ascii="仿宋" w:hAnsi="仿宋" w:eastAsia="仿宋" w:cs="仿宋"/>
          <w:color w:val="auto"/>
          <w:sz w:val="24"/>
          <w:lang w:val="en-US" w:eastAsia="zh-CN"/>
        </w:rPr>
        <w:t>.</w:t>
      </w:r>
      <w:r>
        <w:rPr>
          <w:rFonts w:hint="eastAsia" w:ascii="仿宋" w:hAnsi="仿宋" w:eastAsia="仿宋" w:cs="仿宋"/>
          <w:color w:val="auto"/>
          <w:sz w:val="24"/>
        </w:rPr>
        <w:t>开标一览表（见投标文件格式一）;</w:t>
      </w:r>
    </w:p>
    <w:p w14:paraId="4470393F">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2.提供有效期内的营业执照；</w:t>
      </w:r>
    </w:p>
    <w:p w14:paraId="79299652">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3.法定代表人授权书及被委托人身份证（法定代表人投标提供法定代表人身份证）;</w:t>
      </w:r>
    </w:p>
    <w:p w14:paraId="73742A55">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4.2023年度或2024年度的财务审计报告（新成立未满一年的公司需提供有效的银行资信证明）；</w:t>
      </w:r>
    </w:p>
    <w:p w14:paraId="339E040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5.提供近六个月任意一个月社保缴纳证明；</w:t>
      </w:r>
    </w:p>
    <w:p w14:paraId="3A982F7F">
      <w:pPr>
        <w:tabs>
          <w:tab w:val="left" w:pos="5580"/>
        </w:tabs>
        <w:spacing w:line="240" w:lineRule="atLeast"/>
        <w:ind w:left="1" w:firstLine="564" w:firstLineChars="235"/>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6.提供近六个月任意一个月税务局开具的完税证明（非社保类）；  </w:t>
      </w:r>
    </w:p>
    <w:p w14:paraId="6EE7718E">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6C92722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8.参与政府采购活动前三年内未被列入失信、重大税收违法案件、财政部门禁止参加政府采购活动的承诺书（自拟）；</w:t>
      </w:r>
    </w:p>
    <w:p w14:paraId="497576AE">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9.针对本项目的反商业贿赂承诺书（自拟）；</w:t>
      </w:r>
    </w:p>
    <w:p w14:paraId="240B7882">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投标保证金缴纳凭证复印件</w:t>
      </w:r>
      <w:r>
        <w:rPr>
          <w:rFonts w:hint="eastAsia" w:ascii="仿宋" w:hAnsi="仿宋" w:eastAsia="仿宋" w:cs="仿宋"/>
          <w:color w:val="auto"/>
          <w:sz w:val="24"/>
          <w:lang w:eastAsia="zh-CN"/>
        </w:rPr>
        <w:t>；</w:t>
      </w:r>
    </w:p>
    <w:p w14:paraId="4ECDC18D">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投标人须知资料表要求的其他资格证明文件;</w:t>
      </w:r>
    </w:p>
    <w:p w14:paraId="30AA3C83">
      <w:pPr>
        <w:tabs>
          <w:tab w:val="left" w:pos="5580"/>
        </w:tabs>
        <w:spacing w:line="240" w:lineRule="atLeast"/>
        <w:ind w:left="1" w:firstLine="564" w:firstLineChars="235"/>
        <w:rPr>
          <w:rFonts w:ascii="仿宋" w:hAnsi="仿宋" w:eastAsia="仿宋" w:cs="仿宋"/>
          <w:color w:val="auto"/>
          <w:sz w:val="24"/>
        </w:rPr>
      </w:pPr>
    </w:p>
    <w:p w14:paraId="249B5515">
      <w:pPr>
        <w:tabs>
          <w:tab w:val="left" w:pos="5580"/>
        </w:tabs>
        <w:spacing w:line="240" w:lineRule="atLeast"/>
        <w:ind w:left="1" w:firstLine="564" w:firstLineChars="235"/>
        <w:rPr>
          <w:rFonts w:ascii="仿宋" w:hAnsi="仿宋" w:eastAsia="仿宋" w:cs="仿宋"/>
          <w:color w:val="auto"/>
          <w:sz w:val="24"/>
        </w:rPr>
      </w:pPr>
    </w:p>
    <w:p w14:paraId="34261C39">
      <w:pPr>
        <w:tabs>
          <w:tab w:val="left" w:pos="5580"/>
        </w:tabs>
        <w:spacing w:line="240" w:lineRule="atLeast"/>
        <w:ind w:left="1" w:firstLine="564" w:firstLineChars="235"/>
        <w:rPr>
          <w:rFonts w:ascii="仿宋" w:hAnsi="仿宋" w:eastAsia="仿宋" w:cs="仿宋"/>
          <w:color w:val="auto"/>
          <w:sz w:val="24"/>
        </w:rPr>
      </w:pPr>
    </w:p>
    <w:p w14:paraId="6B089B34">
      <w:pPr>
        <w:tabs>
          <w:tab w:val="left" w:pos="5580"/>
        </w:tabs>
        <w:spacing w:line="240" w:lineRule="atLeast"/>
        <w:ind w:left="1" w:firstLine="564" w:firstLineChars="235"/>
        <w:rPr>
          <w:rFonts w:ascii="仿宋" w:hAnsi="仿宋" w:eastAsia="仿宋" w:cs="仿宋"/>
          <w:color w:val="auto"/>
          <w:sz w:val="24"/>
        </w:rPr>
      </w:pPr>
    </w:p>
    <w:p w14:paraId="0F886B25">
      <w:pPr>
        <w:tabs>
          <w:tab w:val="left" w:pos="5580"/>
        </w:tabs>
        <w:spacing w:line="240" w:lineRule="atLeast"/>
        <w:ind w:left="1" w:firstLine="564" w:firstLineChars="235"/>
        <w:rPr>
          <w:rFonts w:ascii="仿宋" w:hAnsi="仿宋" w:eastAsia="仿宋" w:cs="仿宋"/>
          <w:color w:val="auto"/>
          <w:sz w:val="24"/>
        </w:rPr>
      </w:pPr>
    </w:p>
    <w:p w14:paraId="6AA2D442">
      <w:pPr>
        <w:tabs>
          <w:tab w:val="left" w:pos="5580"/>
        </w:tabs>
        <w:spacing w:line="240" w:lineRule="atLeast"/>
        <w:ind w:left="1" w:firstLine="564" w:firstLineChars="235"/>
        <w:rPr>
          <w:rFonts w:ascii="仿宋" w:hAnsi="仿宋" w:eastAsia="仿宋" w:cs="仿宋"/>
          <w:color w:val="auto"/>
          <w:sz w:val="24"/>
        </w:rPr>
      </w:pPr>
    </w:p>
    <w:p w14:paraId="4DC1EC25">
      <w:pPr>
        <w:tabs>
          <w:tab w:val="left" w:pos="5580"/>
        </w:tabs>
        <w:spacing w:line="240" w:lineRule="atLeast"/>
        <w:ind w:left="1" w:firstLine="564" w:firstLineChars="235"/>
        <w:rPr>
          <w:rFonts w:ascii="仿宋" w:hAnsi="仿宋" w:eastAsia="仿宋" w:cs="仿宋"/>
          <w:color w:val="auto"/>
          <w:sz w:val="24"/>
        </w:rPr>
      </w:pPr>
    </w:p>
    <w:p w14:paraId="05D64E2A">
      <w:pPr>
        <w:tabs>
          <w:tab w:val="left" w:pos="5580"/>
        </w:tabs>
        <w:spacing w:line="240" w:lineRule="atLeast"/>
        <w:ind w:left="1" w:firstLine="564" w:firstLineChars="235"/>
        <w:rPr>
          <w:rFonts w:ascii="仿宋" w:hAnsi="仿宋" w:eastAsia="仿宋" w:cs="仿宋"/>
          <w:color w:val="auto"/>
          <w:sz w:val="24"/>
        </w:rPr>
      </w:pPr>
    </w:p>
    <w:p w14:paraId="66D3CB6A">
      <w:pPr>
        <w:tabs>
          <w:tab w:val="left" w:pos="5580"/>
        </w:tabs>
        <w:spacing w:line="240" w:lineRule="atLeast"/>
        <w:ind w:left="1" w:firstLine="564" w:firstLineChars="235"/>
        <w:rPr>
          <w:rFonts w:ascii="仿宋" w:hAnsi="仿宋" w:eastAsia="仿宋" w:cs="仿宋"/>
          <w:color w:val="auto"/>
          <w:sz w:val="24"/>
        </w:rPr>
      </w:pPr>
    </w:p>
    <w:p w14:paraId="17B1218B">
      <w:pPr>
        <w:tabs>
          <w:tab w:val="left" w:pos="5580"/>
        </w:tabs>
        <w:spacing w:line="240" w:lineRule="atLeast"/>
        <w:ind w:left="1" w:firstLine="564" w:firstLineChars="235"/>
        <w:rPr>
          <w:rFonts w:ascii="仿宋" w:hAnsi="仿宋" w:eastAsia="仿宋" w:cs="仿宋"/>
          <w:color w:val="auto"/>
          <w:sz w:val="24"/>
        </w:rPr>
      </w:pPr>
    </w:p>
    <w:p w14:paraId="62082B91">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br w:type="page"/>
      </w:r>
    </w:p>
    <w:p w14:paraId="6DC9A95E">
      <w:pPr>
        <w:pStyle w:val="4"/>
        <w:spacing w:before="0" w:line="240" w:lineRule="atLeast"/>
        <w:ind w:left="1079" w:leftChars="257" w:hanging="540"/>
        <w:rPr>
          <w:rFonts w:ascii="仿宋" w:hAnsi="仿宋" w:eastAsia="仿宋" w:cs="仿宋"/>
          <w:color w:val="auto"/>
          <w:sz w:val="24"/>
        </w:rPr>
      </w:pPr>
      <w:bookmarkStart w:id="376" w:name="_Toc730"/>
      <w:bookmarkStart w:id="377" w:name="_Toc24722"/>
      <w:bookmarkStart w:id="378" w:name="_Toc515647804"/>
      <w:bookmarkStart w:id="379" w:name="_Toc16568"/>
      <w:bookmarkStart w:id="380" w:name="_Toc25633"/>
      <w:bookmarkStart w:id="381" w:name="_Toc30844"/>
      <w:bookmarkStart w:id="382" w:name="_Toc336"/>
      <w:bookmarkStart w:id="383" w:name="_Toc30524"/>
      <w:r>
        <w:rPr>
          <w:rFonts w:hint="eastAsia" w:ascii="仿宋" w:hAnsi="仿宋" w:eastAsia="仿宋" w:cs="仿宋"/>
          <w:color w:val="auto"/>
          <w:sz w:val="24"/>
        </w:rPr>
        <w:t>1  开标一览表（投标文件格式一）</w:t>
      </w:r>
      <w:bookmarkEnd w:id="376"/>
      <w:bookmarkEnd w:id="377"/>
      <w:bookmarkEnd w:id="378"/>
      <w:bookmarkEnd w:id="379"/>
      <w:bookmarkEnd w:id="380"/>
      <w:bookmarkEnd w:id="381"/>
      <w:bookmarkEnd w:id="382"/>
      <w:bookmarkEnd w:id="383"/>
    </w:p>
    <w:p w14:paraId="057287BF">
      <w:pPr>
        <w:pStyle w:val="15"/>
        <w:tabs>
          <w:tab w:val="left" w:pos="5580"/>
        </w:tabs>
        <w:spacing w:line="240" w:lineRule="atLeast"/>
        <w:ind w:left="268" w:leftChars="128"/>
        <w:rPr>
          <w:rFonts w:ascii="仿宋" w:hAnsi="仿宋" w:eastAsia="仿宋" w:cs="仿宋"/>
          <w:color w:val="auto"/>
          <w:sz w:val="24"/>
        </w:rPr>
      </w:pPr>
    </w:p>
    <w:p w14:paraId="6BE1E071">
      <w:pPr>
        <w:pStyle w:val="15"/>
        <w:tabs>
          <w:tab w:val="left" w:pos="5580"/>
        </w:tabs>
        <w:spacing w:line="240" w:lineRule="atLeast"/>
        <w:ind w:left="268" w:leftChars="128"/>
        <w:rPr>
          <w:rFonts w:ascii="仿宋" w:hAnsi="仿宋" w:eastAsia="仿宋" w:cs="仿宋"/>
          <w:color w:val="auto"/>
          <w:sz w:val="24"/>
          <w:szCs w:val="24"/>
        </w:rPr>
      </w:pPr>
    </w:p>
    <w:p w14:paraId="39E9656B">
      <w:pPr>
        <w:pStyle w:val="2"/>
        <w:tabs>
          <w:tab w:val="left" w:pos="5580"/>
        </w:tabs>
        <w:spacing w:line="240" w:lineRule="atLeast"/>
        <w:ind w:left="1079" w:leftChars="257" w:hanging="540"/>
        <w:jc w:val="center"/>
        <w:rPr>
          <w:rFonts w:ascii="仿宋" w:hAnsi="仿宋" w:eastAsia="仿宋" w:cs="仿宋"/>
          <w:b/>
          <w:color w:val="auto"/>
        </w:rPr>
      </w:pPr>
      <w:bookmarkStart w:id="384" w:name="_Hlt520356241"/>
      <w:bookmarkEnd w:id="384"/>
      <w:bookmarkStart w:id="385" w:name="_Toc494296984"/>
      <w:bookmarkStart w:id="386" w:name="_Ref467988698"/>
      <w:bookmarkStart w:id="387" w:name="_Toc480942349"/>
      <w:bookmarkStart w:id="388" w:name="_Toc520356217"/>
      <w:bookmarkStart w:id="389" w:name="_Toc216582813"/>
      <w:r>
        <w:rPr>
          <w:rFonts w:hint="eastAsia" w:ascii="仿宋" w:hAnsi="仿宋" w:eastAsia="仿宋" w:cs="仿宋"/>
          <w:b/>
          <w:color w:val="auto"/>
        </w:rPr>
        <w:t>开标一览表</w:t>
      </w:r>
      <w:bookmarkEnd w:id="385"/>
      <w:r>
        <w:rPr>
          <w:rFonts w:hint="eastAsia" w:ascii="仿宋" w:hAnsi="仿宋" w:eastAsia="仿宋" w:cs="仿宋"/>
          <w:b/>
          <w:color w:val="auto"/>
        </w:rPr>
        <w:cr/>
      </w:r>
    </w:p>
    <w:p w14:paraId="613ED304">
      <w:pPr>
        <w:pStyle w:val="2"/>
        <w:tabs>
          <w:tab w:val="left" w:pos="5580"/>
        </w:tabs>
        <w:spacing w:line="240" w:lineRule="atLeast"/>
        <w:ind w:left="1079" w:leftChars="257" w:hanging="540"/>
        <w:rPr>
          <w:rFonts w:ascii="仿宋" w:hAnsi="仿宋" w:eastAsia="仿宋" w:cs="仿宋"/>
          <w:color w:val="auto"/>
        </w:rPr>
      </w:pPr>
    </w:p>
    <w:p w14:paraId="7DB88D2F">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14:paraId="16222F43">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报价单位：人民币 </w:t>
      </w:r>
      <w:r>
        <w:rPr>
          <w:rFonts w:hint="eastAsia" w:ascii="仿宋" w:hAnsi="仿宋" w:eastAsia="仿宋" w:cs="仿宋"/>
          <w:bCs/>
          <w:color w:val="auto"/>
          <w:sz w:val="24"/>
        </w:rPr>
        <w:t>元</w:t>
      </w:r>
    </w:p>
    <w:tbl>
      <w:tblPr>
        <w:tblStyle w:val="27"/>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074F7192">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4" w:space="0"/>
              <w:right w:val="single" w:color="auto" w:sz="4" w:space="0"/>
            </w:tcBorders>
            <w:noWrap/>
            <w:vAlign w:val="center"/>
          </w:tcPr>
          <w:p w14:paraId="437B7C0B">
            <w:pPr>
              <w:tabs>
                <w:tab w:val="left" w:pos="5580"/>
              </w:tabs>
              <w:spacing w:line="240" w:lineRule="atLeast"/>
              <w:ind w:right="-199"/>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tcBorders>
              <w:top w:val="single" w:color="auto" w:sz="4" w:space="0"/>
              <w:left w:val="single" w:color="auto" w:sz="4" w:space="0"/>
              <w:bottom w:val="single" w:color="auto" w:sz="4" w:space="0"/>
              <w:right w:val="single" w:color="auto" w:sz="4" w:space="0"/>
            </w:tcBorders>
            <w:noWrap/>
            <w:vAlign w:val="center"/>
          </w:tcPr>
          <w:p w14:paraId="2DBA604D">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投标总价</w:t>
            </w:r>
          </w:p>
        </w:tc>
        <w:tc>
          <w:tcPr>
            <w:tcW w:w="1805" w:type="dxa"/>
            <w:tcBorders>
              <w:top w:val="single" w:color="auto" w:sz="4" w:space="0"/>
              <w:left w:val="single" w:color="auto" w:sz="4" w:space="0"/>
              <w:bottom w:val="single" w:color="auto" w:sz="4" w:space="0"/>
              <w:right w:val="single" w:color="auto" w:sz="4" w:space="0"/>
            </w:tcBorders>
            <w:noWrap/>
            <w:vAlign w:val="center"/>
          </w:tcPr>
          <w:p w14:paraId="4CDEEA8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4" w:space="0"/>
              <w:left w:val="single" w:color="auto" w:sz="4" w:space="0"/>
              <w:bottom w:val="single" w:color="auto" w:sz="4" w:space="0"/>
              <w:right w:val="single" w:color="auto" w:sz="4" w:space="0"/>
            </w:tcBorders>
            <w:noWrap/>
            <w:vAlign w:val="center"/>
          </w:tcPr>
          <w:p w14:paraId="30C3C306">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交货期</w:t>
            </w:r>
          </w:p>
        </w:tc>
        <w:tc>
          <w:tcPr>
            <w:tcW w:w="1016" w:type="dxa"/>
            <w:tcBorders>
              <w:top w:val="single" w:color="auto" w:sz="4" w:space="0"/>
              <w:left w:val="single" w:color="auto" w:sz="4" w:space="0"/>
              <w:bottom w:val="single" w:color="auto" w:sz="4" w:space="0"/>
              <w:right w:val="single" w:color="auto" w:sz="4" w:space="0"/>
            </w:tcBorders>
            <w:noWrap/>
            <w:vAlign w:val="center"/>
          </w:tcPr>
          <w:p w14:paraId="4C3BE6C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交货地点</w:t>
            </w:r>
          </w:p>
        </w:tc>
        <w:tc>
          <w:tcPr>
            <w:tcW w:w="1129" w:type="dxa"/>
            <w:tcBorders>
              <w:top w:val="single" w:color="auto" w:sz="4" w:space="0"/>
              <w:left w:val="single" w:color="auto" w:sz="4" w:space="0"/>
              <w:bottom w:val="single" w:color="auto" w:sz="4" w:space="0"/>
              <w:right w:val="single" w:color="auto" w:sz="4" w:space="0"/>
            </w:tcBorders>
            <w:noWrap/>
            <w:vAlign w:val="center"/>
          </w:tcPr>
          <w:p w14:paraId="0FC1D10E">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3E891E2">
        <w:tblPrEx>
          <w:tblCellMar>
            <w:top w:w="0" w:type="dxa"/>
            <w:left w:w="0" w:type="dxa"/>
            <w:bottom w:w="0" w:type="dxa"/>
            <w:right w:w="0" w:type="dxa"/>
          </w:tblCellMar>
        </w:tblPrEx>
        <w:trPr>
          <w:cantSplit/>
          <w:trHeight w:val="1640" w:hRule="atLeast"/>
        </w:trPr>
        <w:tc>
          <w:tcPr>
            <w:tcW w:w="1420" w:type="dxa"/>
            <w:tcBorders>
              <w:top w:val="single" w:color="auto" w:sz="4" w:space="0"/>
              <w:left w:val="single" w:color="auto" w:sz="4" w:space="0"/>
              <w:bottom w:val="single" w:color="auto" w:sz="4" w:space="0"/>
              <w:right w:val="single" w:color="auto" w:sz="4" w:space="0"/>
            </w:tcBorders>
            <w:noWrap/>
            <w:vAlign w:val="center"/>
          </w:tcPr>
          <w:p w14:paraId="44F9065E">
            <w:pPr>
              <w:tabs>
                <w:tab w:val="left" w:pos="5580"/>
              </w:tabs>
              <w:spacing w:line="240" w:lineRule="atLeast"/>
              <w:ind w:left="1079" w:leftChars="257" w:hanging="540"/>
              <w:jc w:val="center"/>
              <w:rPr>
                <w:rFonts w:ascii="仿宋" w:hAnsi="仿宋" w:eastAsia="仿宋" w:cs="仿宋"/>
                <w:color w:val="auto"/>
                <w:sz w:val="24"/>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0345D6D5">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大写：</w:t>
            </w:r>
          </w:p>
          <w:p w14:paraId="162D29CD">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4" w:space="0"/>
              <w:left w:val="single" w:color="auto" w:sz="4" w:space="0"/>
              <w:bottom w:val="single" w:color="auto" w:sz="4" w:space="0"/>
              <w:right w:val="single" w:color="auto" w:sz="4" w:space="0"/>
            </w:tcBorders>
            <w:noWrap/>
            <w:vAlign w:val="center"/>
          </w:tcPr>
          <w:p w14:paraId="59DB3017">
            <w:pPr>
              <w:tabs>
                <w:tab w:val="left" w:pos="5580"/>
              </w:tabs>
              <w:spacing w:line="240" w:lineRule="atLeast"/>
              <w:ind w:left="1079" w:leftChars="257" w:hanging="540"/>
              <w:jc w:val="center"/>
              <w:rPr>
                <w:rFonts w:ascii="仿宋" w:hAnsi="仿宋" w:eastAsia="仿宋" w:cs="仿宋"/>
                <w:color w:val="auto"/>
                <w:sz w:val="24"/>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5548D5AD">
            <w:pPr>
              <w:tabs>
                <w:tab w:val="left" w:pos="5580"/>
              </w:tabs>
              <w:spacing w:line="240" w:lineRule="atLeast"/>
              <w:ind w:left="1079" w:leftChars="257" w:hanging="540"/>
              <w:jc w:val="center"/>
              <w:rPr>
                <w:rFonts w:ascii="仿宋" w:hAnsi="仿宋" w:eastAsia="仿宋" w:cs="仿宋"/>
                <w:color w:val="auto"/>
                <w:sz w:val="24"/>
              </w:rPr>
            </w:pPr>
          </w:p>
        </w:tc>
        <w:tc>
          <w:tcPr>
            <w:tcW w:w="1016" w:type="dxa"/>
            <w:tcBorders>
              <w:top w:val="single" w:color="auto" w:sz="4" w:space="0"/>
              <w:left w:val="single" w:color="auto" w:sz="4" w:space="0"/>
              <w:bottom w:val="single" w:color="auto" w:sz="4" w:space="0"/>
              <w:right w:val="single" w:color="auto" w:sz="4" w:space="0"/>
            </w:tcBorders>
            <w:noWrap/>
            <w:vAlign w:val="center"/>
          </w:tcPr>
          <w:p w14:paraId="3469E0DA">
            <w:pPr>
              <w:tabs>
                <w:tab w:val="left" w:pos="5580"/>
              </w:tabs>
              <w:spacing w:line="240" w:lineRule="atLeast"/>
              <w:ind w:left="1079" w:leftChars="257" w:hanging="540"/>
              <w:jc w:val="center"/>
              <w:rPr>
                <w:rFonts w:ascii="仿宋" w:hAnsi="仿宋" w:eastAsia="仿宋" w:cs="仿宋"/>
                <w:color w:val="auto"/>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14:paraId="0157CDB6">
            <w:pPr>
              <w:tabs>
                <w:tab w:val="left" w:pos="5580"/>
              </w:tabs>
              <w:spacing w:line="240" w:lineRule="atLeast"/>
              <w:ind w:left="1079" w:leftChars="257" w:hanging="540"/>
              <w:jc w:val="center"/>
              <w:rPr>
                <w:rFonts w:ascii="仿宋" w:hAnsi="仿宋" w:eastAsia="仿宋" w:cs="仿宋"/>
                <w:color w:val="auto"/>
                <w:sz w:val="24"/>
              </w:rPr>
            </w:pPr>
          </w:p>
        </w:tc>
      </w:tr>
      <w:tr w14:paraId="788F7EA1">
        <w:tblPrEx>
          <w:tblCellMar>
            <w:top w:w="0" w:type="dxa"/>
            <w:left w:w="0" w:type="dxa"/>
            <w:bottom w:w="0" w:type="dxa"/>
            <w:right w:w="0" w:type="dxa"/>
          </w:tblCellMar>
        </w:tblPrEx>
        <w:trPr>
          <w:cantSplit/>
          <w:trHeight w:val="1640" w:hRule="atLeast"/>
        </w:trPr>
        <w:tc>
          <w:tcPr>
            <w:tcW w:w="9155" w:type="dxa"/>
            <w:gridSpan w:val="6"/>
            <w:tcBorders>
              <w:top w:val="single" w:color="auto" w:sz="4" w:space="0"/>
              <w:left w:val="single" w:color="auto" w:sz="4" w:space="0"/>
              <w:bottom w:val="single" w:color="auto" w:sz="4" w:space="0"/>
              <w:right w:val="single" w:color="auto" w:sz="4" w:space="0"/>
            </w:tcBorders>
            <w:noWrap/>
            <w:vAlign w:val="center"/>
          </w:tcPr>
          <w:p w14:paraId="168D94C4">
            <w:pPr>
              <w:tabs>
                <w:tab w:val="left" w:pos="5580"/>
              </w:tabs>
              <w:spacing w:line="240" w:lineRule="atLeast"/>
              <w:jc w:val="left"/>
              <w:rPr>
                <w:rFonts w:ascii="仿宋" w:hAnsi="仿宋" w:eastAsia="仿宋" w:cs="仿宋"/>
                <w:color w:val="auto"/>
                <w:sz w:val="24"/>
              </w:rPr>
            </w:pPr>
            <w:r>
              <w:rPr>
                <w:rFonts w:hint="eastAsia" w:ascii="仿宋" w:hAnsi="仿宋" w:eastAsia="仿宋" w:cs="仿宋"/>
                <w:b/>
                <w:bCs/>
                <w:color w:val="auto"/>
                <w:sz w:val="24"/>
                <w:szCs w:val="24"/>
              </w:rPr>
              <w:t>注：1.根据</w:t>
            </w:r>
            <w:r>
              <w:rPr>
                <w:rFonts w:hint="eastAsia" w:ascii="仿宋" w:hAnsi="仿宋" w:eastAsia="仿宋" w:cs="仿宋"/>
                <w:b/>
                <w:bCs/>
                <w:color w:val="auto"/>
                <w:sz w:val="24"/>
                <w:szCs w:val="24"/>
                <w:lang w:val="en-US" w:eastAsia="zh-CN"/>
              </w:rPr>
              <w:t>《财政部关于进一步加大政府采购支持中小企业力度的通知》财库〔2022〕19号、</w:t>
            </w:r>
            <w:r>
              <w:rPr>
                <w:rFonts w:hint="eastAsia" w:ascii="仿宋" w:hAnsi="仿宋" w:eastAsia="仿宋" w:cs="仿宋"/>
                <w:b/>
                <w:bCs/>
                <w:color w:val="auto"/>
                <w:sz w:val="24"/>
                <w:szCs w:val="24"/>
              </w:rPr>
              <w:t>《政府采购促进中小企业发展管理办法》（财库[2020]46号）、《财政部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型企业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b/>
                <w:bCs/>
                <w:color w:val="auto"/>
                <w:sz w:val="24"/>
                <w:szCs w:val="24"/>
                <w:u w:val="single"/>
              </w:rPr>
              <w:t xml:space="preserve"> 10  </w:t>
            </w:r>
            <w:r>
              <w:rPr>
                <w:rFonts w:hint="eastAsia" w:ascii="仿宋" w:hAnsi="仿宋" w:eastAsia="仿宋" w:cs="仿宋"/>
                <w:b/>
                <w:bCs/>
                <w:color w:val="auto"/>
                <w:sz w:val="24"/>
                <w:szCs w:val="24"/>
              </w:rPr>
              <w:t>%后参与评审。对于同时属于小微企业、监狱企业残疾人福利性单位的，不重复进行投标报价扣除。</w:t>
            </w:r>
          </w:p>
        </w:tc>
      </w:tr>
    </w:tbl>
    <w:p w14:paraId="0C541C3B">
      <w:pPr>
        <w:pStyle w:val="15"/>
        <w:tabs>
          <w:tab w:val="left" w:pos="5580"/>
        </w:tabs>
        <w:spacing w:line="240" w:lineRule="atLeast"/>
        <w:ind w:left="1079" w:leftChars="257" w:hanging="540"/>
        <w:rPr>
          <w:rFonts w:ascii="仿宋" w:hAnsi="仿宋" w:eastAsia="仿宋" w:cs="仿宋"/>
          <w:color w:val="auto"/>
          <w:sz w:val="24"/>
        </w:rPr>
      </w:pPr>
    </w:p>
    <w:p w14:paraId="3C3DB521">
      <w:pPr>
        <w:pStyle w:val="15"/>
        <w:tabs>
          <w:tab w:val="left" w:pos="5580"/>
        </w:tabs>
        <w:spacing w:line="240" w:lineRule="atLeast"/>
        <w:ind w:left="1079" w:leftChars="257" w:hanging="540"/>
        <w:rPr>
          <w:rFonts w:ascii="仿宋" w:hAnsi="仿宋" w:eastAsia="仿宋" w:cs="仿宋"/>
          <w:color w:val="auto"/>
          <w:sz w:val="24"/>
          <w:u w:val="single"/>
        </w:rPr>
      </w:pPr>
    </w:p>
    <w:p w14:paraId="73655D99">
      <w:pPr>
        <w:pStyle w:val="15"/>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投标人名称（盖单位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lang w:val="en-US" w:eastAsia="zh-CN"/>
        </w:rPr>
        <w:t xml:space="preserve">                    </w:t>
      </w:r>
    </w:p>
    <w:p w14:paraId="000C3114">
      <w:pPr>
        <w:pStyle w:val="15"/>
        <w:tabs>
          <w:tab w:val="left" w:pos="5580"/>
        </w:tabs>
        <w:spacing w:line="240" w:lineRule="atLeast"/>
        <w:ind w:left="1079" w:leftChars="257" w:hanging="540"/>
        <w:rPr>
          <w:rFonts w:hint="eastAsia" w:ascii="仿宋" w:hAnsi="仿宋" w:eastAsia="仿宋" w:cs="仿宋"/>
          <w:color w:val="auto"/>
          <w:sz w:val="24"/>
        </w:rPr>
      </w:pPr>
    </w:p>
    <w:p w14:paraId="1DF4732F">
      <w:pPr>
        <w:pStyle w:val="15"/>
        <w:tabs>
          <w:tab w:val="left" w:pos="5580"/>
        </w:tabs>
        <w:spacing w:line="240" w:lineRule="atLeast"/>
        <w:ind w:left="1079"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法定代表人或委托代理(签字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0F069FD">
      <w:pPr>
        <w:pStyle w:val="15"/>
        <w:tabs>
          <w:tab w:val="left" w:pos="5580"/>
        </w:tabs>
        <w:spacing w:line="240" w:lineRule="atLeast"/>
        <w:ind w:left="1079" w:leftChars="257" w:hanging="540"/>
        <w:rPr>
          <w:rFonts w:ascii="仿宋" w:hAnsi="仿宋" w:eastAsia="仿宋" w:cs="仿宋"/>
          <w:color w:val="auto"/>
          <w:sz w:val="24"/>
        </w:rPr>
      </w:pPr>
    </w:p>
    <w:p w14:paraId="2C23F158">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注:1、此表应按投标人须知的规定装订密封。</w:t>
      </w:r>
    </w:p>
    <w:p w14:paraId="1DE47F5C">
      <w:pPr>
        <w:pStyle w:val="15"/>
        <w:tabs>
          <w:tab w:val="left" w:pos="5580"/>
        </w:tabs>
        <w:spacing w:line="240" w:lineRule="atLeast"/>
        <w:ind w:left="1055" w:leftChars="428" w:hanging="157" w:hangingChars="75"/>
        <w:rPr>
          <w:rFonts w:ascii="仿宋" w:hAnsi="仿宋" w:eastAsia="仿宋" w:cs="仿宋"/>
          <w:color w:val="auto"/>
          <w:sz w:val="24"/>
        </w:rPr>
      </w:pPr>
      <w:r>
        <w:rPr>
          <w:rFonts w:hint="eastAsia" w:ascii="仿宋" w:hAnsi="仿宋" w:eastAsia="仿宋" w:cs="仿宋"/>
          <w:color w:val="auto"/>
        </w:rPr>
        <w:t>2、此表中，每包的投标总价应和投标分项报价表的总价相一致。</w:t>
      </w:r>
    </w:p>
    <w:p w14:paraId="7DB84CEE">
      <w:pPr>
        <w:pStyle w:val="15"/>
        <w:tabs>
          <w:tab w:val="left" w:pos="5580"/>
        </w:tabs>
        <w:spacing w:line="240" w:lineRule="atLeast"/>
        <w:ind w:left="1079" w:leftChars="257" w:hanging="540"/>
        <w:jc w:val="center"/>
        <w:rPr>
          <w:rFonts w:ascii="仿宋" w:hAnsi="仿宋" w:eastAsia="仿宋" w:cs="仿宋"/>
          <w:b/>
          <w:color w:val="auto"/>
          <w:sz w:val="24"/>
        </w:rPr>
      </w:pPr>
    </w:p>
    <w:p w14:paraId="0ADE9557">
      <w:pPr>
        <w:pStyle w:val="15"/>
        <w:tabs>
          <w:tab w:val="left" w:pos="5580"/>
        </w:tabs>
        <w:spacing w:line="240" w:lineRule="atLeast"/>
        <w:ind w:left="1079" w:leftChars="257" w:hanging="540"/>
        <w:jc w:val="center"/>
        <w:rPr>
          <w:rFonts w:ascii="仿宋" w:hAnsi="仿宋" w:eastAsia="仿宋" w:cs="仿宋"/>
          <w:b/>
          <w:color w:val="auto"/>
          <w:sz w:val="24"/>
        </w:rPr>
      </w:pPr>
    </w:p>
    <w:p w14:paraId="0C9DF913">
      <w:pPr>
        <w:pStyle w:val="15"/>
        <w:tabs>
          <w:tab w:val="left" w:pos="5580"/>
        </w:tabs>
        <w:spacing w:line="240" w:lineRule="atLeast"/>
        <w:ind w:left="1079" w:leftChars="257" w:hanging="540"/>
        <w:jc w:val="center"/>
        <w:rPr>
          <w:rFonts w:ascii="仿宋" w:hAnsi="仿宋" w:eastAsia="仿宋" w:cs="仿宋"/>
          <w:b/>
          <w:color w:val="auto"/>
          <w:sz w:val="24"/>
        </w:rPr>
      </w:pPr>
    </w:p>
    <w:p w14:paraId="7255F606">
      <w:pPr>
        <w:pStyle w:val="4"/>
        <w:spacing w:before="0" w:line="240" w:lineRule="atLeast"/>
        <w:jc w:val="center"/>
        <w:rPr>
          <w:rFonts w:ascii="仿宋" w:hAnsi="仿宋" w:eastAsia="仿宋" w:cs="仿宋"/>
          <w:color w:val="auto"/>
          <w:sz w:val="24"/>
        </w:rPr>
      </w:pPr>
      <w:bookmarkStart w:id="390" w:name="_Toc29899"/>
      <w:bookmarkStart w:id="391" w:name="_Toc515647805"/>
      <w:bookmarkStart w:id="392" w:name="_Toc17577"/>
      <w:bookmarkStart w:id="393" w:name="_Toc21488"/>
      <w:bookmarkStart w:id="394" w:name="_Toc27006"/>
      <w:bookmarkStart w:id="395" w:name="_Toc24632"/>
      <w:bookmarkStart w:id="396" w:name="_Toc12962"/>
      <w:bookmarkStart w:id="397" w:name="_Toc17145"/>
      <w:r>
        <w:rPr>
          <w:rFonts w:hint="eastAsia" w:ascii="仿宋" w:hAnsi="仿宋" w:eastAsia="仿宋" w:cs="仿宋"/>
          <w:color w:val="auto"/>
          <w:sz w:val="24"/>
        </w:rPr>
        <w:t xml:space="preserve">2  </w:t>
      </w:r>
      <w:bookmarkEnd w:id="390"/>
      <w:bookmarkEnd w:id="391"/>
      <w:bookmarkEnd w:id="392"/>
      <w:bookmarkEnd w:id="393"/>
      <w:r>
        <w:rPr>
          <w:rFonts w:hint="eastAsia" w:ascii="仿宋" w:hAnsi="仿宋" w:eastAsia="仿宋" w:cs="仿宋"/>
          <w:color w:val="auto"/>
          <w:sz w:val="24"/>
        </w:rPr>
        <w:t>提供有效期内的营业执照；</w:t>
      </w:r>
      <w:bookmarkEnd w:id="394"/>
      <w:bookmarkEnd w:id="395"/>
      <w:bookmarkEnd w:id="396"/>
      <w:bookmarkEnd w:id="397"/>
    </w:p>
    <w:p w14:paraId="198FA303">
      <w:pPr>
        <w:pStyle w:val="15"/>
        <w:tabs>
          <w:tab w:val="left" w:pos="5580"/>
        </w:tabs>
        <w:spacing w:line="240" w:lineRule="atLeast"/>
        <w:rPr>
          <w:rFonts w:ascii="仿宋" w:hAnsi="仿宋" w:eastAsia="仿宋" w:cs="仿宋"/>
          <w:b/>
          <w:color w:val="auto"/>
          <w:sz w:val="24"/>
        </w:rPr>
      </w:pPr>
    </w:p>
    <w:p w14:paraId="794362FF">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说明：1.提供有效期内的营业执照等证明文件复印件，复印件上应加盖本单位章。</w:t>
      </w:r>
    </w:p>
    <w:p w14:paraId="2931A5DD">
      <w:pPr>
        <w:pStyle w:val="15"/>
        <w:tabs>
          <w:tab w:val="left" w:pos="5580"/>
        </w:tabs>
        <w:spacing w:line="240" w:lineRule="atLeast"/>
        <w:ind w:left="1079"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398" w:name="_Toc2674"/>
      <w:bookmarkStart w:id="399" w:name="_Toc22368"/>
      <w:bookmarkStart w:id="400" w:name="_Toc28814"/>
      <w:r>
        <w:rPr>
          <w:rFonts w:hint="eastAsia" w:ascii="仿宋" w:hAnsi="仿宋" w:eastAsia="仿宋" w:cs="仿宋"/>
          <w:color w:val="auto"/>
          <w:sz w:val="24"/>
        </w:rPr>
        <w:t>2. 投标人为自然人的，应提供身份证明的复印件。</w:t>
      </w:r>
      <w:bookmarkEnd w:id="398"/>
      <w:bookmarkEnd w:id="399"/>
      <w:bookmarkEnd w:id="400"/>
    </w:p>
    <w:p w14:paraId="073B7D11">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2310EFAD">
      <w:pPr>
        <w:pStyle w:val="15"/>
        <w:tabs>
          <w:tab w:val="left" w:pos="5580"/>
        </w:tabs>
        <w:spacing w:line="240" w:lineRule="atLeast"/>
        <w:ind w:left="1079" w:leftChars="257" w:hanging="540"/>
        <w:rPr>
          <w:rFonts w:ascii="仿宋" w:hAnsi="仿宋" w:eastAsia="仿宋" w:cs="仿宋"/>
          <w:color w:val="auto"/>
          <w:sz w:val="24"/>
        </w:rPr>
      </w:pPr>
    </w:p>
    <w:p w14:paraId="55ED87BC">
      <w:pPr>
        <w:pStyle w:val="15"/>
        <w:tabs>
          <w:tab w:val="left" w:pos="5580"/>
        </w:tabs>
        <w:spacing w:line="240" w:lineRule="atLeast"/>
        <w:rPr>
          <w:rFonts w:ascii="仿宋" w:hAnsi="仿宋" w:eastAsia="仿宋" w:cs="仿宋"/>
          <w:color w:val="auto"/>
          <w:sz w:val="24"/>
        </w:rPr>
      </w:pPr>
    </w:p>
    <w:p w14:paraId="189A9513">
      <w:pPr>
        <w:pStyle w:val="15"/>
        <w:tabs>
          <w:tab w:val="left" w:pos="5580"/>
        </w:tabs>
        <w:spacing w:line="240" w:lineRule="atLeast"/>
        <w:jc w:val="both"/>
        <w:rPr>
          <w:rFonts w:ascii="仿宋" w:hAnsi="仿宋" w:eastAsia="仿宋" w:cs="仿宋"/>
          <w:color w:val="auto"/>
          <w:sz w:val="24"/>
        </w:rPr>
      </w:pPr>
      <w:bookmarkStart w:id="401" w:name="_Toc515647808"/>
      <w:bookmarkStart w:id="402" w:name="_Toc7039"/>
      <w:bookmarkStart w:id="403" w:name="_Toc32520"/>
    </w:p>
    <w:p w14:paraId="0C757B6C">
      <w:pPr>
        <w:pStyle w:val="4"/>
        <w:spacing w:before="0" w:line="240" w:lineRule="atLeast"/>
        <w:jc w:val="center"/>
        <w:rPr>
          <w:rFonts w:hint="eastAsia" w:ascii="仿宋" w:hAnsi="仿宋" w:eastAsia="仿宋" w:cs="仿宋"/>
          <w:color w:val="auto"/>
          <w:sz w:val="24"/>
        </w:rPr>
      </w:pPr>
      <w:bookmarkStart w:id="404" w:name="_Toc25661"/>
      <w:bookmarkStart w:id="405" w:name="_Toc15401"/>
      <w:bookmarkStart w:id="406" w:name="_Toc32362"/>
      <w:bookmarkStart w:id="407" w:name="_Toc5766"/>
      <w:bookmarkStart w:id="408" w:name="_Toc23503"/>
      <w:bookmarkStart w:id="409" w:name="_Toc22327"/>
      <w:bookmarkStart w:id="410" w:name="_Toc1083"/>
      <w:bookmarkStart w:id="411" w:name="_Toc22472"/>
      <w:bookmarkStart w:id="412" w:name="_Toc515647807"/>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法人投标提供法人身份证明书，委托代理人投标提供法人授权委托书；</w:t>
      </w:r>
      <w:bookmarkEnd w:id="404"/>
      <w:bookmarkEnd w:id="405"/>
      <w:bookmarkEnd w:id="406"/>
      <w:bookmarkEnd w:id="407"/>
    </w:p>
    <w:p w14:paraId="533CA901">
      <w:pPr>
        <w:pStyle w:val="4"/>
        <w:spacing w:before="0" w:line="240" w:lineRule="atLeast"/>
        <w:jc w:val="center"/>
        <w:rPr>
          <w:rFonts w:ascii="仿宋" w:hAnsi="仿宋" w:eastAsia="仿宋" w:cs="仿宋"/>
          <w:b/>
          <w:bCs/>
          <w:color w:val="auto"/>
          <w:sz w:val="24"/>
          <w:u w:val="single"/>
        </w:rPr>
      </w:pPr>
      <w:bookmarkStart w:id="413" w:name="_Toc26609"/>
      <w:bookmarkStart w:id="414" w:name="_Toc2249"/>
      <w:bookmarkStart w:id="415" w:name="_Toc22457"/>
      <w:bookmarkStart w:id="416" w:name="_Toc12202"/>
      <w:r>
        <w:rPr>
          <w:rFonts w:hint="eastAsia" w:ascii="仿宋" w:hAnsi="仿宋" w:eastAsia="仿宋" w:cs="仿宋"/>
          <w:b/>
          <w:bCs/>
          <w:color w:val="auto"/>
          <w:sz w:val="24"/>
        </w:rPr>
        <w:t>(投标文件格式二，自然人投标的无需提供)</w:t>
      </w:r>
      <w:bookmarkEnd w:id="408"/>
      <w:bookmarkEnd w:id="409"/>
      <w:bookmarkEnd w:id="410"/>
      <w:bookmarkEnd w:id="411"/>
      <w:bookmarkEnd w:id="412"/>
      <w:bookmarkEnd w:id="413"/>
      <w:bookmarkEnd w:id="414"/>
      <w:bookmarkEnd w:id="415"/>
      <w:bookmarkEnd w:id="416"/>
    </w:p>
    <w:p w14:paraId="6CE38DB8">
      <w:pPr>
        <w:adjustRightInd w:val="0"/>
        <w:snapToGrid w:val="0"/>
        <w:spacing w:before="312" w:beforeLines="100" w:after="312" w:afterLines="100" w:line="360" w:lineRule="auto"/>
        <w:jc w:val="center"/>
        <w:rPr>
          <w:rFonts w:hint="eastAsia" w:ascii="仿宋" w:hAnsi="仿宋" w:eastAsia="仿宋" w:cs="仿宋"/>
          <w:color w:val="auto"/>
          <w:sz w:val="24"/>
          <w:lang w:val="en-US" w:eastAsia="zh-CN"/>
        </w:rPr>
      </w:pPr>
      <w:r>
        <w:rPr>
          <w:rFonts w:hint="eastAsia" w:ascii="仿宋" w:hAnsi="仿宋" w:eastAsia="仿宋" w:cs="仿宋"/>
          <w:b/>
          <w:color w:val="auto"/>
          <w:sz w:val="24"/>
        </w:rPr>
        <w:t>法定代表人身份证明</w:t>
      </w:r>
      <w:r>
        <w:rPr>
          <w:rFonts w:hint="eastAsia" w:ascii="仿宋" w:hAnsi="仿宋" w:eastAsia="仿宋" w:cs="仿宋"/>
          <w:b/>
          <w:color w:val="auto"/>
          <w:sz w:val="24"/>
          <w:lang w:val="en-US" w:eastAsia="zh-CN"/>
        </w:rPr>
        <w:t>书</w:t>
      </w:r>
    </w:p>
    <w:p w14:paraId="50A801DF">
      <w:pPr>
        <w:spacing w:line="36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同志，现任我单位</w:t>
      </w:r>
      <w:r>
        <w:rPr>
          <w:rFonts w:hint="eastAsia" w:ascii="仿宋" w:hAnsi="仿宋" w:eastAsia="仿宋" w:cs="宋体"/>
          <w:color w:val="auto"/>
          <w:sz w:val="24"/>
          <w:u w:val="single"/>
        </w:rPr>
        <w:t xml:space="preserve">          </w:t>
      </w:r>
      <w:r>
        <w:rPr>
          <w:rFonts w:hint="eastAsia" w:ascii="仿宋" w:hAnsi="仿宋" w:eastAsia="仿宋" w:cs="宋体"/>
          <w:color w:val="auto"/>
          <w:sz w:val="24"/>
        </w:rPr>
        <w:t>职务，为法定代表人，特此证明。</w:t>
      </w:r>
    </w:p>
    <w:p w14:paraId="12CB30D1">
      <w:pPr>
        <w:spacing w:line="360" w:lineRule="auto"/>
        <w:ind w:firstLine="240" w:firstLineChars="100"/>
        <w:rPr>
          <w:rFonts w:ascii="仿宋" w:hAnsi="仿宋" w:eastAsia="仿宋" w:cs="宋体"/>
          <w:color w:val="auto"/>
          <w:sz w:val="24"/>
          <w:u w:val="single"/>
        </w:rPr>
      </w:pPr>
      <w:r>
        <w:rPr>
          <w:rFonts w:hint="eastAsia" w:ascii="仿宋" w:hAnsi="仿宋" w:eastAsia="仿宋" w:cs="宋体"/>
          <w:color w:val="auto"/>
          <w:sz w:val="24"/>
        </w:rPr>
        <w:t>签发日期：</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单位：</w:t>
      </w:r>
      <w:r>
        <w:rPr>
          <w:rFonts w:hint="eastAsia" w:ascii="仿宋" w:hAnsi="仿宋" w:eastAsia="仿宋" w:cs="宋体"/>
          <w:color w:val="auto"/>
          <w:sz w:val="24"/>
          <w:u w:val="single"/>
        </w:rPr>
        <w:t xml:space="preserve">           （盖章）</w:t>
      </w:r>
    </w:p>
    <w:p w14:paraId="527A7B7A">
      <w:pPr>
        <w:spacing w:line="360" w:lineRule="auto"/>
        <w:ind w:firstLine="240" w:firstLineChars="100"/>
        <w:rPr>
          <w:rFonts w:hint="eastAsia" w:ascii="仿宋" w:hAnsi="仿宋" w:eastAsia="仿宋" w:cs="宋体"/>
          <w:color w:val="auto"/>
          <w:sz w:val="24"/>
          <w:u w:val="single"/>
        </w:rPr>
      </w:pPr>
      <w:r>
        <w:rPr>
          <w:rFonts w:hint="eastAsia" w:ascii="仿宋" w:hAnsi="仿宋" w:eastAsia="仿宋" w:cs="宋体"/>
          <w:color w:val="auto"/>
          <w:sz w:val="24"/>
        </w:rPr>
        <w:t>附：代表人性别：</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年龄：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p>
    <w:p w14:paraId="669A229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身份证号码：</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single"/>
          <w:lang w:val="en-US" w:eastAsia="zh-CN"/>
        </w:rPr>
        <w:t xml:space="preserve">              </w:t>
      </w:r>
    </w:p>
    <w:p w14:paraId="2379206C">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营业执照号码：</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经济性质：</w:t>
      </w:r>
      <w:r>
        <w:rPr>
          <w:rFonts w:hint="eastAsia" w:ascii="仿宋" w:hAnsi="仿宋" w:eastAsia="仿宋" w:cs="宋体"/>
          <w:color w:val="auto"/>
          <w:sz w:val="24"/>
          <w:u w:val="single"/>
          <w:lang w:val="en-US" w:eastAsia="zh-CN"/>
        </w:rPr>
        <w:t xml:space="preserve">               </w:t>
      </w:r>
    </w:p>
    <w:p w14:paraId="074DF55A">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说明：</w:t>
      </w:r>
    </w:p>
    <w:p w14:paraId="68C13A3B">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1、法定代表人为企业事业单位、国家机关、社会团体的主要行政负责人。</w:t>
      </w:r>
    </w:p>
    <w:p w14:paraId="260322D0">
      <w:pPr>
        <w:spacing w:line="360" w:lineRule="auto"/>
        <w:rPr>
          <w:rFonts w:ascii="仿宋" w:hAnsi="仿宋" w:eastAsia="仿宋" w:cs="宋体"/>
          <w:color w:val="auto"/>
          <w:sz w:val="24"/>
        </w:rPr>
      </w:pPr>
      <w:r>
        <w:rPr>
          <w:rFonts w:hint="eastAsia" w:ascii="仿宋" w:hAnsi="仿宋" w:eastAsia="仿宋" w:cs="宋体"/>
          <w:color w:val="auto"/>
          <w:sz w:val="24"/>
        </w:rPr>
        <w:t xml:space="preserve">  2、内容必须填写真实、清楚、涂改无效，不得转让。</w:t>
      </w:r>
    </w:p>
    <w:p w14:paraId="0FA29BDD">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3、将此证明书原件提交采购代理机构作为谈判响应文件附件。</w:t>
      </w:r>
    </w:p>
    <w:p w14:paraId="19FB81E4">
      <w:pPr>
        <w:spacing w:line="360" w:lineRule="auto"/>
        <w:rPr>
          <w:rFonts w:hint="eastAsia" w:ascii="仿宋" w:hAnsi="仿宋" w:eastAsia="仿宋" w:cs="宋体"/>
          <w:color w:val="auto"/>
          <w:sz w:val="24"/>
        </w:rPr>
      </w:pPr>
      <w:r>
        <w:rPr>
          <w:rFonts w:hint="eastAsia" w:ascii="仿宋" w:hAnsi="仿宋" w:eastAsia="仿宋" w:cs="宋体"/>
          <w:color w:val="auto"/>
          <w:sz w:val="24"/>
        </w:rPr>
        <w:t xml:space="preserve">  (为避免废标，请投标人务必提供本附件)</w:t>
      </w:r>
    </w:p>
    <w:p w14:paraId="28FFE81F">
      <w:pPr>
        <w:pStyle w:val="2"/>
        <w:ind w:left="0" w:leftChars="0" w:firstLine="240" w:firstLineChars="100"/>
        <w:rPr>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32508898">
      <w:pPr>
        <w:spacing w:line="360" w:lineRule="auto"/>
        <w:rPr>
          <w:rFonts w:ascii="仿宋" w:hAnsi="仿宋" w:eastAsia="仿宋" w:cs="宋体"/>
          <w:color w:val="auto"/>
          <w:sz w:val="24"/>
        </w:rPr>
      </w:pPr>
      <w:r>
        <w:rPr>
          <w:rFonts w:ascii="仿宋" w:hAnsi="仿宋" w:eastAsia="仿宋" w:cs="宋体"/>
          <w:color w:val="auto"/>
          <w:sz w:val="24"/>
        </w:rPr>
        <mc:AlternateContent>
          <mc:Choice Requires="wps">
            <w:drawing>
              <wp:anchor distT="0" distB="0" distL="114300" distR="114300" simplePos="0" relativeHeight="251664384"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4" name="流程图: 可选过程 14"/>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64384;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PsZsCYvAgAAYAQAAA4AAAAAAAAAAQAgAAAAJgEAAGRycy9lMm9Eb2MueG1s&#10;UEsFBgAAAAAGAAYAWQEAAMcFAAAAAA==&#10;">
                <v:fill on="t" focussize="0,0"/>
                <v:stroke color="#000000" joinstyle="miter"/>
                <v:imagedata o:title=""/>
                <o:lock v:ext="edit" aspectratio="f"/>
                <v:textbox>
                  <w:txbxContent>
                    <w:p w14:paraId="4907F75A">
                      <w:pPr>
                        <w:jc w:val="center"/>
                        <w:rPr>
                          <w:rFonts w:hAnsi="宋体"/>
                          <w:szCs w:val="21"/>
                        </w:rPr>
                      </w:pPr>
                    </w:p>
                    <w:p w14:paraId="25C6FCDA">
                      <w:pPr>
                        <w:jc w:val="center"/>
                        <w:rPr>
                          <w:rFonts w:hAnsi="宋体"/>
                          <w:szCs w:val="21"/>
                        </w:rPr>
                      </w:pPr>
                    </w:p>
                    <w:p w14:paraId="688B79CE">
                      <w:pPr>
                        <w:jc w:val="center"/>
                        <w:rPr>
                          <w:rFonts w:hAnsi="宋体"/>
                          <w:szCs w:val="21"/>
                        </w:rPr>
                      </w:pPr>
                    </w:p>
                    <w:p w14:paraId="79711568">
                      <w:pPr>
                        <w:jc w:val="center"/>
                        <w:rPr>
                          <w:rFonts w:hint="default" w:eastAsia="宋体"/>
                          <w:szCs w:val="21"/>
                          <w:lang w:val="en-US" w:eastAsia="zh-CN"/>
                        </w:rPr>
                      </w:pPr>
                    </w:p>
                  </w:txbxContent>
                </v:textbox>
              </v:shape>
            </w:pict>
          </mc:Fallback>
        </mc:AlternateContent>
      </w:r>
      <w:r>
        <w:rPr>
          <w:rFonts w:ascii="仿宋" w:hAnsi="仿宋" w:eastAsia="仿宋"/>
          <w:color w:val="auto"/>
          <w:sz w:val="24"/>
        </w:rPr>
        <mc:AlternateContent>
          <mc:Choice Requires="wps">
            <w:drawing>
              <wp:anchor distT="0" distB="0" distL="114300" distR="114300" simplePos="0" relativeHeight="251665408"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5" name="圆角矩形 15"/>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2"/>
                            </w:pPr>
                          </w:p>
                          <w:p w14:paraId="6A497987">
                            <w:pPr>
                              <w:pStyle w:val="2"/>
                            </w:pPr>
                          </w:p>
                          <w:p w14:paraId="75B8654D">
                            <w:pPr>
                              <w:pStyle w:val="2"/>
                            </w:pPr>
                          </w:p>
                          <w:p w14:paraId="459AAB35">
                            <w:pPr>
                              <w:pStyle w:val="2"/>
                            </w:pPr>
                          </w:p>
                        </w:txbxContent>
                      </wps:txbx>
                      <wps:bodyPr upright="1"/>
                    </wps:wsp>
                  </a:graphicData>
                </a:graphic>
              </wp:anchor>
            </w:drawing>
          </mc:Choice>
          <mc:Fallback>
            <w:pict>
              <v:roundrect id="_x0000_s1026" o:spid="_x0000_s1026" o:spt="2" style="position:absolute;left:0pt;margin-left:231pt;margin-top:2.85pt;height:101.55pt;width:200.1pt;z-index:251665408;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uREn9oAAAAJAQAADwAAAAAAAAABACAAAAAiAAAAZHJzL2Rvd25yZXYueG1sUEsB&#10;AhQAFAAAAAgAh07iQIMtWggsAgAAaAQAAA4AAAAAAAAAAQAgAAAAKQEAAGRycy9lMm9Eb2MueG1s&#10;UEsFBgAAAAAGAAYAWQEAAMcFAAAAAA==&#10;">
                <v:fill on="t" focussize="0,0"/>
                <v:stroke weight="1.25pt" color="#808080" joinstyle="round"/>
                <v:imagedata o:title=""/>
                <o:lock v:ext="edit" aspectratio="f"/>
                <v:textbox>
                  <w:txbxContent>
                    <w:p w14:paraId="443493B0">
                      <w:pPr>
                        <w:jc w:val="center"/>
                        <w:rPr>
                          <w:rFonts w:hAnsi="宋体"/>
                          <w:szCs w:val="21"/>
                        </w:rPr>
                      </w:pPr>
                      <w:r>
                        <w:rPr>
                          <w:rFonts w:hint="eastAsia" w:hAnsi="宋体"/>
                          <w:szCs w:val="21"/>
                        </w:rPr>
                        <w:t xml:space="preserve">  </w:t>
                      </w:r>
                    </w:p>
                    <w:p w14:paraId="38FB03ED">
                      <w:pPr>
                        <w:jc w:val="center"/>
                        <w:rPr>
                          <w:rFonts w:hAnsi="宋体"/>
                          <w:szCs w:val="21"/>
                        </w:rPr>
                      </w:pPr>
                    </w:p>
                    <w:p w14:paraId="42CB5E30">
                      <w:pPr>
                        <w:jc w:val="center"/>
                        <w:rPr>
                          <w:rFonts w:hAnsi="宋体"/>
                          <w:szCs w:val="21"/>
                        </w:rPr>
                      </w:pPr>
                    </w:p>
                    <w:p w14:paraId="3C077C5D"/>
                    <w:p w14:paraId="55BB1354">
                      <w:pPr>
                        <w:pStyle w:val="2"/>
                      </w:pPr>
                    </w:p>
                    <w:p w14:paraId="6A497987">
                      <w:pPr>
                        <w:pStyle w:val="2"/>
                      </w:pPr>
                    </w:p>
                    <w:p w14:paraId="75B8654D">
                      <w:pPr>
                        <w:pStyle w:val="2"/>
                      </w:pPr>
                    </w:p>
                    <w:p w14:paraId="459AAB35">
                      <w:pPr>
                        <w:pStyle w:val="2"/>
                      </w:pPr>
                    </w:p>
                  </w:txbxContent>
                </v:textbox>
              </v:roundrect>
            </w:pict>
          </mc:Fallback>
        </mc:AlternateContent>
      </w:r>
    </w:p>
    <w:p w14:paraId="1CA9D116">
      <w:pPr>
        <w:spacing w:line="360" w:lineRule="auto"/>
        <w:rPr>
          <w:rFonts w:ascii="仿宋" w:hAnsi="仿宋" w:eastAsia="仿宋" w:cs="宋体"/>
          <w:color w:val="auto"/>
          <w:sz w:val="24"/>
        </w:rPr>
      </w:pPr>
    </w:p>
    <w:p w14:paraId="653AE387">
      <w:pPr>
        <w:spacing w:line="360" w:lineRule="auto"/>
        <w:rPr>
          <w:rFonts w:ascii="仿宋" w:hAnsi="仿宋" w:eastAsia="仿宋" w:cs="宋体"/>
          <w:color w:val="auto"/>
          <w:sz w:val="24"/>
        </w:rPr>
      </w:pPr>
    </w:p>
    <w:p w14:paraId="7461629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宋体"/>
          <w:color w:val="auto"/>
          <w:sz w:val="24"/>
        </w:rPr>
      </w:pPr>
    </w:p>
    <w:p w14:paraId="40AB5048">
      <w:pPr>
        <w:autoSpaceDE w:val="0"/>
        <w:autoSpaceDN w:val="0"/>
        <w:adjustRightInd w:val="0"/>
        <w:spacing w:line="360" w:lineRule="auto"/>
        <w:ind w:right="246"/>
        <w:rPr>
          <w:rFonts w:hint="eastAsia" w:ascii="仿宋" w:hAnsi="仿宋" w:eastAsia="仿宋" w:cs="宋体"/>
          <w:color w:val="auto"/>
          <w:kern w:val="0"/>
          <w:sz w:val="24"/>
        </w:rPr>
      </w:pPr>
    </w:p>
    <w:p w14:paraId="04342DC7">
      <w:pPr>
        <w:autoSpaceDE w:val="0"/>
        <w:autoSpaceDN w:val="0"/>
        <w:adjustRightInd w:val="0"/>
        <w:spacing w:line="360" w:lineRule="auto"/>
        <w:ind w:right="246" w:firstLine="784" w:firstLineChars="327"/>
        <w:rPr>
          <w:rFonts w:ascii="仿宋" w:hAnsi="仿宋" w:eastAsia="仿宋" w:cs="宋体"/>
          <w:color w:val="auto"/>
          <w:kern w:val="0"/>
          <w:sz w:val="24"/>
        </w:rPr>
      </w:pPr>
      <w:r>
        <w:rPr>
          <w:rFonts w:hint="eastAsia" w:ascii="仿宋" w:hAnsi="仿宋" w:eastAsia="仿宋" w:cs="宋体"/>
          <w:color w:val="auto"/>
          <w:kern w:val="0"/>
          <w:sz w:val="24"/>
        </w:rPr>
        <w:t>投标人（盖</w:t>
      </w:r>
      <w:r>
        <w:rPr>
          <w:rFonts w:hint="eastAsia" w:ascii="仿宋" w:hAnsi="仿宋" w:eastAsia="仿宋" w:cs="宋体"/>
          <w:color w:val="auto"/>
          <w:kern w:val="0"/>
          <w:sz w:val="24"/>
          <w:lang w:val="en-US" w:eastAsia="zh-CN"/>
        </w:rPr>
        <w:t>单位公</w:t>
      </w:r>
      <w:r>
        <w:rPr>
          <w:rFonts w:hint="eastAsia" w:ascii="仿宋" w:hAnsi="仿宋" w:eastAsia="仿宋" w:cs="宋体"/>
          <w:color w:val="auto"/>
          <w:kern w:val="0"/>
          <w:sz w:val="24"/>
        </w:rPr>
        <w:t>章）：</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 xml:space="preserve"> </w:t>
      </w:r>
    </w:p>
    <w:p w14:paraId="2C5AABF0">
      <w:pPr>
        <w:adjustRightInd w:val="0"/>
        <w:snapToGrid w:val="0"/>
        <w:spacing w:line="360" w:lineRule="auto"/>
        <w:ind w:firstLine="784" w:firstLineChars="327"/>
        <w:rPr>
          <w:rFonts w:ascii="仿宋" w:hAnsi="仿宋" w:eastAsia="仿宋" w:cs="宋体"/>
          <w:color w:val="auto"/>
          <w:sz w:val="24"/>
        </w:rPr>
      </w:pPr>
      <w:r>
        <w:rPr>
          <w:rFonts w:hint="eastAsia" w:ascii="仿宋" w:hAnsi="仿宋" w:eastAsia="仿宋" w:cs="宋体"/>
          <w:color w:val="auto"/>
          <w:sz w:val="24"/>
        </w:rPr>
        <w:t>法定代表人</w:t>
      </w:r>
      <w:r>
        <w:rPr>
          <w:rFonts w:hint="eastAsia" w:ascii="仿宋" w:hAnsi="仿宋" w:eastAsia="仿宋" w:cs="宋体"/>
          <w:color w:val="auto"/>
          <w:sz w:val="24"/>
          <w:lang w:eastAsia="zh-CN"/>
        </w:rPr>
        <w:t>（</w:t>
      </w:r>
      <w:r>
        <w:rPr>
          <w:rFonts w:hint="eastAsia" w:ascii="仿宋" w:hAnsi="仿宋" w:eastAsia="仿宋" w:cs="宋体"/>
          <w:color w:val="auto"/>
          <w:sz w:val="24"/>
        </w:rPr>
        <w:t>签字或盖章</w:t>
      </w:r>
      <w:r>
        <w:rPr>
          <w:rFonts w:hint="eastAsia" w:ascii="仿宋" w:hAnsi="仿宋" w:eastAsia="仿宋" w:cs="宋体"/>
          <w:color w:val="auto"/>
          <w:sz w:val="24"/>
          <w:lang w:eastAsia="zh-CN"/>
        </w:rPr>
        <w:t>）</w:t>
      </w:r>
      <w:r>
        <w:rPr>
          <w:rFonts w:hint="eastAsia" w:ascii="仿宋" w:hAnsi="仿宋" w:eastAsia="仿宋" w:cs="宋体"/>
          <w:color w:val="auto"/>
          <w:sz w:val="24"/>
        </w:rPr>
        <w:t>：</w:t>
      </w:r>
      <w:r>
        <w:rPr>
          <w:rFonts w:hint="eastAsia" w:ascii="仿宋" w:hAnsi="仿宋" w:eastAsia="仿宋" w:cs="宋体"/>
          <w:color w:val="auto"/>
          <w:sz w:val="24"/>
          <w:u w:val="single"/>
        </w:rPr>
        <w:t xml:space="preserve">                    </w:t>
      </w:r>
    </w:p>
    <w:p w14:paraId="19D42892">
      <w:pPr>
        <w:adjustRightInd w:val="0"/>
        <w:snapToGrid w:val="0"/>
        <w:spacing w:line="360" w:lineRule="auto"/>
        <w:ind w:firstLine="784" w:firstLineChars="327"/>
        <w:rPr>
          <w:rFonts w:ascii="仿宋" w:hAnsi="仿宋" w:eastAsia="仿宋" w:cs="宋体"/>
          <w:color w:val="auto"/>
          <w:sz w:val="24"/>
          <w:u w:val="single"/>
        </w:rPr>
      </w:pPr>
      <w:r>
        <w:rPr>
          <w:rFonts w:hint="eastAsia" w:ascii="仿宋" w:hAnsi="仿宋" w:eastAsia="仿宋" w:cs="宋体"/>
          <w:color w:val="auto"/>
          <w:sz w:val="24"/>
        </w:rPr>
        <w:t>日期：</w:t>
      </w:r>
      <w:r>
        <w:rPr>
          <w:rFonts w:hint="eastAsia" w:ascii="仿宋" w:hAnsi="仿宋" w:eastAsia="仿宋" w:cs="宋体"/>
          <w:color w:val="auto"/>
          <w:sz w:val="24"/>
          <w:u w:val="single"/>
        </w:rPr>
        <w:t xml:space="preserve">                                       </w:t>
      </w:r>
    </w:p>
    <w:p w14:paraId="2084AC90">
      <w:pPr>
        <w:pStyle w:val="15"/>
        <w:tabs>
          <w:tab w:val="left" w:pos="5580"/>
        </w:tabs>
        <w:spacing w:line="240" w:lineRule="atLeast"/>
        <w:ind w:left="1079" w:leftChars="257" w:hanging="540"/>
        <w:rPr>
          <w:rFonts w:hint="eastAsia" w:ascii="仿宋_GB2312" w:hAnsi="宋体" w:eastAsia="仿宋_GB2312"/>
          <w:b/>
          <w:color w:val="auto"/>
          <w:sz w:val="24"/>
        </w:rPr>
      </w:pPr>
    </w:p>
    <w:p w14:paraId="1D7657FB">
      <w:pPr>
        <w:pStyle w:val="15"/>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说明：1.提供有效的营业执照等证明文件复印件，复印件上应加盖本单位章。</w:t>
      </w:r>
    </w:p>
    <w:p w14:paraId="73B5F6E9">
      <w:pPr>
        <w:pStyle w:val="15"/>
        <w:tabs>
          <w:tab w:val="left" w:pos="5580"/>
        </w:tabs>
        <w:spacing w:line="240" w:lineRule="atLeast"/>
        <w:ind w:left="1079" w:leftChars="257" w:hanging="540"/>
        <w:outlineLvl w:val="1"/>
        <w:rPr>
          <w:rFonts w:hint="eastAsia" w:ascii="仿宋_GB2312" w:hAnsi="宋体" w:eastAsia="仿宋_GB2312"/>
          <w:color w:val="auto"/>
          <w:sz w:val="24"/>
        </w:rPr>
      </w:pPr>
      <w:r>
        <w:rPr>
          <w:rFonts w:hint="eastAsia" w:ascii="仿宋_GB2312" w:hAnsi="宋体" w:eastAsia="仿宋_GB2312"/>
          <w:color w:val="auto"/>
          <w:sz w:val="24"/>
        </w:rPr>
        <w:t xml:space="preserve">      </w:t>
      </w:r>
      <w:bookmarkStart w:id="417" w:name="_Toc3498"/>
      <w:bookmarkStart w:id="418" w:name="_Toc7775"/>
      <w:bookmarkStart w:id="419" w:name="_Toc1313"/>
      <w:r>
        <w:rPr>
          <w:rFonts w:hint="eastAsia" w:ascii="仿宋_GB2312" w:hAnsi="宋体" w:eastAsia="仿宋_GB2312"/>
          <w:color w:val="auto"/>
          <w:sz w:val="24"/>
        </w:rPr>
        <w:t>2. 投标人为自然人的，应提供身份证明的复印件。</w:t>
      </w:r>
      <w:bookmarkEnd w:id="417"/>
      <w:bookmarkEnd w:id="418"/>
      <w:bookmarkEnd w:id="419"/>
    </w:p>
    <w:p w14:paraId="20346716">
      <w:pPr>
        <w:pStyle w:val="15"/>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 xml:space="preserve">      3.联合体投标应提供联合体各方满足以上要求的证明文件。</w:t>
      </w:r>
    </w:p>
    <w:p w14:paraId="56178F00">
      <w:pPr>
        <w:pStyle w:val="15"/>
        <w:tabs>
          <w:tab w:val="left" w:pos="5580"/>
        </w:tabs>
        <w:spacing w:line="240" w:lineRule="atLeast"/>
        <w:ind w:left="1079" w:leftChars="257" w:hanging="540"/>
        <w:rPr>
          <w:rFonts w:hint="eastAsia" w:ascii="仿宋_GB2312" w:hAnsi="宋体" w:eastAsia="仿宋_GB2312"/>
          <w:color w:val="auto"/>
          <w:sz w:val="24"/>
        </w:rPr>
      </w:pPr>
    </w:p>
    <w:p w14:paraId="3F5210D3">
      <w:pPr>
        <w:pStyle w:val="4"/>
        <w:spacing w:before="0" w:line="240" w:lineRule="atLeast"/>
        <w:jc w:val="both"/>
        <w:outlineLvl w:val="9"/>
        <w:rPr>
          <w:rFonts w:hint="eastAsia" w:ascii="仿宋_GB2312" w:hAnsi="宋体" w:eastAsia="仿宋_GB2312"/>
          <w:b/>
          <w:bCs/>
          <w:color w:val="auto"/>
          <w:sz w:val="24"/>
        </w:rPr>
      </w:pPr>
    </w:p>
    <w:p w14:paraId="2592D9DF">
      <w:pPr>
        <w:rPr>
          <w:rFonts w:hint="eastAsia"/>
          <w:color w:val="auto"/>
        </w:rPr>
      </w:pPr>
    </w:p>
    <w:p w14:paraId="1CA1696B">
      <w:pPr>
        <w:pStyle w:val="37"/>
        <w:rPr>
          <w:rFonts w:hint="eastAsia"/>
          <w:color w:val="auto"/>
        </w:rPr>
      </w:pPr>
    </w:p>
    <w:p w14:paraId="0E4F734F">
      <w:pPr>
        <w:pStyle w:val="4"/>
        <w:spacing w:before="0" w:line="240" w:lineRule="atLeast"/>
        <w:ind w:left="1079" w:leftChars="257" w:hanging="540"/>
        <w:rPr>
          <w:rFonts w:ascii="仿宋_GB2312" w:hAnsi="宋体" w:eastAsia="仿宋_GB2312"/>
          <w:b/>
          <w:bCs/>
          <w:color w:val="auto"/>
          <w:sz w:val="24"/>
          <w:u w:val="single"/>
        </w:rPr>
      </w:pPr>
      <w:bookmarkStart w:id="420" w:name="_Toc27564"/>
      <w:bookmarkStart w:id="421" w:name="_Toc3689"/>
      <w:bookmarkStart w:id="422" w:name="_Toc15392"/>
      <w:bookmarkStart w:id="423" w:name="_Toc7174"/>
      <w:r>
        <w:rPr>
          <w:rFonts w:hint="eastAsia" w:ascii="仿宋_GB2312" w:hAnsi="宋体" w:eastAsia="仿宋_GB2312"/>
          <w:b/>
          <w:bCs/>
          <w:color w:val="auto"/>
          <w:sz w:val="24"/>
        </w:rPr>
        <w:t>法定代表人授权委托书</w:t>
      </w:r>
      <w:r>
        <w:rPr>
          <w:rFonts w:ascii="仿宋_GB2312" w:hAnsi="宋体" w:eastAsia="仿宋_GB2312"/>
          <w:b/>
          <w:bCs/>
          <w:color w:val="auto"/>
          <w:sz w:val="24"/>
        </w:rPr>
        <w:t>(投标文件</w:t>
      </w:r>
      <w:r>
        <w:rPr>
          <w:rFonts w:hint="eastAsia" w:ascii="仿宋_GB2312" w:hAnsi="宋体" w:eastAsia="仿宋_GB2312"/>
          <w:b/>
          <w:bCs/>
          <w:color w:val="auto"/>
          <w:sz w:val="24"/>
        </w:rPr>
        <w:t>格式二，自然人投标的无需提供</w:t>
      </w:r>
      <w:r>
        <w:rPr>
          <w:rFonts w:ascii="仿宋_GB2312" w:hAnsi="宋体" w:eastAsia="仿宋_GB2312"/>
          <w:b/>
          <w:bCs/>
          <w:color w:val="auto"/>
          <w:sz w:val="24"/>
        </w:rPr>
        <w:t>)</w:t>
      </w:r>
      <w:bookmarkEnd w:id="420"/>
      <w:bookmarkEnd w:id="421"/>
      <w:bookmarkEnd w:id="422"/>
      <w:bookmarkEnd w:id="423"/>
    </w:p>
    <w:p w14:paraId="7D7F78A0">
      <w:pPr>
        <w:pStyle w:val="15"/>
        <w:tabs>
          <w:tab w:val="left" w:pos="5580"/>
        </w:tabs>
        <w:spacing w:line="240" w:lineRule="atLeast"/>
        <w:ind w:left="1079" w:leftChars="257" w:hanging="540"/>
        <w:jc w:val="center"/>
        <w:rPr>
          <w:rFonts w:hint="eastAsia" w:ascii="仿宋_GB2312" w:hAnsi="宋体" w:eastAsia="仿宋_GB2312"/>
          <w:color w:val="auto"/>
          <w:sz w:val="24"/>
        </w:rPr>
      </w:pPr>
    </w:p>
    <w:p w14:paraId="5AC88EE4">
      <w:pPr>
        <w:pStyle w:val="15"/>
        <w:spacing w:line="240" w:lineRule="atLeast"/>
        <w:ind w:left="1079" w:leftChars="257" w:hanging="540"/>
        <w:rPr>
          <w:rFonts w:ascii="仿宋" w:hAnsi="仿宋" w:eastAsia="仿宋" w:cs="仿宋"/>
          <w:color w:val="auto"/>
          <w:sz w:val="24"/>
        </w:rPr>
      </w:pPr>
    </w:p>
    <w:p w14:paraId="3B261950">
      <w:pPr>
        <w:pStyle w:val="15"/>
        <w:tabs>
          <w:tab w:val="left" w:pos="55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）的（</w:t>
      </w:r>
      <w:r>
        <w:rPr>
          <w:rFonts w:hint="eastAsia" w:ascii="仿宋" w:hAnsi="仿宋" w:eastAsia="仿宋" w:cs="仿宋"/>
          <w:i/>
          <w:color w:val="auto"/>
          <w:sz w:val="24"/>
          <w:u w:val="single"/>
        </w:rPr>
        <w:t>合同名称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本授权书于年月日签字生效,特此声明。</w:t>
      </w:r>
      <w:r>
        <w:rPr>
          <w:rFonts w:hint="eastAsia" w:ascii="仿宋" w:hAnsi="仿宋" w:eastAsia="仿宋" w:cs="仿宋"/>
          <w:color w:val="auto"/>
          <w:sz w:val="24"/>
        </w:rPr>
        <w:cr/>
      </w: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571284FE">
      <w:pPr>
        <w:pStyle w:val="15"/>
        <w:tabs>
          <w:tab w:val="left" w:pos="5580"/>
        </w:tabs>
        <w:spacing w:line="240" w:lineRule="atLeast"/>
        <w:ind w:left="-539" w:leftChars="-257" w:firstLine="900" w:firstLineChars="375"/>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FE76E2">
                            <w:pPr>
                              <w:rPr>
                                <w:rFonts w:hAnsi="宋体"/>
                              </w:rPr>
                            </w:pPr>
                          </w:p>
                          <w:p w14:paraId="6F34FCCA">
                            <w:pPr>
                              <w:rPr>
                                <w:rFonts w:hAnsi="宋体"/>
                              </w:rPr>
                            </w:pPr>
                          </w:p>
                          <w:p w14:paraId="1B9D80A3">
                            <w:pPr>
                              <w:rPr>
                                <w:rFonts w:hAnsi="宋体"/>
                              </w:rPr>
                            </w:pPr>
                          </w:p>
                          <w:p w14:paraId="116DF88D"/>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BFE76E2">
                      <w:pPr>
                        <w:rPr>
                          <w:rFonts w:hAnsi="宋体"/>
                        </w:rPr>
                      </w:pPr>
                    </w:p>
                    <w:p w14:paraId="6F34FCCA">
                      <w:pPr>
                        <w:rPr>
                          <w:rFonts w:hAnsi="宋体"/>
                        </w:rPr>
                      </w:pPr>
                    </w:p>
                    <w:p w14:paraId="1B9D80A3">
                      <w:pPr>
                        <w:rPr>
                          <w:rFonts w:hAnsi="宋体"/>
                        </w:rPr>
                      </w:pPr>
                    </w:p>
                    <w:p w14:paraId="116DF88D"/>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4F9239">
                            <w:pPr>
                              <w:jc w:val="center"/>
                              <w:rPr>
                                <w:rFonts w:hAnsi="宋体"/>
                              </w:rPr>
                            </w:pPr>
                          </w:p>
                          <w:p w14:paraId="4E36F2B3">
                            <w:pPr>
                              <w:jc w:val="center"/>
                              <w:rPr>
                                <w:rFonts w:hAnsi="宋体"/>
                              </w:rPr>
                            </w:pPr>
                          </w:p>
                          <w:p w14:paraId="094AE18E">
                            <w:pPr>
                              <w:jc w:val="center"/>
                              <w:rPr>
                                <w:rFonts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AAaGL3MQIAAF4EAAAOAAAAAAAAAAEAIAAAACUBAABkcnMvZTJvRG9jLnht&#10;bFBLBQYAAAAABgAGAFkBAADIBQAAAAA=&#10;">
                <v:fill on="t" focussize="0,0"/>
                <v:stroke color="#000000" joinstyle="miter"/>
                <v:imagedata o:title=""/>
                <o:lock v:ext="edit" aspectratio="f"/>
                <v:textbox>
                  <w:txbxContent>
                    <w:p w14:paraId="174F9239">
                      <w:pPr>
                        <w:jc w:val="center"/>
                        <w:rPr>
                          <w:rFonts w:hAnsi="宋体"/>
                        </w:rPr>
                      </w:pPr>
                    </w:p>
                    <w:p w14:paraId="4E36F2B3">
                      <w:pPr>
                        <w:jc w:val="center"/>
                        <w:rPr>
                          <w:rFonts w:hAnsi="宋体"/>
                        </w:rPr>
                      </w:pPr>
                    </w:p>
                    <w:p w14:paraId="094AE18E">
                      <w:pPr>
                        <w:jc w:val="center"/>
                        <w:rPr>
                          <w:rFonts w:hAnsi="宋体"/>
                        </w:rPr>
                      </w:pPr>
                    </w:p>
                  </w:txbxContent>
                </v:textbox>
              </v:shape>
            </w:pict>
          </mc:Fallback>
        </mc:AlternateContent>
      </w:r>
    </w:p>
    <w:p w14:paraId="47794419">
      <w:pPr>
        <w:spacing w:line="360" w:lineRule="auto"/>
        <w:ind w:firstLine="240" w:firstLineChars="100"/>
        <w:rPr>
          <w:rFonts w:ascii="仿宋" w:hAnsi="仿宋" w:eastAsia="仿宋" w:cs="仿宋"/>
          <w:color w:val="auto"/>
          <w:sz w:val="24"/>
        </w:rPr>
      </w:pPr>
    </w:p>
    <w:p w14:paraId="548BFF0F">
      <w:pPr>
        <w:spacing w:line="360" w:lineRule="auto"/>
        <w:ind w:firstLine="240" w:firstLineChars="100"/>
        <w:rPr>
          <w:rFonts w:ascii="仿宋" w:hAnsi="仿宋" w:eastAsia="仿宋" w:cs="仿宋"/>
          <w:color w:val="auto"/>
          <w:sz w:val="24"/>
        </w:rPr>
      </w:pPr>
    </w:p>
    <w:p w14:paraId="20DB9DDF">
      <w:pPr>
        <w:spacing w:line="360" w:lineRule="auto"/>
        <w:ind w:firstLine="240" w:firstLineChars="100"/>
        <w:rPr>
          <w:rFonts w:ascii="仿宋" w:hAnsi="仿宋" w:eastAsia="仿宋" w:cs="仿宋"/>
          <w:color w:val="auto"/>
          <w:sz w:val="24"/>
        </w:rPr>
      </w:pPr>
    </w:p>
    <w:p w14:paraId="7D3B37D3">
      <w:pPr>
        <w:spacing w:line="360" w:lineRule="auto"/>
        <w:ind w:firstLine="240" w:firstLineChars="100"/>
        <w:rPr>
          <w:rFonts w:ascii="仿宋" w:hAnsi="仿宋" w:eastAsia="仿宋" w:cs="仿宋"/>
          <w:color w:val="auto"/>
          <w:sz w:val="24"/>
        </w:rPr>
      </w:pPr>
    </w:p>
    <w:p w14:paraId="78F5676E">
      <w:pPr>
        <w:spacing w:line="360" w:lineRule="auto"/>
        <w:ind w:firstLine="240" w:firstLineChars="100"/>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12F1E75E">
                      <w:pPr>
                        <w:jc w:val="center"/>
                        <w:rPr>
                          <w:rFonts w:hAnsi="宋体"/>
                        </w:rPr>
                      </w:pPr>
                    </w:p>
                    <w:p w14:paraId="5209DD17">
                      <w:pPr>
                        <w:jc w:val="center"/>
                        <w:rPr>
                          <w:rFonts w:hAnsi="宋体"/>
                        </w:rPr>
                      </w:pPr>
                    </w:p>
                    <w:p w14:paraId="392C2ED4">
                      <w:pPr>
                        <w:jc w:val="center"/>
                        <w:rPr>
                          <w:rFonts w:hAnsi="宋体"/>
                        </w:rPr>
                      </w:pPr>
                    </w:p>
                    <w:p w14:paraId="07FC908A"/>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5" name="圆角矩形 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43013B">
                            <w:pPr>
                              <w:jc w:val="center"/>
                              <w:rPr>
                                <w:rFonts w:hAnsi="宋体"/>
                              </w:rPr>
                            </w:pPr>
                          </w:p>
                          <w:p w14:paraId="1DAFE457">
                            <w:pPr>
                              <w:jc w:val="center"/>
                              <w:rPr>
                                <w:rFonts w:hAnsi="宋体"/>
                              </w:rPr>
                            </w:pPr>
                          </w:p>
                          <w:p w14:paraId="53ACACEF"/>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Y3GTki0CAABmBAAADgAAAAAAAAABACAAAAAnAQAAZHJzL2Uyb0RvYy54bWxQ&#10;SwUGAAAAAAYABgBZAQAAxgUAAAAA&#10;">
                <v:fill on="t" focussize="0,0"/>
                <v:stroke weight="1.25pt" color="#808080" joinstyle="round"/>
                <v:imagedata o:title=""/>
                <o:lock v:ext="edit" aspectratio="f"/>
                <v:textbox>
                  <w:txbxContent>
                    <w:p w14:paraId="0D43013B">
                      <w:pPr>
                        <w:jc w:val="center"/>
                        <w:rPr>
                          <w:rFonts w:hAnsi="宋体"/>
                        </w:rPr>
                      </w:pPr>
                    </w:p>
                    <w:p w14:paraId="1DAFE457">
                      <w:pPr>
                        <w:jc w:val="center"/>
                        <w:rPr>
                          <w:rFonts w:hAnsi="宋体"/>
                        </w:rPr>
                      </w:pPr>
                    </w:p>
                    <w:p w14:paraId="53ACACEF"/>
                  </w:txbxContent>
                </v:textbox>
              </v:roundrect>
            </w:pict>
          </mc:Fallback>
        </mc:AlternateContent>
      </w:r>
    </w:p>
    <w:p w14:paraId="16F7034A">
      <w:pPr>
        <w:spacing w:line="360" w:lineRule="auto"/>
        <w:ind w:firstLine="240" w:firstLineChars="100"/>
        <w:rPr>
          <w:rFonts w:ascii="仿宋" w:hAnsi="仿宋" w:eastAsia="仿宋" w:cs="仿宋"/>
          <w:color w:val="auto"/>
          <w:sz w:val="24"/>
        </w:rPr>
      </w:pPr>
    </w:p>
    <w:p w14:paraId="54035B15">
      <w:pPr>
        <w:spacing w:line="360" w:lineRule="auto"/>
        <w:ind w:firstLine="240" w:firstLineChars="100"/>
        <w:rPr>
          <w:rFonts w:ascii="仿宋" w:hAnsi="仿宋" w:eastAsia="仿宋" w:cs="仿宋"/>
          <w:color w:val="auto"/>
          <w:sz w:val="24"/>
        </w:rPr>
      </w:pPr>
    </w:p>
    <w:p w14:paraId="7B8D4539">
      <w:pPr>
        <w:pStyle w:val="15"/>
        <w:tabs>
          <w:tab w:val="left" w:pos="5580"/>
        </w:tabs>
        <w:spacing w:line="240" w:lineRule="atLeast"/>
        <w:rPr>
          <w:rFonts w:ascii="仿宋" w:hAnsi="仿宋" w:eastAsia="仿宋" w:cs="仿宋"/>
          <w:color w:val="auto"/>
          <w:sz w:val="24"/>
        </w:rPr>
      </w:pPr>
    </w:p>
    <w:p w14:paraId="3416143E">
      <w:pPr>
        <w:pStyle w:val="15"/>
        <w:tabs>
          <w:tab w:val="left" w:pos="5580"/>
        </w:tabs>
        <w:spacing w:line="240" w:lineRule="atLeast"/>
        <w:ind w:firstLine="480" w:firstLineChars="200"/>
        <w:rPr>
          <w:rFonts w:hint="eastAsia" w:ascii="仿宋" w:hAnsi="仿宋" w:eastAsia="仿宋" w:cs="仿宋"/>
          <w:color w:val="auto"/>
          <w:sz w:val="24"/>
        </w:rPr>
      </w:pPr>
    </w:p>
    <w:p w14:paraId="57D888D0">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lang w:val="en-US" w:eastAsia="zh-CN"/>
        </w:rPr>
        <w:t xml:space="preserve">                            </w:t>
      </w:r>
    </w:p>
    <w:p w14:paraId="29D62675">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lang w:val="en-US" w:eastAsia="zh-CN"/>
        </w:rPr>
        <w:t xml:space="preserve">                     </w:t>
      </w:r>
    </w:p>
    <w:p w14:paraId="4FF31EC3">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 xml:space="preserve"> </w:t>
      </w:r>
    </w:p>
    <w:p w14:paraId="1AE96D92">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委托代理人（签字或签章）：</w:t>
      </w:r>
      <w:r>
        <w:rPr>
          <w:rFonts w:hint="eastAsia" w:ascii="仿宋" w:hAnsi="仿宋" w:eastAsia="仿宋" w:cs="仿宋"/>
          <w:color w:val="auto"/>
          <w:sz w:val="24"/>
          <w:u w:val="single"/>
          <w:lang w:val="en-US" w:eastAsia="zh-CN"/>
        </w:rPr>
        <w:t xml:space="preserve">                     </w:t>
      </w:r>
    </w:p>
    <w:p w14:paraId="7C8E58D5">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p>
    <w:p w14:paraId="2071B220">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详细通讯地址：</w:t>
      </w:r>
      <w:r>
        <w:rPr>
          <w:rFonts w:hint="eastAsia" w:ascii="仿宋" w:hAnsi="仿宋" w:eastAsia="仿宋" w:cs="仿宋"/>
          <w:color w:val="auto"/>
          <w:sz w:val="24"/>
          <w:u w:val="single"/>
          <w:lang w:val="en-US" w:eastAsia="zh-CN"/>
        </w:rPr>
        <w:t xml:space="preserve">                                 </w:t>
      </w:r>
    </w:p>
    <w:p w14:paraId="1F6F1D57">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邮 政 编 码 ：</w:t>
      </w:r>
      <w:r>
        <w:rPr>
          <w:rFonts w:hint="eastAsia" w:ascii="仿宋" w:hAnsi="仿宋" w:eastAsia="仿宋" w:cs="仿宋"/>
          <w:color w:val="auto"/>
          <w:sz w:val="24"/>
          <w:u w:val="single"/>
          <w:lang w:val="en-US" w:eastAsia="zh-CN"/>
        </w:rPr>
        <w:t xml:space="preserve">                                 </w:t>
      </w:r>
    </w:p>
    <w:p w14:paraId="0F9AA497">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传　　　　真：</w:t>
      </w:r>
      <w:r>
        <w:rPr>
          <w:rFonts w:hint="eastAsia" w:ascii="仿宋" w:hAnsi="仿宋" w:eastAsia="仿宋" w:cs="仿宋"/>
          <w:color w:val="auto"/>
          <w:sz w:val="24"/>
          <w:u w:val="single"/>
          <w:lang w:val="en-US" w:eastAsia="zh-CN"/>
        </w:rPr>
        <w:t xml:space="preserve">                                 </w:t>
      </w:r>
    </w:p>
    <w:p w14:paraId="3CF86E62">
      <w:pPr>
        <w:pStyle w:val="15"/>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电　　　　话：</w:t>
      </w:r>
      <w:r>
        <w:rPr>
          <w:rFonts w:hint="eastAsia" w:ascii="仿宋" w:hAnsi="仿宋" w:eastAsia="仿宋" w:cs="仿宋"/>
          <w:color w:val="auto"/>
          <w:sz w:val="24"/>
          <w:u w:val="single"/>
          <w:lang w:val="en-US" w:eastAsia="zh-CN"/>
        </w:rPr>
        <w:t xml:space="preserve">                                 </w:t>
      </w:r>
    </w:p>
    <w:p w14:paraId="35F4E924">
      <w:pPr>
        <w:spacing w:line="360" w:lineRule="auto"/>
        <w:ind w:firstLine="420" w:firstLineChars="200"/>
        <w:jc w:val="right"/>
        <w:rPr>
          <w:rFonts w:hint="eastAsia" w:ascii="仿宋" w:hAnsi="仿宋" w:eastAsia="仿宋" w:cs="仿宋"/>
          <w:color w:val="auto"/>
          <w:szCs w:val="21"/>
        </w:rPr>
      </w:pPr>
    </w:p>
    <w:p w14:paraId="6397266D">
      <w:pPr>
        <w:spacing w:line="360" w:lineRule="auto"/>
        <w:ind w:firstLine="420" w:firstLineChars="200"/>
        <w:jc w:val="right"/>
        <w:rPr>
          <w:rFonts w:ascii="仿宋" w:hAnsi="仿宋" w:eastAsia="仿宋" w:cs="仿宋"/>
          <w:color w:val="auto"/>
          <w:szCs w:val="21"/>
        </w:rPr>
      </w:pPr>
      <w:r>
        <w:rPr>
          <w:rFonts w:hint="eastAsia" w:ascii="仿宋" w:hAnsi="仿宋" w:eastAsia="仿宋" w:cs="仿宋"/>
          <w:color w:val="auto"/>
          <w:szCs w:val="21"/>
        </w:rPr>
        <w:t xml:space="preserve">年   月   日 </w:t>
      </w:r>
    </w:p>
    <w:p w14:paraId="21EDD984">
      <w:pPr>
        <w:pStyle w:val="4"/>
        <w:spacing w:before="0" w:line="240" w:lineRule="atLeast"/>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424" w:name="_Toc2987"/>
      <w:bookmarkStart w:id="425" w:name="_Toc5294"/>
      <w:bookmarkStart w:id="426" w:name="_Toc32548"/>
      <w:bookmarkStart w:id="427" w:name="_Toc22702"/>
      <w:bookmarkStart w:id="428" w:name="_Toc3595"/>
    </w:p>
    <w:p w14:paraId="2E8CDEF6">
      <w:pPr>
        <w:pStyle w:val="4"/>
        <w:spacing w:before="0" w:line="240" w:lineRule="atLeast"/>
        <w:jc w:val="center"/>
        <w:rPr>
          <w:rFonts w:hint="eastAsia" w:ascii="仿宋" w:hAnsi="仿宋" w:eastAsia="仿宋" w:cs="仿宋"/>
          <w:color w:val="auto"/>
          <w:sz w:val="24"/>
        </w:rPr>
      </w:pPr>
    </w:p>
    <w:p w14:paraId="6D7B7408">
      <w:pPr>
        <w:pStyle w:val="4"/>
        <w:spacing w:before="0" w:line="240" w:lineRule="atLeast"/>
        <w:jc w:val="center"/>
        <w:rPr>
          <w:rFonts w:hint="eastAsia" w:ascii="仿宋" w:hAnsi="仿宋" w:eastAsia="仿宋" w:cs="仿宋"/>
          <w:color w:val="auto"/>
          <w:sz w:val="24"/>
        </w:rPr>
      </w:pPr>
    </w:p>
    <w:p w14:paraId="0C6B4D93">
      <w:pPr>
        <w:pStyle w:val="4"/>
        <w:spacing w:before="0" w:line="240" w:lineRule="atLeast"/>
        <w:jc w:val="center"/>
        <w:rPr>
          <w:rFonts w:hint="eastAsia" w:ascii="仿宋" w:hAnsi="仿宋" w:eastAsia="仿宋" w:cs="仿宋"/>
          <w:color w:val="auto"/>
          <w:sz w:val="24"/>
        </w:rPr>
      </w:pPr>
    </w:p>
    <w:p w14:paraId="31C9A5D0">
      <w:pPr>
        <w:pStyle w:val="4"/>
        <w:spacing w:before="0" w:line="240" w:lineRule="atLeast"/>
        <w:jc w:val="center"/>
        <w:rPr>
          <w:rFonts w:ascii="仿宋" w:hAnsi="仿宋" w:eastAsia="仿宋" w:cs="仿宋"/>
          <w:b/>
          <w:color w:val="auto"/>
          <w:sz w:val="24"/>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  </w:t>
      </w:r>
      <w:bookmarkEnd w:id="401"/>
      <w:bookmarkEnd w:id="402"/>
      <w:bookmarkEnd w:id="403"/>
      <w:bookmarkEnd w:id="424"/>
      <w:r>
        <w:rPr>
          <w:rFonts w:hint="eastAsia" w:ascii="仿宋" w:hAnsi="仿宋" w:eastAsia="仿宋" w:cs="仿宋"/>
          <w:b/>
          <w:bCs/>
          <w:color w:val="auto"/>
          <w:sz w:val="24"/>
        </w:rPr>
        <w:t>2023年度</w:t>
      </w:r>
      <w:r>
        <w:rPr>
          <w:rFonts w:hint="eastAsia" w:ascii="仿宋" w:hAnsi="仿宋" w:eastAsia="仿宋" w:cs="仿宋"/>
          <w:b/>
          <w:bCs/>
          <w:color w:val="auto"/>
          <w:sz w:val="24"/>
          <w:lang w:val="en-US" w:eastAsia="zh-CN"/>
        </w:rPr>
        <w:t>或2024年度</w:t>
      </w:r>
      <w:r>
        <w:rPr>
          <w:rFonts w:hint="eastAsia" w:ascii="仿宋" w:hAnsi="仿宋" w:eastAsia="仿宋" w:cs="仿宋"/>
          <w:b/>
          <w:bCs/>
          <w:color w:val="auto"/>
          <w:sz w:val="24"/>
        </w:rPr>
        <w:t>的财务审计报告（新成立未满一年的公司需提供有效的银行资信证明）；</w:t>
      </w:r>
      <w:bookmarkEnd w:id="425"/>
      <w:bookmarkEnd w:id="426"/>
      <w:bookmarkEnd w:id="427"/>
      <w:bookmarkEnd w:id="428"/>
    </w:p>
    <w:p w14:paraId="1493821A">
      <w:pPr>
        <w:tabs>
          <w:tab w:val="left" w:pos="5580"/>
        </w:tabs>
        <w:spacing w:line="240" w:lineRule="atLeast"/>
        <w:ind w:left="1079" w:leftChars="257" w:hanging="540"/>
        <w:jc w:val="center"/>
        <w:rPr>
          <w:rFonts w:ascii="仿宋" w:hAnsi="仿宋" w:eastAsia="仿宋" w:cs="仿宋"/>
          <w:b/>
          <w:color w:val="auto"/>
          <w:sz w:val="24"/>
        </w:rPr>
      </w:pPr>
    </w:p>
    <w:p w14:paraId="7AA9FFFC">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w:t>
      </w:r>
    </w:p>
    <w:p w14:paraId="17EFA66C">
      <w:pPr>
        <w:tabs>
          <w:tab w:val="left" w:pos="5580"/>
        </w:tabs>
        <w:spacing w:line="240" w:lineRule="atLeast"/>
        <w:ind w:left="540"/>
        <w:rPr>
          <w:rFonts w:ascii="仿宋" w:hAnsi="仿宋" w:eastAsia="仿宋" w:cs="仿宋"/>
          <w:bCs/>
          <w:color w:val="auto"/>
          <w:sz w:val="24"/>
        </w:rPr>
      </w:pPr>
      <w:r>
        <w:rPr>
          <w:rFonts w:hint="eastAsia" w:ascii="仿宋" w:hAnsi="仿宋" w:eastAsia="仿宋" w:cs="仿宋"/>
          <w:color w:val="auto"/>
          <w:sz w:val="24"/>
        </w:rPr>
        <w:t>1、如提供本单位上年度经会计师事务所出具的审计报告复印件须加盖</w:t>
      </w:r>
      <w:r>
        <w:rPr>
          <w:rFonts w:hint="eastAsia" w:ascii="仿宋" w:hAnsi="仿宋" w:eastAsia="仿宋" w:cs="仿宋"/>
          <w:bCs/>
          <w:color w:val="auto"/>
          <w:sz w:val="24"/>
        </w:rPr>
        <w:t>本单位章。</w:t>
      </w:r>
    </w:p>
    <w:p w14:paraId="3EB98704">
      <w:pPr>
        <w:tabs>
          <w:tab w:val="left" w:pos="5580"/>
        </w:tabs>
        <w:spacing w:line="240" w:lineRule="atLeast"/>
        <w:ind w:left="540"/>
        <w:rPr>
          <w:rFonts w:ascii="仿宋" w:hAnsi="仿宋" w:eastAsia="仿宋" w:cs="仿宋"/>
          <w:color w:val="auto"/>
          <w:sz w:val="24"/>
        </w:rPr>
      </w:pPr>
      <w:r>
        <w:rPr>
          <w:rFonts w:hint="eastAsia" w:ascii="仿宋" w:hAnsi="仿宋" w:eastAsia="仿宋" w:cs="仿宋"/>
          <w:color w:val="auto"/>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78CEB83A">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3、（本项目不接受联合体投标）如果是联合体投标，联合体各方均需提供上述证明。</w:t>
      </w:r>
    </w:p>
    <w:p w14:paraId="259CDA30">
      <w:pPr>
        <w:tabs>
          <w:tab w:val="left" w:pos="5580"/>
        </w:tabs>
        <w:spacing w:line="240" w:lineRule="atLeast"/>
        <w:ind w:left="1079" w:leftChars="257" w:hanging="540"/>
        <w:rPr>
          <w:rFonts w:ascii="仿宋" w:hAnsi="仿宋" w:eastAsia="仿宋" w:cs="仿宋"/>
          <w:color w:val="auto"/>
          <w:sz w:val="24"/>
        </w:rPr>
      </w:pPr>
    </w:p>
    <w:p w14:paraId="369521C1">
      <w:pPr>
        <w:pStyle w:val="4"/>
        <w:spacing w:before="0" w:line="240" w:lineRule="atLeast"/>
        <w:jc w:val="left"/>
        <w:outlineLvl w:val="9"/>
        <w:rPr>
          <w:rFonts w:hint="eastAsia" w:ascii="仿宋" w:hAnsi="仿宋" w:eastAsia="仿宋" w:cs="仿宋"/>
          <w:color w:val="auto"/>
          <w:sz w:val="24"/>
          <w:lang w:val="en-US" w:eastAsia="zh-CN"/>
        </w:rPr>
      </w:pPr>
      <w:bookmarkStart w:id="429" w:name="_Toc28711"/>
      <w:bookmarkStart w:id="430" w:name="_Toc28445"/>
      <w:bookmarkStart w:id="431" w:name="_Toc11047"/>
      <w:bookmarkStart w:id="432" w:name="_Toc515647809"/>
    </w:p>
    <w:p w14:paraId="00AC2526">
      <w:pPr>
        <w:pStyle w:val="4"/>
        <w:spacing w:before="0" w:line="240" w:lineRule="atLeast"/>
        <w:jc w:val="left"/>
        <w:outlineLvl w:val="9"/>
        <w:rPr>
          <w:rFonts w:hint="eastAsia" w:ascii="仿宋" w:hAnsi="仿宋" w:eastAsia="仿宋" w:cs="仿宋"/>
          <w:color w:val="auto"/>
          <w:sz w:val="24"/>
          <w:lang w:val="en-US" w:eastAsia="zh-CN"/>
        </w:rPr>
      </w:pPr>
    </w:p>
    <w:p w14:paraId="557EBD51">
      <w:pPr>
        <w:pStyle w:val="4"/>
        <w:spacing w:before="0" w:line="240" w:lineRule="atLeast"/>
        <w:jc w:val="left"/>
        <w:outlineLvl w:val="9"/>
        <w:rPr>
          <w:rFonts w:hint="eastAsia" w:ascii="仿宋" w:hAnsi="仿宋" w:eastAsia="仿宋" w:cs="仿宋"/>
          <w:color w:val="auto"/>
          <w:sz w:val="24"/>
          <w:lang w:val="en-US" w:eastAsia="zh-CN"/>
        </w:rPr>
      </w:pPr>
    </w:p>
    <w:p w14:paraId="2B68F3C1">
      <w:pPr>
        <w:pStyle w:val="4"/>
        <w:spacing w:before="0" w:line="240" w:lineRule="atLeast"/>
        <w:jc w:val="center"/>
        <w:rPr>
          <w:rFonts w:hint="eastAsia" w:ascii="仿宋" w:hAnsi="仿宋" w:eastAsia="仿宋" w:cs="仿宋"/>
          <w:b/>
          <w:bCs/>
          <w:color w:val="auto"/>
          <w:sz w:val="24"/>
          <w:lang w:val="en-US" w:eastAsia="zh-CN"/>
        </w:rPr>
      </w:pPr>
      <w:bookmarkStart w:id="433" w:name="_Toc11380"/>
      <w:bookmarkStart w:id="434" w:name="_Toc2335"/>
      <w:bookmarkStart w:id="435" w:name="_Toc8692"/>
      <w:bookmarkStart w:id="436" w:name="_Toc8387"/>
      <w:r>
        <w:rPr>
          <w:rFonts w:hint="eastAsia" w:ascii="仿宋" w:hAnsi="仿宋" w:eastAsia="仿宋" w:cs="仿宋"/>
          <w:b/>
          <w:bCs/>
          <w:color w:val="auto"/>
          <w:sz w:val="24"/>
          <w:lang w:val="en-US" w:eastAsia="zh-CN"/>
        </w:rPr>
        <w:t xml:space="preserve">5   </w:t>
      </w:r>
      <w:bookmarkEnd w:id="433"/>
      <w:r>
        <w:rPr>
          <w:rFonts w:hint="eastAsia" w:ascii="仿宋" w:hAnsi="仿宋" w:eastAsia="仿宋" w:cs="仿宋"/>
          <w:b/>
          <w:bCs/>
          <w:color w:val="auto"/>
          <w:sz w:val="24"/>
          <w:lang w:val="en-US" w:eastAsia="zh-CN"/>
        </w:rPr>
        <w:t>提供近六个月任意一个月社保缴纳证明；</w:t>
      </w:r>
      <w:bookmarkEnd w:id="434"/>
      <w:bookmarkEnd w:id="435"/>
      <w:bookmarkEnd w:id="436"/>
    </w:p>
    <w:p w14:paraId="21298696">
      <w:pPr>
        <w:jc w:val="left"/>
        <w:rPr>
          <w:rFonts w:hint="eastAsia" w:ascii="仿宋" w:hAnsi="仿宋" w:eastAsia="仿宋" w:cs="仿宋"/>
          <w:b/>
          <w:bCs/>
          <w:color w:val="auto"/>
          <w:sz w:val="24"/>
          <w:lang w:val="en-US" w:eastAsia="zh-CN"/>
        </w:rPr>
      </w:pPr>
    </w:p>
    <w:p w14:paraId="4CDA8663">
      <w:pPr>
        <w:ind w:firstLine="480" w:firstLineChars="200"/>
        <w:jc w:val="left"/>
        <w:rPr>
          <w:rFonts w:hint="eastAsia" w:ascii="仿宋" w:hAnsi="仿宋" w:eastAsia="仿宋" w:cs="仿宋"/>
          <w:b/>
          <w:bCs/>
          <w:color w:val="auto"/>
          <w:sz w:val="24"/>
          <w:lang w:val="en-US" w:eastAsia="zh-CN"/>
        </w:rPr>
      </w:pPr>
    </w:p>
    <w:p w14:paraId="54FA4374">
      <w:pPr>
        <w:pStyle w:val="2"/>
        <w:rPr>
          <w:rFonts w:hint="eastAsia" w:ascii="仿宋" w:hAnsi="仿宋" w:eastAsia="仿宋" w:cs="仿宋"/>
          <w:b/>
          <w:bCs/>
          <w:color w:val="auto"/>
          <w:sz w:val="24"/>
          <w:lang w:val="en-US" w:eastAsia="zh-CN"/>
        </w:rPr>
      </w:pPr>
    </w:p>
    <w:p w14:paraId="0BF09AD7">
      <w:pPr>
        <w:rPr>
          <w:rFonts w:hint="eastAsia" w:ascii="仿宋" w:hAnsi="仿宋" w:eastAsia="仿宋" w:cs="仿宋"/>
          <w:b/>
          <w:bCs/>
          <w:color w:val="auto"/>
          <w:sz w:val="24"/>
          <w:lang w:val="en-US" w:eastAsia="zh-CN"/>
        </w:rPr>
      </w:pPr>
    </w:p>
    <w:p w14:paraId="3D4D47E5">
      <w:pPr>
        <w:pStyle w:val="2"/>
        <w:rPr>
          <w:rFonts w:hint="eastAsia" w:ascii="仿宋" w:hAnsi="仿宋" w:eastAsia="仿宋" w:cs="仿宋"/>
          <w:b/>
          <w:bCs/>
          <w:color w:val="auto"/>
          <w:sz w:val="24"/>
          <w:lang w:val="en-US" w:eastAsia="zh-CN"/>
        </w:rPr>
      </w:pPr>
    </w:p>
    <w:p w14:paraId="514DCCF7">
      <w:pPr>
        <w:rPr>
          <w:rFonts w:hint="eastAsia" w:ascii="仿宋" w:hAnsi="仿宋" w:eastAsia="仿宋" w:cs="仿宋"/>
          <w:b/>
          <w:bCs/>
          <w:color w:val="auto"/>
          <w:sz w:val="24"/>
          <w:lang w:val="en-US" w:eastAsia="zh-CN"/>
        </w:rPr>
      </w:pPr>
    </w:p>
    <w:p w14:paraId="534AC2BE">
      <w:pPr>
        <w:pStyle w:val="2"/>
        <w:rPr>
          <w:rFonts w:hint="eastAsia"/>
          <w:color w:val="auto"/>
          <w:lang w:val="en-US" w:eastAsia="zh-CN"/>
        </w:rPr>
      </w:pPr>
    </w:p>
    <w:p w14:paraId="66ABE547">
      <w:pPr>
        <w:jc w:val="left"/>
        <w:rPr>
          <w:rFonts w:hint="eastAsia" w:ascii="仿宋" w:hAnsi="仿宋" w:eastAsia="仿宋" w:cs="仿宋"/>
          <w:b/>
          <w:bCs/>
          <w:color w:val="auto"/>
          <w:sz w:val="24"/>
          <w:lang w:val="en-US" w:eastAsia="zh-CN"/>
        </w:rPr>
      </w:pPr>
    </w:p>
    <w:p w14:paraId="4CDE9C1D">
      <w:pPr>
        <w:ind w:firstLine="480" w:firstLineChars="200"/>
        <w:jc w:val="left"/>
        <w:rPr>
          <w:rFonts w:hint="eastAsia" w:ascii="仿宋" w:hAnsi="仿宋" w:eastAsia="仿宋" w:cs="仿宋"/>
          <w:b/>
          <w:bCs/>
          <w:color w:val="auto"/>
          <w:sz w:val="24"/>
          <w:lang w:val="en-US" w:eastAsia="zh-CN"/>
        </w:rPr>
      </w:pPr>
    </w:p>
    <w:p w14:paraId="463B5E70">
      <w:pPr>
        <w:jc w:val="left"/>
        <w:rPr>
          <w:rFonts w:hint="default"/>
          <w:b/>
          <w:bCs/>
          <w:color w:val="auto"/>
          <w:lang w:val="en-US" w:eastAsia="zh-CN"/>
        </w:rPr>
      </w:pPr>
      <w:r>
        <w:rPr>
          <w:rFonts w:hint="eastAsia" w:ascii="仿宋" w:hAnsi="仿宋" w:eastAsia="仿宋" w:cs="仿宋"/>
          <w:b/>
          <w:bCs/>
          <w:color w:val="auto"/>
          <w:sz w:val="24"/>
          <w:lang w:val="en-US" w:eastAsia="zh-CN"/>
        </w:rPr>
        <w:t>6   提供近六个月任意一个月税务局开具的完税证明（非社保类）；</w:t>
      </w:r>
    </w:p>
    <w:p w14:paraId="3198A686">
      <w:pPr>
        <w:pStyle w:val="4"/>
        <w:spacing w:before="0" w:line="240" w:lineRule="atLeast"/>
        <w:ind w:left="1079" w:leftChars="257" w:hanging="540"/>
        <w:outlineLvl w:val="9"/>
        <w:rPr>
          <w:rFonts w:hint="eastAsia" w:ascii="仿宋" w:hAnsi="仿宋" w:eastAsia="仿宋" w:cs="仿宋"/>
          <w:color w:val="auto"/>
          <w:sz w:val="24"/>
          <w:lang w:val="en-US" w:eastAsia="zh-CN"/>
        </w:rPr>
      </w:pPr>
    </w:p>
    <w:p w14:paraId="4DB475EB">
      <w:pPr>
        <w:pStyle w:val="25"/>
        <w:jc w:val="both"/>
        <w:outlineLvl w:val="9"/>
        <w:rPr>
          <w:rFonts w:hint="eastAsia" w:ascii="仿宋" w:hAnsi="仿宋" w:eastAsia="仿宋" w:cs="仿宋"/>
          <w:color w:val="auto"/>
          <w:sz w:val="24"/>
          <w:lang w:val="en-US" w:eastAsia="zh-CN"/>
        </w:rPr>
      </w:pPr>
    </w:p>
    <w:p w14:paraId="13110DE2">
      <w:pPr>
        <w:rPr>
          <w:rFonts w:hint="eastAsia" w:ascii="仿宋" w:hAnsi="仿宋" w:eastAsia="仿宋" w:cs="仿宋"/>
          <w:color w:val="auto"/>
          <w:sz w:val="24"/>
          <w:lang w:val="en-US" w:eastAsia="zh-CN"/>
        </w:rPr>
      </w:pPr>
    </w:p>
    <w:p w14:paraId="33D7F8A0">
      <w:pPr>
        <w:pStyle w:val="2"/>
        <w:rPr>
          <w:rFonts w:hint="eastAsia" w:ascii="仿宋" w:hAnsi="仿宋" w:eastAsia="仿宋" w:cs="仿宋"/>
          <w:color w:val="auto"/>
          <w:sz w:val="24"/>
          <w:lang w:val="en-US" w:eastAsia="zh-CN"/>
        </w:rPr>
      </w:pPr>
    </w:p>
    <w:p w14:paraId="1C34AA56">
      <w:pPr>
        <w:rPr>
          <w:rFonts w:hint="eastAsia"/>
          <w:color w:val="auto"/>
          <w:lang w:val="en-US" w:eastAsia="zh-CN"/>
        </w:rPr>
      </w:pPr>
    </w:p>
    <w:p w14:paraId="0E559814">
      <w:pPr>
        <w:rPr>
          <w:rFonts w:hint="eastAsia" w:ascii="仿宋" w:hAnsi="仿宋" w:eastAsia="仿宋" w:cs="仿宋"/>
          <w:b/>
          <w:bCs/>
          <w:color w:val="auto"/>
          <w:sz w:val="24"/>
          <w:lang w:val="en-US" w:eastAsia="zh-CN"/>
        </w:rPr>
      </w:pPr>
    </w:p>
    <w:p w14:paraId="1A111E3F">
      <w:pPr>
        <w:rPr>
          <w:rFonts w:hint="eastAsia" w:ascii="仿宋" w:hAnsi="仿宋" w:eastAsia="仿宋" w:cs="仿宋"/>
          <w:b/>
          <w:bCs/>
          <w:color w:val="auto"/>
          <w:sz w:val="24"/>
          <w:lang w:val="en-US" w:eastAsia="zh-CN"/>
        </w:rPr>
      </w:pPr>
    </w:p>
    <w:p w14:paraId="5552AC95">
      <w:pPr>
        <w:rPr>
          <w:rFonts w:hint="eastAsia" w:ascii="仿宋" w:hAnsi="仿宋" w:eastAsia="仿宋" w:cs="仿宋"/>
          <w:b/>
          <w:bCs/>
          <w:color w:val="auto"/>
          <w:sz w:val="24"/>
          <w:lang w:val="en-US" w:eastAsia="zh-CN"/>
        </w:rPr>
      </w:pPr>
    </w:p>
    <w:p w14:paraId="101AD0C0">
      <w:pPr>
        <w:rPr>
          <w:rFonts w:hint="eastAsia" w:ascii="仿宋" w:hAnsi="仿宋" w:eastAsia="仿宋" w:cs="仿宋"/>
          <w:b/>
          <w:bCs/>
          <w:color w:val="auto"/>
          <w:sz w:val="24"/>
          <w:lang w:val="en-US" w:eastAsia="zh-CN"/>
        </w:rPr>
      </w:pPr>
    </w:p>
    <w:p w14:paraId="1F7C1C36">
      <w:pPr>
        <w:rPr>
          <w:rFonts w:hint="eastAsia" w:ascii="仿宋" w:hAnsi="仿宋" w:eastAsia="仿宋" w:cs="仿宋"/>
          <w:b/>
          <w:bCs/>
          <w:color w:val="auto"/>
          <w:sz w:val="24"/>
          <w:lang w:val="en-US" w:eastAsia="zh-CN"/>
        </w:rPr>
      </w:pPr>
    </w:p>
    <w:p w14:paraId="2ECF38A5">
      <w:pPr>
        <w:rPr>
          <w:rFonts w:hint="eastAsia" w:ascii="仿宋" w:hAnsi="仿宋" w:eastAsia="仿宋" w:cs="仿宋"/>
          <w:b/>
          <w:bCs/>
          <w:color w:val="auto"/>
          <w:sz w:val="24"/>
          <w:lang w:val="en-US" w:eastAsia="zh-CN"/>
        </w:rPr>
      </w:pPr>
    </w:p>
    <w:p w14:paraId="7256EC22">
      <w:pPr>
        <w:rPr>
          <w:rFonts w:hint="eastAsia" w:ascii="仿宋" w:hAnsi="仿宋" w:eastAsia="仿宋" w:cs="仿宋"/>
          <w:b/>
          <w:bCs/>
          <w:color w:val="auto"/>
          <w:sz w:val="24"/>
          <w:lang w:val="en-US" w:eastAsia="zh-CN"/>
        </w:rPr>
      </w:pPr>
    </w:p>
    <w:p w14:paraId="089AADF5">
      <w:pPr>
        <w:rPr>
          <w:rFonts w:hint="eastAsia" w:ascii="仿宋" w:hAnsi="仿宋" w:eastAsia="仿宋" w:cs="仿宋"/>
          <w:b/>
          <w:bCs/>
          <w:color w:val="auto"/>
          <w:sz w:val="24"/>
          <w:lang w:val="en-US" w:eastAsia="zh-CN"/>
        </w:rPr>
      </w:pPr>
    </w:p>
    <w:p w14:paraId="44DD64B6">
      <w:pPr>
        <w:rPr>
          <w:rFonts w:hint="eastAsia" w:ascii="仿宋" w:hAnsi="仿宋" w:eastAsia="仿宋" w:cs="仿宋"/>
          <w:b/>
          <w:bCs/>
          <w:color w:val="auto"/>
          <w:sz w:val="24"/>
          <w:lang w:val="en-US" w:eastAsia="zh-CN"/>
        </w:rPr>
      </w:pPr>
    </w:p>
    <w:p w14:paraId="75ED6B91">
      <w:pP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 xml:space="preserve">7  </w:t>
      </w:r>
      <w:r>
        <w:rPr>
          <w:rFonts w:hint="eastAsia" w:ascii="仿宋" w:hAnsi="仿宋" w:eastAsia="仿宋" w:cs="仿宋"/>
          <w:b/>
          <w:bCs/>
          <w:color w:val="auto"/>
          <w:spacing w:val="-3"/>
          <w:w w:val="100"/>
          <w:kern w:val="2"/>
          <w:sz w:val="24"/>
          <w:szCs w:val="24"/>
          <w:lang w:val="en-US" w:eastAsia="en-US" w:bidi="ar-SA"/>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p w14:paraId="54EE6119">
      <w:pPr>
        <w:rPr>
          <w:rFonts w:hint="eastAsia" w:ascii="仿宋" w:hAnsi="仿宋" w:eastAsia="仿宋" w:cs="仿宋"/>
          <w:color w:val="auto"/>
          <w:sz w:val="24"/>
          <w:lang w:val="en-US" w:eastAsia="zh-CN"/>
        </w:rPr>
      </w:pPr>
    </w:p>
    <w:p w14:paraId="54C4DFBF">
      <w:pPr>
        <w:pStyle w:val="2"/>
        <w:rPr>
          <w:rFonts w:hint="eastAsia"/>
          <w:color w:val="auto"/>
          <w:lang w:val="en-US" w:eastAsia="zh-CN"/>
        </w:rPr>
      </w:pPr>
    </w:p>
    <w:p w14:paraId="7D83249B">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 xml:space="preserve">8  </w:t>
      </w:r>
      <w:r>
        <w:rPr>
          <w:rFonts w:hint="eastAsia" w:ascii="仿宋" w:hAnsi="仿宋" w:eastAsia="仿宋" w:cs="仿宋"/>
          <w:b/>
          <w:bCs/>
          <w:color w:val="auto"/>
          <w:sz w:val="24"/>
          <w:lang w:eastAsia="zh-CN"/>
        </w:rPr>
        <w:t>参与政府采购活动前</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年内未被列入失信、重大税收违法案件、财政部门禁止参加政府采购活动的承诺书（自拟）；</w:t>
      </w:r>
    </w:p>
    <w:p w14:paraId="694F889B">
      <w:pPr>
        <w:pStyle w:val="25"/>
        <w:jc w:val="left"/>
        <w:outlineLvl w:val="9"/>
        <w:rPr>
          <w:rFonts w:hint="default" w:ascii="仿宋" w:hAnsi="仿宋" w:eastAsia="仿宋" w:cs="仿宋"/>
          <w:color w:val="auto"/>
          <w:sz w:val="24"/>
          <w:lang w:val="en-US" w:eastAsia="zh-CN"/>
        </w:rPr>
      </w:pPr>
    </w:p>
    <w:p w14:paraId="295EFBF1">
      <w:pPr>
        <w:pStyle w:val="25"/>
        <w:jc w:val="both"/>
        <w:outlineLvl w:val="9"/>
        <w:rPr>
          <w:rFonts w:hint="default"/>
          <w:color w:val="auto"/>
          <w:lang w:val="en-US" w:eastAsia="zh-CN"/>
        </w:rPr>
      </w:pPr>
    </w:p>
    <w:p w14:paraId="2AB2EB0E">
      <w:pPr>
        <w:rPr>
          <w:rFonts w:hint="default"/>
          <w:color w:val="auto"/>
          <w:lang w:val="en-US" w:eastAsia="zh-CN"/>
        </w:rPr>
      </w:pPr>
    </w:p>
    <w:p w14:paraId="798E5519">
      <w:pPr>
        <w:pStyle w:val="2"/>
        <w:rPr>
          <w:rFonts w:hint="default"/>
          <w:color w:val="auto"/>
          <w:lang w:val="en-US" w:eastAsia="zh-CN"/>
        </w:rPr>
      </w:pPr>
    </w:p>
    <w:p w14:paraId="112FAE09">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default" w:ascii="仿宋" w:hAnsi="仿宋" w:eastAsia="仿宋" w:cs="仿宋"/>
          <w:b/>
          <w:bCs/>
          <w:color w:val="auto"/>
          <w:sz w:val="24"/>
          <w:lang w:val="en-US" w:eastAsia="zh-CN"/>
        </w:rPr>
      </w:pPr>
      <w:bookmarkStart w:id="437" w:name="_Toc31164"/>
      <w:bookmarkStart w:id="438" w:name="_Toc12494"/>
      <w:bookmarkStart w:id="439" w:name="_Toc17730"/>
      <w:r>
        <w:rPr>
          <w:rFonts w:hint="eastAsia" w:ascii="仿宋" w:hAnsi="仿宋" w:eastAsia="仿宋" w:cs="仿宋"/>
          <w:b/>
          <w:bCs/>
          <w:color w:val="auto"/>
          <w:sz w:val="24"/>
          <w:lang w:val="en-US" w:eastAsia="zh-CN"/>
        </w:rPr>
        <w:t>9  针对本项目的反商业贿赂承诺书；</w:t>
      </w:r>
      <w:bookmarkEnd w:id="437"/>
      <w:bookmarkEnd w:id="438"/>
      <w:bookmarkEnd w:id="439"/>
    </w:p>
    <w:p w14:paraId="591A1CCE">
      <w:pPr>
        <w:pStyle w:val="2"/>
        <w:rPr>
          <w:rFonts w:hint="default"/>
          <w:color w:val="auto"/>
          <w:lang w:val="en-US" w:eastAsia="zh-CN"/>
        </w:rPr>
      </w:pPr>
    </w:p>
    <w:p w14:paraId="1900C92B">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firstLine="1134"/>
        <w:jc w:val="left"/>
        <w:textAlignment w:val="auto"/>
        <w:rPr>
          <w:rFonts w:hint="eastAsia" w:ascii="仿宋" w:hAnsi="仿宋" w:eastAsia="仿宋" w:cs="仿宋"/>
          <w:color w:val="auto"/>
          <w:sz w:val="24"/>
        </w:rPr>
      </w:pPr>
      <w:r>
        <w:rPr>
          <w:rFonts w:hint="eastAsia" w:ascii="仿宋" w:hAnsi="仿宋" w:eastAsia="仿宋" w:cs="仿宋"/>
          <w:color w:val="auto"/>
          <w:sz w:val="24"/>
        </w:rPr>
        <w:t>我公司承诺在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F4CD0F6">
      <w:pPr>
        <w:tabs>
          <w:tab w:val="left" w:pos="5580"/>
        </w:tabs>
        <w:spacing w:line="240" w:lineRule="atLeast"/>
        <w:ind w:left="1079" w:leftChars="257" w:hanging="540"/>
        <w:rPr>
          <w:rFonts w:hint="eastAsia" w:ascii="仿宋" w:hAnsi="仿宋" w:eastAsia="仿宋" w:cs="仿宋"/>
          <w:color w:val="auto"/>
          <w:sz w:val="24"/>
        </w:rPr>
      </w:pPr>
    </w:p>
    <w:p w14:paraId="48FE29CD">
      <w:pPr>
        <w:tabs>
          <w:tab w:val="left" w:pos="5580"/>
        </w:tabs>
        <w:spacing w:line="240" w:lineRule="atLeast"/>
        <w:ind w:left="1079" w:leftChars="257" w:hanging="540"/>
        <w:rPr>
          <w:rFonts w:hint="eastAsia" w:ascii="仿宋" w:hAnsi="仿宋" w:eastAsia="仿宋" w:cs="仿宋"/>
          <w:color w:val="auto"/>
          <w:sz w:val="24"/>
        </w:rPr>
      </w:pPr>
    </w:p>
    <w:p w14:paraId="518B3547">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公司法人代表：</w:t>
      </w:r>
    </w:p>
    <w:p w14:paraId="36283A36">
      <w:pPr>
        <w:tabs>
          <w:tab w:val="left" w:pos="5580"/>
        </w:tabs>
        <w:spacing w:line="240" w:lineRule="atLeast"/>
        <w:ind w:left="1079" w:leftChars="257" w:hanging="540"/>
        <w:rPr>
          <w:rFonts w:hint="eastAsia" w:ascii="仿宋" w:hAnsi="仿宋" w:eastAsia="仿宋" w:cs="仿宋"/>
          <w:color w:val="auto"/>
          <w:sz w:val="24"/>
        </w:rPr>
      </w:pPr>
    </w:p>
    <w:p w14:paraId="625AAAB4">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法人授权代表：</w:t>
      </w:r>
    </w:p>
    <w:p w14:paraId="333F8B9B">
      <w:pPr>
        <w:tabs>
          <w:tab w:val="left" w:pos="5580"/>
        </w:tabs>
        <w:spacing w:line="240" w:lineRule="atLeast"/>
        <w:ind w:left="1079" w:leftChars="257" w:hanging="540"/>
        <w:rPr>
          <w:rFonts w:hint="eastAsia" w:ascii="仿宋" w:hAnsi="仿宋" w:eastAsia="仿宋" w:cs="仿宋"/>
          <w:color w:val="auto"/>
          <w:sz w:val="24"/>
        </w:rPr>
      </w:pPr>
    </w:p>
    <w:p w14:paraId="2B49894B">
      <w:pPr>
        <w:pStyle w:val="2"/>
        <w:ind w:left="0" w:leftChars="0" w:firstLine="0" w:firstLineChars="0"/>
        <w:rPr>
          <w:rFonts w:hint="eastAsia" w:ascii="仿宋" w:hAnsi="仿宋" w:eastAsia="仿宋" w:cs="仿宋"/>
          <w:color w:val="auto"/>
          <w:sz w:val="24"/>
        </w:rPr>
      </w:pPr>
    </w:p>
    <w:p w14:paraId="0038574A">
      <w:pPr>
        <w:rPr>
          <w:rFonts w:hint="eastAsia"/>
          <w:color w:val="auto"/>
          <w:lang w:val="en-US" w:eastAsia="zh-CN"/>
        </w:rPr>
      </w:pPr>
    </w:p>
    <w:p w14:paraId="30846B1C">
      <w:pPr>
        <w:rPr>
          <w:rFonts w:hint="eastAsia"/>
          <w:color w:val="auto"/>
          <w:lang w:val="en-US" w:eastAsia="zh-CN"/>
        </w:rPr>
      </w:pPr>
    </w:p>
    <w:p w14:paraId="702CFAA5">
      <w:pPr>
        <w:pStyle w:val="2"/>
        <w:rPr>
          <w:rFonts w:hint="eastAsia"/>
          <w:color w:val="auto"/>
          <w:lang w:val="en-US" w:eastAsia="zh-CN"/>
        </w:rPr>
      </w:pPr>
    </w:p>
    <w:p w14:paraId="5862945A">
      <w:pPr>
        <w:rPr>
          <w:rFonts w:hint="eastAsia"/>
          <w:color w:val="auto"/>
          <w:lang w:val="en-US" w:eastAsia="zh-CN"/>
        </w:rPr>
      </w:pPr>
    </w:p>
    <w:p w14:paraId="2BC88CA3">
      <w:pPr>
        <w:pStyle w:val="2"/>
        <w:rPr>
          <w:rFonts w:hint="eastAsia"/>
          <w:color w:val="auto"/>
          <w:lang w:val="en-US" w:eastAsia="zh-CN"/>
        </w:rPr>
      </w:pPr>
    </w:p>
    <w:p w14:paraId="37C4BB5C">
      <w:pPr>
        <w:rPr>
          <w:rFonts w:hint="eastAsia"/>
          <w:color w:val="auto"/>
          <w:lang w:val="en-US" w:eastAsia="zh-CN"/>
        </w:rPr>
      </w:pPr>
    </w:p>
    <w:p w14:paraId="58FCC014">
      <w:pPr>
        <w:pStyle w:val="2"/>
        <w:rPr>
          <w:rFonts w:hint="eastAsia"/>
          <w:color w:val="auto"/>
          <w:lang w:val="en-US" w:eastAsia="zh-CN"/>
        </w:rPr>
      </w:pPr>
    </w:p>
    <w:p w14:paraId="7EAD7A4C">
      <w:pPr>
        <w:rPr>
          <w:rFonts w:hint="eastAsia"/>
          <w:color w:val="auto"/>
          <w:lang w:val="en-US" w:eastAsia="zh-CN"/>
        </w:rPr>
      </w:pPr>
    </w:p>
    <w:p w14:paraId="7BBF0EC9">
      <w:pPr>
        <w:pStyle w:val="34"/>
        <w:ind w:left="0" w:leftChars="0" w:firstLine="0" w:firstLineChars="0"/>
        <w:rPr>
          <w:rFonts w:hint="eastAsia"/>
          <w:color w:val="auto"/>
          <w:lang w:val="en-US" w:eastAsia="zh-CN"/>
        </w:rPr>
      </w:pPr>
    </w:p>
    <w:p w14:paraId="50DAC2D0">
      <w:pPr>
        <w:pStyle w:val="2"/>
        <w:rPr>
          <w:rFonts w:hint="eastAsia"/>
          <w:color w:val="auto"/>
          <w:lang w:val="en-US" w:eastAsia="zh-CN"/>
        </w:rPr>
      </w:pPr>
    </w:p>
    <w:p w14:paraId="7E7D4504">
      <w:pPr>
        <w:pStyle w:val="4"/>
        <w:spacing w:before="0" w:line="240" w:lineRule="atLeast"/>
        <w:jc w:val="left"/>
        <w:rPr>
          <w:rFonts w:hint="default" w:ascii="仿宋" w:hAnsi="仿宋" w:eastAsia="仿宋" w:cs="仿宋"/>
          <w:b/>
          <w:bCs/>
          <w:color w:val="auto"/>
          <w:sz w:val="24"/>
          <w:lang w:val="en-US" w:eastAsia="zh-CN"/>
        </w:rPr>
      </w:pPr>
      <w:bookmarkStart w:id="440" w:name="_Toc22012"/>
      <w:bookmarkStart w:id="441" w:name="_Toc12687"/>
      <w:bookmarkStart w:id="442" w:name="_Toc26212"/>
      <w:bookmarkStart w:id="443" w:name="_Toc31699"/>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 xml:space="preserve"> 投标保证金缴纳凭证复印件或投标担保函</w:t>
      </w:r>
      <w:bookmarkEnd w:id="429"/>
      <w:bookmarkEnd w:id="430"/>
      <w:bookmarkEnd w:id="431"/>
      <w:bookmarkEnd w:id="432"/>
      <w:bookmarkEnd w:id="440"/>
      <w:bookmarkEnd w:id="441"/>
      <w:bookmarkEnd w:id="442"/>
      <w:bookmarkEnd w:id="443"/>
    </w:p>
    <w:p w14:paraId="039DF349">
      <w:pPr>
        <w:ind w:firstLine="480" w:firstLineChars="200"/>
        <w:rPr>
          <w:rFonts w:ascii="仿宋" w:hAnsi="仿宋" w:eastAsia="仿宋" w:cs="仿宋"/>
          <w:color w:val="auto"/>
          <w:sz w:val="24"/>
        </w:rPr>
      </w:pPr>
      <w:bookmarkStart w:id="444" w:name="_Toc494296665"/>
      <w:bookmarkStart w:id="445" w:name="_Toc494296991"/>
      <w:r>
        <w:rPr>
          <w:rFonts w:hint="eastAsia" w:ascii="仿宋" w:hAnsi="仿宋" w:eastAsia="仿宋" w:cs="仿宋"/>
          <w:color w:val="auto"/>
          <w:sz w:val="24"/>
        </w:rPr>
        <w:t>投标人可将本项目投标保证金支付的汇款凭证、支票、汇票或保证金收据（如有）的</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作为缴纳凭证及投标保证金收据一起装订在本部分，</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上应加盖本单位章；使用银行保函等其他投标担保函的，应将担保函正本，装订在本部分；如采用政府采购信用担保形式的，应使用（投标文件格式三）,将原件装订在本部分。</w:t>
      </w:r>
      <w:bookmarkEnd w:id="444"/>
      <w:bookmarkEnd w:id="445"/>
    </w:p>
    <w:p w14:paraId="66480E2D">
      <w:pPr>
        <w:pStyle w:val="2"/>
        <w:rPr>
          <w:rFonts w:ascii="仿宋" w:hAnsi="仿宋" w:eastAsia="仿宋" w:cs="仿宋"/>
          <w:color w:val="auto"/>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E3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4A320E8">
            <w:pPr>
              <w:rPr>
                <w:rFonts w:ascii="仿宋" w:hAnsi="仿宋" w:eastAsia="仿宋" w:cs="仿宋"/>
                <w:b/>
                <w:bCs/>
                <w:color w:val="auto"/>
                <w:sz w:val="30"/>
                <w:szCs w:val="30"/>
              </w:rPr>
            </w:pPr>
          </w:p>
          <w:p w14:paraId="64DE7D03">
            <w:pPr>
              <w:jc w:val="both"/>
              <w:rPr>
                <w:rFonts w:ascii="仿宋" w:hAnsi="仿宋" w:eastAsia="仿宋" w:cs="仿宋"/>
                <w:b/>
                <w:bCs/>
                <w:color w:val="auto"/>
                <w:sz w:val="30"/>
                <w:szCs w:val="30"/>
              </w:rPr>
            </w:pPr>
          </w:p>
          <w:p w14:paraId="6935FBC1">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投标保证金有效打款凭证或收据</w:t>
            </w:r>
          </w:p>
        </w:tc>
      </w:tr>
    </w:tbl>
    <w:p w14:paraId="6DF42D68">
      <w:pPr>
        <w:pStyle w:val="2"/>
        <w:ind w:left="0" w:leftChars="0" w:firstLine="0" w:firstLineChars="0"/>
        <w:rPr>
          <w:rFonts w:ascii="仿宋" w:hAnsi="仿宋" w:eastAsia="仿宋" w:cs="仿宋"/>
          <w:color w:val="auto"/>
        </w:rPr>
      </w:pPr>
    </w:p>
    <w:p w14:paraId="720F77ED">
      <w:pPr>
        <w:pStyle w:val="2"/>
        <w:rPr>
          <w:rFonts w:ascii="仿宋" w:hAnsi="仿宋" w:eastAsia="仿宋" w:cs="仿宋"/>
          <w:color w:val="auto"/>
        </w:rPr>
      </w:pPr>
    </w:p>
    <w:p w14:paraId="1B30ABEF">
      <w:pPr>
        <w:rPr>
          <w:rFonts w:ascii="仿宋" w:hAnsi="仿宋" w:eastAsia="仿宋" w:cs="仿宋"/>
          <w:color w:val="auto"/>
        </w:rPr>
      </w:pPr>
    </w:p>
    <w:p w14:paraId="035CA72F">
      <w:pPr>
        <w:pStyle w:val="26"/>
        <w:rPr>
          <w:rFonts w:ascii="仿宋" w:hAnsi="仿宋" w:eastAsia="仿宋" w:cs="仿宋"/>
          <w:color w:val="auto"/>
        </w:rPr>
      </w:pPr>
    </w:p>
    <w:p w14:paraId="43C1D729">
      <w:pPr>
        <w:pStyle w:val="26"/>
        <w:ind w:left="0" w:leftChars="0" w:firstLine="0" w:firstLineChars="0"/>
        <w:rPr>
          <w:color w:val="auto"/>
        </w:rPr>
      </w:pPr>
    </w:p>
    <w:p w14:paraId="53840600">
      <w:pPr>
        <w:pStyle w:val="2"/>
        <w:rPr>
          <w:rFonts w:hint="eastAsia"/>
          <w:color w:val="auto"/>
        </w:rPr>
      </w:pPr>
    </w:p>
    <w:p w14:paraId="1F2EBAD0">
      <w:pPr>
        <w:rPr>
          <w:rFonts w:hint="eastAsia"/>
          <w:color w:val="auto"/>
        </w:rPr>
      </w:pPr>
    </w:p>
    <w:p w14:paraId="71C86B2E">
      <w:pPr>
        <w:pStyle w:val="2"/>
        <w:rPr>
          <w:rFonts w:hint="eastAsia"/>
          <w:color w:val="auto"/>
        </w:rPr>
      </w:pPr>
    </w:p>
    <w:p w14:paraId="6F0044E0">
      <w:pPr>
        <w:rPr>
          <w:rFonts w:hint="eastAsia"/>
          <w:color w:val="auto"/>
        </w:rPr>
      </w:pPr>
    </w:p>
    <w:p w14:paraId="17BFACFD">
      <w:pPr>
        <w:pStyle w:val="2"/>
        <w:rPr>
          <w:rFonts w:hint="eastAsia"/>
          <w:color w:val="auto"/>
        </w:rPr>
      </w:pPr>
    </w:p>
    <w:p w14:paraId="4E7F26AA">
      <w:pPr>
        <w:rPr>
          <w:rFonts w:hint="eastAsia"/>
          <w:color w:val="auto"/>
        </w:rPr>
      </w:pPr>
    </w:p>
    <w:p w14:paraId="2BB09197">
      <w:pPr>
        <w:pStyle w:val="2"/>
        <w:rPr>
          <w:rFonts w:hint="eastAsia"/>
          <w:color w:val="auto"/>
        </w:rPr>
      </w:pPr>
    </w:p>
    <w:p w14:paraId="281157CF">
      <w:pPr>
        <w:rPr>
          <w:rFonts w:hint="eastAsia"/>
          <w:color w:val="auto"/>
        </w:rPr>
      </w:pPr>
    </w:p>
    <w:p w14:paraId="7F4D05B4">
      <w:pPr>
        <w:pStyle w:val="2"/>
        <w:rPr>
          <w:rFonts w:hint="eastAsia"/>
          <w:color w:val="auto"/>
        </w:rPr>
      </w:pPr>
    </w:p>
    <w:p w14:paraId="48A4C7CC">
      <w:pPr>
        <w:rPr>
          <w:rFonts w:hint="eastAsia"/>
          <w:color w:val="auto"/>
        </w:rPr>
      </w:pPr>
    </w:p>
    <w:p w14:paraId="1B6DD32E">
      <w:pPr>
        <w:pStyle w:val="2"/>
        <w:rPr>
          <w:rFonts w:hint="eastAsia"/>
          <w:color w:val="auto"/>
        </w:rPr>
      </w:pPr>
    </w:p>
    <w:p w14:paraId="6170596C">
      <w:pPr>
        <w:rPr>
          <w:rFonts w:hint="eastAsia"/>
          <w:color w:val="auto"/>
        </w:rPr>
      </w:pPr>
    </w:p>
    <w:p w14:paraId="2D8A6854">
      <w:pPr>
        <w:pStyle w:val="2"/>
        <w:rPr>
          <w:rFonts w:hint="eastAsia"/>
          <w:color w:val="auto"/>
        </w:rPr>
      </w:pPr>
    </w:p>
    <w:p w14:paraId="152F39B7">
      <w:pPr>
        <w:rPr>
          <w:rFonts w:hint="eastAsia"/>
          <w:color w:val="auto"/>
        </w:rPr>
      </w:pPr>
    </w:p>
    <w:p w14:paraId="2DBD9600">
      <w:pPr>
        <w:pStyle w:val="2"/>
        <w:rPr>
          <w:rFonts w:hint="eastAsia"/>
          <w:color w:val="auto"/>
        </w:rPr>
      </w:pPr>
    </w:p>
    <w:p w14:paraId="452BA314">
      <w:pPr>
        <w:rPr>
          <w:rFonts w:hint="eastAsia"/>
          <w:color w:val="auto"/>
        </w:rPr>
      </w:pPr>
    </w:p>
    <w:p w14:paraId="1E28B32F">
      <w:pPr>
        <w:pStyle w:val="2"/>
        <w:rPr>
          <w:rFonts w:hint="eastAsia"/>
          <w:color w:val="auto"/>
        </w:rPr>
      </w:pPr>
    </w:p>
    <w:p w14:paraId="22A416DA">
      <w:pPr>
        <w:rPr>
          <w:rFonts w:hint="eastAsia"/>
          <w:color w:val="auto"/>
        </w:rPr>
      </w:pPr>
    </w:p>
    <w:p w14:paraId="3BB5BEA9">
      <w:pPr>
        <w:rPr>
          <w:rFonts w:hint="eastAsia"/>
          <w:color w:val="auto"/>
        </w:rPr>
      </w:pPr>
    </w:p>
    <w:p w14:paraId="6A821A2A">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（项目用）（投标文件格式三）</w:t>
      </w:r>
    </w:p>
    <w:p w14:paraId="2637A39A">
      <w:pPr>
        <w:ind w:firstLine="6720" w:firstLineChars="3200"/>
        <w:rPr>
          <w:rFonts w:ascii="仿宋" w:hAnsi="仿宋" w:eastAsia="仿宋" w:cs="仿宋"/>
          <w:color w:val="auto"/>
        </w:rPr>
      </w:pPr>
      <w:r>
        <w:rPr>
          <w:rFonts w:hint="eastAsia" w:ascii="仿宋" w:hAnsi="仿宋" w:eastAsia="仿宋" w:cs="仿宋"/>
          <w:color w:val="auto"/>
        </w:rPr>
        <w:t>编号：</w:t>
      </w:r>
    </w:p>
    <w:p w14:paraId="6F7D300D">
      <w:pPr>
        <w:rPr>
          <w:rFonts w:ascii="仿宋" w:hAnsi="仿宋" w:eastAsia="仿宋" w:cs="仿宋"/>
          <w:color w:val="auto"/>
        </w:rPr>
      </w:pPr>
      <w:r>
        <w:rPr>
          <w:rFonts w:hint="eastAsia" w:ascii="仿宋" w:hAnsi="仿宋" w:eastAsia="仿宋" w:cs="仿宋"/>
          <w:color w:val="auto"/>
        </w:rPr>
        <w:t>（采购人或采购代理机构）：</w:t>
      </w:r>
    </w:p>
    <w:p w14:paraId="0E52D32E">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7154106C">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6ED08DD">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48EB09B8">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63578D0">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6BCB21EC">
      <w:pPr>
        <w:ind w:firstLine="420" w:firstLineChars="200"/>
        <w:outlineLvl w:val="1"/>
        <w:rPr>
          <w:rFonts w:ascii="仿宋" w:hAnsi="仿宋" w:eastAsia="仿宋" w:cs="仿宋"/>
          <w:color w:val="auto"/>
        </w:rPr>
      </w:pPr>
      <w:bookmarkStart w:id="446" w:name="_Toc11727"/>
      <w:bookmarkStart w:id="447" w:name="_Toc2188"/>
      <w:bookmarkStart w:id="448" w:name="_Toc115"/>
      <w:r>
        <w:rPr>
          <w:rFonts w:hint="eastAsia" w:ascii="仿宋" w:hAnsi="仿宋" w:eastAsia="仿宋" w:cs="仿宋"/>
          <w:color w:val="auto"/>
        </w:rPr>
        <w:t>2．招标文件规定的投标人应当缴纳保证金的其他情形。</w:t>
      </w:r>
      <w:bookmarkEnd w:id="446"/>
      <w:bookmarkEnd w:id="447"/>
      <w:bookmarkEnd w:id="448"/>
    </w:p>
    <w:p w14:paraId="7445EFAD">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7DADA299">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73B12D21">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8A318E1">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29DC687C">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21277EE1">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980BFC4">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15F6BA7">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40535335">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0C54517B">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0639B294">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67DC00E">
      <w:pPr>
        <w:ind w:firstLine="420" w:firstLineChars="200"/>
        <w:rPr>
          <w:rFonts w:ascii="仿宋" w:hAnsi="仿宋" w:eastAsia="仿宋" w:cs="仿宋"/>
          <w:color w:val="auto"/>
        </w:rPr>
      </w:pPr>
      <w:r>
        <w:rPr>
          <w:rFonts w:hint="eastAsia" w:ascii="仿宋" w:hAnsi="仿宋" w:eastAsia="仿宋" w:cs="仿宋"/>
          <w:color w:val="auto"/>
        </w:rPr>
        <w:t>五、免责条款</w:t>
      </w:r>
    </w:p>
    <w:p w14:paraId="58CE7192">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2DFB4D2B">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5DE71BFC">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6BB7C6D4">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7E9378C5">
      <w:pPr>
        <w:ind w:firstLine="420" w:firstLineChars="200"/>
        <w:rPr>
          <w:rFonts w:ascii="仿宋" w:hAnsi="仿宋" w:eastAsia="仿宋" w:cs="仿宋"/>
          <w:color w:val="auto"/>
        </w:rPr>
      </w:pPr>
      <w:r>
        <w:rPr>
          <w:rFonts w:hint="eastAsia" w:ascii="仿宋" w:hAnsi="仿宋" w:eastAsia="仿宋" w:cs="仿宋"/>
          <w:color w:val="auto"/>
        </w:rPr>
        <w:t>六、争议的解决</w:t>
      </w:r>
    </w:p>
    <w:p w14:paraId="7EB7C2CD">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24AF770D">
      <w:pPr>
        <w:ind w:firstLine="420" w:firstLineChars="200"/>
        <w:rPr>
          <w:rFonts w:ascii="仿宋" w:hAnsi="仿宋" w:eastAsia="仿宋" w:cs="仿宋"/>
          <w:color w:val="auto"/>
        </w:rPr>
      </w:pPr>
      <w:r>
        <w:rPr>
          <w:rFonts w:hint="eastAsia" w:ascii="仿宋" w:hAnsi="仿宋" w:eastAsia="仿宋" w:cs="仿宋"/>
          <w:color w:val="auto"/>
        </w:rPr>
        <w:t>七、保函的生效</w:t>
      </w:r>
    </w:p>
    <w:p w14:paraId="104E8AC8">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70257C2C">
      <w:pPr>
        <w:ind w:firstLine="5565" w:firstLineChars="2650"/>
        <w:rPr>
          <w:rFonts w:ascii="仿宋" w:hAnsi="仿宋" w:eastAsia="仿宋" w:cs="仿宋"/>
          <w:color w:val="auto"/>
        </w:rPr>
      </w:pPr>
      <w:r>
        <w:rPr>
          <w:rFonts w:hint="eastAsia" w:ascii="仿宋" w:hAnsi="仿宋" w:eastAsia="仿宋" w:cs="仿宋"/>
          <w:color w:val="auto"/>
        </w:rPr>
        <w:t>保证人：（公章）</w:t>
      </w:r>
    </w:p>
    <w:p w14:paraId="35CD747B">
      <w:pPr>
        <w:ind w:firstLine="5775" w:firstLineChars="2750"/>
        <w:rPr>
          <w:rFonts w:ascii="仿宋" w:hAnsi="仿宋" w:eastAsia="仿宋" w:cs="仿宋"/>
          <w:color w:val="auto"/>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color w:val="auto"/>
        </w:rPr>
        <w:t xml:space="preserve">年     月      </w:t>
      </w:r>
    </w:p>
    <w:p w14:paraId="46604535">
      <w:pPr>
        <w:pStyle w:val="4"/>
        <w:spacing w:before="0" w:line="240" w:lineRule="atLeast"/>
        <w:jc w:val="both"/>
        <w:outlineLvl w:val="9"/>
        <w:rPr>
          <w:rFonts w:hint="eastAsia" w:ascii="仿宋" w:hAnsi="仿宋" w:eastAsia="仿宋" w:cs="仿宋"/>
          <w:color w:val="auto"/>
          <w:sz w:val="24"/>
          <w:highlight w:val="none"/>
          <w:lang w:val="en-US" w:eastAsia="zh-CN"/>
        </w:rPr>
      </w:pPr>
      <w:bookmarkStart w:id="449" w:name="_Toc22967"/>
      <w:bookmarkStart w:id="450" w:name="_Toc515647816"/>
      <w:bookmarkStart w:id="451" w:name="_Toc11180"/>
    </w:p>
    <w:p w14:paraId="0ED61927">
      <w:pPr>
        <w:pStyle w:val="2"/>
        <w:ind w:left="0" w:leftChars="0" w:firstLine="0" w:firstLineChars="0"/>
        <w:rPr>
          <w:rFonts w:hint="eastAsia" w:ascii="仿宋" w:hAnsi="仿宋" w:eastAsia="仿宋" w:cs="仿宋"/>
          <w:color w:val="auto"/>
          <w:sz w:val="24"/>
        </w:rPr>
      </w:pPr>
    </w:p>
    <w:p w14:paraId="4C9A0C6A">
      <w:pPr>
        <w:rPr>
          <w:rFonts w:hint="eastAsia" w:ascii="仿宋" w:hAnsi="仿宋" w:eastAsia="仿宋" w:cs="仿宋"/>
          <w:color w:val="auto"/>
          <w:sz w:val="24"/>
        </w:rPr>
      </w:pPr>
    </w:p>
    <w:p w14:paraId="31A1FB5A">
      <w:pPr>
        <w:pStyle w:val="4"/>
        <w:spacing w:before="0" w:line="240" w:lineRule="atLeast"/>
        <w:ind w:left="1079" w:leftChars="257" w:hanging="540"/>
        <w:jc w:val="both"/>
        <w:rPr>
          <w:rFonts w:hint="eastAsia" w:ascii="仿宋" w:hAnsi="仿宋" w:eastAsia="仿宋" w:cs="仿宋"/>
          <w:b/>
          <w:bCs/>
          <w:color w:val="auto"/>
          <w:sz w:val="24"/>
        </w:rPr>
      </w:pPr>
      <w:bookmarkStart w:id="452" w:name="_Toc21320"/>
      <w:bookmarkStart w:id="453" w:name="_Toc22609"/>
      <w:bookmarkStart w:id="454" w:name="_Toc23428"/>
      <w:bookmarkStart w:id="455" w:name="_Toc11802"/>
      <w:bookmarkStart w:id="456" w:name="_Toc10926"/>
      <w:bookmarkStart w:id="457" w:name="_Toc1801"/>
      <w:bookmarkStart w:id="458" w:name="_Toc32060"/>
      <w:r>
        <w:rPr>
          <w:rFonts w:hint="eastAsia" w:ascii="仿宋" w:hAnsi="仿宋" w:eastAsia="仿宋" w:cs="仿宋"/>
          <w:b/>
          <w:color w:val="auto"/>
          <w:kern w:val="0"/>
          <w:sz w:val="24"/>
          <w:szCs w:val="20"/>
          <w:lang w:val="en-US" w:eastAsia="zh-CN" w:bidi="ar-SA"/>
        </w:rPr>
        <w:t>11、</w:t>
      </w:r>
      <w:r>
        <w:rPr>
          <w:rFonts w:hint="eastAsia" w:ascii="仿宋" w:hAnsi="仿宋" w:eastAsia="仿宋" w:cs="仿宋"/>
          <w:color w:val="auto"/>
          <w:sz w:val="24"/>
          <w:lang w:eastAsia="zh-CN"/>
        </w:rPr>
        <w:t>供应商</w:t>
      </w:r>
      <w:r>
        <w:rPr>
          <w:rFonts w:hint="eastAsia" w:ascii="仿宋" w:hAnsi="仿宋" w:eastAsia="仿宋" w:cs="仿宋"/>
          <w:color w:val="auto"/>
          <w:sz w:val="24"/>
        </w:rPr>
        <w:t>须知资料表要求的其他资格证明文件</w:t>
      </w:r>
      <w:bookmarkEnd w:id="452"/>
      <w:bookmarkEnd w:id="453"/>
      <w:bookmarkEnd w:id="454"/>
      <w:bookmarkEnd w:id="455"/>
      <w:bookmarkEnd w:id="456"/>
      <w:bookmarkEnd w:id="457"/>
      <w:bookmarkEnd w:id="458"/>
    </w:p>
    <w:p w14:paraId="717DE84E">
      <w:pPr>
        <w:spacing w:line="240" w:lineRule="atLeast"/>
        <w:ind w:left="1079" w:leftChars="257" w:hanging="540"/>
        <w:jc w:val="center"/>
        <w:rPr>
          <w:rFonts w:hint="eastAsia" w:ascii="仿宋" w:hAnsi="仿宋" w:eastAsia="仿宋" w:cs="仿宋"/>
          <w:b/>
          <w:bCs/>
          <w:color w:val="auto"/>
          <w:sz w:val="24"/>
        </w:rPr>
      </w:pPr>
    </w:p>
    <w:p w14:paraId="00BB6C7A">
      <w:pPr>
        <w:pStyle w:val="15"/>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要求的其他资格证明文件。</w:t>
      </w:r>
    </w:p>
    <w:p w14:paraId="0A027B63">
      <w:pPr>
        <w:pStyle w:val="15"/>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14:paraId="7EFB1C76">
      <w:pPr>
        <w:pStyle w:val="15"/>
        <w:tabs>
          <w:tab w:val="left" w:pos="5580"/>
        </w:tabs>
        <w:spacing w:line="240" w:lineRule="atLeast"/>
        <w:ind w:left="126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（本项目不接受联合体）如果是联合体投标，联合体各方需提供的满足招标文件要求的其他资格证明文件。</w:t>
      </w:r>
    </w:p>
    <w:p w14:paraId="5565765A">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仿宋" w:hAnsi="仿宋" w:eastAsia="仿宋" w:cs="仿宋"/>
          <w:b/>
          <w:color w:val="auto"/>
          <w:kern w:val="0"/>
          <w:sz w:val="24"/>
          <w:szCs w:val="20"/>
          <w:lang w:val="en-US" w:eastAsia="zh-CN" w:bidi="ar-SA"/>
        </w:rPr>
      </w:pPr>
    </w:p>
    <w:p w14:paraId="19D64BEC">
      <w:pPr>
        <w:rPr>
          <w:rFonts w:hint="eastAsia" w:ascii="仿宋" w:hAnsi="仿宋" w:eastAsia="仿宋" w:cs="仿宋"/>
          <w:color w:val="auto"/>
          <w:lang w:eastAsia="zh-CN"/>
        </w:rPr>
      </w:pPr>
    </w:p>
    <w:p w14:paraId="223AA8EA">
      <w:pPr>
        <w:rPr>
          <w:rFonts w:hint="eastAsia"/>
          <w:color w:val="auto"/>
        </w:rPr>
      </w:pPr>
      <w:r>
        <w:rPr>
          <w:rFonts w:hint="eastAsia" w:ascii="仿宋" w:hAnsi="仿宋" w:eastAsia="仿宋" w:cs="仿宋"/>
          <w:color w:val="auto"/>
          <w:lang w:eastAsia="zh-CN"/>
        </w:rPr>
        <w:br w:type="page"/>
      </w:r>
    </w:p>
    <w:p w14:paraId="36C1B1DA">
      <w:pPr>
        <w:pStyle w:val="26"/>
        <w:rPr>
          <w:rFonts w:hint="eastAsia"/>
          <w:color w:val="auto"/>
        </w:rPr>
      </w:pPr>
    </w:p>
    <w:p w14:paraId="7921ED13">
      <w:pPr>
        <w:pStyle w:val="4"/>
        <w:spacing w:before="0" w:line="240" w:lineRule="atLeast"/>
        <w:ind w:left="1079" w:leftChars="257" w:hanging="540"/>
        <w:rPr>
          <w:rFonts w:ascii="仿宋" w:hAnsi="仿宋" w:eastAsia="仿宋" w:cs="仿宋"/>
          <w:color w:val="auto"/>
          <w:sz w:val="24"/>
        </w:rPr>
      </w:pPr>
      <w:bookmarkStart w:id="459" w:name="_Toc9466"/>
      <w:r>
        <w:rPr>
          <w:rFonts w:hint="eastAsia" w:ascii="仿宋" w:hAnsi="仿宋" w:eastAsia="仿宋" w:cs="仿宋"/>
          <w:color w:val="auto"/>
          <w:sz w:val="24"/>
        </w:rPr>
        <w:t>第二部分  商务及技术文件</w:t>
      </w:r>
      <w:bookmarkEnd w:id="449"/>
      <w:bookmarkEnd w:id="450"/>
      <w:bookmarkEnd w:id="451"/>
      <w:bookmarkEnd w:id="459"/>
    </w:p>
    <w:p w14:paraId="26AD795F">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1、投标书（投标文件格式五）</w:t>
      </w:r>
    </w:p>
    <w:p w14:paraId="28E8B7CE">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t>2、投标保证金缴纳凭证复印件或投标担保函（见投标文件格式六）</w:t>
      </w:r>
    </w:p>
    <w:p w14:paraId="179313D4">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3、投标分项报价表（投标文件格式七）</w:t>
      </w:r>
    </w:p>
    <w:p w14:paraId="039BB3F4">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4、货物说明一览表（投标文件格式八）</w:t>
      </w:r>
    </w:p>
    <w:p w14:paraId="0B6C16EB">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5、技术规格偏离表（投标文件格式九）</w:t>
      </w:r>
    </w:p>
    <w:p w14:paraId="30D6471A">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6、商务条款偏离表（投标文件格式十）</w:t>
      </w:r>
    </w:p>
    <w:p w14:paraId="6E435D60">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中小企业</w:t>
      </w:r>
      <w:r>
        <w:rPr>
          <w:rFonts w:hint="eastAsia" w:ascii="仿宋" w:hAnsi="仿宋" w:eastAsia="仿宋" w:cs="仿宋"/>
          <w:color w:val="auto"/>
          <w:sz w:val="24"/>
        </w:rPr>
        <w:t>声明函》（投标文件格式十一）</w:t>
      </w:r>
    </w:p>
    <w:p w14:paraId="20B1E8EE">
      <w:pPr>
        <w:pStyle w:val="15"/>
        <w:ind w:left="310" w:leftChars="148" w:firstLine="228"/>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1</w:t>
      </w:r>
      <w:r>
        <w:rPr>
          <w:rFonts w:hint="eastAsia" w:ascii="仿宋" w:hAnsi="仿宋" w:eastAsia="仿宋" w:cs="仿宋"/>
          <w:color w:val="auto"/>
          <w:sz w:val="24"/>
        </w:rPr>
        <w:t>《残疾人福利性单位声明函》（投标文件格式十三）</w:t>
      </w:r>
    </w:p>
    <w:p w14:paraId="0A8DA323">
      <w:pPr>
        <w:pStyle w:val="15"/>
        <w:ind w:left="310" w:leftChars="148" w:firstLine="228"/>
        <w:rPr>
          <w:rFonts w:ascii="仿宋" w:hAnsi="仿宋" w:eastAsia="仿宋" w:cs="仿宋"/>
          <w:color w:val="auto"/>
          <w:sz w:val="24"/>
        </w:rPr>
      </w:pPr>
      <w:r>
        <w:rPr>
          <w:rFonts w:hint="eastAsia" w:ascii="仿宋" w:hAnsi="仿宋" w:eastAsia="仿宋" w:cs="仿宋"/>
          <w:color w:val="auto"/>
          <w:sz w:val="24"/>
        </w:rPr>
        <w:t>8、投标人关联单位的说明（格式自拟）</w:t>
      </w:r>
    </w:p>
    <w:p w14:paraId="6F62DD0A">
      <w:pPr>
        <w:pStyle w:val="15"/>
        <w:ind w:left="1079" w:leftChars="257" w:hanging="540"/>
        <w:rPr>
          <w:rFonts w:ascii="仿宋" w:hAnsi="仿宋" w:eastAsia="仿宋" w:cs="仿宋"/>
          <w:color w:val="auto"/>
          <w:sz w:val="24"/>
        </w:rPr>
      </w:pPr>
      <w:r>
        <w:rPr>
          <w:rFonts w:hint="eastAsia" w:ascii="仿宋" w:hAnsi="仿宋" w:eastAsia="仿宋" w:cs="仿宋"/>
          <w:color w:val="auto"/>
          <w:sz w:val="24"/>
        </w:rPr>
        <w:t>9、投标文件还应包括投标人须知第10条的所有技术文件</w:t>
      </w:r>
    </w:p>
    <w:p w14:paraId="1C1DF0E9">
      <w:pPr>
        <w:pStyle w:val="15"/>
        <w:tabs>
          <w:tab w:val="left" w:pos="5580"/>
        </w:tabs>
        <w:spacing w:line="240" w:lineRule="atLeast"/>
        <w:ind w:left="560" w:leftChars="267"/>
        <w:rPr>
          <w:rFonts w:ascii="仿宋" w:hAnsi="仿宋" w:eastAsia="仿宋" w:cs="仿宋"/>
          <w:color w:val="auto"/>
          <w:sz w:val="24"/>
        </w:rPr>
      </w:pPr>
      <w:r>
        <w:rPr>
          <w:rFonts w:hint="eastAsia" w:ascii="仿宋" w:hAnsi="仿宋" w:eastAsia="仿宋" w:cs="仿宋"/>
          <w:color w:val="auto"/>
          <w:sz w:val="24"/>
        </w:rPr>
        <w:br w:type="page"/>
      </w:r>
    </w:p>
    <w:p w14:paraId="39E9CD3A">
      <w:pPr>
        <w:pStyle w:val="4"/>
        <w:spacing w:before="0" w:line="240" w:lineRule="atLeast"/>
        <w:ind w:left="1079" w:leftChars="257" w:hanging="540"/>
        <w:rPr>
          <w:rFonts w:ascii="仿宋" w:hAnsi="仿宋" w:eastAsia="仿宋" w:cs="仿宋"/>
          <w:color w:val="auto"/>
          <w:sz w:val="24"/>
        </w:rPr>
      </w:pPr>
      <w:bookmarkStart w:id="460" w:name="_Toc14915"/>
      <w:bookmarkStart w:id="461" w:name="_Toc515647817"/>
      <w:bookmarkStart w:id="462" w:name="_Toc26240"/>
      <w:bookmarkStart w:id="463" w:name="_Toc910"/>
      <w:bookmarkStart w:id="464" w:name="_Toc29519"/>
      <w:bookmarkStart w:id="465" w:name="_Toc2041"/>
      <w:bookmarkStart w:id="466" w:name="_Toc27447"/>
      <w:bookmarkStart w:id="467" w:name="_Toc753"/>
      <w:r>
        <w:rPr>
          <w:rFonts w:hint="eastAsia" w:ascii="仿宋" w:hAnsi="仿宋" w:eastAsia="仿宋" w:cs="仿宋"/>
          <w:color w:val="auto"/>
          <w:sz w:val="24"/>
        </w:rPr>
        <w:t xml:space="preserve">1   </w:t>
      </w:r>
      <w:bookmarkStart w:id="468" w:name="_Hlt520355504"/>
      <w:bookmarkEnd w:id="468"/>
      <w:r>
        <w:rPr>
          <w:rFonts w:hint="eastAsia" w:ascii="仿宋" w:hAnsi="仿宋" w:eastAsia="仿宋" w:cs="仿宋"/>
          <w:color w:val="auto"/>
          <w:sz w:val="24"/>
        </w:rPr>
        <w:t>投标</w:t>
      </w:r>
      <w:bookmarkEnd w:id="386"/>
      <w:bookmarkEnd w:id="387"/>
      <w:r>
        <w:rPr>
          <w:rFonts w:hint="eastAsia" w:ascii="仿宋" w:hAnsi="仿宋" w:eastAsia="仿宋" w:cs="仿宋"/>
          <w:color w:val="auto"/>
          <w:sz w:val="24"/>
        </w:rPr>
        <w:t>书</w:t>
      </w:r>
      <w:bookmarkEnd w:id="388"/>
      <w:r>
        <w:rPr>
          <w:rFonts w:hint="eastAsia" w:ascii="仿宋" w:hAnsi="仿宋" w:eastAsia="仿宋" w:cs="仿宋"/>
          <w:color w:val="auto"/>
          <w:sz w:val="24"/>
        </w:rPr>
        <w:t>（投标文件格式五）</w:t>
      </w:r>
      <w:bookmarkEnd w:id="389"/>
      <w:bookmarkEnd w:id="460"/>
      <w:bookmarkEnd w:id="461"/>
      <w:bookmarkEnd w:id="462"/>
      <w:bookmarkEnd w:id="463"/>
      <w:bookmarkEnd w:id="464"/>
      <w:bookmarkEnd w:id="465"/>
      <w:bookmarkEnd w:id="466"/>
      <w:bookmarkEnd w:id="467"/>
    </w:p>
    <w:p w14:paraId="3E6393EE">
      <w:pPr>
        <w:tabs>
          <w:tab w:val="left" w:pos="5580"/>
        </w:tabs>
        <w:spacing w:line="240" w:lineRule="atLeast"/>
        <w:ind w:left="1079" w:leftChars="257" w:hanging="540"/>
        <w:rPr>
          <w:rFonts w:ascii="仿宋" w:hAnsi="仿宋" w:eastAsia="仿宋" w:cs="仿宋"/>
          <w:color w:val="auto"/>
          <w:sz w:val="24"/>
        </w:rPr>
      </w:pPr>
    </w:p>
    <w:p w14:paraId="1E4BBB22">
      <w:pPr>
        <w:tabs>
          <w:tab w:val="left" w:pos="5580"/>
        </w:tabs>
        <w:spacing w:line="240" w:lineRule="atLeast"/>
        <w:ind w:left="1080" w:hanging="108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14:paraId="3B514F3D">
      <w:pPr>
        <w:pStyle w:val="15"/>
        <w:tabs>
          <w:tab w:val="left" w:pos="5580"/>
        </w:tabs>
        <w:spacing w:line="240" w:lineRule="atLeast"/>
        <w:ind w:left="1079" w:leftChars="257" w:hanging="540"/>
        <w:rPr>
          <w:rFonts w:ascii="仿宋" w:hAnsi="仿宋" w:eastAsia="仿宋" w:cs="仿宋"/>
          <w:color w:val="auto"/>
          <w:sz w:val="24"/>
        </w:rPr>
      </w:pPr>
    </w:p>
    <w:p w14:paraId="367F08BD">
      <w:pPr>
        <w:pStyle w:val="15"/>
        <w:tabs>
          <w:tab w:val="left" w:pos="5580"/>
        </w:tabs>
        <w:spacing w:line="240" w:lineRule="atLeast"/>
        <w:ind w:left="2" w:leftChars="1" w:firstLine="480" w:firstLineChars="200"/>
        <w:rPr>
          <w:rFonts w:ascii="仿宋" w:hAnsi="仿宋" w:eastAsia="仿宋" w:cs="仿宋"/>
          <w:color w:val="auto"/>
          <w:sz w:val="24"/>
        </w:rPr>
      </w:pPr>
      <w:r>
        <w:rPr>
          <w:rFonts w:hint="eastAsia" w:ascii="仿宋" w:hAnsi="仿宋" w:eastAsia="仿宋" w:cs="仿宋"/>
          <w:color w:val="auto"/>
          <w:sz w:val="24"/>
        </w:rPr>
        <w:t>根据贵方（采购项目名称) 项目的投标邀请(</w:t>
      </w:r>
      <w:r>
        <w:rPr>
          <w:rFonts w:hint="eastAsia" w:ascii="仿宋" w:hAnsi="仿宋" w:eastAsia="仿宋" w:cs="仿宋"/>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名称、地址</w:t>
      </w:r>
      <w:r>
        <w:rPr>
          <w:rFonts w:hint="eastAsia" w:ascii="仿宋" w:hAnsi="仿宋" w:eastAsia="仿宋" w:cs="仿宋"/>
          <w:color w:val="auto"/>
          <w:sz w:val="24"/>
        </w:rPr>
        <w:t>）提交下述文件正本份、副本份及电子文档份，并出具的金额为人民币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14:paraId="205D87C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据此，签字代表宣布如下：</w:t>
      </w:r>
    </w:p>
    <w:p w14:paraId="2F65089A">
      <w:pPr>
        <w:pStyle w:val="15"/>
        <w:tabs>
          <w:tab w:val="left" w:pos="720"/>
          <w:tab w:val="left" w:pos="900"/>
        </w:tabs>
        <w:spacing w:line="240" w:lineRule="atLeast"/>
        <w:ind w:left="768" w:leftChars="257" w:hanging="229"/>
        <w:rPr>
          <w:rFonts w:ascii="仿宋" w:hAnsi="仿宋" w:eastAsia="仿宋" w:cs="仿宋"/>
          <w:color w:val="auto"/>
          <w:sz w:val="24"/>
        </w:rPr>
      </w:pPr>
      <w:r>
        <w:rPr>
          <w:rFonts w:hint="eastAsia" w:ascii="仿宋" w:hAnsi="仿宋" w:eastAsia="仿宋" w:cs="仿宋"/>
          <w:color w:val="auto"/>
          <w:sz w:val="24"/>
        </w:rPr>
        <w:t>（1）附投标书报价中规定的投标总价详见开标一览表，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（用文字和数字表示），占投标价的‥</w:t>
      </w:r>
      <w:r>
        <w:rPr>
          <w:rFonts w:hint="eastAsia" w:ascii="仿宋" w:hAnsi="仿宋" w:eastAsia="仿宋" w:cs="仿宋"/>
          <w:color w:val="auto"/>
          <w:sz w:val="24"/>
        </w:rPr>
        <w:t>%</w:t>
      </w:r>
    </w:p>
    <w:p w14:paraId="53CA1829">
      <w:pPr>
        <w:pStyle w:val="15"/>
        <w:tabs>
          <w:tab w:val="left" w:pos="720"/>
          <w:tab w:val="left" w:pos="900"/>
        </w:tabs>
        <w:spacing w:line="240" w:lineRule="atLeast"/>
        <w:ind w:left="768" w:leftChars="257" w:hanging="229"/>
        <w:rPr>
          <w:rFonts w:ascii="仿宋" w:hAnsi="仿宋" w:eastAsia="仿宋" w:cs="仿宋"/>
          <w:color w:val="auto"/>
          <w:sz w:val="24"/>
          <w:u w:val="single"/>
        </w:rPr>
      </w:pPr>
      <w:r>
        <w:rPr>
          <w:rFonts w:hint="eastAsia" w:ascii="仿宋" w:hAnsi="仿宋" w:eastAsia="仿宋" w:cs="仿宋"/>
          <w:color w:val="auto"/>
          <w:sz w:val="24"/>
        </w:rPr>
        <w:t>（2）本投标有效期为投标截止之日起个日历日。</w:t>
      </w:r>
    </w:p>
    <w:p w14:paraId="0FF88EC6">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14:paraId="3E9059D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（4）已详细审查全部招标文件，包括所有补充通知（如果有的话），完全理解并同意放弃对这方面有不明、误解和质疑的权力。</w:t>
      </w:r>
    </w:p>
    <w:p w14:paraId="6726ED5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（5）在规定的开标时间后，遵守招标文件中有关保证金的规定。</w:t>
      </w:r>
    </w:p>
    <w:p w14:paraId="54D607AD">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14:paraId="5529053E">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（7）在领取中标通知书的同时按招标文件规定的形式，向贵方一次性支付中标服务费。</w:t>
      </w:r>
    </w:p>
    <w:p w14:paraId="3BBD7600">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14:paraId="4F7F7A89">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（9）按照招标文件的规定履行合同责任和义务。</w:t>
      </w:r>
    </w:p>
    <w:p w14:paraId="50BEA0CD">
      <w:pPr>
        <w:pStyle w:val="15"/>
        <w:tabs>
          <w:tab w:val="left" w:pos="5580"/>
        </w:tabs>
        <w:spacing w:line="240" w:lineRule="atLeast"/>
        <w:ind w:left="358" w:leftChars="68" w:hanging="216" w:hangingChars="90"/>
        <w:rPr>
          <w:rFonts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14:paraId="4F8B46C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地址     传真</w:t>
      </w:r>
    </w:p>
    <w:p w14:paraId="571F22E7">
      <w:pPr>
        <w:pStyle w:val="15"/>
        <w:tabs>
          <w:tab w:val="left" w:pos="5580"/>
        </w:tabs>
        <w:spacing w:line="240" w:lineRule="atLeast"/>
        <w:ind w:left="1079" w:leftChars="257" w:hanging="540"/>
        <w:rPr>
          <w:rFonts w:ascii="仿宋" w:hAnsi="仿宋" w:eastAsia="仿宋" w:cs="仿宋"/>
          <w:b/>
          <w:color w:val="auto"/>
          <w:sz w:val="24"/>
        </w:rPr>
      </w:pPr>
      <w:r>
        <w:rPr>
          <w:rFonts w:hint="eastAsia" w:ascii="仿宋" w:hAnsi="仿宋" w:eastAsia="仿宋" w:cs="仿宋"/>
          <w:color w:val="auto"/>
          <w:sz w:val="24"/>
        </w:rPr>
        <w:t>电话     电子函件</w:t>
      </w:r>
    </w:p>
    <w:p w14:paraId="7D368FFC">
      <w:pPr>
        <w:pStyle w:val="15"/>
        <w:tabs>
          <w:tab w:val="left" w:pos="5580"/>
        </w:tabs>
        <w:spacing w:line="240" w:lineRule="atLeast"/>
        <w:ind w:left="1079" w:leftChars="257" w:hanging="540"/>
        <w:rPr>
          <w:rFonts w:ascii="仿宋" w:hAnsi="仿宋" w:eastAsia="仿宋" w:cs="仿宋"/>
          <w:color w:val="auto"/>
          <w:sz w:val="24"/>
        </w:rPr>
      </w:pPr>
    </w:p>
    <w:p w14:paraId="1BA01C52">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p>
    <w:p w14:paraId="7A758A8E">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投标人名称（全称）-----------------</w:t>
      </w:r>
    </w:p>
    <w:p w14:paraId="3BA16E19">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14:paraId="319B7B9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14:paraId="41A74D8C">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投标人单位章-------------------------</w:t>
      </w:r>
    </w:p>
    <w:p w14:paraId="35EE3B9D">
      <w:pPr>
        <w:pStyle w:val="15"/>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日期-------------------------------</w:t>
      </w:r>
    </w:p>
    <w:p w14:paraId="6D01A906">
      <w:pPr>
        <w:pStyle w:val="4"/>
        <w:spacing w:before="0"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br w:type="page"/>
      </w:r>
      <w:bookmarkStart w:id="469" w:name="_Toc23473"/>
      <w:bookmarkStart w:id="470" w:name="_Toc7587"/>
      <w:bookmarkStart w:id="471" w:name="_Toc1266"/>
      <w:bookmarkStart w:id="472" w:name="_Toc14394"/>
      <w:bookmarkStart w:id="473" w:name="_Toc30021"/>
      <w:bookmarkStart w:id="474" w:name="_Toc10222"/>
      <w:bookmarkStart w:id="475" w:name="_Toc2223"/>
      <w:r>
        <w:rPr>
          <w:rFonts w:hint="eastAsia" w:ascii="仿宋" w:hAnsi="仿宋" w:eastAsia="仿宋" w:cs="仿宋"/>
          <w:color w:val="auto"/>
          <w:sz w:val="24"/>
        </w:rPr>
        <w:t>2   投标保证金缴纳凭证复印件或投标担保函</w:t>
      </w:r>
      <w:bookmarkEnd w:id="469"/>
      <w:bookmarkEnd w:id="470"/>
      <w:bookmarkEnd w:id="471"/>
      <w:bookmarkEnd w:id="472"/>
      <w:bookmarkEnd w:id="473"/>
      <w:bookmarkEnd w:id="474"/>
      <w:bookmarkEnd w:id="475"/>
    </w:p>
    <w:p w14:paraId="352A4D25">
      <w:pPr>
        <w:ind w:firstLine="420" w:firstLineChars="200"/>
        <w:rPr>
          <w:rFonts w:ascii="仿宋" w:hAnsi="仿宋" w:eastAsia="仿宋" w:cs="仿宋"/>
          <w:color w:val="auto"/>
          <w:sz w:val="24"/>
        </w:rPr>
      </w:pPr>
      <w:r>
        <w:rPr>
          <w:rFonts w:hint="eastAsia" w:ascii="仿宋" w:hAnsi="仿宋" w:eastAsia="仿宋" w:cs="仿宋"/>
          <w:b/>
          <w:bCs/>
          <w:color w:val="auto"/>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color w:val="auto"/>
        </w:rPr>
        <w:t>使用银行保函等其他投标担保函的，应将担保函正本，装订在本部分正本中；如采用政府采购信用担保形式的，应使用政府采购投标担保函（投标文件格式六）,将原件装订在本部分正本中。</w:t>
      </w: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66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0C739DD9">
            <w:pPr>
              <w:rPr>
                <w:rFonts w:ascii="仿宋" w:hAnsi="仿宋" w:eastAsia="仿宋" w:cs="仿宋"/>
                <w:b/>
                <w:bCs/>
                <w:color w:val="auto"/>
                <w:sz w:val="30"/>
                <w:szCs w:val="30"/>
              </w:rPr>
            </w:pPr>
          </w:p>
          <w:p w14:paraId="386B032B">
            <w:pPr>
              <w:jc w:val="both"/>
              <w:rPr>
                <w:rFonts w:ascii="仿宋" w:hAnsi="仿宋" w:eastAsia="仿宋" w:cs="仿宋"/>
                <w:b/>
                <w:bCs/>
                <w:color w:val="auto"/>
                <w:sz w:val="30"/>
                <w:szCs w:val="30"/>
              </w:rPr>
            </w:pPr>
          </w:p>
          <w:p w14:paraId="73CE62FF">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投标保证金有效打款凭证或收据</w:t>
            </w:r>
          </w:p>
        </w:tc>
      </w:tr>
    </w:tbl>
    <w:p w14:paraId="50BA726B">
      <w:pPr>
        <w:jc w:val="both"/>
        <w:rPr>
          <w:rFonts w:hint="eastAsia" w:ascii="仿宋" w:hAnsi="仿宋" w:eastAsia="仿宋" w:cs="仿宋"/>
          <w:color w:val="auto"/>
          <w:sz w:val="28"/>
          <w:szCs w:val="28"/>
        </w:rPr>
      </w:pPr>
    </w:p>
    <w:p w14:paraId="0C879A01">
      <w:pPr>
        <w:jc w:val="center"/>
        <w:rPr>
          <w:rFonts w:hint="eastAsia" w:ascii="仿宋" w:hAnsi="仿宋" w:eastAsia="仿宋" w:cs="仿宋"/>
          <w:color w:val="auto"/>
          <w:sz w:val="28"/>
          <w:szCs w:val="28"/>
        </w:rPr>
      </w:pPr>
    </w:p>
    <w:p w14:paraId="2A0480FF">
      <w:pPr>
        <w:jc w:val="center"/>
        <w:rPr>
          <w:rFonts w:hint="eastAsia" w:ascii="仿宋" w:hAnsi="仿宋" w:eastAsia="仿宋" w:cs="仿宋"/>
          <w:color w:val="auto"/>
          <w:sz w:val="28"/>
          <w:szCs w:val="28"/>
        </w:rPr>
      </w:pPr>
    </w:p>
    <w:p w14:paraId="07B78E6D">
      <w:pPr>
        <w:jc w:val="center"/>
        <w:rPr>
          <w:rFonts w:hint="eastAsia" w:ascii="仿宋" w:hAnsi="仿宋" w:eastAsia="仿宋" w:cs="仿宋"/>
          <w:color w:val="auto"/>
          <w:sz w:val="28"/>
          <w:szCs w:val="28"/>
        </w:rPr>
      </w:pPr>
    </w:p>
    <w:p w14:paraId="41F2BF11">
      <w:pPr>
        <w:jc w:val="center"/>
        <w:rPr>
          <w:rFonts w:hint="eastAsia" w:ascii="仿宋" w:hAnsi="仿宋" w:eastAsia="仿宋" w:cs="仿宋"/>
          <w:color w:val="auto"/>
          <w:sz w:val="28"/>
          <w:szCs w:val="28"/>
        </w:rPr>
      </w:pPr>
    </w:p>
    <w:p w14:paraId="0F981191">
      <w:pPr>
        <w:jc w:val="center"/>
        <w:rPr>
          <w:rFonts w:hint="eastAsia" w:ascii="仿宋" w:hAnsi="仿宋" w:eastAsia="仿宋" w:cs="仿宋"/>
          <w:color w:val="auto"/>
          <w:sz w:val="28"/>
          <w:szCs w:val="28"/>
        </w:rPr>
      </w:pPr>
    </w:p>
    <w:p w14:paraId="68ED37DC">
      <w:pPr>
        <w:jc w:val="center"/>
        <w:rPr>
          <w:rFonts w:hint="eastAsia" w:ascii="仿宋" w:hAnsi="仿宋" w:eastAsia="仿宋" w:cs="仿宋"/>
          <w:color w:val="auto"/>
          <w:sz w:val="28"/>
          <w:szCs w:val="28"/>
        </w:rPr>
      </w:pPr>
    </w:p>
    <w:p w14:paraId="227E7D88">
      <w:pPr>
        <w:jc w:val="center"/>
        <w:rPr>
          <w:rFonts w:hint="eastAsia" w:ascii="仿宋" w:hAnsi="仿宋" w:eastAsia="仿宋" w:cs="仿宋"/>
          <w:color w:val="auto"/>
          <w:sz w:val="28"/>
          <w:szCs w:val="28"/>
        </w:rPr>
      </w:pPr>
    </w:p>
    <w:p w14:paraId="6B31BF57">
      <w:pPr>
        <w:jc w:val="center"/>
        <w:rPr>
          <w:rFonts w:hint="eastAsia" w:ascii="仿宋" w:hAnsi="仿宋" w:eastAsia="仿宋" w:cs="仿宋"/>
          <w:color w:val="auto"/>
          <w:sz w:val="28"/>
          <w:szCs w:val="28"/>
        </w:rPr>
      </w:pPr>
    </w:p>
    <w:p w14:paraId="53A284D2">
      <w:pPr>
        <w:jc w:val="center"/>
        <w:rPr>
          <w:rFonts w:hint="eastAsia" w:ascii="仿宋" w:hAnsi="仿宋" w:eastAsia="仿宋" w:cs="仿宋"/>
          <w:color w:val="auto"/>
          <w:sz w:val="28"/>
          <w:szCs w:val="28"/>
        </w:rPr>
      </w:pPr>
    </w:p>
    <w:p w14:paraId="7585EC45">
      <w:pPr>
        <w:jc w:val="center"/>
        <w:rPr>
          <w:rFonts w:hint="eastAsia" w:ascii="仿宋" w:hAnsi="仿宋" w:eastAsia="仿宋" w:cs="仿宋"/>
          <w:color w:val="auto"/>
          <w:sz w:val="28"/>
          <w:szCs w:val="28"/>
        </w:rPr>
      </w:pPr>
    </w:p>
    <w:p w14:paraId="3150E457">
      <w:pPr>
        <w:jc w:val="center"/>
        <w:rPr>
          <w:rFonts w:hint="eastAsia" w:ascii="仿宋" w:hAnsi="仿宋" w:eastAsia="仿宋" w:cs="仿宋"/>
          <w:color w:val="auto"/>
          <w:sz w:val="28"/>
          <w:szCs w:val="28"/>
        </w:rPr>
      </w:pPr>
    </w:p>
    <w:p w14:paraId="2768DDDB">
      <w:pPr>
        <w:jc w:val="center"/>
        <w:rPr>
          <w:rFonts w:hint="eastAsia" w:ascii="仿宋" w:hAnsi="仿宋" w:eastAsia="仿宋" w:cs="仿宋"/>
          <w:color w:val="auto"/>
          <w:sz w:val="28"/>
          <w:szCs w:val="28"/>
        </w:rPr>
      </w:pPr>
    </w:p>
    <w:p w14:paraId="415AF4E6">
      <w:pPr>
        <w:jc w:val="both"/>
        <w:rPr>
          <w:rFonts w:hint="eastAsia" w:ascii="仿宋" w:hAnsi="仿宋" w:eastAsia="仿宋" w:cs="仿宋"/>
          <w:color w:val="auto"/>
          <w:sz w:val="28"/>
          <w:szCs w:val="28"/>
        </w:rPr>
      </w:pPr>
    </w:p>
    <w:p w14:paraId="08BB6288">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（项目用）（投标文件格式六）</w:t>
      </w:r>
    </w:p>
    <w:p w14:paraId="17ECD051">
      <w:pPr>
        <w:ind w:firstLine="6720" w:firstLineChars="3200"/>
        <w:rPr>
          <w:rFonts w:ascii="仿宋" w:hAnsi="仿宋" w:eastAsia="仿宋" w:cs="仿宋"/>
          <w:color w:val="auto"/>
        </w:rPr>
      </w:pPr>
      <w:r>
        <w:rPr>
          <w:rFonts w:hint="eastAsia" w:ascii="仿宋" w:hAnsi="仿宋" w:eastAsia="仿宋" w:cs="仿宋"/>
          <w:color w:val="auto"/>
        </w:rPr>
        <w:t>编号：</w:t>
      </w:r>
    </w:p>
    <w:p w14:paraId="597525FD">
      <w:pPr>
        <w:rPr>
          <w:rFonts w:ascii="仿宋" w:hAnsi="仿宋" w:eastAsia="仿宋" w:cs="仿宋"/>
          <w:color w:val="auto"/>
        </w:rPr>
      </w:pPr>
      <w:r>
        <w:rPr>
          <w:rFonts w:hint="eastAsia" w:ascii="仿宋" w:hAnsi="仿宋" w:eastAsia="仿宋" w:cs="仿宋"/>
          <w:color w:val="auto"/>
        </w:rPr>
        <w:t>（采购人或采购代理机构）：</w:t>
      </w:r>
    </w:p>
    <w:p w14:paraId="31B455D1">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6EBEF9B1">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69DC12E">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62F09FDD">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7F89DC96">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40289B66">
      <w:pPr>
        <w:ind w:firstLine="420" w:firstLineChars="200"/>
        <w:outlineLvl w:val="1"/>
        <w:rPr>
          <w:rFonts w:ascii="仿宋" w:hAnsi="仿宋" w:eastAsia="仿宋" w:cs="仿宋"/>
          <w:color w:val="auto"/>
        </w:rPr>
      </w:pPr>
      <w:bookmarkStart w:id="476" w:name="_Toc3055"/>
      <w:bookmarkStart w:id="477" w:name="_Toc8781"/>
      <w:bookmarkStart w:id="478" w:name="_Toc25274"/>
      <w:r>
        <w:rPr>
          <w:rFonts w:hint="eastAsia" w:ascii="仿宋" w:hAnsi="仿宋" w:eastAsia="仿宋" w:cs="仿宋"/>
          <w:color w:val="auto"/>
        </w:rPr>
        <w:t>2．招标文件规定的投标人应当缴纳保证金的其他情形。</w:t>
      </w:r>
      <w:bookmarkEnd w:id="476"/>
      <w:bookmarkEnd w:id="477"/>
      <w:bookmarkEnd w:id="478"/>
    </w:p>
    <w:p w14:paraId="40BE64B5">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365989CA">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0733389E">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5EDF7F7E">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5EC8C4E6">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32877F75">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3DA6F77">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F5A5103">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540EE2B7">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241E4F1F">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77032EF8">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09602BC">
      <w:pPr>
        <w:ind w:firstLine="420" w:firstLineChars="200"/>
        <w:rPr>
          <w:rFonts w:ascii="仿宋" w:hAnsi="仿宋" w:eastAsia="仿宋" w:cs="仿宋"/>
          <w:color w:val="auto"/>
        </w:rPr>
      </w:pPr>
      <w:r>
        <w:rPr>
          <w:rFonts w:hint="eastAsia" w:ascii="仿宋" w:hAnsi="仿宋" w:eastAsia="仿宋" w:cs="仿宋"/>
          <w:color w:val="auto"/>
        </w:rPr>
        <w:t>五、免责条款</w:t>
      </w:r>
    </w:p>
    <w:p w14:paraId="4FA5B799">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0DBD1A60">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2CB0628E">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5563C207">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2AE872CA">
      <w:pPr>
        <w:ind w:firstLine="420" w:firstLineChars="200"/>
        <w:rPr>
          <w:rFonts w:ascii="仿宋" w:hAnsi="仿宋" w:eastAsia="仿宋" w:cs="仿宋"/>
          <w:color w:val="auto"/>
        </w:rPr>
      </w:pPr>
      <w:r>
        <w:rPr>
          <w:rFonts w:hint="eastAsia" w:ascii="仿宋" w:hAnsi="仿宋" w:eastAsia="仿宋" w:cs="仿宋"/>
          <w:color w:val="auto"/>
        </w:rPr>
        <w:t>六、争议的解决</w:t>
      </w:r>
    </w:p>
    <w:p w14:paraId="41C5154A">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72114B28">
      <w:pPr>
        <w:ind w:firstLine="420" w:firstLineChars="200"/>
        <w:rPr>
          <w:rFonts w:ascii="仿宋" w:hAnsi="仿宋" w:eastAsia="仿宋" w:cs="仿宋"/>
          <w:color w:val="auto"/>
        </w:rPr>
      </w:pPr>
      <w:r>
        <w:rPr>
          <w:rFonts w:hint="eastAsia" w:ascii="仿宋" w:hAnsi="仿宋" w:eastAsia="仿宋" w:cs="仿宋"/>
          <w:color w:val="auto"/>
        </w:rPr>
        <w:t>七、保函的生效</w:t>
      </w:r>
    </w:p>
    <w:p w14:paraId="039DBDB3">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5274AC5F">
      <w:pPr>
        <w:ind w:firstLine="5565" w:firstLineChars="2650"/>
        <w:rPr>
          <w:rFonts w:ascii="仿宋" w:hAnsi="仿宋" w:eastAsia="仿宋" w:cs="仿宋"/>
          <w:color w:val="auto"/>
        </w:rPr>
      </w:pPr>
      <w:r>
        <w:rPr>
          <w:rFonts w:hint="eastAsia" w:ascii="仿宋" w:hAnsi="仿宋" w:eastAsia="仿宋" w:cs="仿宋"/>
          <w:color w:val="auto"/>
        </w:rPr>
        <w:t>保证人：（公章）</w:t>
      </w:r>
    </w:p>
    <w:p w14:paraId="79EEB39D">
      <w:pPr>
        <w:ind w:firstLine="5775" w:firstLineChars="2750"/>
        <w:rPr>
          <w:rFonts w:ascii="仿宋" w:hAnsi="仿宋" w:eastAsia="仿宋" w:cs="仿宋"/>
          <w:color w:val="auto"/>
        </w:rPr>
      </w:pPr>
      <w:r>
        <w:rPr>
          <w:rFonts w:hint="eastAsia" w:ascii="仿宋" w:hAnsi="仿宋" w:eastAsia="仿宋" w:cs="仿宋"/>
          <w:color w:val="auto"/>
        </w:rPr>
        <w:t>年     月      日</w:t>
      </w:r>
    </w:p>
    <w:p w14:paraId="1BE74E0B">
      <w:pPr>
        <w:pStyle w:val="15"/>
        <w:tabs>
          <w:tab w:val="left" w:pos="5580"/>
        </w:tabs>
        <w:spacing w:line="240" w:lineRule="atLeast"/>
        <w:ind w:left="1079" w:leftChars="257" w:hanging="540"/>
        <w:rPr>
          <w:rFonts w:ascii="仿宋" w:hAnsi="仿宋" w:eastAsia="仿宋" w:cs="仿宋"/>
          <w:color w:val="auto"/>
          <w:sz w:val="24"/>
        </w:rPr>
        <w:sectPr>
          <w:footerReference r:id="rId5" w:type="default"/>
          <w:pgSz w:w="11906" w:h="16838"/>
          <w:pgMar w:top="1440" w:right="1797" w:bottom="1440" w:left="1797" w:header="851" w:footer="992" w:gutter="0"/>
          <w:cols w:space="720" w:num="1"/>
          <w:docGrid w:type="linesAndChars" w:linePitch="312" w:charSpace="0"/>
        </w:sectPr>
      </w:pPr>
      <w:bookmarkStart w:id="479" w:name="_Hlt520355938"/>
      <w:bookmarkEnd w:id="479"/>
      <w:bookmarkStart w:id="480" w:name="_Hlt520356243"/>
      <w:bookmarkEnd w:id="480"/>
    </w:p>
    <w:p w14:paraId="3F13A650">
      <w:pPr>
        <w:pStyle w:val="4"/>
        <w:spacing w:before="0" w:line="240" w:lineRule="atLeast"/>
        <w:ind w:left="1080" w:leftChars="257" w:hanging="540"/>
        <w:rPr>
          <w:rFonts w:ascii="仿宋" w:hAnsi="仿宋" w:eastAsia="仿宋" w:cs="仿宋"/>
          <w:color w:val="auto"/>
          <w:sz w:val="24"/>
        </w:rPr>
      </w:pPr>
      <w:bookmarkStart w:id="481" w:name="_Toc216582815"/>
      <w:bookmarkStart w:id="482" w:name="_Toc30631"/>
      <w:bookmarkStart w:id="483" w:name="_Toc20897"/>
      <w:bookmarkStart w:id="484" w:name="_Toc1881"/>
      <w:bookmarkStart w:id="485" w:name="_Toc28063"/>
      <w:bookmarkStart w:id="486" w:name="_Toc18922"/>
      <w:bookmarkStart w:id="487" w:name="_Toc13956"/>
      <w:bookmarkStart w:id="488" w:name="_Toc515647818"/>
      <w:bookmarkStart w:id="489" w:name="_Toc4580"/>
      <w:bookmarkStart w:id="490" w:name="_Toc216582817"/>
      <w:bookmarkStart w:id="491" w:name="_Toc28959"/>
      <w:bookmarkStart w:id="492" w:name="_Toc22563"/>
      <w:bookmarkStart w:id="493" w:name="_Toc515647820"/>
      <w:r>
        <w:rPr>
          <w:rFonts w:hint="eastAsia" w:ascii="仿宋" w:hAnsi="仿宋" w:eastAsia="仿宋" w:cs="仿宋"/>
          <w:color w:val="auto"/>
          <w:sz w:val="24"/>
        </w:rPr>
        <w:t>3   投标分项报价表</w:t>
      </w:r>
      <w:bookmarkEnd w:id="481"/>
      <w:r>
        <w:rPr>
          <w:rFonts w:hint="eastAsia" w:ascii="仿宋" w:hAnsi="仿宋" w:eastAsia="仿宋" w:cs="仿宋"/>
          <w:color w:val="auto"/>
          <w:sz w:val="24"/>
        </w:rPr>
        <w:t>（投标文件格式七）</w:t>
      </w:r>
      <w:bookmarkEnd w:id="482"/>
      <w:bookmarkEnd w:id="483"/>
      <w:bookmarkEnd w:id="484"/>
      <w:bookmarkEnd w:id="485"/>
      <w:bookmarkEnd w:id="486"/>
      <w:bookmarkEnd w:id="487"/>
      <w:bookmarkEnd w:id="488"/>
      <w:bookmarkEnd w:id="489"/>
    </w:p>
    <w:p w14:paraId="1BC57C39">
      <w:pPr>
        <w:pStyle w:val="15"/>
        <w:spacing w:line="240" w:lineRule="atLeast"/>
        <w:ind w:left="1080" w:leftChars="257" w:hanging="540"/>
        <w:rPr>
          <w:rFonts w:ascii="仿宋" w:hAnsi="仿宋" w:eastAsia="仿宋" w:cs="仿宋"/>
          <w:color w:val="auto"/>
          <w:sz w:val="24"/>
        </w:rPr>
      </w:pPr>
    </w:p>
    <w:p w14:paraId="1639DB6A">
      <w:pPr>
        <w:pStyle w:val="15"/>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报价单位：人民币万元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40"/>
        <w:gridCol w:w="1890"/>
        <w:gridCol w:w="1520"/>
        <w:gridCol w:w="1310"/>
        <w:gridCol w:w="1619"/>
        <w:gridCol w:w="1177"/>
        <w:gridCol w:w="1717"/>
        <w:gridCol w:w="976"/>
      </w:tblGrid>
      <w:tr w14:paraId="5D5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14:paraId="31D72EFF">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序号</w:t>
            </w:r>
          </w:p>
        </w:tc>
        <w:tc>
          <w:tcPr>
            <w:tcW w:w="1940" w:type="dxa"/>
            <w:noWrap/>
            <w:vAlign w:val="center"/>
          </w:tcPr>
          <w:p w14:paraId="20739921">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名称</w:t>
            </w:r>
          </w:p>
        </w:tc>
        <w:tc>
          <w:tcPr>
            <w:tcW w:w="1890" w:type="dxa"/>
            <w:noWrap/>
            <w:vAlign w:val="center"/>
          </w:tcPr>
          <w:p w14:paraId="2BB5A3C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型号和规格</w:t>
            </w:r>
          </w:p>
        </w:tc>
        <w:tc>
          <w:tcPr>
            <w:tcW w:w="1520" w:type="dxa"/>
            <w:noWrap/>
            <w:vAlign w:val="center"/>
          </w:tcPr>
          <w:p w14:paraId="3DF2B736">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数量</w:t>
            </w:r>
          </w:p>
        </w:tc>
        <w:tc>
          <w:tcPr>
            <w:tcW w:w="1310" w:type="dxa"/>
            <w:noWrap/>
            <w:vAlign w:val="center"/>
          </w:tcPr>
          <w:p w14:paraId="38441A13">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原产地</w:t>
            </w:r>
          </w:p>
        </w:tc>
        <w:tc>
          <w:tcPr>
            <w:tcW w:w="1619" w:type="dxa"/>
            <w:noWrap/>
            <w:vAlign w:val="center"/>
          </w:tcPr>
          <w:p w14:paraId="0DD5D1A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制造商名称</w:t>
            </w:r>
          </w:p>
        </w:tc>
        <w:tc>
          <w:tcPr>
            <w:tcW w:w="1177" w:type="dxa"/>
            <w:noWrap/>
            <w:vAlign w:val="center"/>
          </w:tcPr>
          <w:p w14:paraId="45820E4D">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单价</w:t>
            </w:r>
          </w:p>
        </w:tc>
        <w:tc>
          <w:tcPr>
            <w:tcW w:w="1717" w:type="dxa"/>
            <w:noWrap/>
            <w:vAlign w:val="center"/>
          </w:tcPr>
          <w:p w14:paraId="53785F1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总价</w:t>
            </w:r>
          </w:p>
        </w:tc>
        <w:tc>
          <w:tcPr>
            <w:tcW w:w="976" w:type="dxa"/>
            <w:noWrap/>
            <w:vAlign w:val="center"/>
          </w:tcPr>
          <w:p w14:paraId="25F0F4E2">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07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14:paraId="20413E41">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1.</w:t>
            </w:r>
          </w:p>
        </w:tc>
        <w:tc>
          <w:tcPr>
            <w:tcW w:w="1940" w:type="dxa"/>
            <w:noWrap/>
            <w:vAlign w:val="center"/>
          </w:tcPr>
          <w:p w14:paraId="1C183879">
            <w:pPr>
              <w:pStyle w:val="15"/>
              <w:spacing w:line="240" w:lineRule="atLeast"/>
              <w:jc w:val="center"/>
              <w:rPr>
                <w:rFonts w:ascii="仿宋" w:hAnsi="仿宋" w:eastAsia="仿宋" w:cs="仿宋"/>
                <w:color w:val="auto"/>
                <w:sz w:val="24"/>
              </w:rPr>
            </w:pPr>
          </w:p>
        </w:tc>
        <w:tc>
          <w:tcPr>
            <w:tcW w:w="1890" w:type="dxa"/>
            <w:noWrap/>
            <w:vAlign w:val="center"/>
          </w:tcPr>
          <w:p w14:paraId="487E7AD3">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6F953E67">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2588E2F">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68FBF648">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7DA2123E">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53BD536E">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463124EB">
            <w:pPr>
              <w:pStyle w:val="15"/>
              <w:spacing w:line="240" w:lineRule="atLeast"/>
              <w:ind w:left="1080" w:leftChars="257" w:hanging="540"/>
              <w:jc w:val="center"/>
              <w:rPr>
                <w:rFonts w:ascii="仿宋" w:hAnsi="仿宋" w:eastAsia="仿宋" w:cs="仿宋"/>
                <w:color w:val="auto"/>
                <w:sz w:val="24"/>
              </w:rPr>
            </w:pPr>
          </w:p>
        </w:tc>
      </w:tr>
      <w:tr w14:paraId="14DA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8F9D14C">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2.</w:t>
            </w:r>
          </w:p>
        </w:tc>
        <w:tc>
          <w:tcPr>
            <w:tcW w:w="1940" w:type="dxa"/>
            <w:noWrap/>
            <w:vAlign w:val="center"/>
          </w:tcPr>
          <w:p w14:paraId="3FB5DF1E">
            <w:pPr>
              <w:pStyle w:val="15"/>
              <w:spacing w:line="240" w:lineRule="atLeast"/>
              <w:jc w:val="center"/>
              <w:rPr>
                <w:rFonts w:ascii="仿宋" w:hAnsi="仿宋" w:eastAsia="仿宋" w:cs="仿宋"/>
                <w:color w:val="auto"/>
                <w:sz w:val="24"/>
              </w:rPr>
            </w:pPr>
          </w:p>
        </w:tc>
        <w:tc>
          <w:tcPr>
            <w:tcW w:w="1890" w:type="dxa"/>
            <w:noWrap/>
            <w:vAlign w:val="center"/>
          </w:tcPr>
          <w:p w14:paraId="1FF48065">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1820A55">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BB6FA7D">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1DC752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5238EF71">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71C65304">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620E6952">
            <w:pPr>
              <w:pStyle w:val="15"/>
              <w:spacing w:line="240" w:lineRule="atLeast"/>
              <w:ind w:left="1080" w:leftChars="257" w:hanging="540"/>
              <w:jc w:val="center"/>
              <w:rPr>
                <w:rFonts w:ascii="仿宋" w:hAnsi="仿宋" w:eastAsia="仿宋" w:cs="仿宋"/>
                <w:color w:val="auto"/>
                <w:sz w:val="24"/>
              </w:rPr>
            </w:pPr>
          </w:p>
        </w:tc>
      </w:tr>
      <w:tr w14:paraId="325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4E9ED04">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3.</w:t>
            </w:r>
          </w:p>
        </w:tc>
        <w:tc>
          <w:tcPr>
            <w:tcW w:w="1940" w:type="dxa"/>
            <w:noWrap/>
            <w:vAlign w:val="center"/>
          </w:tcPr>
          <w:p w14:paraId="64B60928">
            <w:pPr>
              <w:pStyle w:val="15"/>
              <w:spacing w:line="240" w:lineRule="atLeast"/>
              <w:jc w:val="center"/>
              <w:rPr>
                <w:rFonts w:ascii="仿宋" w:hAnsi="仿宋" w:eastAsia="仿宋" w:cs="仿宋"/>
                <w:color w:val="auto"/>
                <w:sz w:val="24"/>
              </w:rPr>
            </w:pPr>
          </w:p>
        </w:tc>
        <w:tc>
          <w:tcPr>
            <w:tcW w:w="1890" w:type="dxa"/>
            <w:noWrap/>
            <w:vAlign w:val="center"/>
          </w:tcPr>
          <w:p w14:paraId="108C06AA">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078DAA6B">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33F6BB96">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427A5CF5">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5C8F5FB5">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475F6F51">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1A6281CF">
            <w:pPr>
              <w:pStyle w:val="15"/>
              <w:spacing w:line="240" w:lineRule="atLeast"/>
              <w:ind w:left="1080" w:leftChars="257" w:hanging="540"/>
              <w:jc w:val="center"/>
              <w:rPr>
                <w:rFonts w:ascii="仿宋" w:hAnsi="仿宋" w:eastAsia="仿宋" w:cs="仿宋"/>
                <w:color w:val="auto"/>
                <w:sz w:val="24"/>
              </w:rPr>
            </w:pPr>
          </w:p>
        </w:tc>
      </w:tr>
      <w:tr w14:paraId="2EB4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7D1E3246">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4.</w:t>
            </w:r>
          </w:p>
        </w:tc>
        <w:tc>
          <w:tcPr>
            <w:tcW w:w="1940" w:type="dxa"/>
            <w:noWrap/>
            <w:vAlign w:val="center"/>
          </w:tcPr>
          <w:p w14:paraId="2C0991F7">
            <w:pPr>
              <w:pStyle w:val="15"/>
              <w:spacing w:line="240" w:lineRule="atLeast"/>
              <w:jc w:val="center"/>
              <w:rPr>
                <w:rFonts w:ascii="仿宋" w:hAnsi="仿宋" w:eastAsia="仿宋" w:cs="仿宋"/>
                <w:color w:val="auto"/>
                <w:sz w:val="24"/>
              </w:rPr>
            </w:pPr>
          </w:p>
        </w:tc>
        <w:tc>
          <w:tcPr>
            <w:tcW w:w="1890" w:type="dxa"/>
            <w:noWrap/>
            <w:vAlign w:val="center"/>
          </w:tcPr>
          <w:p w14:paraId="23FD028F">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A4DCEA9">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705C655E">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7B4C2914">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1B67C772">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025E08E6">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3AD23B5E">
            <w:pPr>
              <w:pStyle w:val="15"/>
              <w:spacing w:line="240" w:lineRule="atLeast"/>
              <w:ind w:left="1080" w:leftChars="257" w:hanging="540"/>
              <w:jc w:val="center"/>
              <w:rPr>
                <w:rFonts w:ascii="仿宋" w:hAnsi="仿宋" w:eastAsia="仿宋" w:cs="仿宋"/>
                <w:color w:val="auto"/>
                <w:sz w:val="24"/>
              </w:rPr>
            </w:pPr>
          </w:p>
        </w:tc>
      </w:tr>
      <w:tr w14:paraId="1982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14:paraId="40B11EBF">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5.</w:t>
            </w:r>
          </w:p>
        </w:tc>
        <w:tc>
          <w:tcPr>
            <w:tcW w:w="1940" w:type="dxa"/>
            <w:noWrap/>
            <w:vAlign w:val="center"/>
          </w:tcPr>
          <w:p w14:paraId="0252B6DB">
            <w:pPr>
              <w:pStyle w:val="15"/>
              <w:spacing w:line="240" w:lineRule="atLeast"/>
              <w:jc w:val="center"/>
              <w:rPr>
                <w:rFonts w:ascii="仿宋" w:hAnsi="仿宋" w:eastAsia="仿宋" w:cs="仿宋"/>
                <w:color w:val="auto"/>
                <w:sz w:val="24"/>
              </w:rPr>
            </w:pPr>
          </w:p>
        </w:tc>
        <w:tc>
          <w:tcPr>
            <w:tcW w:w="1890" w:type="dxa"/>
            <w:noWrap/>
            <w:vAlign w:val="center"/>
          </w:tcPr>
          <w:p w14:paraId="7F908374">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55FB0C21">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72FC25AA">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6CAF91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2CE2534C">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05504ABD">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5679BAA0">
            <w:pPr>
              <w:pStyle w:val="15"/>
              <w:spacing w:line="240" w:lineRule="atLeast"/>
              <w:ind w:left="1080" w:leftChars="257" w:hanging="540"/>
              <w:jc w:val="center"/>
              <w:rPr>
                <w:rFonts w:ascii="仿宋" w:hAnsi="仿宋" w:eastAsia="仿宋" w:cs="仿宋"/>
                <w:color w:val="auto"/>
                <w:sz w:val="24"/>
              </w:rPr>
            </w:pPr>
          </w:p>
        </w:tc>
      </w:tr>
      <w:tr w14:paraId="3F1B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0504F140">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6.</w:t>
            </w:r>
          </w:p>
        </w:tc>
        <w:tc>
          <w:tcPr>
            <w:tcW w:w="1940" w:type="dxa"/>
            <w:noWrap/>
            <w:vAlign w:val="center"/>
          </w:tcPr>
          <w:p w14:paraId="7AFA382A">
            <w:pPr>
              <w:pStyle w:val="15"/>
              <w:spacing w:line="240" w:lineRule="atLeast"/>
              <w:jc w:val="center"/>
              <w:rPr>
                <w:rFonts w:ascii="仿宋" w:hAnsi="仿宋" w:eastAsia="仿宋" w:cs="仿宋"/>
                <w:color w:val="auto"/>
                <w:sz w:val="24"/>
              </w:rPr>
            </w:pPr>
          </w:p>
        </w:tc>
        <w:tc>
          <w:tcPr>
            <w:tcW w:w="1890" w:type="dxa"/>
            <w:noWrap/>
            <w:vAlign w:val="center"/>
          </w:tcPr>
          <w:p w14:paraId="0DB62E0E">
            <w:pPr>
              <w:pStyle w:val="15"/>
              <w:spacing w:line="240" w:lineRule="atLeast"/>
              <w:ind w:left="1080" w:leftChars="257" w:hanging="540"/>
              <w:jc w:val="center"/>
              <w:rPr>
                <w:rFonts w:ascii="仿宋" w:hAnsi="仿宋" w:eastAsia="仿宋" w:cs="仿宋"/>
                <w:color w:val="auto"/>
                <w:sz w:val="24"/>
              </w:rPr>
            </w:pPr>
          </w:p>
        </w:tc>
        <w:tc>
          <w:tcPr>
            <w:tcW w:w="1520" w:type="dxa"/>
            <w:noWrap/>
            <w:vAlign w:val="center"/>
          </w:tcPr>
          <w:p w14:paraId="1889B4F9">
            <w:pPr>
              <w:pStyle w:val="15"/>
              <w:spacing w:line="240" w:lineRule="atLeast"/>
              <w:ind w:left="1080" w:leftChars="257" w:hanging="540"/>
              <w:jc w:val="center"/>
              <w:rPr>
                <w:rFonts w:ascii="仿宋" w:hAnsi="仿宋" w:eastAsia="仿宋" w:cs="仿宋"/>
                <w:color w:val="auto"/>
                <w:sz w:val="24"/>
              </w:rPr>
            </w:pPr>
          </w:p>
        </w:tc>
        <w:tc>
          <w:tcPr>
            <w:tcW w:w="1310" w:type="dxa"/>
            <w:noWrap/>
            <w:vAlign w:val="center"/>
          </w:tcPr>
          <w:p w14:paraId="424C1A26">
            <w:pPr>
              <w:pStyle w:val="15"/>
              <w:spacing w:line="240" w:lineRule="atLeast"/>
              <w:ind w:left="1080" w:leftChars="257" w:hanging="540"/>
              <w:jc w:val="center"/>
              <w:rPr>
                <w:rFonts w:ascii="仿宋" w:hAnsi="仿宋" w:eastAsia="仿宋" w:cs="仿宋"/>
                <w:color w:val="auto"/>
                <w:sz w:val="24"/>
              </w:rPr>
            </w:pPr>
          </w:p>
        </w:tc>
        <w:tc>
          <w:tcPr>
            <w:tcW w:w="1619" w:type="dxa"/>
            <w:noWrap/>
            <w:vAlign w:val="center"/>
          </w:tcPr>
          <w:p w14:paraId="0117C7C7">
            <w:pPr>
              <w:pStyle w:val="15"/>
              <w:spacing w:line="240" w:lineRule="atLeast"/>
              <w:ind w:left="1080" w:leftChars="257" w:hanging="540"/>
              <w:jc w:val="center"/>
              <w:rPr>
                <w:rFonts w:ascii="仿宋" w:hAnsi="仿宋" w:eastAsia="仿宋" w:cs="仿宋"/>
                <w:color w:val="auto"/>
                <w:sz w:val="24"/>
              </w:rPr>
            </w:pPr>
          </w:p>
        </w:tc>
        <w:tc>
          <w:tcPr>
            <w:tcW w:w="1177" w:type="dxa"/>
            <w:noWrap/>
            <w:vAlign w:val="center"/>
          </w:tcPr>
          <w:p w14:paraId="26ABF7BD">
            <w:pPr>
              <w:pStyle w:val="15"/>
              <w:spacing w:line="240" w:lineRule="atLeast"/>
              <w:ind w:left="1080" w:leftChars="257" w:hanging="540"/>
              <w:jc w:val="center"/>
              <w:rPr>
                <w:rFonts w:ascii="仿宋" w:hAnsi="仿宋" w:eastAsia="仿宋" w:cs="仿宋"/>
                <w:color w:val="auto"/>
                <w:sz w:val="24"/>
              </w:rPr>
            </w:pPr>
          </w:p>
        </w:tc>
        <w:tc>
          <w:tcPr>
            <w:tcW w:w="1717" w:type="dxa"/>
            <w:noWrap/>
            <w:vAlign w:val="center"/>
          </w:tcPr>
          <w:p w14:paraId="6969A587">
            <w:pPr>
              <w:pStyle w:val="15"/>
              <w:spacing w:line="240" w:lineRule="atLeast"/>
              <w:ind w:left="1080" w:leftChars="257" w:hanging="540"/>
              <w:jc w:val="center"/>
              <w:rPr>
                <w:rFonts w:ascii="仿宋" w:hAnsi="仿宋" w:eastAsia="仿宋" w:cs="仿宋"/>
                <w:color w:val="auto"/>
                <w:sz w:val="24"/>
              </w:rPr>
            </w:pPr>
          </w:p>
        </w:tc>
        <w:tc>
          <w:tcPr>
            <w:tcW w:w="976" w:type="dxa"/>
            <w:noWrap/>
            <w:vAlign w:val="center"/>
          </w:tcPr>
          <w:p w14:paraId="737BA745">
            <w:pPr>
              <w:pStyle w:val="15"/>
              <w:spacing w:line="240" w:lineRule="atLeast"/>
              <w:ind w:left="1080" w:leftChars="257" w:hanging="540"/>
              <w:jc w:val="center"/>
              <w:rPr>
                <w:rFonts w:ascii="仿宋" w:hAnsi="仿宋" w:eastAsia="仿宋" w:cs="仿宋"/>
                <w:color w:val="auto"/>
                <w:sz w:val="24"/>
              </w:rPr>
            </w:pPr>
          </w:p>
        </w:tc>
      </w:tr>
      <w:tr w14:paraId="065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14:paraId="384D5F41">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总价：</w:t>
            </w:r>
          </w:p>
        </w:tc>
        <w:tc>
          <w:tcPr>
            <w:tcW w:w="2693" w:type="dxa"/>
            <w:gridSpan w:val="2"/>
            <w:noWrap/>
            <w:vAlign w:val="center"/>
          </w:tcPr>
          <w:p w14:paraId="1FDC2CB4">
            <w:pPr>
              <w:pStyle w:val="15"/>
              <w:spacing w:line="240" w:lineRule="atLeast"/>
              <w:ind w:left="1080" w:leftChars="257" w:hanging="540"/>
              <w:jc w:val="center"/>
              <w:rPr>
                <w:rFonts w:ascii="仿宋" w:hAnsi="仿宋" w:eastAsia="仿宋" w:cs="仿宋"/>
                <w:color w:val="auto"/>
                <w:sz w:val="24"/>
              </w:rPr>
            </w:pPr>
          </w:p>
        </w:tc>
      </w:tr>
    </w:tbl>
    <w:p w14:paraId="72FA7446">
      <w:pPr>
        <w:pStyle w:val="15"/>
        <w:spacing w:line="240" w:lineRule="atLeast"/>
        <w:ind w:left="1080" w:leftChars="257" w:hanging="540"/>
        <w:rPr>
          <w:rFonts w:ascii="仿宋" w:hAnsi="仿宋" w:eastAsia="仿宋" w:cs="仿宋"/>
          <w:color w:val="auto"/>
          <w:sz w:val="24"/>
        </w:rPr>
      </w:pPr>
    </w:p>
    <w:p w14:paraId="09524CB0">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18A5D429">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0C227BC0">
      <w:pPr>
        <w:pStyle w:val="15"/>
        <w:spacing w:line="240" w:lineRule="atLeast"/>
        <w:ind w:left="1080" w:leftChars="257" w:hanging="540"/>
        <w:rPr>
          <w:rFonts w:ascii="仿宋" w:hAnsi="仿宋" w:eastAsia="仿宋" w:cs="仿宋"/>
          <w:color w:val="auto"/>
          <w:sz w:val="24"/>
        </w:rPr>
      </w:pPr>
    </w:p>
    <w:p w14:paraId="001AF9F1">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注:1.如果投标人认为需要，每种货物填写一份该表。</w:t>
      </w:r>
    </w:p>
    <w:p w14:paraId="4D3328D4">
      <w:pPr>
        <w:pStyle w:val="15"/>
        <w:spacing w:line="240" w:lineRule="atLeast"/>
        <w:ind w:left="1079" w:leftChars="428" w:hanging="180" w:hangingChars="75"/>
        <w:outlineLvl w:val="1"/>
        <w:rPr>
          <w:rFonts w:ascii="仿宋" w:hAnsi="仿宋" w:eastAsia="仿宋" w:cs="仿宋"/>
          <w:color w:val="auto"/>
          <w:sz w:val="24"/>
        </w:rPr>
      </w:pPr>
      <w:bookmarkStart w:id="494" w:name="_Toc7159"/>
      <w:bookmarkStart w:id="495" w:name="_Toc26856"/>
      <w:bookmarkStart w:id="496" w:name="_Toc21259"/>
      <w:r>
        <w:rPr>
          <w:rFonts w:hint="eastAsia" w:ascii="仿宋" w:hAnsi="仿宋" w:eastAsia="仿宋" w:cs="仿宋"/>
          <w:color w:val="auto"/>
          <w:sz w:val="24"/>
        </w:rPr>
        <w:t>2.如果按单价计算的结果与总价不一致,以单价为准修正总价。</w:t>
      </w:r>
      <w:bookmarkEnd w:id="494"/>
      <w:bookmarkEnd w:id="495"/>
      <w:bookmarkEnd w:id="496"/>
    </w:p>
    <w:p w14:paraId="1A41B799">
      <w:pPr>
        <w:pStyle w:val="15"/>
        <w:spacing w:line="240" w:lineRule="atLeast"/>
        <w:ind w:left="1080" w:leftChars="257" w:hanging="540"/>
        <w:outlineLvl w:val="1"/>
        <w:rPr>
          <w:rFonts w:ascii="仿宋" w:hAnsi="仿宋" w:eastAsia="仿宋" w:cs="仿宋"/>
          <w:color w:val="auto"/>
          <w:sz w:val="24"/>
        </w:rPr>
      </w:pPr>
      <w:r>
        <w:rPr>
          <w:rFonts w:hint="eastAsia" w:ascii="仿宋" w:hAnsi="仿宋" w:eastAsia="仿宋" w:cs="仿宋"/>
          <w:color w:val="auto"/>
          <w:sz w:val="24"/>
        </w:rPr>
        <w:t xml:space="preserve">   </w:t>
      </w:r>
      <w:bookmarkStart w:id="497" w:name="_Toc10260"/>
      <w:bookmarkStart w:id="498" w:name="_Toc5282"/>
      <w:bookmarkStart w:id="499" w:name="_Toc31078"/>
      <w:r>
        <w:rPr>
          <w:rFonts w:hint="eastAsia" w:ascii="仿宋" w:hAnsi="仿宋" w:eastAsia="仿宋" w:cs="仿宋"/>
          <w:color w:val="auto"/>
          <w:sz w:val="24"/>
          <w:lang w:val="en-US" w:eastAsia="zh-CN"/>
        </w:rPr>
        <w:t>3</w:t>
      </w:r>
      <w:r>
        <w:rPr>
          <w:rFonts w:hint="eastAsia" w:ascii="仿宋" w:hAnsi="仿宋" w:eastAsia="仿宋" w:cs="仿宋"/>
          <w:color w:val="auto"/>
          <w:sz w:val="24"/>
        </w:rPr>
        <w:t>.上述各项的详细分项报价，应另页描述。</w:t>
      </w:r>
      <w:bookmarkEnd w:id="497"/>
      <w:bookmarkEnd w:id="498"/>
      <w:bookmarkEnd w:id="499"/>
    </w:p>
    <w:p w14:paraId="007490F2">
      <w:pPr>
        <w:pStyle w:val="15"/>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4</w:t>
      </w:r>
      <w:r>
        <w:rPr>
          <w:rFonts w:hint="eastAsia" w:ascii="仿宋" w:hAnsi="仿宋" w:eastAsia="仿宋" w:cs="仿宋"/>
          <w:color w:val="auto"/>
          <w:sz w:val="24"/>
        </w:rPr>
        <w:t>.如果开标一览表（报价表）内容与投标文件中明细表内容不一致的，以开标一览表（报价表）内容为准。</w:t>
      </w:r>
    </w:p>
    <w:p w14:paraId="64D4C72C">
      <w:pPr>
        <w:rPr>
          <w:rFonts w:hint="eastAsia" w:ascii="仿宋" w:hAnsi="仿宋" w:eastAsia="仿宋" w:cs="仿宋"/>
          <w:color w:val="auto"/>
          <w:sz w:val="24"/>
        </w:rPr>
      </w:pPr>
      <w:r>
        <w:rPr>
          <w:rFonts w:hint="eastAsia" w:ascii="仿宋" w:hAnsi="仿宋" w:eastAsia="仿宋" w:cs="仿宋"/>
          <w:color w:val="auto"/>
          <w:sz w:val="24"/>
        </w:rPr>
        <w:br w:type="page"/>
      </w:r>
    </w:p>
    <w:p w14:paraId="731D7D58">
      <w:pPr>
        <w:pStyle w:val="4"/>
        <w:spacing w:before="0" w:line="240" w:lineRule="atLeast"/>
        <w:ind w:left="1080" w:leftChars="257" w:hanging="540"/>
        <w:rPr>
          <w:rFonts w:ascii="仿宋" w:hAnsi="仿宋" w:eastAsia="仿宋" w:cs="仿宋"/>
          <w:color w:val="auto"/>
          <w:sz w:val="24"/>
        </w:rPr>
      </w:pPr>
      <w:bookmarkStart w:id="500" w:name="_Toc216582816"/>
      <w:bookmarkStart w:id="501" w:name="_Toc10893"/>
      <w:bookmarkStart w:id="502" w:name="_Toc6096"/>
      <w:bookmarkStart w:id="503" w:name="_Toc515647819"/>
      <w:bookmarkStart w:id="504" w:name="_Toc18375"/>
      <w:bookmarkStart w:id="505" w:name="_Toc24570"/>
      <w:bookmarkStart w:id="506" w:name="_Toc14037"/>
      <w:bookmarkStart w:id="507" w:name="_Toc12959"/>
      <w:bookmarkStart w:id="508" w:name="_Toc18267"/>
      <w:r>
        <w:rPr>
          <w:rFonts w:hint="eastAsia" w:ascii="仿宋" w:hAnsi="仿宋" w:eastAsia="仿宋" w:cs="仿宋"/>
          <w:color w:val="auto"/>
          <w:sz w:val="24"/>
        </w:rPr>
        <w:t>4   货物说明一览表</w:t>
      </w:r>
      <w:bookmarkEnd w:id="500"/>
      <w:r>
        <w:rPr>
          <w:rFonts w:hint="eastAsia" w:ascii="仿宋" w:hAnsi="仿宋" w:eastAsia="仿宋" w:cs="仿宋"/>
          <w:color w:val="auto"/>
          <w:sz w:val="24"/>
        </w:rPr>
        <w:t>（投标文件格式八）</w:t>
      </w:r>
      <w:bookmarkEnd w:id="501"/>
      <w:bookmarkEnd w:id="502"/>
      <w:bookmarkEnd w:id="503"/>
      <w:bookmarkEnd w:id="504"/>
      <w:bookmarkEnd w:id="505"/>
      <w:bookmarkEnd w:id="506"/>
      <w:bookmarkEnd w:id="507"/>
      <w:bookmarkEnd w:id="508"/>
    </w:p>
    <w:p w14:paraId="2EF33610">
      <w:pPr>
        <w:pStyle w:val="15"/>
        <w:spacing w:line="240" w:lineRule="atLeast"/>
        <w:ind w:left="1080" w:leftChars="257" w:hanging="540"/>
        <w:rPr>
          <w:rFonts w:ascii="仿宋" w:hAnsi="仿宋" w:eastAsia="仿宋" w:cs="仿宋"/>
          <w:color w:val="auto"/>
          <w:sz w:val="24"/>
        </w:rPr>
      </w:pPr>
    </w:p>
    <w:p w14:paraId="5464F7C6">
      <w:pPr>
        <w:pStyle w:val="15"/>
        <w:spacing w:line="240" w:lineRule="atLeast"/>
        <w:ind w:left="1258" w:leftChars="599" w:firstLine="103" w:firstLineChars="43"/>
        <w:rPr>
          <w:rFonts w:ascii="仿宋" w:hAnsi="仿宋" w:eastAsia="仿宋" w:cs="仿宋"/>
          <w:color w:val="auto"/>
          <w:sz w:val="24"/>
        </w:rPr>
      </w:pPr>
      <w:r>
        <w:rPr>
          <w:rFonts w:hint="eastAsia" w:ascii="仿宋" w:hAnsi="仿宋" w:eastAsia="仿宋" w:cs="仿宋"/>
          <w:color w:val="auto"/>
          <w:sz w:val="24"/>
        </w:rPr>
        <w:t xml:space="preserve">项目名称:                                    招标编号:                       包号: </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tbl>
      <w:tblPr>
        <w:tblStyle w:val="27"/>
        <w:tblW w:w="0" w:type="auto"/>
        <w:tblInd w:w="1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30"/>
        <w:gridCol w:w="2030"/>
        <w:gridCol w:w="1620"/>
        <w:gridCol w:w="1790"/>
        <w:gridCol w:w="2170"/>
        <w:gridCol w:w="1530"/>
      </w:tblGrid>
      <w:tr w14:paraId="5C0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0" w:type="dxa"/>
            <w:noWrap/>
            <w:vAlign w:val="center"/>
          </w:tcPr>
          <w:p w14:paraId="01F5D0AD">
            <w:pPr>
              <w:pStyle w:val="15"/>
              <w:spacing w:line="240" w:lineRule="atLeast"/>
              <w:jc w:val="both"/>
              <w:rPr>
                <w:rFonts w:ascii="仿宋" w:hAnsi="仿宋" w:eastAsia="仿宋" w:cs="仿宋"/>
                <w:color w:val="auto"/>
                <w:sz w:val="24"/>
              </w:rPr>
            </w:pPr>
            <w:r>
              <w:rPr>
                <w:rFonts w:hint="eastAsia" w:ascii="仿宋" w:hAnsi="仿宋" w:eastAsia="仿宋" w:cs="仿宋"/>
                <w:color w:val="auto"/>
                <w:sz w:val="24"/>
              </w:rPr>
              <w:t>序号</w:t>
            </w:r>
          </w:p>
        </w:tc>
        <w:tc>
          <w:tcPr>
            <w:tcW w:w="2130" w:type="dxa"/>
            <w:noWrap/>
            <w:vAlign w:val="center"/>
          </w:tcPr>
          <w:p w14:paraId="229E6AA0">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货物名称</w:t>
            </w:r>
          </w:p>
        </w:tc>
        <w:tc>
          <w:tcPr>
            <w:tcW w:w="2030" w:type="dxa"/>
            <w:noWrap/>
            <w:vAlign w:val="center"/>
          </w:tcPr>
          <w:p w14:paraId="2AB48ED6">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主要规格</w:t>
            </w:r>
          </w:p>
        </w:tc>
        <w:tc>
          <w:tcPr>
            <w:tcW w:w="1620" w:type="dxa"/>
            <w:noWrap/>
            <w:vAlign w:val="center"/>
          </w:tcPr>
          <w:p w14:paraId="2E82AE7D">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数量</w:t>
            </w:r>
          </w:p>
        </w:tc>
        <w:tc>
          <w:tcPr>
            <w:tcW w:w="1790" w:type="dxa"/>
            <w:noWrap/>
            <w:vAlign w:val="center"/>
          </w:tcPr>
          <w:p w14:paraId="29F48841">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交货期</w:t>
            </w:r>
          </w:p>
        </w:tc>
        <w:tc>
          <w:tcPr>
            <w:tcW w:w="2170" w:type="dxa"/>
            <w:noWrap/>
            <w:vAlign w:val="center"/>
          </w:tcPr>
          <w:p w14:paraId="41240062">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交货地点</w:t>
            </w:r>
          </w:p>
        </w:tc>
        <w:tc>
          <w:tcPr>
            <w:tcW w:w="1530" w:type="dxa"/>
            <w:noWrap/>
            <w:vAlign w:val="center"/>
          </w:tcPr>
          <w:p w14:paraId="09287573">
            <w:pPr>
              <w:pStyle w:val="15"/>
              <w:spacing w:line="240" w:lineRule="atLeast"/>
              <w:ind w:left="1080" w:leftChars="257" w:hanging="540"/>
              <w:jc w:val="both"/>
              <w:rPr>
                <w:rFonts w:ascii="仿宋" w:hAnsi="仿宋" w:eastAsia="仿宋" w:cs="仿宋"/>
                <w:color w:val="auto"/>
                <w:sz w:val="24"/>
              </w:rPr>
            </w:pPr>
            <w:r>
              <w:rPr>
                <w:rFonts w:hint="eastAsia" w:ascii="仿宋" w:hAnsi="仿宋" w:eastAsia="仿宋" w:cs="仿宋"/>
                <w:color w:val="auto"/>
                <w:sz w:val="24"/>
              </w:rPr>
              <w:t>其它</w:t>
            </w:r>
          </w:p>
        </w:tc>
      </w:tr>
      <w:tr w14:paraId="55D1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0" w:type="dxa"/>
            <w:noWrap/>
          </w:tcPr>
          <w:p w14:paraId="517E5EEF">
            <w:pPr>
              <w:pStyle w:val="15"/>
              <w:spacing w:line="240" w:lineRule="atLeast"/>
              <w:ind w:left="1080" w:leftChars="257" w:hanging="540"/>
              <w:rPr>
                <w:rFonts w:ascii="仿宋" w:hAnsi="仿宋" w:eastAsia="仿宋" w:cs="仿宋"/>
                <w:color w:val="auto"/>
                <w:sz w:val="24"/>
              </w:rPr>
            </w:pPr>
          </w:p>
        </w:tc>
        <w:tc>
          <w:tcPr>
            <w:tcW w:w="2130" w:type="dxa"/>
            <w:noWrap/>
          </w:tcPr>
          <w:p w14:paraId="568335FF">
            <w:pPr>
              <w:pStyle w:val="15"/>
              <w:spacing w:line="240" w:lineRule="atLeast"/>
              <w:ind w:left="1080" w:leftChars="257" w:hanging="540"/>
              <w:rPr>
                <w:rFonts w:ascii="仿宋" w:hAnsi="仿宋" w:eastAsia="仿宋" w:cs="仿宋"/>
                <w:color w:val="auto"/>
                <w:sz w:val="24"/>
              </w:rPr>
            </w:pPr>
          </w:p>
        </w:tc>
        <w:tc>
          <w:tcPr>
            <w:tcW w:w="2030" w:type="dxa"/>
            <w:noWrap/>
          </w:tcPr>
          <w:p w14:paraId="4241A410">
            <w:pPr>
              <w:pStyle w:val="15"/>
              <w:spacing w:line="240" w:lineRule="atLeast"/>
              <w:ind w:left="1080" w:leftChars="257" w:hanging="540"/>
              <w:rPr>
                <w:rFonts w:ascii="仿宋" w:hAnsi="仿宋" w:eastAsia="仿宋" w:cs="仿宋"/>
                <w:color w:val="auto"/>
                <w:sz w:val="24"/>
              </w:rPr>
            </w:pPr>
          </w:p>
        </w:tc>
        <w:tc>
          <w:tcPr>
            <w:tcW w:w="1620" w:type="dxa"/>
            <w:noWrap/>
          </w:tcPr>
          <w:p w14:paraId="36B40C58">
            <w:pPr>
              <w:pStyle w:val="15"/>
              <w:spacing w:line="240" w:lineRule="atLeast"/>
              <w:ind w:left="1080" w:leftChars="257" w:hanging="540"/>
              <w:rPr>
                <w:rFonts w:ascii="仿宋" w:hAnsi="仿宋" w:eastAsia="仿宋" w:cs="仿宋"/>
                <w:color w:val="auto"/>
                <w:sz w:val="24"/>
              </w:rPr>
            </w:pPr>
          </w:p>
        </w:tc>
        <w:tc>
          <w:tcPr>
            <w:tcW w:w="1790" w:type="dxa"/>
            <w:noWrap/>
          </w:tcPr>
          <w:p w14:paraId="41D694C8">
            <w:pPr>
              <w:pStyle w:val="15"/>
              <w:spacing w:line="240" w:lineRule="atLeast"/>
              <w:ind w:left="1080" w:leftChars="257" w:hanging="540"/>
              <w:rPr>
                <w:rFonts w:ascii="仿宋" w:hAnsi="仿宋" w:eastAsia="仿宋" w:cs="仿宋"/>
                <w:color w:val="auto"/>
                <w:sz w:val="24"/>
              </w:rPr>
            </w:pPr>
          </w:p>
        </w:tc>
        <w:tc>
          <w:tcPr>
            <w:tcW w:w="2170" w:type="dxa"/>
            <w:noWrap/>
          </w:tcPr>
          <w:p w14:paraId="0A52630B">
            <w:pPr>
              <w:pStyle w:val="15"/>
              <w:spacing w:line="240" w:lineRule="atLeast"/>
              <w:ind w:left="1080" w:leftChars="257" w:hanging="540"/>
              <w:rPr>
                <w:rFonts w:ascii="仿宋" w:hAnsi="仿宋" w:eastAsia="仿宋" w:cs="仿宋"/>
                <w:color w:val="auto"/>
                <w:sz w:val="24"/>
              </w:rPr>
            </w:pPr>
          </w:p>
        </w:tc>
        <w:tc>
          <w:tcPr>
            <w:tcW w:w="1530" w:type="dxa"/>
            <w:noWrap/>
          </w:tcPr>
          <w:p w14:paraId="4BB533C4">
            <w:pPr>
              <w:pStyle w:val="15"/>
              <w:spacing w:line="240" w:lineRule="atLeast"/>
              <w:ind w:left="1080" w:leftChars="257" w:hanging="540"/>
              <w:rPr>
                <w:rFonts w:ascii="仿宋" w:hAnsi="仿宋" w:eastAsia="仿宋" w:cs="仿宋"/>
                <w:color w:val="auto"/>
                <w:sz w:val="24"/>
              </w:rPr>
            </w:pPr>
          </w:p>
        </w:tc>
      </w:tr>
      <w:tr w14:paraId="7A4E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0" w:type="dxa"/>
            <w:noWrap/>
          </w:tcPr>
          <w:p w14:paraId="4922CC80">
            <w:pPr>
              <w:pStyle w:val="15"/>
              <w:spacing w:line="240" w:lineRule="atLeast"/>
              <w:ind w:left="1080" w:leftChars="257" w:hanging="540"/>
              <w:rPr>
                <w:rFonts w:ascii="仿宋" w:hAnsi="仿宋" w:eastAsia="仿宋" w:cs="仿宋"/>
                <w:color w:val="auto"/>
                <w:sz w:val="24"/>
              </w:rPr>
            </w:pPr>
          </w:p>
        </w:tc>
        <w:tc>
          <w:tcPr>
            <w:tcW w:w="2130" w:type="dxa"/>
            <w:noWrap/>
          </w:tcPr>
          <w:p w14:paraId="752A1AEE">
            <w:pPr>
              <w:pStyle w:val="15"/>
              <w:spacing w:line="240" w:lineRule="atLeast"/>
              <w:ind w:left="1080" w:leftChars="257" w:hanging="540"/>
              <w:rPr>
                <w:rFonts w:ascii="仿宋" w:hAnsi="仿宋" w:eastAsia="仿宋" w:cs="仿宋"/>
                <w:color w:val="auto"/>
                <w:sz w:val="24"/>
              </w:rPr>
            </w:pPr>
          </w:p>
        </w:tc>
        <w:tc>
          <w:tcPr>
            <w:tcW w:w="2030" w:type="dxa"/>
            <w:noWrap/>
          </w:tcPr>
          <w:p w14:paraId="175205B6">
            <w:pPr>
              <w:pStyle w:val="15"/>
              <w:spacing w:line="240" w:lineRule="atLeast"/>
              <w:ind w:left="1080" w:leftChars="257" w:hanging="540"/>
              <w:rPr>
                <w:rFonts w:ascii="仿宋" w:hAnsi="仿宋" w:eastAsia="仿宋" w:cs="仿宋"/>
                <w:color w:val="auto"/>
                <w:sz w:val="24"/>
              </w:rPr>
            </w:pPr>
          </w:p>
        </w:tc>
        <w:tc>
          <w:tcPr>
            <w:tcW w:w="1620" w:type="dxa"/>
            <w:noWrap/>
          </w:tcPr>
          <w:p w14:paraId="523A6EFB">
            <w:pPr>
              <w:pStyle w:val="15"/>
              <w:spacing w:line="240" w:lineRule="atLeast"/>
              <w:ind w:left="1080" w:leftChars="257" w:hanging="540"/>
              <w:rPr>
                <w:rFonts w:ascii="仿宋" w:hAnsi="仿宋" w:eastAsia="仿宋" w:cs="仿宋"/>
                <w:color w:val="auto"/>
                <w:sz w:val="24"/>
              </w:rPr>
            </w:pPr>
          </w:p>
        </w:tc>
        <w:tc>
          <w:tcPr>
            <w:tcW w:w="1790" w:type="dxa"/>
            <w:noWrap/>
          </w:tcPr>
          <w:p w14:paraId="39CB8FFD">
            <w:pPr>
              <w:pStyle w:val="15"/>
              <w:spacing w:line="240" w:lineRule="atLeast"/>
              <w:ind w:left="1080" w:leftChars="257" w:hanging="540"/>
              <w:rPr>
                <w:rFonts w:ascii="仿宋" w:hAnsi="仿宋" w:eastAsia="仿宋" w:cs="仿宋"/>
                <w:color w:val="auto"/>
                <w:sz w:val="24"/>
              </w:rPr>
            </w:pPr>
          </w:p>
        </w:tc>
        <w:tc>
          <w:tcPr>
            <w:tcW w:w="2170" w:type="dxa"/>
            <w:noWrap/>
          </w:tcPr>
          <w:p w14:paraId="3A8597C6">
            <w:pPr>
              <w:pStyle w:val="15"/>
              <w:spacing w:line="240" w:lineRule="atLeast"/>
              <w:ind w:left="1080" w:leftChars="257" w:hanging="540"/>
              <w:rPr>
                <w:rFonts w:ascii="仿宋" w:hAnsi="仿宋" w:eastAsia="仿宋" w:cs="仿宋"/>
                <w:color w:val="auto"/>
                <w:sz w:val="24"/>
              </w:rPr>
            </w:pPr>
          </w:p>
        </w:tc>
        <w:tc>
          <w:tcPr>
            <w:tcW w:w="1530" w:type="dxa"/>
            <w:noWrap/>
          </w:tcPr>
          <w:p w14:paraId="036DE3DC">
            <w:pPr>
              <w:pStyle w:val="15"/>
              <w:spacing w:line="240" w:lineRule="atLeast"/>
              <w:ind w:left="1080" w:leftChars="257" w:hanging="540"/>
              <w:rPr>
                <w:rFonts w:ascii="仿宋" w:hAnsi="仿宋" w:eastAsia="仿宋" w:cs="仿宋"/>
                <w:color w:val="auto"/>
                <w:sz w:val="24"/>
              </w:rPr>
            </w:pPr>
          </w:p>
        </w:tc>
      </w:tr>
      <w:tr w14:paraId="51B1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0" w:type="dxa"/>
            <w:noWrap/>
          </w:tcPr>
          <w:p w14:paraId="205DDB06">
            <w:pPr>
              <w:pStyle w:val="15"/>
              <w:spacing w:line="240" w:lineRule="atLeast"/>
              <w:ind w:left="1080" w:leftChars="257" w:hanging="540"/>
              <w:rPr>
                <w:rFonts w:ascii="仿宋" w:hAnsi="仿宋" w:eastAsia="仿宋" w:cs="仿宋"/>
                <w:color w:val="auto"/>
                <w:sz w:val="24"/>
              </w:rPr>
            </w:pPr>
          </w:p>
        </w:tc>
        <w:tc>
          <w:tcPr>
            <w:tcW w:w="2130" w:type="dxa"/>
            <w:noWrap/>
          </w:tcPr>
          <w:p w14:paraId="69BC9B12">
            <w:pPr>
              <w:pStyle w:val="15"/>
              <w:spacing w:line="240" w:lineRule="atLeast"/>
              <w:ind w:left="1080" w:leftChars="257" w:hanging="540"/>
              <w:rPr>
                <w:rFonts w:ascii="仿宋" w:hAnsi="仿宋" w:eastAsia="仿宋" w:cs="仿宋"/>
                <w:color w:val="auto"/>
                <w:sz w:val="24"/>
              </w:rPr>
            </w:pPr>
          </w:p>
        </w:tc>
        <w:tc>
          <w:tcPr>
            <w:tcW w:w="2030" w:type="dxa"/>
            <w:noWrap/>
          </w:tcPr>
          <w:p w14:paraId="0A61AC9D">
            <w:pPr>
              <w:pStyle w:val="15"/>
              <w:spacing w:line="240" w:lineRule="atLeast"/>
              <w:ind w:left="1080" w:leftChars="257" w:hanging="540"/>
              <w:rPr>
                <w:rFonts w:ascii="仿宋" w:hAnsi="仿宋" w:eastAsia="仿宋" w:cs="仿宋"/>
                <w:color w:val="auto"/>
                <w:sz w:val="24"/>
              </w:rPr>
            </w:pPr>
          </w:p>
        </w:tc>
        <w:tc>
          <w:tcPr>
            <w:tcW w:w="1620" w:type="dxa"/>
            <w:noWrap/>
          </w:tcPr>
          <w:p w14:paraId="680018AD">
            <w:pPr>
              <w:pStyle w:val="15"/>
              <w:spacing w:line="240" w:lineRule="atLeast"/>
              <w:ind w:left="1080" w:leftChars="257" w:hanging="540"/>
              <w:rPr>
                <w:rFonts w:ascii="仿宋" w:hAnsi="仿宋" w:eastAsia="仿宋" w:cs="仿宋"/>
                <w:color w:val="auto"/>
                <w:sz w:val="24"/>
              </w:rPr>
            </w:pPr>
          </w:p>
        </w:tc>
        <w:tc>
          <w:tcPr>
            <w:tcW w:w="1790" w:type="dxa"/>
            <w:noWrap/>
          </w:tcPr>
          <w:p w14:paraId="07C62D5A">
            <w:pPr>
              <w:pStyle w:val="15"/>
              <w:spacing w:line="240" w:lineRule="atLeast"/>
              <w:ind w:left="1080" w:leftChars="257" w:hanging="540"/>
              <w:rPr>
                <w:rFonts w:ascii="仿宋" w:hAnsi="仿宋" w:eastAsia="仿宋" w:cs="仿宋"/>
                <w:color w:val="auto"/>
                <w:sz w:val="24"/>
              </w:rPr>
            </w:pPr>
          </w:p>
        </w:tc>
        <w:tc>
          <w:tcPr>
            <w:tcW w:w="2170" w:type="dxa"/>
            <w:noWrap/>
          </w:tcPr>
          <w:p w14:paraId="70FB425D">
            <w:pPr>
              <w:pStyle w:val="15"/>
              <w:spacing w:line="240" w:lineRule="atLeast"/>
              <w:ind w:left="1080" w:leftChars="257" w:hanging="540"/>
              <w:rPr>
                <w:rFonts w:ascii="仿宋" w:hAnsi="仿宋" w:eastAsia="仿宋" w:cs="仿宋"/>
                <w:color w:val="auto"/>
                <w:sz w:val="24"/>
              </w:rPr>
            </w:pPr>
          </w:p>
        </w:tc>
        <w:tc>
          <w:tcPr>
            <w:tcW w:w="1530" w:type="dxa"/>
            <w:noWrap/>
          </w:tcPr>
          <w:p w14:paraId="14368EC3">
            <w:pPr>
              <w:pStyle w:val="15"/>
              <w:spacing w:line="240" w:lineRule="atLeast"/>
              <w:ind w:left="1080" w:leftChars="257" w:hanging="540"/>
              <w:rPr>
                <w:rFonts w:ascii="仿宋" w:hAnsi="仿宋" w:eastAsia="仿宋" w:cs="仿宋"/>
                <w:color w:val="auto"/>
                <w:sz w:val="24"/>
              </w:rPr>
            </w:pPr>
          </w:p>
        </w:tc>
      </w:tr>
      <w:tr w14:paraId="6D0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0" w:type="dxa"/>
            <w:noWrap/>
          </w:tcPr>
          <w:p w14:paraId="15C92C8E">
            <w:pPr>
              <w:pStyle w:val="15"/>
              <w:spacing w:line="240" w:lineRule="atLeast"/>
              <w:ind w:left="1080" w:leftChars="257" w:hanging="540"/>
              <w:rPr>
                <w:rFonts w:ascii="仿宋" w:hAnsi="仿宋" w:eastAsia="仿宋" w:cs="仿宋"/>
                <w:color w:val="auto"/>
                <w:sz w:val="24"/>
              </w:rPr>
            </w:pPr>
          </w:p>
        </w:tc>
        <w:tc>
          <w:tcPr>
            <w:tcW w:w="2130" w:type="dxa"/>
            <w:noWrap/>
          </w:tcPr>
          <w:p w14:paraId="624F39D4">
            <w:pPr>
              <w:pStyle w:val="15"/>
              <w:spacing w:line="240" w:lineRule="atLeast"/>
              <w:ind w:left="1080" w:leftChars="257" w:hanging="540"/>
              <w:rPr>
                <w:rFonts w:ascii="仿宋" w:hAnsi="仿宋" w:eastAsia="仿宋" w:cs="仿宋"/>
                <w:color w:val="auto"/>
                <w:sz w:val="24"/>
              </w:rPr>
            </w:pPr>
          </w:p>
        </w:tc>
        <w:tc>
          <w:tcPr>
            <w:tcW w:w="2030" w:type="dxa"/>
            <w:noWrap/>
          </w:tcPr>
          <w:p w14:paraId="2C887A39">
            <w:pPr>
              <w:pStyle w:val="15"/>
              <w:spacing w:line="240" w:lineRule="atLeast"/>
              <w:ind w:left="1080" w:leftChars="257" w:hanging="540"/>
              <w:rPr>
                <w:rFonts w:ascii="仿宋" w:hAnsi="仿宋" w:eastAsia="仿宋" w:cs="仿宋"/>
                <w:color w:val="auto"/>
                <w:sz w:val="24"/>
              </w:rPr>
            </w:pPr>
          </w:p>
        </w:tc>
        <w:tc>
          <w:tcPr>
            <w:tcW w:w="1620" w:type="dxa"/>
            <w:noWrap/>
          </w:tcPr>
          <w:p w14:paraId="5EBD1A25">
            <w:pPr>
              <w:pStyle w:val="15"/>
              <w:spacing w:line="240" w:lineRule="atLeast"/>
              <w:ind w:left="1080" w:leftChars="257" w:hanging="540"/>
              <w:rPr>
                <w:rFonts w:ascii="仿宋" w:hAnsi="仿宋" w:eastAsia="仿宋" w:cs="仿宋"/>
                <w:color w:val="auto"/>
                <w:sz w:val="24"/>
              </w:rPr>
            </w:pPr>
          </w:p>
        </w:tc>
        <w:tc>
          <w:tcPr>
            <w:tcW w:w="1790" w:type="dxa"/>
            <w:noWrap/>
          </w:tcPr>
          <w:p w14:paraId="685FCE7E">
            <w:pPr>
              <w:pStyle w:val="15"/>
              <w:spacing w:line="240" w:lineRule="atLeast"/>
              <w:ind w:left="1080" w:leftChars="257" w:hanging="540"/>
              <w:rPr>
                <w:rFonts w:ascii="仿宋" w:hAnsi="仿宋" w:eastAsia="仿宋" w:cs="仿宋"/>
                <w:color w:val="auto"/>
                <w:sz w:val="24"/>
              </w:rPr>
            </w:pPr>
          </w:p>
        </w:tc>
        <w:tc>
          <w:tcPr>
            <w:tcW w:w="2170" w:type="dxa"/>
            <w:noWrap/>
          </w:tcPr>
          <w:p w14:paraId="78A2B650">
            <w:pPr>
              <w:pStyle w:val="15"/>
              <w:spacing w:line="240" w:lineRule="atLeast"/>
              <w:ind w:left="1080" w:leftChars="257" w:hanging="540"/>
              <w:rPr>
                <w:rFonts w:ascii="仿宋" w:hAnsi="仿宋" w:eastAsia="仿宋" w:cs="仿宋"/>
                <w:color w:val="auto"/>
                <w:sz w:val="24"/>
              </w:rPr>
            </w:pPr>
          </w:p>
        </w:tc>
        <w:tc>
          <w:tcPr>
            <w:tcW w:w="1530" w:type="dxa"/>
            <w:noWrap/>
          </w:tcPr>
          <w:p w14:paraId="049F7ED5">
            <w:pPr>
              <w:pStyle w:val="15"/>
              <w:spacing w:line="240" w:lineRule="atLeast"/>
              <w:ind w:left="1080" w:leftChars="257" w:hanging="540"/>
              <w:rPr>
                <w:rFonts w:ascii="仿宋" w:hAnsi="仿宋" w:eastAsia="仿宋" w:cs="仿宋"/>
                <w:color w:val="auto"/>
                <w:sz w:val="24"/>
              </w:rPr>
            </w:pPr>
          </w:p>
        </w:tc>
      </w:tr>
      <w:tr w14:paraId="409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0" w:type="dxa"/>
            <w:noWrap/>
          </w:tcPr>
          <w:p w14:paraId="788C62D7">
            <w:pPr>
              <w:pStyle w:val="15"/>
              <w:spacing w:line="240" w:lineRule="atLeast"/>
              <w:ind w:left="1080" w:leftChars="257" w:hanging="540"/>
              <w:rPr>
                <w:rFonts w:ascii="仿宋" w:hAnsi="仿宋" w:eastAsia="仿宋" w:cs="仿宋"/>
                <w:color w:val="auto"/>
                <w:sz w:val="24"/>
              </w:rPr>
            </w:pPr>
          </w:p>
        </w:tc>
        <w:tc>
          <w:tcPr>
            <w:tcW w:w="2130" w:type="dxa"/>
            <w:noWrap/>
          </w:tcPr>
          <w:p w14:paraId="2E10A01F">
            <w:pPr>
              <w:pStyle w:val="15"/>
              <w:spacing w:line="240" w:lineRule="atLeast"/>
              <w:ind w:left="1080" w:leftChars="257" w:hanging="540"/>
              <w:rPr>
                <w:rFonts w:ascii="仿宋" w:hAnsi="仿宋" w:eastAsia="仿宋" w:cs="仿宋"/>
                <w:color w:val="auto"/>
                <w:sz w:val="24"/>
              </w:rPr>
            </w:pPr>
          </w:p>
        </w:tc>
        <w:tc>
          <w:tcPr>
            <w:tcW w:w="2030" w:type="dxa"/>
            <w:noWrap/>
          </w:tcPr>
          <w:p w14:paraId="06FC6A39">
            <w:pPr>
              <w:pStyle w:val="15"/>
              <w:spacing w:line="240" w:lineRule="atLeast"/>
              <w:ind w:left="1080" w:leftChars="257" w:hanging="540"/>
              <w:rPr>
                <w:rFonts w:ascii="仿宋" w:hAnsi="仿宋" w:eastAsia="仿宋" w:cs="仿宋"/>
                <w:color w:val="auto"/>
                <w:sz w:val="24"/>
              </w:rPr>
            </w:pPr>
          </w:p>
        </w:tc>
        <w:tc>
          <w:tcPr>
            <w:tcW w:w="1620" w:type="dxa"/>
            <w:noWrap/>
          </w:tcPr>
          <w:p w14:paraId="2FBE0398">
            <w:pPr>
              <w:pStyle w:val="15"/>
              <w:spacing w:line="240" w:lineRule="atLeast"/>
              <w:ind w:left="1080" w:leftChars="257" w:hanging="540"/>
              <w:rPr>
                <w:rFonts w:ascii="仿宋" w:hAnsi="仿宋" w:eastAsia="仿宋" w:cs="仿宋"/>
                <w:color w:val="auto"/>
                <w:sz w:val="24"/>
              </w:rPr>
            </w:pPr>
          </w:p>
        </w:tc>
        <w:tc>
          <w:tcPr>
            <w:tcW w:w="1790" w:type="dxa"/>
            <w:noWrap/>
          </w:tcPr>
          <w:p w14:paraId="088DEADA">
            <w:pPr>
              <w:pStyle w:val="15"/>
              <w:spacing w:line="240" w:lineRule="atLeast"/>
              <w:ind w:left="1080" w:leftChars="257" w:hanging="540"/>
              <w:rPr>
                <w:rFonts w:ascii="仿宋" w:hAnsi="仿宋" w:eastAsia="仿宋" w:cs="仿宋"/>
                <w:color w:val="auto"/>
                <w:sz w:val="24"/>
              </w:rPr>
            </w:pPr>
          </w:p>
        </w:tc>
        <w:tc>
          <w:tcPr>
            <w:tcW w:w="2170" w:type="dxa"/>
            <w:noWrap/>
          </w:tcPr>
          <w:p w14:paraId="3D8ADD77">
            <w:pPr>
              <w:pStyle w:val="15"/>
              <w:spacing w:line="240" w:lineRule="atLeast"/>
              <w:ind w:left="1080" w:leftChars="257" w:hanging="540"/>
              <w:rPr>
                <w:rFonts w:ascii="仿宋" w:hAnsi="仿宋" w:eastAsia="仿宋" w:cs="仿宋"/>
                <w:color w:val="auto"/>
                <w:sz w:val="24"/>
              </w:rPr>
            </w:pPr>
          </w:p>
        </w:tc>
        <w:tc>
          <w:tcPr>
            <w:tcW w:w="1530" w:type="dxa"/>
            <w:noWrap/>
          </w:tcPr>
          <w:p w14:paraId="634FE88F">
            <w:pPr>
              <w:pStyle w:val="15"/>
              <w:spacing w:line="240" w:lineRule="atLeast"/>
              <w:ind w:left="1080" w:leftChars="257" w:hanging="540"/>
              <w:rPr>
                <w:rFonts w:ascii="仿宋" w:hAnsi="仿宋" w:eastAsia="仿宋" w:cs="仿宋"/>
                <w:color w:val="auto"/>
                <w:sz w:val="24"/>
              </w:rPr>
            </w:pPr>
          </w:p>
        </w:tc>
      </w:tr>
      <w:tr w14:paraId="796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70" w:type="dxa"/>
            <w:noWrap/>
          </w:tcPr>
          <w:p w14:paraId="76F34F7B">
            <w:pPr>
              <w:pStyle w:val="15"/>
              <w:spacing w:line="240" w:lineRule="atLeast"/>
              <w:ind w:left="1080" w:leftChars="257" w:hanging="540"/>
              <w:rPr>
                <w:rFonts w:ascii="仿宋" w:hAnsi="仿宋" w:eastAsia="仿宋" w:cs="仿宋"/>
                <w:color w:val="auto"/>
                <w:sz w:val="24"/>
              </w:rPr>
            </w:pPr>
          </w:p>
        </w:tc>
        <w:tc>
          <w:tcPr>
            <w:tcW w:w="2130" w:type="dxa"/>
            <w:noWrap/>
          </w:tcPr>
          <w:p w14:paraId="6875D712">
            <w:pPr>
              <w:pStyle w:val="15"/>
              <w:spacing w:line="240" w:lineRule="atLeast"/>
              <w:ind w:left="1080" w:leftChars="257" w:hanging="540"/>
              <w:rPr>
                <w:rFonts w:ascii="仿宋" w:hAnsi="仿宋" w:eastAsia="仿宋" w:cs="仿宋"/>
                <w:color w:val="auto"/>
                <w:sz w:val="24"/>
              </w:rPr>
            </w:pPr>
          </w:p>
        </w:tc>
        <w:tc>
          <w:tcPr>
            <w:tcW w:w="2030" w:type="dxa"/>
            <w:noWrap/>
          </w:tcPr>
          <w:p w14:paraId="64A3FF11">
            <w:pPr>
              <w:pStyle w:val="15"/>
              <w:spacing w:line="240" w:lineRule="atLeast"/>
              <w:ind w:left="1080" w:leftChars="257" w:hanging="540"/>
              <w:rPr>
                <w:rFonts w:ascii="仿宋" w:hAnsi="仿宋" w:eastAsia="仿宋" w:cs="仿宋"/>
                <w:color w:val="auto"/>
                <w:sz w:val="24"/>
              </w:rPr>
            </w:pPr>
          </w:p>
        </w:tc>
        <w:tc>
          <w:tcPr>
            <w:tcW w:w="1620" w:type="dxa"/>
            <w:noWrap/>
          </w:tcPr>
          <w:p w14:paraId="0476BC8B">
            <w:pPr>
              <w:pStyle w:val="15"/>
              <w:spacing w:line="240" w:lineRule="atLeast"/>
              <w:ind w:left="1080" w:leftChars="257" w:hanging="540"/>
              <w:rPr>
                <w:rFonts w:ascii="仿宋" w:hAnsi="仿宋" w:eastAsia="仿宋" w:cs="仿宋"/>
                <w:color w:val="auto"/>
                <w:sz w:val="24"/>
              </w:rPr>
            </w:pPr>
          </w:p>
        </w:tc>
        <w:tc>
          <w:tcPr>
            <w:tcW w:w="1790" w:type="dxa"/>
            <w:noWrap/>
          </w:tcPr>
          <w:p w14:paraId="50FE66F8">
            <w:pPr>
              <w:pStyle w:val="15"/>
              <w:spacing w:line="240" w:lineRule="atLeast"/>
              <w:ind w:left="1080" w:leftChars="257" w:hanging="540"/>
              <w:rPr>
                <w:rFonts w:ascii="仿宋" w:hAnsi="仿宋" w:eastAsia="仿宋" w:cs="仿宋"/>
                <w:color w:val="auto"/>
                <w:sz w:val="24"/>
              </w:rPr>
            </w:pPr>
          </w:p>
        </w:tc>
        <w:tc>
          <w:tcPr>
            <w:tcW w:w="2170" w:type="dxa"/>
            <w:noWrap/>
          </w:tcPr>
          <w:p w14:paraId="621AB975">
            <w:pPr>
              <w:pStyle w:val="15"/>
              <w:spacing w:line="240" w:lineRule="atLeast"/>
              <w:ind w:left="1080" w:leftChars="257" w:hanging="540"/>
              <w:rPr>
                <w:rFonts w:ascii="仿宋" w:hAnsi="仿宋" w:eastAsia="仿宋" w:cs="仿宋"/>
                <w:color w:val="auto"/>
                <w:sz w:val="24"/>
              </w:rPr>
            </w:pPr>
          </w:p>
        </w:tc>
        <w:tc>
          <w:tcPr>
            <w:tcW w:w="1530" w:type="dxa"/>
            <w:noWrap/>
          </w:tcPr>
          <w:p w14:paraId="3D63B10E">
            <w:pPr>
              <w:pStyle w:val="15"/>
              <w:spacing w:line="240" w:lineRule="atLeast"/>
              <w:ind w:left="1080" w:leftChars="257" w:hanging="540"/>
              <w:rPr>
                <w:rFonts w:ascii="仿宋" w:hAnsi="仿宋" w:eastAsia="仿宋" w:cs="仿宋"/>
                <w:color w:val="auto"/>
                <w:sz w:val="24"/>
              </w:rPr>
            </w:pPr>
          </w:p>
        </w:tc>
      </w:tr>
      <w:tr w14:paraId="01E9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70" w:type="dxa"/>
            <w:noWrap/>
          </w:tcPr>
          <w:p w14:paraId="515F6BE5">
            <w:pPr>
              <w:pStyle w:val="15"/>
              <w:spacing w:line="240" w:lineRule="atLeast"/>
              <w:ind w:left="1080" w:leftChars="257" w:hanging="540"/>
              <w:rPr>
                <w:rFonts w:ascii="仿宋" w:hAnsi="仿宋" w:eastAsia="仿宋" w:cs="仿宋"/>
                <w:color w:val="auto"/>
                <w:sz w:val="24"/>
              </w:rPr>
            </w:pPr>
          </w:p>
        </w:tc>
        <w:tc>
          <w:tcPr>
            <w:tcW w:w="2130" w:type="dxa"/>
            <w:noWrap/>
          </w:tcPr>
          <w:p w14:paraId="5C2595E2">
            <w:pPr>
              <w:pStyle w:val="15"/>
              <w:spacing w:line="240" w:lineRule="atLeast"/>
              <w:ind w:left="1080" w:leftChars="257" w:hanging="540"/>
              <w:rPr>
                <w:rFonts w:ascii="仿宋" w:hAnsi="仿宋" w:eastAsia="仿宋" w:cs="仿宋"/>
                <w:color w:val="auto"/>
                <w:sz w:val="24"/>
              </w:rPr>
            </w:pPr>
          </w:p>
        </w:tc>
        <w:tc>
          <w:tcPr>
            <w:tcW w:w="2030" w:type="dxa"/>
            <w:noWrap/>
          </w:tcPr>
          <w:p w14:paraId="1B98ED64">
            <w:pPr>
              <w:pStyle w:val="15"/>
              <w:spacing w:line="240" w:lineRule="atLeast"/>
              <w:ind w:left="1080" w:leftChars="257" w:hanging="540"/>
              <w:rPr>
                <w:rFonts w:ascii="仿宋" w:hAnsi="仿宋" w:eastAsia="仿宋" w:cs="仿宋"/>
                <w:color w:val="auto"/>
                <w:sz w:val="24"/>
              </w:rPr>
            </w:pPr>
          </w:p>
        </w:tc>
        <w:tc>
          <w:tcPr>
            <w:tcW w:w="1620" w:type="dxa"/>
            <w:noWrap/>
          </w:tcPr>
          <w:p w14:paraId="34913C83">
            <w:pPr>
              <w:pStyle w:val="15"/>
              <w:spacing w:line="240" w:lineRule="atLeast"/>
              <w:ind w:left="1080" w:leftChars="257" w:hanging="540"/>
              <w:rPr>
                <w:rFonts w:ascii="仿宋" w:hAnsi="仿宋" w:eastAsia="仿宋" w:cs="仿宋"/>
                <w:color w:val="auto"/>
                <w:sz w:val="24"/>
              </w:rPr>
            </w:pPr>
          </w:p>
        </w:tc>
        <w:tc>
          <w:tcPr>
            <w:tcW w:w="1790" w:type="dxa"/>
            <w:noWrap/>
          </w:tcPr>
          <w:p w14:paraId="2531E26E">
            <w:pPr>
              <w:pStyle w:val="15"/>
              <w:spacing w:line="240" w:lineRule="atLeast"/>
              <w:ind w:left="1080" w:leftChars="257" w:hanging="540"/>
              <w:rPr>
                <w:rFonts w:ascii="仿宋" w:hAnsi="仿宋" w:eastAsia="仿宋" w:cs="仿宋"/>
                <w:color w:val="auto"/>
                <w:sz w:val="24"/>
              </w:rPr>
            </w:pPr>
          </w:p>
        </w:tc>
        <w:tc>
          <w:tcPr>
            <w:tcW w:w="2170" w:type="dxa"/>
            <w:noWrap/>
          </w:tcPr>
          <w:p w14:paraId="327719D5">
            <w:pPr>
              <w:pStyle w:val="15"/>
              <w:spacing w:line="240" w:lineRule="atLeast"/>
              <w:ind w:left="1080" w:leftChars="257" w:hanging="540"/>
              <w:rPr>
                <w:rFonts w:ascii="仿宋" w:hAnsi="仿宋" w:eastAsia="仿宋" w:cs="仿宋"/>
                <w:color w:val="auto"/>
                <w:sz w:val="24"/>
              </w:rPr>
            </w:pPr>
          </w:p>
        </w:tc>
        <w:tc>
          <w:tcPr>
            <w:tcW w:w="1530" w:type="dxa"/>
            <w:noWrap/>
          </w:tcPr>
          <w:p w14:paraId="4AA1CEA1">
            <w:pPr>
              <w:pStyle w:val="15"/>
              <w:spacing w:line="240" w:lineRule="atLeast"/>
              <w:ind w:left="1080" w:leftChars="257" w:hanging="540"/>
              <w:rPr>
                <w:rFonts w:ascii="仿宋" w:hAnsi="仿宋" w:eastAsia="仿宋" w:cs="仿宋"/>
                <w:color w:val="auto"/>
                <w:sz w:val="24"/>
              </w:rPr>
            </w:pPr>
          </w:p>
        </w:tc>
      </w:tr>
      <w:tr w14:paraId="793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0" w:type="dxa"/>
            <w:noWrap/>
          </w:tcPr>
          <w:p w14:paraId="2741421B">
            <w:pPr>
              <w:pStyle w:val="15"/>
              <w:spacing w:line="240" w:lineRule="atLeast"/>
              <w:ind w:left="1080" w:leftChars="257" w:hanging="540"/>
              <w:rPr>
                <w:rFonts w:ascii="仿宋" w:hAnsi="仿宋" w:eastAsia="仿宋" w:cs="仿宋"/>
                <w:color w:val="auto"/>
                <w:sz w:val="24"/>
              </w:rPr>
            </w:pPr>
          </w:p>
        </w:tc>
        <w:tc>
          <w:tcPr>
            <w:tcW w:w="2130" w:type="dxa"/>
            <w:noWrap/>
          </w:tcPr>
          <w:p w14:paraId="584DBF0E">
            <w:pPr>
              <w:pStyle w:val="15"/>
              <w:spacing w:line="240" w:lineRule="atLeast"/>
              <w:ind w:left="1080" w:leftChars="257" w:hanging="540"/>
              <w:rPr>
                <w:rFonts w:ascii="仿宋" w:hAnsi="仿宋" w:eastAsia="仿宋" w:cs="仿宋"/>
                <w:color w:val="auto"/>
                <w:sz w:val="24"/>
              </w:rPr>
            </w:pPr>
          </w:p>
        </w:tc>
        <w:tc>
          <w:tcPr>
            <w:tcW w:w="2030" w:type="dxa"/>
            <w:noWrap/>
          </w:tcPr>
          <w:p w14:paraId="28E11F65">
            <w:pPr>
              <w:pStyle w:val="15"/>
              <w:spacing w:line="240" w:lineRule="atLeast"/>
              <w:ind w:left="1080" w:leftChars="257" w:hanging="540"/>
              <w:rPr>
                <w:rFonts w:ascii="仿宋" w:hAnsi="仿宋" w:eastAsia="仿宋" w:cs="仿宋"/>
                <w:color w:val="auto"/>
                <w:sz w:val="24"/>
              </w:rPr>
            </w:pPr>
          </w:p>
        </w:tc>
        <w:tc>
          <w:tcPr>
            <w:tcW w:w="1620" w:type="dxa"/>
            <w:noWrap/>
          </w:tcPr>
          <w:p w14:paraId="04369040">
            <w:pPr>
              <w:pStyle w:val="15"/>
              <w:spacing w:line="240" w:lineRule="atLeast"/>
              <w:ind w:left="1080" w:leftChars="257" w:hanging="540"/>
              <w:rPr>
                <w:rFonts w:ascii="仿宋" w:hAnsi="仿宋" w:eastAsia="仿宋" w:cs="仿宋"/>
                <w:color w:val="auto"/>
                <w:sz w:val="24"/>
              </w:rPr>
            </w:pPr>
          </w:p>
        </w:tc>
        <w:tc>
          <w:tcPr>
            <w:tcW w:w="1790" w:type="dxa"/>
            <w:noWrap/>
          </w:tcPr>
          <w:p w14:paraId="38C2906B">
            <w:pPr>
              <w:pStyle w:val="15"/>
              <w:spacing w:line="240" w:lineRule="atLeast"/>
              <w:ind w:left="1080" w:leftChars="257" w:hanging="540"/>
              <w:rPr>
                <w:rFonts w:ascii="仿宋" w:hAnsi="仿宋" w:eastAsia="仿宋" w:cs="仿宋"/>
                <w:color w:val="auto"/>
                <w:sz w:val="24"/>
              </w:rPr>
            </w:pPr>
          </w:p>
        </w:tc>
        <w:tc>
          <w:tcPr>
            <w:tcW w:w="2170" w:type="dxa"/>
            <w:noWrap/>
          </w:tcPr>
          <w:p w14:paraId="51EBB647">
            <w:pPr>
              <w:pStyle w:val="15"/>
              <w:spacing w:line="240" w:lineRule="atLeast"/>
              <w:ind w:left="1080" w:leftChars="257" w:hanging="540"/>
              <w:rPr>
                <w:rFonts w:ascii="仿宋" w:hAnsi="仿宋" w:eastAsia="仿宋" w:cs="仿宋"/>
                <w:color w:val="auto"/>
                <w:sz w:val="24"/>
              </w:rPr>
            </w:pPr>
          </w:p>
        </w:tc>
        <w:tc>
          <w:tcPr>
            <w:tcW w:w="1530" w:type="dxa"/>
            <w:noWrap/>
          </w:tcPr>
          <w:p w14:paraId="00DBF0FE">
            <w:pPr>
              <w:pStyle w:val="15"/>
              <w:spacing w:line="240" w:lineRule="atLeast"/>
              <w:ind w:left="1080" w:leftChars="257" w:hanging="540"/>
              <w:rPr>
                <w:rFonts w:ascii="仿宋" w:hAnsi="仿宋" w:eastAsia="仿宋" w:cs="仿宋"/>
                <w:color w:val="auto"/>
                <w:sz w:val="24"/>
              </w:rPr>
            </w:pPr>
          </w:p>
        </w:tc>
      </w:tr>
    </w:tbl>
    <w:p w14:paraId="379E85A7">
      <w:pPr>
        <w:pStyle w:val="15"/>
        <w:spacing w:line="240" w:lineRule="atLeast"/>
        <w:ind w:left="1080" w:leftChars="257" w:hanging="540"/>
        <w:rPr>
          <w:rFonts w:ascii="仿宋" w:hAnsi="仿宋" w:eastAsia="仿宋" w:cs="仿宋"/>
          <w:color w:val="auto"/>
          <w:sz w:val="24"/>
        </w:rPr>
      </w:pPr>
    </w:p>
    <w:p w14:paraId="4A5E3AD7">
      <w:pPr>
        <w:pStyle w:val="15"/>
        <w:spacing w:line="240" w:lineRule="atLeast"/>
        <w:ind w:left="1154" w:leftChars="485" w:hanging="136" w:hangingChars="57"/>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5817C45">
      <w:pPr>
        <w:pStyle w:val="15"/>
        <w:tabs>
          <w:tab w:val="left" w:pos="5370"/>
        </w:tabs>
        <w:spacing w:line="240" w:lineRule="atLeast"/>
        <w:ind w:left="1154" w:leftChars="485" w:hanging="136" w:hangingChars="57"/>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869AC08">
      <w:pPr>
        <w:pStyle w:val="15"/>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1C77D828">
      <w:pPr>
        <w:pStyle w:val="15"/>
        <w:spacing w:line="240" w:lineRule="atLeast"/>
        <w:ind w:left="1154" w:leftChars="485" w:hanging="136" w:hangingChars="57"/>
        <w:rPr>
          <w:rFonts w:ascii="仿宋" w:hAnsi="仿宋" w:eastAsia="仿宋" w:cs="仿宋"/>
          <w:color w:val="auto"/>
          <w:sz w:val="24"/>
        </w:rPr>
      </w:pPr>
      <w:r>
        <w:rPr>
          <w:rFonts w:hint="eastAsia" w:ascii="仿宋" w:hAnsi="仿宋" w:eastAsia="仿宋" w:cs="仿宋"/>
          <w:color w:val="auto"/>
          <w:sz w:val="24"/>
        </w:rPr>
        <w:t>注: 各项货物详细技术性能应另页描述。</w:t>
      </w:r>
    </w:p>
    <w:p w14:paraId="1E46CAA3">
      <w:pPr>
        <w:pStyle w:val="15"/>
        <w:spacing w:line="240" w:lineRule="atLeast"/>
        <w:ind w:left="1080" w:leftChars="257" w:hanging="540"/>
        <w:jc w:val="center"/>
        <w:rPr>
          <w:rFonts w:ascii="仿宋" w:hAnsi="仿宋" w:eastAsia="仿宋" w:cs="仿宋"/>
          <w:color w:val="auto"/>
          <w:sz w:val="24"/>
        </w:rPr>
      </w:pPr>
    </w:p>
    <w:p w14:paraId="3DD16522">
      <w:pPr>
        <w:pStyle w:val="15"/>
        <w:spacing w:line="240" w:lineRule="atLeast"/>
        <w:ind w:left="1080" w:leftChars="257" w:hanging="540"/>
        <w:jc w:val="center"/>
        <w:rPr>
          <w:rFonts w:ascii="仿宋" w:hAnsi="仿宋" w:eastAsia="仿宋" w:cs="仿宋"/>
          <w:color w:val="auto"/>
          <w:sz w:val="24"/>
        </w:rPr>
        <w:sectPr>
          <w:headerReference r:id="rId6" w:type="default"/>
          <w:footerReference r:id="rId7" w:type="default"/>
          <w:pgSz w:w="16838" w:h="11906" w:orient="landscape"/>
          <w:pgMar w:top="1797" w:right="1440" w:bottom="1797" w:left="1440" w:header="851" w:footer="992" w:gutter="0"/>
          <w:cols w:space="720" w:num="1"/>
          <w:docGrid w:linePitch="312" w:charSpace="0"/>
        </w:sectPr>
      </w:pPr>
    </w:p>
    <w:p w14:paraId="049F42E5">
      <w:pPr>
        <w:pStyle w:val="4"/>
        <w:spacing w:before="0" w:line="240" w:lineRule="atLeast"/>
        <w:ind w:left="1080" w:leftChars="257" w:hanging="540"/>
        <w:rPr>
          <w:rFonts w:ascii="仿宋" w:hAnsi="仿宋" w:eastAsia="仿宋" w:cs="仿宋"/>
          <w:color w:val="auto"/>
          <w:sz w:val="24"/>
        </w:rPr>
      </w:pPr>
      <w:bookmarkStart w:id="509" w:name="_Toc3885"/>
      <w:bookmarkStart w:id="510" w:name="_Toc14377"/>
      <w:bookmarkStart w:id="511" w:name="_Toc23679"/>
      <w:bookmarkStart w:id="512" w:name="_Toc8914"/>
      <w:bookmarkStart w:id="513" w:name="_Toc16523"/>
      <w:r>
        <w:rPr>
          <w:rFonts w:hint="eastAsia" w:ascii="仿宋" w:hAnsi="仿宋" w:eastAsia="仿宋" w:cs="仿宋"/>
          <w:color w:val="auto"/>
          <w:sz w:val="24"/>
        </w:rPr>
        <w:t>5   技术规格偏离表</w:t>
      </w:r>
      <w:bookmarkEnd w:id="490"/>
      <w:r>
        <w:rPr>
          <w:rFonts w:hint="eastAsia" w:ascii="仿宋" w:hAnsi="仿宋" w:eastAsia="仿宋" w:cs="仿宋"/>
          <w:color w:val="auto"/>
          <w:sz w:val="24"/>
        </w:rPr>
        <w:t>（投标文件格式九）</w:t>
      </w:r>
      <w:bookmarkEnd w:id="491"/>
      <w:bookmarkEnd w:id="492"/>
      <w:bookmarkEnd w:id="493"/>
      <w:bookmarkEnd w:id="509"/>
      <w:bookmarkEnd w:id="510"/>
      <w:bookmarkEnd w:id="511"/>
      <w:bookmarkEnd w:id="512"/>
      <w:bookmarkEnd w:id="513"/>
    </w:p>
    <w:p w14:paraId="092830D6">
      <w:pPr>
        <w:pStyle w:val="15"/>
        <w:spacing w:line="240" w:lineRule="atLeast"/>
        <w:ind w:left="1080" w:leftChars="257" w:hanging="540"/>
        <w:rPr>
          <w:rFonts w:ascii="仿宋" w:hAnsi="仿宋" w:eastAsia="仿宋" w:cs="仿宋"/>
          <w:color w:val="auto"/>
          <w:sz w:val="24"/>
        </w:rPr>
      </w:pPr>
    </w:p>
    <w:p w14:paraId="18705C1A">
      <w:pPr>
        <w:pStyle w:val="15"/>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p w14:paraId="290B7060">
      <w:pPr>
        <w:pStyle w:val="15"/>
        <w:spacing w:line="240" w:lineRule="atLeast"/>
        <w:ind w:left="1080" w:leftChars="257" w:hanging="540"/>
        <w:rPr>
          <w:rFonts w:ascii="仿宋" w:hAnsi="仿宋" w:eastAsia="仿宋" w:cs="仿宋"/>
          <w:color w:val="auto"/>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07F364A3">
        <w:tblPrEx>
          <w:tblCellMar>
            <w:top w:w="0" w:type="dxa"/>
            <w:left w:w="108" w:type="dxa"/>
            <w:bottom w:w="0" w:type="dxa"/>
            <w:right w:w="108" w:type="dxa"/>
          </w:tblCellMar>
        </w:tblPrEx>
        <w:trPr>
          <w:trHeight w:val="521" w:hRule="atLeast"/>
          <w:jc w:val="center"/>
        </w:trPr>
        <w:tc>
          <w:tcPr>
            <w:tcW w:w="828" w:type="dxa"/>
            <w:noWrap/>
            <w:vAlign w:val="center"/>
          </w:tcPr>
          <w:p w14:paraId="0A568DB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260" w:type="dxa"/>
            <w:noWrap/>
            <w:vAlign w:val="center"/>
          </w:tcPr>
          <w:p w14:paraId="4B6FC475">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noWrap/>
            <w:vAlign w:val="center"/>
          </w:tcPr>
          <w:p w14:paraId="4D5E4430">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1260" w:type="dxa"/>
            <w:noWrap/>
            <w:vAlign w:val="center"/>
          </w:tcPr>
          <w:p w14:paraId="01361B4A">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招标规格</w:t>
            </w:r>
          </w:p>
        </w:tc>
        <w:tc>
          <w:tcPr>
            <w:tcW w:w="1260" w:type="dxa"/>
            <w:noWrap/>
            <w:vAlign w:val="center"/>
          </w:tcPr>
          <w:p w14:paraId="2C4B5EA1">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投标规格</w:t>
            </w:r>
          </w:p>
        </w:tc>
        <w:tc>
          <w:tcPr>
            <w:tcW w:w="900" w:type="dxa"/>
            <w:noWrap/>
            <w:vAlign w:val="center"/>
          </w:tcPr>
          <w:p w14:paraId="675C74EF">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偏离</w:t>
            </w:r>
          </w:p>
        </w:tc>
        <w:tc>
          <w:tcPr>
            <w:tcW w:w="900" w:type="dxa"/>
            <w:noWrap/>
            <w:vAlign w:val="center"/>
          </w:tcPr>
          <w:p w14:paraId="74362D54">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716B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F377335">
            <w:pPr>
              <w:pStyle w:val="15"/>
              <w:spacing w:line="240" w:lineRule="atLeast"/>
              <w:ind w:left="1080" w:leftChars="257" w:hanging="540"/>
              <w:rPr>
                <w:rFonts w:ascii="仿宋" w:hAnsi="仿宋" w:eastAsia="仿宋" w:cs="仿宋"/>
                <w:color w:val="auto"/>
                <w:sz w:val="24"/>
              </w:rPr>
            </w:pPr>
          </w:p>
        </w:tc>
        <w:tc>
          <w:tcPr>
            <w:tcW w:w="1260" w:type="dxa"/>
            <w:noWrap/>
          </w:tcPr>
          <w:p w14:paraId="4182B0CF">
            <w:pPr>
              <w:pStyle w:val="15"/>
              <w:spacing w:line="240" w:lineRule="atLeast"/>
              <w:ind w:left="1080" w:leftChars="257" w:hanging="540"/>
              <w:rPr>
                <w:rFonts w:ascii="仿宋" w:hAnsi="仿宋" w:eastAsia="仿宋" w:cs="仿宋"/>
                <w:color w:val="auto"/>
                <w:sz w:val="24"/>
              </w:rPr>
            </w:pPr>
          </w:p>
        </w:tc>
        <w:tc>
          <w:tcPr>
            <w:tcW w:w="2340" w:type="dxa"/>
            <w:noWrap/>
          </w:tcPr>
          <w:p w14:paraId="1BCD7A66">
            <w:pPr>
              <w:pStyle w:val="15"/>
              <w:spacing w:line="240" w:lineRule="atLeast"/>
              <w:ind w:left="1080" w:leftChars="257" w:hanging="540"/>
              <w:rPr>
                <w:rFonts w:ascii="仿宋" w:hAnsi="仿宋" w:eastAsia="仿宋" w:cs="仿宋"/>
                <w:color w:val="auto"/>
                <w:sz w:val="24"/>
              </w:rPr>
            </w:pPr>
          </w:p>
        </w:tc>
        <w:tc>
          <w:tcPr>
            <w:tcW w:w="1260" w:type="dxa"/>
            <w:noWrap/>
          </w:tcPr>
          <w:p w14:paraId="7DC5D189">
            <w:pPr>
              <w:pStyle w:val="15"/>
              <w:spacing w:line="240" w:lineRule="atLeast"/>
              <w:ind w:left="1080" w:leftChars="257" w:hanging="540"/>
              <w:rPr>
                <w:rFonts w:ascii="仿宋" w:hAnsi="仿宋" w:eastAsia="仿宋" w:cs="仿宋"/>
                <w:color w:val="auto"/>
                <w:sz w:val="24"/>
              </w:rPr>
            </w:pPr>
          </w:p>
        </w:tc>
        <w:tc>
          <w:tcPr>
            <w:tcW w:w="1260" w:type="dxa"/>
            <w:noWrap/>
          </w:tcPr>
          <w:p w14:paraId="75DE924F">
            <w:pPr>
              <w:pStyle w:val="15"/>
              <w:spacing w:line="240" w:lineRule="atLeast"/>
              <w:ind w:left="1080" w:leftChars="257" w:hanging="540"/>
              <w:rPr>
                <w:rFonts w:ascii="仿宋" w:hAnsi="仿宋" w:eastAsia="仿宋" w:cs="仿宋"/>
                <w:color w:val="auto"/>
                <w:sz w:val="24"/>
              </w:rPr>
            </w:pPr>
          </w:p>
        </w:tc>
        <w:tc>
          <w:tcPr>
            <w:tcW w:w="900" w:type="dxa"/>
            <w:noWrap/>
          </w:tcPr>
          <w:p w14:paraId="0F2656DF">
            <w:pPr>
              <w:pStyle w:val="15"/>
              <w:spacing w:line="240" w:lineRule="atLeast"/>
              <w:ind w:left="1080" w:leftChars="257" w:hanging="540"/>
              <w:rPr>
                <w:rFonts w:ascii="仿宋" w:hAnsi="仿宋" w:eastAsia="仿宋" w:cs="仿宋"/>
                <w:color w:val="auto"/>
                <w:sz w:val="24"/>
              </w:rPr>
            </w:pPr>
          </w:p>
        </w:tc>
        <w:tc>
          <w:tcPr>
            <w:tcW w:w="900" w:type="dxa"/>
            <w:noWrap/>
          </w:tcPr>
          <w:p w14:paraId="74E2C2D1">
            <w:pPr>
              <w:pStyle w:val="15"/>
              <w:spacing w:line="240" w:lineRule="atLeast"/>
              <w:ind w:left="1080" w:leftChars="257" w:hanging="540"/>
              <w:rPr>
                <w:rFonts w:ascii="仿宋" w:hAnsi="仿宋" w:eastAsia="仿宋" w:cs="仿宋"/>
                <w:color w:val="auto"/>
                <w:sz w:val="24"/>
              </w:rPr>
            </w:pPr>
          </w:p>
        </w:tc>
      </w:tr>
      <w:tr w14:paraId="2CE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67A2DD">
            <w:pPr>
              <w:pStyle w:val="15"/>
              <w:spacing w:line="240" w:lineRule="atLeast"/>
              <w:ind w:left="1080" w:leftChars="257" w:hanging="540"/>
              <w:rPr>
                <w:rFonts w:ascii="仿宋" w:hAnsi="仿宋" w:eastAsia="仿宋" w:cs="仿宋"/>
                <w:color w:val="auto"/>
                <w:sz w:val="24"/>
              </w:rPr>
            </w:pPr>
          </w:p>
        </w:tc>
        <w:tc>
          <w:tcPr>
            <w:tcW w:w="1260" w:type="dxa"/>
            <w:noWrap/>
          </w:tcPr>
          <w:p w14:paraId="77355AB5">
            <w:pPr>
              <w:pStyle w:val="15"/>
              <w:spacing w:line="240" w:lineRule="atLeast"/>
              <w:ind w:left="1080" w:leftChars="257" w:hanging="540"/>
              <w:rPr>
                <w:rFonts w:ascii="仿宋" w:hAnsi="仿宋" w:eastAsia="仿宋" w:cs="仿宋"/>
                <w:color w:val="auto"/>
                <w:sz w:val="24"/>
              </w:rPr>
            </w:pPr>
          </w:p>
        </w:tc>
        <w:tc>
          <w:tcPr>
            <w:tcW w:w="2340" w:type="dxa"/>
            <w:noWrap/>
          </w:tcPr>
          <w:p w14:paraId="287D26DC">
            <w:pPr>
              <w:pStyle w:val="15"/>
              <w:spacing w:line="240" w:lineRule="atLeast"/>
              <w:ind w:left="1080" w:leftChars="257" w:hanging="540"/>
              <w:rPr>
                <w:rFonts w:ascii="仿宋" w:hAnsi="仿宋" w:eastAsia="仿宋" w:cs="仿宋"/>
                <w:color w:val="auto"/>
                <w:sz w:val="24"/>
              </w:rPr>
            </w:pPr>
          </w:p>
        </w:tc>
        <w:tc>
          <w:tcPr>
            <w:tcW w:w="1260" w:type="dxa"/>
            <w:noWrap/>
          </w:tcPr>
          <w:p w14:paraId="452A2D54">
            <w:pPr>
              <w:pStyle w:val="15"/>
              <w:spacing w:line="240" w:lineRule="atLeast"/>
              <w:ind w:left="1080" w:leftChars="257" w:hanging="540"/>
              <w:rPr>
                <w:rFonts w:ascii="仿宋" w:hAnsi="仿宋" w:eastAsia="仿宋" w:cs="仿宋"/>
                <w:color w:val="auto"/>
                <w:sz w:val="24"/>
              </w:rPr>
            </w:pPr>
          </w:p>
        </w:tc>
        <w:tc>
          <w:tcPr>
            <w:tcW w:w="1260" w:type="dxa"/>
            <w:noWrap/>
          </w:tcPr>
          <w:p w14:paraId="0CB84339">
            <w:pPr>
              <w:pStyle w:val="15"/>
              <w:spacing w:line="240" w:lineRule="atLeast"/>
              <w:ind w:left="1080" w:leftChars="257" w:hanging="540"/>
              <w:rPr>
                <w:rFonts w:ascii="仿宋" w:hAnsi="仿宋" w:eastAsia="仿宋" w:cs="仿宋"/>
                <w:color w:val="auto"/>
                <w:sz w:val="24"/>
              </w:rPr>
            </w:pPr>
          </w:p>
        </w:tc>
        <w:tc>
          <w:tcPr>
            <w:tcW w:w="900" w:type="dxa"/>
            <w:noWrap/>
          </w:tcPr>
          <w:p w14:paraId="371B9B27">
            <w:pPr>
              <w:pStyle w:val="15"/>
              <w:spacing w:line="240" w:lineRule="atLeast"/>
              <w:ind w:left="1080" w:leftChars="257" w:hanging="540"/>
              <w:rPr>
                <w:rFonts w:ascii="仿宋" w:hAnsi="仿宋" w:eastAsia="仿宋" w:cs="仿宋"/>
                <w:color w:val="auto"/>
                <w:sz w:val="24"/>
              </w:rPr>
            </w:pPr>
          </w:p>
        </w:tc>
        <w:tc>
          <w:tcPr>
            <w:tcW w:w="900" w:type="dxa"/>
            <w:noWrap/>
          </w:tcPr>
          <w:p w14:paraId="58949937">
            <w:pPr>
              <w:pStyle w:val="15"/>
              <w:spacing w:line="240" w:lineRule="atLeast"/>
              <w:ind w:left="1080" w:leftChars="257" w:hanging="540"/>
              <w:rPr>
                <w:rFonts w:ascii="仿宋" w:hAnsi="仿宋" w:eastAsia="仿宋" w:cs="仿宋"/>
                <w:color w:val="auto"/>
                <w:sz w:val="24"/>
              </w:rPr>
            </w:pPr>
          </w:p>
        </w:tc>
      </w:tr>
      <w:tr w14:paraId="2D73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81EF78">
            <w:pPr>
              <w:pStyle w:val="15"/>
              <w:spacing w:line="240" w:lineRule="atLeast"/>
              <w:ind w:left="1080" w:leftChars="257" w:hanging="540"/>
              <w:rPr>
                <w:rFonts w:ascii="仿宋" w:hAnsi="仿宋" w:eastAsia="仿宋" w:cs="仿宋"/>
                <w:color w:val="auto"/>
                <w:sz w:val="24"/>
              </w:rPr>
            </w:pPr>
          </w:p>
        </w:tc>
        <w:tc>
          <w:tcPr>
            <w:tcW w:w="1260" w:type="dxa"/>
            <w:noWrap/>
          </w:tcPr>
          <w:p w14:paraId="5D878D6E">
            <w:pPr>
              <w:pStyle w:val="15"/>
              <w:spacing w:line="240" w:lineRule="atLeast"/>
              <w:ind w:left="1080" w:leftChars="257" w:hanging="540"/>
              <w:rPr>
                <w:rFonts w:ascii="仿宋" w:hAnsi="仿宋" w:eastAsia="仿宋" w:cs="仿宋"/>
                <w:color w:val="auto"/>
                <w:sz w:val="24"/>
              </w:rPr>
            </w:pPr>
          </w:p>
        </w:tc>
        <w:tc>
          <w:tcPr>
            <w:tcW w:w="2340" w:type="dxa"/>
            <w:noWrap/>
          </w:tcPr>
          <w:p w14:paraId="1866A86B">
            <w:pPr>
              <w:pStyle w:val="15"/>
              <w:spacing w:line="240" w:lineRule="atLeast"/>
              <w:ind w:left="1080" w:leftChars="257" w:hanging="540"/>
              <w:rPr>
                <w:rFonts w:ascii="仿宋" w:hAnsi="仿宋" w:eastAsia="仿宋" w:cs="仿宋"/>
                <w:color w:val="auto"/>
                <w:sz w:val="24"/>
              </w:rPr>
            </w:pPr>
          </w:p>
        </w:tc>
        <w:tc>
          <w:tcPr>
            <w:tcW w:w="1260" w:type="dxa"/>
            <w:noWrap/>
          </w:tcPr>
          <w:p w14:paraId="764D2E40">
            <w:pPr>
              <w:pStyle w:val="15"/>
              <w:spacing w:line="240" w:lineRule="atLeast"/>
              <w:ind w:left="1080" w:leftChars="257" w:hanging="540"/>
              <w:rPr>
                <w:rFonts w:ascii="仿宋" w:hAnsi="仿宋" w:eastAsia="仿宋" w:cs="仿宋"/>
                <w:color w:val="auto"/>
                <w:sz w:val="24"/>
              </w:rPr>
            </w:pPr>
          </w:p>
        </w:tc>
        <w:tc>
          <w:tcPr>
            <w:tcW w:w="1260" w:type="dxa"/>
            <w:noWrap/>
          </w:tcPr>
          <w:p w14:paraId="5A7AEF83">
            <w:pPr>
              <w:pStyle w:val="15"/>
              <w:spacing w:line="240" w:lineRule="atLeast"/>
              <w:ind w:left="1080" w:leftChars="257" w:hanging="540"/>
              <w:rPr>
                <w:rFonts w:ascii="仿宋" w:hAnsi="仿宋" w:eastAsia="仿宋" w:cs="仿宋"/>
                <w:color w:val="auto"/>
                <w:sz w:val="24"/>
              </w:rPr>
            </w:pPr>
          </w:p>
        </w:tc>
        <w:tc>
          <w:tcPr>
            <w:tcW w:w="900" w:type="dxa"/>
            <w:noWrap/>
          </w:tcPr>
          <w:p w14:paraId="71CB92DF">
            <w:pPr>
              <w:pStyle w:val="15"/>
              <w:spacing w:line="240" w:lineRule="atLeast"/>
              <w:ind w:left="1080" w:leftChars="257" w:hanging="540"/>
              <w:rPr>
                <w:rFonts w:ascii="仿宋" w:hAnsi="仿宋" w:eastAsia="仿宋" w:cs="仿宋"/>
                <w:color w:val="auto"/>
                <w:sz w:val="24"/>
              </w:rPr>
            </w:pPr>
          </w:p>
        </w:tc>
        <w:tc>
          <w:tcPr>
            <w:tcW w:w="900" w:type="dxa"/>
            <w:noWrap/>
          </w:tcPr>
          <w:p w14:paraId="4F37C3B2">
            <w:pPr>
              <w:pStyle w:val="15"/>
              <w:spacing w:line="240" w:lineRule="atLeast"/>
              <w:ind w:left="1080" w:leftChars="257" w:hanging="540"/>
              <w:rPr>
                <w:rFonts w:ascii="仿宋" w:hAnsi="仿宋" w:eastAsia="仿宋" w:cs="仿宋"/>
                <w:color w:val="auto"/>
                <w:sz w:val="24"/>
              </w:rPr>
            </w:pPr>
          </w:p>
        </w:tc>
      </w:tr>
      <w:tr w14:paraId="7344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D9A720A">
            <w:pPr>
              <w:pStyle w:val="15"/>
              <w:spacing w:line="240" w:lineRule="atLeast"/>
              <w:ind w:left="1080" w:leftChars="257" w:hanging="540"/>
              <w:rPr>
                <w:rFonts w:ascii="仿宋" w:hAnsi="仿宋" w:eastAsia="仿宋" w:cs="仿宋"/>
                <w:color w:val="auto"/>
                <w:sz w:val="24"/>
              </w:rPr>
            </w:pPr>
          </w:p>
        </w:tc>
        <w:tc>
          <w:tcPr>
            <w:tcW w:w="1260" w:type="dxa"/>
            <w:noWrap/>
          </w:tcPr>
          <w:p w14:paraId="035967CD">
            <w:pPr>
              <w:pStyle w:val="15"/>
              <w:spacing w:line="240" w:lineRule="atLeast"/>
              <w:ind w:left="1080" w:leftChars="257" w:hanging="540"/>
              <w:rPr>
                <w:rFonts w:ascii="仿宋" w:hAnsi="仿宋" w:eastAsia="仿宋" w:cs="仿宋"/>
                <w:color w:val="auto"/>
                <w:sz w:val="24"/>
              </w:rPr>
            </w:pPr>
          </w:p>
        </w:tc>
        <w:tc>
          <w:tcPr>
            <w:tcW w:w="2340" w:type="dxa"/>
            <w:noWrap/>
          </w:tcPr>
          <w:p w14:paraId="20583E34">
            <w:pPr>
              <w:pStyle w:val="15"/>
              <w:spacing w:line="240" w:lineRule="atLeast"/>
              <w:ind w:left="1080" w:leftChars="257" w:hanging="540"/>
              <w:rPr>
                <w:rFonts w:ascii="仿宋" w:hAnsi="仿宋" w:eastAsia="仿宋" w:cs="仿宋"/>
                <w:color w:val="auto"/>
                <w:sz w:val="24"/>
              </w:rPr>
            </w:pPr>
          </w:p>
        </w:tc>
        <w:tc>
          <w:tcPr>
            <w:tcW w:w="1260" w:type="dxa"/>
            <w:noWrap/>
          </w:tcPr>
          <w:p w14:paraId="3762DC20">
            <w:pPr>
              <w:pStyle w:val="15"/>
              <w:spacing w:line="240" w:lineRule="atLeast"/>
              <w:ind w:left="1080" w:leftChars="257" w:hanging="540"/>
              <w:rPr>
                <w:rFonts w:ascii="仿宋" w:hAnsi="仿宋" w:eastAsia="仿宋" w:cs="仿宋"/>
                <w:color w:val="auto"/>
                <w:sz w:val="24"/>
              </w:rPr>
            </w:pPr>
          </w:p>
        </w:tc>
        <w:tc>
          <w:tcPr>
            <w:tcW w:w="1260" w:type="dxa"/>
            <w:noWrap/>
          </w:tcPr>
          <w:p w14:paraId="19920CEB">
            <w:pPr>
              <w:pStyle w:val="15"/>
              <w:spacing w:line="240" w:lineRule="atLeast"/>
              <w:ind w:left="1080" w:leftChars="257" w:hanging="540"/>
              <w:rPr>
                <w:rFonts w:ascii="仿宋" w:hAnsi="仿宋" w:eastAsia="仿宋" w:cs="仿宋"/>
                <w:color w:val="auto"/>
                <w:sz w:val="24"/>
              </w:rPr>
            </w:pPr>
          </w:p>
        </w:tc>
        <w:tc>
          <w:tcPr>
            <w:tcW w:w="900" w:type="dxa"/>
            <w:noWrap/>
          </w:tcPr>
          <w:p w14:paraId="1EF91AAC">
            <w:pPr>
              <w:pStyle w:val="15"/>
              <w:spacing w:line="240" w:lineRule="atLeast"/>
              <w:ind w:left="1080" w:leftChars="257" w:hanging="540"/>
              <w:rPr>
                <w:rFonts w:ascii="仿宋" w:hAnsi="仿宋" w:eastAsia="仿宋" w:cs="仿宋"/>
                <w:color w:val="auto"/>
                <w:sz w:val="24"/>
              </w:rPr>
            </w:pPr>
          </w:p>
        </w:tc>
        <w:tc>
          <w:tcPr>
            <w:tcW w:w="900" w:type="dxa"/>
            <w:noWrap/>
          </w:tcPr>
          <w:p w14:paraId="5C49C882">
            <w:pPr>
              <w:pStyle w:val="15"/>
              <w:spacing w:line="240" w:lineRule="atLeast"/>
              <w:ind w:left="1080" w:leftChars="257" w:hanging="540"/>
              <w:rPr>
                <w:rFonts w:ascii="仿宋" w:hAnsi="仿宋" w:eastAsia="仿宋" w:cs="仿宋"/>
                <w:color w:val="auto"/>
                <w:sz w:val="24"/>
              </w:rPr>
            </w:pPr>
          </w:p>
        </w:tc>
      </w:tr>
      <w:tr w14:paraId="4BF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ED35F4C">
            <w:pPr>
              <w:pStyle w:val="15"/>
              <w:spacing w:line="240" w:lineRule="atLeast"/>
              <w:ind w:left="1080" w:leftChars="257" w:hanging="540"/>
              <w:rPr>
                <w:rFonts w:ascii="仿宋" w:hAnsi="仿宋" w:eastAsia="仿宋" w:cs="仿宋"/>
                <w:color w:val="auto"/>
                <w:sz w:val="24"/>
              </w:rPr>
            </w:pPr>
          </w:p>
        </w:tc>
        <w:tc>
          <w:tcPr>
            <w:tcW w:w="1260" w:type="dxa"/>
            <w:noWrap/>
          </w:tcPr>
          <w:p w14:paraId="6FC954A8">
            <w:pPr>
              <w:pStyle w:val="15"/>
              <w:spacing w:line="240" w:lineRule="atLeast"/>
              <w:ind w:left="1080" w:leftChars="257" w:hanging="540"/>
              <w:rPr>
                <w:rFonts w:ascii="仿宋" w:hAnsi="仿宋" w:eastAsia="仿宋" w:cs="仿宋"/>
                <w:color w:val="auto"/>
                <w:sz w:val="24"/>
              </w:rPr>
            </w:pPr>
          </w:p>
        </w:tc>
        <w:tc>
          <w:tcPr>
            <w:tcW w:w="2340" w:type="dxa"/>
            <w:noWrap/>
          </w:tcPr>
          <w:p w14:paraId="1501C4A0">
            <w:pPr>
              <w:pStyle w:val="15"/>
              <w:spacing w:line="240" w:lineRule="atLeast"/>
              <w:ind w:left="1080" w:leftChars="257" w:hanging="540"/>
              <w:rPr>
                <w:rFonts w:ascii="仿宋" w:hAnsi="仿宋" w:eastAsia="仿宋" w:cs="仿宋"/>
                <w:color w:val="auto"/>
                <w:sz w:val="24"/>
              </w:rPr>
            </w:pPr>
          </w:p>
        </w:tc>
        <w:tc>
          <w:tcPr>
            <w:tcW w:w="1260" w:type="dxa"/>
            <w:noWrap/>
          </w:tcPr>
          <w:p w14:paraId="25FDD0DC">
            <w:pPr>
              <w:pStyle w:val="15"/>
              <w:spacing w:line="240" w:lineRule="atLeast"/>
              <w:ind w:left="1080" w:leftChars="257" w:hanging="540"/>
              <w:rPr>
                <w:rFonts w:ascii="仿宋" w:hAnsi="仿宋" w:eastAsia="仿宋" w:cs="仿宋"/>
                <w:color w:val="auto"/>
                <w:sz w:val="24"/>
              </w:rPr>
            </w:pPr>
          </w:p>
        </w:tc>
        <w:tc>
          <w:tcPr>
            <w:tcW w:w="1260" w:type="dxa"/>
            <w:noWrap/>
          </w:tcPr>
          <w:p w14:paraId="481A8C37">
            <w:pPr>
              <w:pStyle w:val="15"/>
              <w:spacing w:line="240" w:lineRule="atLeast"/>
              <w:ind w:left="1080" w:leftChars="257" w:hanging="540"/>
              <w:rPr>
                <w:rFonts w:ascii="仿宋" w:hAnsi="仿宋" w:eastAsia="仿宋" w:cs="仿宋"/>
                <w:color w:val="auto"/>
                <w:sz w:val="24"/>
              </w:rPr>
            </w:pPr>
          </w:p>
        </w:tc>
        <w:tc>
          <w:tcPr>
            <w:tcW w:w="900" w:type="dxa"/>
            <w:noWrap/>
          </w:tcPr>
          <w:p w14:paraId="7ADE59C5">
            <w:pPr>
              <w:pStyle w:val="15"/>
              <w:spacing w:line="240" w:lineRule="atLeast"/>
              <w:ind w:left="1080" w:leftChars="257" w:hanging="540"/>
              <w:rPr>
                <w:rFonts w:ascii="仿宋" w:hAnsi="仿宋" w:eastAsia="仿宋" w:cs="仿宋"/>
                <w:color w:val="auto"/>
                <w:sz w:val="24"/>
              </w:rPr>
            </w:pPr>
          </w:p>
        </w:tc>
        <w:tc>
          <w:tcPr>
            <w:tcW w:w="900" w:type="dxa"/>
            <w:noWrap/>
          </w:tcPr>
          <w:p w14:paraId="20561908">
            <w:pPr>
              <w:pStyle w:val="15"/>
              <w:spacing w:line="240" w:lineRule="atLeast"/>
              <w:ind w:left="1080" w:leftChars="257" w:hanging="540"/>
              <w:rPr>
                <w:rFonts w:ascii="仿宋" w:hAnsi="仿宋" w:eastAsia="仿宋" w:cs="仿宋"/>
                <w:color w:val="auto"/>
                <w:sz w:val="24"/>
              </w:rPr>
            </w:pPr>
          </w:p>
        </w:tc>
      </w:tr>
      <w:tr w14:paraId="383D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30A7974">
            <w:pPr>
              <w:pStyle w:val="15"/>
              <w:spacing w:line="240" w:lineRule="atLeast"/>
              <w:ind w:left="1080" w:leftChars="257" w:hanging="540"/>
              <w:rPr>
                <w:rFonts w:ascii="仿宋" w:hAnsi="仿宋" w:eastAsia="仿宋" w:cs="仿宋"/>
                <w:color w:val="auto"/>
                <w:sz w:val="24"/>
              </w:rPr>
            </w:pPr>
          </w:p>
        </w:tc>
        <w:tc>
          <w:tcPr>
            <w:tcW w:w="1260" w:type="dxa"/>
            <w:noWrap/>
          </w:tcPr>
          <w:p w14:paraId="4CA74C4B">
            <w:pPr>
              <w:pStyle w:val="15"/>
              <w:spacing w:line="240" w:lineRule="atLeast"/>
              <w:ind w:left="1080" w:leftChars="257" w:hanging="540"/>
              <w:rPr>
                <w:rFonts w:ascii="仿宋" w:hAnsi="仿宋" w:eastAsia="仿宋" w:cs="仿宋"/>
                <w:color w:val="auto"/>
                <w:sz w:val="24"/>
              </w:rPr>
            </w:pPr>
          </w:p>
        </w:tc>
        <w:tc>
          <w:tcPr>
            <w:tcW w:w="2340" w:type="dxa"/>
            <w:noWrap/>
          </w:tcPr>
          <w:p w14:paraId="15A8A734">
            <w:pPr>
              <w:pStyle w:val="15"/>
              <w:spacing w:line="240" w:lineRule="atLeast"/>
              <w:ind w:left="1080" w:leftChars="257" w:hanging="540"/>
              <w:rPr>
                <w:rFonts w:ascii="仿宋" w:hAnsi="仿宋" w:eastAsia="仿宋" w:cs="仿宋"/>
                <w:color w:val="auto"/>
                <w:sz w:val="24"/>
              </w:rPr>
            </w:pPr>
          </w:p>
        </w:tc>
        <w:tc>
          <w:tcPr>
            <w:tcW w:w="1260" w:type="dxa"/>
            <w:noWrap/>
          </w:tcPr>
          <w:p w14:paraId="769D51E4">
            <w:pPr>
              <w:pStyle w:val="15"/>
              <w:spacing w:line="240" w:lineRule="atLeast"/>
              <w:ind w:left="1080" w:leftChars="257" w:hanging="540"/>
              <w:rPr>
                <w:rFonts w:ascii="仿宋" w:hAnsi="仿宋" w:eastAsia="仿宋" w:cs="仿宋"/>
                <w:color w:val="auto"/>
                <w:sz w:val="24"/>
              </w:rPr>
            </w:pPr>
          </w:p>
        </w:tc>
        <w:tc>
          <w:tcPr>
            <w:tcW w:w="1260" w:type="dxa"/>
            <w:noWrap/>
          </w:tcPr>
          <w:p w14:paraId="2DE3E182">
            <w:pPr>
              <w:pStyle w:val="15"/>
              <w:spacing w:line="240" w:lineRule="atLeast"/>
              <w:ind w:left="1080" w:leftChars="257" w:hanging="540"/>
              <w:rPr>
                <w:rFonts w:ascii="仿宋" w:hAnsi="仿宋" w:eastAsia="仿宋" w:cs="仿宋"/>
                <w:color w:val="auto"/>
                <w:sz w:val="24"/>
              </w:rPr>
            </w:pPr>
          </w:p>
        </w:tc>
        <w:tc>
          <w:tcPr>
            <w:tcW w:w="900" w:type="dxa"/>
            <w:noWrap/>
          </w:tcPr>
          <w:p w14:paraId="26571729">
            <w:pPr>
              <w:pStyle w:val="15"/>
              <w:spacing w:line="240" w:lineRule="atLeast"/>
              <w:ind w:left="1080" w:leftChars="257" w:hanging="540"/>
              <w:rPr>
                <w:rFonts w:ascii="仿宋" w:hAnsi="仿宋" w:eastAsia="仿宋" w:cs="仿宋"/>
                <w:color w:val="auto"/>
                <w:sz w:val="24"/>
              </w:rPr>
            </w:pPr>
          </w:p>
        </w:tc>
        <w:tc>
          <w:tcPr>
            <w:tcW w:w="900" w:type="dxa"/>
            <w:noWrap/>
          </w:tcPr>
          <w:p w14:paraId="3202E61C">
            <w:pPr>
              <w:pStyle w:val="15"/>
              <w:spacing w:line="240" w:lineRule="atLeast"/>
              <w:ind w:left="1080" w:leftChars="257" w:hanging="540"/>
              <w:rPr>
                <w:rFonts w:ascii="仿宋" w:hAnsi="仿宋" w:eastAsia="仿宋" w:cs="仿宋"/>
                <w:color w:val="auto"/>
                <w:sz w:val="24"/>
              </w:rPr>
            </w:pPr>
          </w:p>
        </w:tc>
      </w:tr>
      <w:tr w14:paraId="4B9F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31EFDCD9">
            <w:pPr>
              <w:pStyle w:val="15"/>
              <w:spacing w:line="240" w:lineRule="atLeast"/>
              <w:ind w:left="1080" w:leftChars="257" w:hanging="540"/>
              <w:rPr>
                <w:rFonts w:ascii="仿宋" w:hAnsi="仿宋" w:eastAsia="仿宋" w:cs="仿宋"/>
                <w:color w:val="auto"/>
                <w:sz w:val="24"/>
              </w:rPr>
            </w:pPr>
          </w:p>
        </w:tc>
        <w:tc>
          <w:tcPr>
            <w:tcW w:w="1260" w:type="dxa"/>
            <w:noWrap/>
          </w:tcPr>
          <w:p w14:paraId="70A5BB68">
            <w:pPr>
              <w:pStyle w:val="15"/>
              <w:spacing w:line="240" w:lineRule="atLeast"/>
              <w:ind w:left="1080" w:leftChars="257" w:hanging="540"/>
              <w:rPr>
                <w:rFonts w:ascii="仿宋" w:hAnsi="仿宋" w:eastAsia="仿宋" w:cs="仿宋"/>
                <w:color w:val="auto"/>
                <w:sz w:val="24"/>
              </w:rPr>
            </w:pPr>
          </w:p>
        </w:tc>
        <w:tc>
          <w:tcPr>
            <w:tcW w:w="2340" w:type="dxa"/>
            <w:noWrap/>
          </w:tcPr>
          <w:p w14:paraId="5CB73ADE">
            <w:pPr>
              <w:pStyle w:val="15"/>
              <w:spacing w:line="240" w:lineRule="atLeast"/>
              <w:ind w:left="1080" w:leftChars="257" w:hanging="540"/>
              <w:rPr>
                <w:rFonts w:ascii="仿宋" w:hAnsi="仿宋" w:eastAsia="仿宋" w:cs="仿宋"/>
                <w:color w:val="auto"/>
                <w:sz w:val="24"/>
              </w:rPr>
            </w:pPr>
          </w:p>
        </w:tc>
        <w:tc>
          <w:tcPr>
            <w:tcW w:w="1260" w:type="dxa"/>
            <w:noWrap/>
          </w:tcPr>
          <w:p w14:paraId="3089E696">
            <w:pPr>
              <w:pStyle w:val="15"/>
              <w:spacing w:line="240" w:lineRule="atLeast"/>
              <w:ind w:left="1080" w:leftChars="257" w:hanging="540"/>
              <w:rPr>
                <w:rFonts w:ascii="仿宋" w:hAnsi="仿宋" w:eastAsia="仿宋" w:cs="仿宋"/>
                <w:color w:val="auto"/>
                <w:sz w:val="24"/>
              </w:rPr>
            </w:pPr>
          </w:p>
        </w:tc>
        <w:tc>
          <w:tcPr>
            <w:tcW w:w="1260" w:type="dxa"/>
            <w:noWrap/>
          </w:tcPr>
          <w:p w14:paraId="4E38EC56">
            <w:pPr>
              <w:pStyle w:val="15"/>
              <w:spacing w:line="240" w:lineRule="atLeast"/>
              <w:ind w:left="1080" w:leftChars="257" w:hanging="540"/>
              <w:rPr>
                <w:rFonts w:ascii="仿宋" w:hAnsi="仿宋" w:eastAsia="仿宋" w:cs="仿宋"/>
                <w:color w:val="auto"/>
                <w:sz w:val="24"/>
              </w:rPr>
            </w:pPr>
          </w:p>
        </w:tc>
        <w:tc>
          <w:tcPr>
            <w:tcW w:w="900" w:type="dxa"/>
            <w:noWrap/>
          </w:tcPr>
          <w:p w14:paraId="1DF9E819">
            <w:pPr>
              <w:pStyle w:val="15"/>
              <w:spacing w:line="240" w:lineRule="atLeast"/>
              <w:ind w:left="1080" w:leftChars="257" w:hanging="540"/>
              <w:rPr>
                <w:rFonts w:ascii="仿宋" w:hAnsi="仿宋" w:eastAsia="仿宋" w:cs="仿宋"/>
                <w:color w:val="auto"/>
                <w:sz w:val="24"/>
              </w:rPr>
            </w:pPr>
          </w:p>
        </w:tc>
        <w:tc>
          <w:tcPr>
            <w:tcW w:w="900" w:type="dxa"/>
            <w:noWrap/>
          </w:tcPr>
          <w:p w14:paraId="1DFE7A44">
            <w:pPr>
              <w:pStyle w:val="15"/>
              <w:spacing w:line="240" w:lineRule="atLeast"/>
              <w:ind w:left="1080" w:leftChars="257" w:hanging="540"/>
              <w:rPr>
                <w:rFonts w:ascii="仿宋" w:hAnsi="仿宋" w:eastAsia="仿宋" w:cs="仿宋"/>
                <w:color w:val="auto"/>
                <w:sz w:val="24"/>
              </w:rPr>
            </w:pPr>
          </w:p>
        </w:tc>
      </w:tr>
      <w:tr w14:paraId="6940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609739E">
            <w:pPr>
              <w:pStyle w:val="15"/>
              <w:spacing w:line="240" w:lineRule="atLeast"/>
              <w:ind w:left="1080" w:leftChars="257" w:hanging="540"/>
              <w:rPr>
                <w:rFonts w:ascii="仿宋" w:hAnsi="仿宋" w:eastAsia="仿宋" w:cs="仿宋"/>
                <w:color w:val="auto"/>
                <w:sz w:val="24"/>
              </w:rPr>
            </w:pPr>
          </w:p>
        </w:tc>
        <w:tc>
          <w:tcPr>
            <w:tcW w:w="1260" w:type="dxa"/>
            <w:noWrap/>
          </w:tcPr>
          <w:p w14:paraId="3B7E04EB">
            <w:pPr>
              <w:pStyle w:val="15"/>
              <w:spacing w:line="240" w:lineRule="atLeast"/>
              <w:ind w:left="1080" w:leftChars="257" w:hanging="540"/>
              <w:rPr>
                <w:rFonts w:ascii="仿宋" w:hAnsi="仿宋" w:eastAsia="仿宋" w:cs="仿宋"/>
                <w:color w:val="auto"/>
                <w:sz w:val="24"/>
              </w:rPr>
            </w:pPr>
          </w:p>
        </w:tc>
        <w:tc>
          <w:tcPr>
            <w:tcW w:w="2340" w:type="dxa"/>
            <w:noWrap/>
          </w:tcPr>
          <w:p w14:paraId="33330F4C">
            <w:pPr>
              <w:pStyle w:val="15"/>
              <w:spacing w:line="240" w:lineRule="atLeast"/>
              <w:ind w:left="1080" w:leftChars="257" w:hanging="540"/>
              <w:rPr>
                <w:rFonts w:ascii="仿宋" w:hAnsi="仿宋" w:eastAsia="仿宋" w:cs="仿宋"/>
                <w:color w:val="auto"/>
                <w:sz w:val="24"/>
              </w:rPr>
            </w:pPr>
          </w:p>
        </w:tc>
        <w:tc>
          <w:tcPr>
            <w:tcW w:w="1260" w:type="dxa"/>
            <w:noWrap/>
          </w:tcPr>
          <w:p w14:paraId="16EBEB19">
            <w:pPr>
              <w:pStyle w:val="15"/>
              <w:spacing w:line="240" w:lineRule="atLeast"/>
              <w:ind w:left="1080" w:leftChars="257" w:hanging="540"/>
              <w:rPr>
                <w:rFonts w:ascii="仿宋" w:hAnsi="仿宋" w:eastAsia="仿宋" w:cs="仿宋"/>
                <w:color w:val="auto"/>
                <w:sz w:val="24"/>
              </w:rPr>
            </w:pPr>
          </w:p>
        </w:tc>
        <w:tc>
          <w:tcPr>
            <w:tcW w:w="1260" w:type="dxa"/>
            <w:noWrap/>
          </w:tcPr>
          <w:p w14:paraId="7132A8A2">
            <w:pPr>
              <w:pStyle w:val="15"/>
              <w:spacing w:line="240" w:lineRule="atLeast"/>
              <w:ind w:left="1080" w:leftChars="257" w:hanging="540"/>
              <w:rPr>
                <w:rFonts w:ascii="仿宋" w:hAnsi="仿宋" w:eastAsia="仿宋" w:cs="仿宋"/>
                <w:color w:val="auto"/>
                <w:sz w:val="24"/>
              </w:rPr>
            </w:pPr>
          </w:p>
        </w:tc>
        <w:tc>
          <w:tcPr>
            <w:tcW w:w="900" w:type="dxa"/>
            <w:noWrap/>
          </w:tcPr>
          <w:p w14:paraId="58939AFA">
            <w:pPr>
              <w:pStyle w:val="15"/>
              <w:spacing w:line="240" w:lineRule="atLeast"/>
              <w:ind w:left="1080" w:leftChars="257" w:hanging="540"/>
              <w:rPr>
                <w:rFonts w:ascii="仿宋" w:hAnsi="仿宋" w:eastAsia="仿宋" w:cs="仿宋"/>
                <w:color w:val="auto"/>
                <w:sz w:val="24"/>
              </w:rPr>
            </w:pPr>
          </w:p>
        </w:tc>
        <w:tc>
          <w:tcPr>
            <w:tcW w:w="900" w:type="dxa"/>
            <w:noWrap/>
          </w:tcPr>
          <w:p w14:paraId="7479B36A">
            <w:pPr>
              <w:pStyle w:val="15"/>
              <w:spacing w:line="240" w:lineRule="atLeast"/>
              <w:ind w:left="1080" w:leftChars="257" w:hanging="540"/>
              <w:rPr>
                <w:rFonts w:ascii="仿宋" w:hAnsi="仿宋" w:eastAsia="仿宋" w:cs="仿宋"/>
                <w:color w:val="auto"/>
                <w:sz w:val="24"/>
              </w:rPr>
            </w:pPr>
          </w:p>
        </w:tc>
      </w:tr>
      <w:tr w14:paraId="01C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4D295EBA">
            <w:pPr>
              <w:pStyle w:val="15"/>
              <w:spacing w:line="240" w:lineRule="atLeast"/>
              <w:ind w:left="1080" w:leftChars="257" w:hanging="540"/>
              <w:rPr>
                <w:rFonts w:ascii="仿宋" w:hAnsi="仿宋" w:eastAsia="仿宋" w:cs="仿宋"/>
                <w:color w:val="auto"/>
                <w:sz w:val="24"/>
              </w:rPr>
            </w:pPr>
          </w:p>
        </w:tc>
        <w:tc>
          <w:tcPr>
            <w:tcW w:w="1260" w:type="dxa"/>
            <w:noWrap/>
          </w:tcPr>
          <w:p w14:paraId="5ED5C3BE">
            <w:pPr>
              <w:pStyle w:val="15"/>
              <w:spacing w:line="240" w:lineRule="atLeast"/>
              <w:ind w:left="1080" w:leftChars="257" w:hanging="540"/>
              <w:rPr>
                <w:rFonts w:ascii="仿宋" w:hAnsi="仿宋" w:eastAsia="仿宋" w:cs="仿宋"/>
                <w:color w:val="auto"/>
                <w:sz w:val="24"/>
              </w:rPr>
            </w:pPr>
          </w:p>
        </w:tc>
        <w:tc>
          <w:tcPr>
            <w:tcW w:w="2340" w:type="dxa"/>
            <w:noWrap/>
          </w:tcPr>
          <w:p w14:paraId="097D59DF">
            <w:pPr>
              <w:pStyle w:val="15"/>
              <w:spacing w:line="240" w:lineRule="atLeast"/>
              <w:ind w:left="1080" w:leftChars="257" w:hanging="540"/>
              <w:rPr>
                <w:rFonts w:ascii="仿宋" w:hAnsi="仿宋" w:eastAsia="仿宋" w:cs="仿宋"/>
                <w:color w:val="auto"/>
                <w:sz w:val="24"/>
              </w:rPr>
            </w:pPr>
          </w:p>
        </w:tc>
        <w:tc>
          <w:tcPr>
            <w:tcW w:w="1260" w:type="dxa"/>
            <w:noWrap/>
          </w:tcPr>
          <w:p w14:paraId="03931EF6">
            <w:pPr>
              <w:pStyle w:val="15"/>
              <w:spacing w:line="240" w:lineRule="atLeast"/>
              <w:ind w:left="1080" w:leftChars="257" w:hanging="540"/>
              <w:rPr>
                <w:rFonts w:ascii="仿宋" w:hAnsi="仿宋" w:eastAsia="仿宋" w:cs="仿宋"/>
                <w:color w:val="auto"/>
                <w:sz w:val="24"/>
              </w:rPr>
            </w:pPr>
          </w:p>
        </w:tc>
        <w:tc>
          <w:tcPr>
            <w:tcW w:w="1260" w:type="dxa"/>
            <w:noWrap/>
          </w:tcPr>
          <w:p w14:paraId="0E5C4871">
            <w:pPr>
              <w:pStyle w:val="15"/>
              <w:spacing w:line="240" w:lineRule="atLeast"/>
              <w:ind w:left="1080" w:leftChars="257" w:hanging="540"/>
              <w:rPr>
                <w:rFonts w:ascii="仿宋" w:hAnsi="仿宋" w:eastAsia="仿宋" w:cs="仿宋"/>
                <w:color w:val="auto"/>
                <w:sz w:val="24"/>
              </w:rPr>
            </w:pPr>
          </w:p>
        </w:tc>
        <w:tc>
          <w:tcPr>
            <w:tcW w:w="900" w:type="dxa"/>
            <w:noWrap/>
          </w:tcPr>
          <w:p w14:paraId="59255FF4">
            <w:pPr>
              <w:pStyle w:val="15"/>
              <w:spacing w:line="240" w:lineRule="atLeast"/>
              <w:ind w:left="1080" w:leftChars="257" w:hanging="540"/>
              <w:rPr>
                <w:rFonts w:ascii="仿宋" w:hAnsi="仿宋" w:eastAsia="仿宋" w:cs="仿宋"/>
                <w:color w:val="auto"/>
                <w:sz w:val="24"/>
              </w:rPr>
            </w:pPr>
          </w:p>
        </w:tc>
        <w:tc>
          <w:tcPr>
            <w:tcW w:w="900" w:type="dxa"/>
            <w:noWrap/>
          </w:tcPr>
          <w:p w14:paraId="109B018B">
            <w:pPr>
              <w:pStyle w:val="15"/>
              <w:spacing w:line="240" w:lineRule="atLeast"/>
              <w:ind w:left="1080" w:leftChars="257" w:hanging="540"/>
              <w:rPr>
                <w:rFonts w:ascii="仿宋" w:hAnsi="仿宋" w:eastAsia="仿宋" w:cs="仿宋"/>
                <w:color w:val="auto"/>
                <w:sz w:val="24"/>
              </w:rPr>
            </w:pPr>
          </w:p>
        </w:tc>
      </w:tr>
      <w:tr w14:paraId="122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D0047A9">
            <w:pPr>
              <w:pStyle w:val="15"/>
              <w:spacing w:line="240" w:lineRule="atLeast"/>
              <w:ind w:left="1080" w:leftChars="257" w:hanging="540"/>
              <w:rPr>
                <w:rFonts w:ascii="仿宋" w:hAnsi="仿宋" w:eastAsia="仿宋" w:cs="仿宋"/>
                <w:color w:val="auto"/>
                <w:sz w:val="24"/>
              </w:rPr>
            </w:pPr>
          </w:p>
        </w:tc>
        <w:tc>
          <w:tcPr>
            <w:tcW w:w="1260" w:type="dxa"/>
            <w:noWrap/>
          </w:tcPr>
          <w:p w14:paraId="370C30AE">
            <w:pPr>
              <w:pStyle w:val="15"/>
              <w:spacing w:line="240" w:lineRule="atLeast"/>
              <w:ind w:left="1080" w:leftChars="257" w:hanging="540"/>
              <w:rPr>
                <w:rFonts w:ascii="仿宋" w:hAnsi="仿宋" w:eastAsia="仿宋" w:cs="仿宋"/>
                <w:color w:val="auto"/>
                <w:sz w:val="24"/>
              </w:rPr>
            </w:pPr>
          </w:p>
        </w:tc>
        <w:tc>
          <w:tcPr>
            <w:tcW w:w="2340" w:type="dxa"/>
            <w:noWrap/>
          </w:tcPr>
          <w:p w14:paraId="54FA9D3F">
            <w:pPr>
              <w:pStyle w:val="15"/>
              <w:spacing w:line="240" w:lineRule="atLeast"/>
              <w:ind w:left="1080" w:leftChars="257" w:hanging="540"/>
              <w:rPr>
                <w:rFonts w:ascii="仿宋" w:hAnsi="仿宋" w:eastAsia="仿宋" w:cs="仿宋"/>
                <w:color w:val="auto"/>
                <w:sz w:val="24"/>
              </w:rPr>
            </w:pPr>
          </w:p>
        </w:tc>
        <w:tc>
          <w:tcPr>
            <w:tcW w:w="1260" w:type="dxa"/>
            <w:noWrap/>
          </w:tcPr>
          <w:p w14:paraId="079E369B">
            <w:pPr>
              <w:pStyle w:val="15"/>
              <w:spacing w:line="240" w:lineRule="atLeast"/>
              <w:ind w:left="1080" w:leftChars="257" w:hanging="540"/>
              <w:rPr>
                <w:rFonts w:ascii="仿宋" w:hAnsi="仿宋" w:eastAsia="仿宋" w:cs="仿宋"/>
                <w:color w:val="auto"/>
                <w:sz w:val="24"/>
              </w:rPr>
            </w:pPr>
          </w:p>
        </w:tc>
        <w:tc>
          <w:tcPr>
            <w:tcW w:w="1260" w:type="dxa"/>
            <w:noWrap/>
          </w:tcPr>
          <w:p w14:paraId="6A257F69">
            <w:pPr>
              <w:pStyle w:val="15"/>
              <w:spacing w:line="240" w:lineRule="atLeast"/>
              <w:ind w:left="1080" w:leftChars="257" w:hanging="540"/>
              <w:rPr>
                <w:rFonts w:ascii="仿宋" w:hAnsi="仿宋" w:eastAsia="仿宋" w:cs="仿宋"/>
                <w:color w:val="auto"/>
                <w:sz w:val="24"/>
              </w:rPr>
            </w:pPr>
          </w:p>
        </w:tc>
        <w:tc>
          <w:tcPr>
            <w:tcW w:w="900" w:type="dxa"/>
            <w:noWrap/>
          </w:tcPr>
          <w:p w14:paraId="66047B81">
            <w:pPr>
              <w:pStyle w:val="15"/>
              <w:spacing w:line="240" w:lineRule="atLeast"/>
              <w:ind w:left="1080" w:leftChars="257" w:hanging="540"/>
              <w:rPr>
                <w:rFonts w:ascii="仿宋" w:hAnsi="仿宋" w:eastAsia="仿宋" w:cs="仿宋"/>
                <w:color w:val="auto"/>
                <w:sz w:val="24"/>
              </w:rPr>
            </w:pPr>
          </w:p>
        </w:tc>
        <w:tc>
          <w:tcPr>
            <w:tcW w:w="900" w:type="dxa"/>
            <w:noWrap/>
          </w:tcPr>
          <w:p w14:paraId="4D2964D1">
            <w:pPr>
              <w:pStyle w:val="15"/>
              <w:spacing w:line="240" w:lineRule="atLeast"/>
              <w:ind w:left="1080" w:leftChars="257" w:hanging="540"/>
              <w:rPr>
                <w:rFonts w:ascii="仿宋" w:hAnsi="仿宋" w:eastAsia="仿宋" w:cs="仿宋"/>
                <w:color w:val="auto"/>
                <w:sz w:val="24"/>
              </w:rPr>
            </w:pPr>
          </w:p>
        </w:tc>
      </w:tr>
      <w:tr w14:paraId="2F9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41E9A75">
            <w:pPr>
              <w:pStyle w:val="15"/>
              <w:spacing w:line="240" w:lineRule="atLeast"/>
              <w:ind w:left="1080" w:leftChars="257" w:hanging="540"/>
              <w:rPr>
                <w:rFonts w:ascii="仿宋" w:hAnsi="仿宋" w:eastAsia="仿宋" w:cs="仿宋"/>
                <w:color w:val="auto"/>
                <w:sz w:val="24"/>
              </w:rPr>
            </w:pPr>
          </w:p>
        </w:tc>
        <w:tc>
          <w:tcPr>
            <w:tcW w:w="1260" w:type="dxa"/>
            <w:noWrap/>
          </w:tcPr>
          <w:p w14:paraId="2B5F0BD3">
            <w:pPr>
              <w:pStyle w:val="15"/>
              <w:spacing w:line="240" w:lineRule="atLeast"/>
              <w:ind w:left="1080" w:leftChars="257" w:hanging="540"/>
              <w:rPr>
                <w:rFonts w:ascii="仿宋" w:hAnsi="仿宋" w:eastAsia="仿宋" w:cs="仿宋"/>
                <w:color w:val="auto"/>
                <w:sz w:val="24"/>
              </w:rPr>
            </w:pPr>
          </w:p>
        </w:tc>
        <w:tc>
          <w:tcPr>
            <w:tcW w:w="2340" w:type="dxa"/>
            <w:noWrap/>
          </w:tcPr>
          <w:p w14:paraId="2DA7D33A">
            <w:pPr>
              <w:pStyle w:val="15"/>
              <w:spacing w:line="240" w:lineRule="atLeast"/>
              <w:ind w:left="1080" w:leftChars="257" w:hanging="540"/>
              <w:rPr>
                <w:rFonts w:ascii="仿宋" w:hAnsi="仿宋" w:eastAsia="仿宋" w:cs="仿宋"/>
                <w:color w:val="auto"/>
                <w:sz w:val="24"/>
              </w:rPr>
            </w:pPr>
          </w:p>
        </w:tc>
        <w:tc>
          <w:tcPr>
            <w:tcW w:w="1260" w:type="dxa"/>
            <w:noWrap/>
          </w:tcPr>
          <w:p w14:paraId="0CB155A0">
            <w:pPr>
              <w:pStyle w:val="15"/>
              <w:spacing w:line="240" w:lineRule="atLeast"/>
              <w:ind w:left="1080" w:leftChars="257" w:hanging="540"/>
              <w:rPr>
                <w:rFonts w:ascii="仿宋" w:hAnsi="仿宋" w:eastAsia="仿宋" w:cs="仿宋"/>
                <w:color w:val="auto"/>
                <w:sz w:val="24"/>
              </w:rPr>
            </w:pPr>
          </w:p>
        </w:tc>
        <w:tc>
          <w:tcPr>
            <w:tcW w:w="1260" w:type="dxa"/>
            <w:noWrap/>
          </w:tcPr>
          <w:p w14:paraId="0AC609E3">
            <w:pPr>
              <w:pStyle w:val="15"/>
              <w:spacing w:line="240" w:lineRule="atLeast"/>
              <w:ind w:left="1080" w:leftChars="257" w:hanging="540"/>
              <w:rPr>
                <w:rFonts w:ascii="仿宋" w:hAnsi="仿宋" w:eastAsia="仿宋" w:cs="仿宋"/>
                <w:color w:val="auto"/>
                <w:sz w:val="24"/>
              </w:rPr>
            </w:pPr>
          </w:p>
        </w:tc>
        <w:tc>
          <w:tcPr>
            <w:tcW w:w="900" w:type="dxa"/>
            <w:noWrap/>
          </w:tcPr>
          <w:p w14:paraId="3B2F721F">
            <w:pPr>
              <w:pStyle w:val="15"/>
              <w:spacing w:line="240" w:lineRule="atLeast"/>
              <w:ind w:left="1080" w:leftChars="257" w:hanging="540"/>
              <w:rPr>
                <w:rFonts w:ascii="仿宋" w:hAnsi="仿宋" w:eastAsia="仿宋" w:cs="仿宋"/>
                <w:color w:val="auto"/>
                <w:sz w:val="24"/>
              </w:rPr>
            </w:pPr>
          </w:p>
        </w:tc>
        <w:tc>
          <w:tcPr>
            <w:tcW w:w="900" w:type="dxa"/>
            <w:noWrap/>
          </w:tcPr>
          <w:p w14:paraId="5D28DCB7">
            <w:pPr>
              <w:pStyle w:val="15"/>
              <w:spacing w:line="240" w:lineRule="atLeast"/>
              <w:ind w:left="1080" w:leftChars="257" w:hanging="540"/>
              <w:rPr>
                <w:rFonts w:ascii="仿宋" w:hAnsi="仿宋" w:eastAsia="仿宋" w:cs="仿宋"/>
                <w:color w:val="auto"/>
                <w:sz w:val="24"/>
              </w:rPr>
            </w:pPr>
          </w:p>
        </w:tc>
      </w:tr>
      <w:tr w14:paraId="0F8A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0636902">
            <w:pPr>
              <w:pStyle w:val="15"/>
              <w:spacing w:line="240" w:lineRule="atLeast"/>
              <w:ind w:left="1080" w:leftChars="257" w:hanging="540"/>
              <w:rPr>
                <w:rFonts w:ascii="仿宋" w:hAnsi="仿宋" w:eastAsia="仿宋" w:cs="仿宋"/>
                <w:color w:val="auto"/>
                <w:sz w:val="24"/>
              </w:rPr>
            </w:pPr>
          </w:p>
        </w:tc>
        <w:tc>
          <w:tcPr>
            <w:tcW w:w="1260" w:type="dxa"/>
            <w:noWrap/>
          </w:tcPr>
          <w:p w14:paraId="4DD57E5A">
            <w:pPr>
              <w:pStyle w:val="15"/>
              <w:spacing w:line="240" w:lineRule="atLeast"/>
              <w:ind w:left="1080" w:leftChars="257" w:hanging="540"/>
              <w:rPr>
                <w:rFonts w:ascii="仿宋" w:hAnsi="仿宋" w:eastAsia="仿宋" w:cs="仿宋"/>
                <w:color w:val="auto"/>
                <w:sz w:val="24"/>
              </w:rPr>
            </w:pPr>
          </w:p>
        </w:tc>
        <w:tc>
          <w:tcPr>
            <w:tcW w:w="2340" w:type="dxa"/>
            <w:noWrap/>
          </w:tcPr>
          <w:p w14:paraId="41E8D898">
            <w:pPr>
              <w:pStyle w:val="15"/>
              <w:spacing w:line="240" w:lineRule="atLeast"/>
              <w:ind w:left="1080" w:leftChars="257" w:hanging="540"/>
              <w:rPr>
                <w:rFonts w:ascii="仿宋" w:hAnsi="仿宋" w:eastAsia="仿宋" w:cs="仿宋"/>
                <w:color w:val="auto"/>
                <w:sz w:val="24"/>
              </w:rPr>
            </w:pPr>
          </w:p>
        </w:tc>
        <w:tc>
          <w:tcPr>
            <w:tcW w:w="1260" w:type="dxa"/>
            <w:noWrap/>
          </w:tcPr>
          <w:p w14:paraId="485D2E4B">
            <w:pPr>
              <w:pStyle w:val="15"/>
              <w:spacing w:line="240" w:lineRule="atLeast"/>
              <w:ind w:left="1080" w:leftChars="257" w:hanging="540"/>
              <w:rPr>
                <w:rFonts w:ascii="仿宋" w:hAnsi="仿宋" w:eastAsia="仿宋" w:cs="仿宋"/>
                <w:color w:val="auto"/>
                <w:sz w:val="24"/>
              </w:rPr>
            </w:pPr>
          </w:p>
        </w:tc>
        <w:tc>
          <w:tcPr>
            <w:tcW w:w="1260" w:type="dxa"/>
            <w:noWrap/>
          </w:tcPr>
          <w:p w14:paraId="41BA9D4E">
            <w:pPr>
              <w:pStyle w:val="15"/>
              <w:spacing w:line="240" w:lineRule="atLeast"/>
              <w:ind w:left="1080" w:leftChars="257" w:hanging="540"/>
              <w:rPr>
                <w:rFonts w:ascii="仿宋" w:hAnsi="仿宋" w:eastAsia="仿宋" w:cs="仿宋"/>
                <w:color w:val="auto"/>
                <w:sz w:val="24"/>
              </w:rPr>
            </w:pPr>
          </w:p>
        </w:tc>
        <w:tc>
          <w:tcPr>
            <w:tcW w:w="900" w:type="dxa"/>
            <w:noWrap/>
          </w:tcPr>
          <w:p w14:paraId="3A86613B">
            <w:pPr>
              <w:pStyle w:val="15"/>
              <w:spacing w:line="240" w:lineRule="atLeast"/>
              <w:ind w:left="1080" w:leftChars="257" w:hanging="540"/>
              <w:rPr>
                <w:rFonts w:ascii="仿宋" w:hAnsi="仿宋" w:eastAsia="仿宋" w:cs="仿宋"/>
                <w:color w:val="auto"/>
                <w:sz w:val="24"/>
              </w:rPr>
            </w:pPr>
          </w:p>
        </w:tc>
        <w:tc>
          <w:tcPr>
            <w:tcW w:w="900" w:type="dxa"/>
            <w:noWrap/>
          </w:tcPr>
          <w:p w14:paraId="131E7DB5">
            <w:pPr>
              <w:pStyle w:val="15"/>
              <w:spacing w:line="240" w:lineRule="atLeast"/>
              <w:ind w:left="1080" w:leftChars="257" w:hanging="540"/>
              <w:rPr>
                <w:rFonts w:ascii="仿宋" w:hAnsi="仿宋" w:eastAsia="仿宋" w:cs="仿宋"/>
                <w:color w:val="auto"/>
                <w:sz w:val="24"/>
              </w:rPr>
            </w:pPr>
          </w:p>
        </w:tc>
      </w:tr>
      <w:tr w14:paraId="684B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30AB6A3">
            <w:pPr>
              <w:pStyle w:val="15"/>
              <w:spacing w:line="240" w:lineRule="atLeast"/>
              <w:ind w:left="1080" w:leftChars="257" w:hanging="540"/>
              <w:rPr>
                <w:rFonts w:ascii="仿宋" w:hAnsi="仿宋" w:eastAsia="仿宋" w:cs="仿宋"/>
                <w:color w:val="auto"/>
                <w:sz w:val="24"/>
              </w:rPr>
            </w:pPr>
          </w:p>
        </w:tc>
        <w:tc>
          <w:tcPr>
            <w:tcW w:w="1260" w:type="dxa"/>
            <w:noWrap/>
          </w:tcPr>
          <w:p w14:paraId="08303A9F">
            <w:pPr>
              <w:pStyle w:val="15"/>
              <w:spacing w:line="240" w:lineRule="atLeast"/>
              <w:ind w:left="1080" w:leftChars="257" w:hanging="540"/>
              <w:rPr>
                <w:rFonts w:ascii="仿宋" w:hAnsi="仿宋" w:eastAsia="仿宋" w:cs="仿宋"/>
                <w:color w:val="auto"/>
                <w:sz w:val="24"/>
              </w:rPr>
            </w:pPr>
          </w:p>
        </w:tc>
        <w:tc>
          <w:tcPr>
            <w:tcW w:w="2340" w:type="dxa"/>
            <w:noWrap/>
          </w:tcPr>
          <w:p w14:paraId="1DB8D203">
            <w:pPr>
              <w:pStyle w:val="15"/>
              <w:spacing w:line="240" w:lineRule="atLeast"/>
              <w:ind w:left="1080" w:leftChars="257" w:hanging="540"/>
              <w:rPr>
                <w:rFonts w:ascii="仿宋" w:hAnsi="仿宋" w:eastAsia="仿宋" w:cs="仿宋"/>
                <w:color w:val="auto"/>
                <w:sz w:val="24"/>
              </w:rPr>
            </w:pPr>
          </w:p>
        </w:tc>
        <w:tc>
          <w:tcPr>
            <w:tcW w:w="1260" w:type="dxa"/>
            <w:noWrap/>
          </w:tcPr>
          <w:p w14:paraId="7DD94285">
            <w:pPr>
              <w:pStyle w:val="15"/>
              <w:spacing w:line="240" w:lineRule="atLeast"/>
              <w:ind w:left="1080" w:leftChars="257" w:hanging="540"/>
              <w:rPr>
                <w:rFonts w:ascii="仿宋" w:hAnsi="仿宋" w:eastAsia="仿宋" w:cs="仿宋"/>
                <w:color w:val="auto"/>
                <w:sz w:val="24"/>
              </w:rPr>
            </w:pPr>
          </w:p>
        </w:tc>
        <w:tc>
          <w:tcPr>
            <w:tcW w:w="1260" w:type="dxa"/>
            <w:noWrap/>
          </w:tcPr>
          <w:p w14:paraId="7678C57E">
            <w:pPr>
              <w:pStyle w:val="15"/>
              <w:spacing w:line="240" w:lineRule="atLeast"/>
              <w:ind w:left="1080" w:leftChars="257" w:hanging="540"/>
              <w:rPr>
                <w:rFonts w:ascii="仿宋" w:hAnsi="仿宋" w:eastAsia="仿宋" w:cs="仿宋"/>
                <w:color w:val="auto"/>
                <w:sz w:val="24"/>
              </w:rPr>
            </w:pPr>
          </w:p>
        </w:tc>
        <w:tc>
          <w:tcPr>
            <w:tcW w:w="900" w:type="dxa"/>
            <w:noWrap/>
          </w:tcPr>
          <w:p w14:paraId="137CFB46">
            <w:pPr>
              <w:pStyle w:val="15"/>
              <w:spacing w:line="240" w:lineRule="atLeast"/>
              <w:ind w:left="1080" w:leftChars="257" w:hanging="540"/>
              <w:rPr>
                <w:rFonts w:ascii="仿宋" w:hAnsi="仿宋" w:eastAsia="仿宋" w:cs="仿宋"/>
                <w:color w:val="auto"/>
                <w:sz w:val="24"/>
              </w:rPr>
            </w:pPr>
          </w:p>
        </w:tc>
        <w:tc>
          <w:tcPr>
            <w:tcW w:w="900" w:type="dxa"/>
            <w:noWrap/>
          </w:tcPr>
          <w:p w14:paraId="35A8129F">
            <w:pPr>
              <w:pStyle w:val="15"/>
              <w:spacing w:line="240" w:lineRule="atLeast"/>
              <w:ind w:left="1080" w:leftChars="257" w:hanging="540"/>
              <w:rPr>
                <w:rFonts w:ascii="仿宋" w:hAnsi="仿宋" w:eastAsia="仿宋" w:cs="仿宋"/>
                <w:color w:val="auto"/>
                <w:sz w:val="24"/>
              </w:rPr>
            </w:pPr>
          </w:p>
        </w:tc>
      </w:tr>
      <w:tr w14:paraId="0355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24DB0AE">
            <w:pPr>
              <w:pStyle w:val="15"/>
              <w:spacing w:line="240" w:lineRule="atLeast"/>
              <w:ind w:left="1080" w:leftChars="257" w:hanging="540"/>
              <w:rPr>
                <w:rFonts w:ascii="仿宋" w:hAnsi="仿宋" w:eastAsia="仿宋" w:cs="仿宋"/>
                <w:color w:val="auto"/>
                <w:sz w:val="24"/>
              </w:rPr>
            </w:pPr>
          </w:p>
        </w:tc>
        <w:tc>
          <w:tcPr>
            <w:tcW w:w="1260" w:type="dxa"/>
            <w:noWrap/>
          </w:tcPr>
          <w:p w14:paraId="71819D20">
            <w:pPr>
              <w:pStyle w:val="15"/>
              <w:spacing w:line="240" w:lineRule="atLeast"/>
              <w:ind w:left="1080" w:leftChars="257" w:hanging="540"/>
              <w:rPr>
                <w:rFonts w:ascii="仿宋" w:hAnsi="仿宋" w:eastAsia="仿宋" w:cs="仿宋"/>
                <w:color w:val="auto"/>
                <w:sz w:val="24"/>
              </w:rPr>
            </w:pPr>
          </w:p>
        </w:tc>
        <w:tc>
          <w:tcPr>
            <w:tcW w:w="2340" w:type="dxa"/>
            <w:noWrap/>
          </w:tcPr>
          <w:p w14:paraId="5971A96F">
            <w:pPr>
              <w:pStyle w:val="15"/>
              <w:spacing w:line="240" w:lineRule="atLeast"/>
              <w:ind w:left="1080" w:leftChars="257" w:hanging="540"/>
              <w:rPr>
                <w:rFonts w:ascii="仿宋" w:hAnsi="仿宋" w:eastAsia="仿宋" w:cs="仿宋"/>
                <w:color w:val="auto"/>
                <w:sz w:val="24"/>
              </w:rPr>
            </w:pPr>
          </w:p>
        </w:tc>
        <w:tc>
          <w:tcPr>
            <w:tcW w:w="1260" w:type="dxa"/>
            <w:noWrap/>
          </w:tcPr>
          <w:p w14:paraId="122A0033">
            <w:pPr>
              <w:pStyle w:val="15"/>
              <w:spacing w:line="240" w:lineRule="atLeast"/>
              <w:ind w:left="1080" w:leftChars="257" w:hanging="540"/>
              <w:rPr>
                <w:rFonts w:ascii="仿宋" w:hAnsi="仿宋" w:eastAsia="仿宋" w:cs="仿宋"/>
                <w:color w:val="auto"/>
                <w:sz w:val="24"/>
              </w:rPr>
            </w:pPr>
          </w:p>
        </w:tc>
        <w:tc>
          <w:tcPr>
            <w:tcW w:w="1260" w:type="dxa"/>
            <w:noWrap/>
          </w:tcPr>
          <w:p w14:paraId="056D0069">
            <w:pPr>
              <w:pStyle w:val="15"/>
              <w:spacing w:line="240" w:lineRule="atLeast"/>
              <w:ind w:left="1080" w:leftChars="257" w:hanging="540"/>
              <w:rPr>
                <w:rFonts w:ascii="仿宋" w:hAnsi="仿宋" w:eastAsia="仿宋" w:cs="仿宋"/>
                <w:color w:val="auto"/>
                <w:sz w:val="24"/>
              </w:rPr>
            </w:pPr>
          </w:p>
        </w:tc>
        <w:tc>
          <w:tcPr>
            <w:tcW w:w="900" w:type="dxa"/>
            <w:noWrap/>
          </w:tcPr>
          <w:p w14:paraId="7AE90526">
            <w:pPr>
              <w:pStyle w:val="15"/>
              <w:spacing w:line="240" w:lineRule="atLeast"/>
              <w:ind w:left="1080" w:leftChars="257" w:hanging="540"/>
              <w:rPr>
                <w:rFonts w:ascii="仿宋" w:hAnsi="仿宋" w:eastAsia="仿宋" w:cs="仿宋"/>
                <w:color w:val="auto"/>
                <w:sz w:val="24"/>
              </w:rPr>
            </w:pPr>
          </w:p>
        </w:tc>
        <w:tc>
          <w:tcPr>
            <w:tcW w:w="900" w:type="dxa"/>
            <w:noWrap/>
          </w:tcPr>
          <w:p w14:paraId="689FDF0F">
            <w:pPr>
              <w:pStyle w:val="15"/>
              <w:spacing w:line="240" w:lineRule="atLeast"/>
              <w:ind w:left="1080" w:leftChars="257" w:hanging="540"/>
              <w:rPr>
                <w:rFonts w:ascii="仿宋" w:hAnsi="仿宋" w:eastAsia="仿宋" w:cs="仿宋"/>
                <w:color w:val="auto"/>
                <w:sz w:val="24"/>
              </w:rPr>
            </w:pPr>
          </w:p>
        </w:tc>
      </w:tr>
      <w:tr w14:paraId="5879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5190B0A1">
            <w:pPr>
              <w:pStyle w:val="15"/>
              <w:spacing w:line="240" w:lineRule="atLeast"/>
              <w:ind w:left="1080" w:leftChars="257" w:hanging="540"/>
              <w:rPr>
                <w:rFonts w:ascii="仿宋" w:hAnsi="仿宋" w:eastAsia="仿宋" w:cs="仿宋"/>
                <w:color w:val="auto"/>
                <w:sz w:val="24"/>
              </w:rPr>
            </w:pPr>
          </w:p>
        </w:tc>
        <w:tc>
          <w:tcPr>
            <w:tcW w:w="1260" w:type="dxa"/>
            <w:noWrap/>
          </w:tcPr>
          <w:p w14:paraId="2471DF5F">
            <w:pPr>
              <w:pStyle w:val="15"/>
              <w:spacing w:line="240" w:lineRule="atLeast"/>
              <w:ind w:left="1080" w:leftChars="257" w:hanging="540"/>
              <w:rPr>
                <w:rFonts w:ascii="仿宋" w:hAnsi="仿宋" w:eastAsia="仿宋" w:cs="仿宋"/>
                <w:color w:val="auto"/>
                <w:sz w:val="24"/>
              </w:rPr>
            </w:pPr>
          </w:p>
        </w:tc>
        <w:tc>
          <w:tcPr>
            <w:tcW w:w="2340" w:type="dxa"/>
            <w:noWrap/>
          </w:tcPr>
          <w:p w14:paraId="62ED5BB6">
            <w:pPr>
              <w:pStyle w:val="15"/>
              <w:spacing w:line="240" w:lineRule="atLeast"/>
              <w:ind w:left="1080" w:leftChars="257" w:hanging="540"/>
              <w:rPr>
                <w:rFonts w:ascii="仿宋" w:hAnsi="仿宋" w:eastAsia="仿宋" w:cs="仿宋"/>
                <w:color w:val="auto"/>
                <w:sz w:val="24"/>
              </w:rPr>
            </w:pPr>
          </w:p>
        </w:tc>
        <w:tc>
          <w:tcPr>
            <w:tcW w:w="1260" w:type="dxa"/>
            <w:noWrap/>
          </w:tcPr>
          <w:p w14:paraId="5E14D5EC">
            <w:pPr>
              <w:pStyle w:val="15"/>
              <w:spacing w:line="240" w:lineRule="atLeast"/>
              <w:ind w:left="1080" w:leftChars="257" w:hanging="540"/>
              <w:rPr>
                <w:rFonts w:ascii="仿宋" w:hAnsi="仿宋" w:eastAsia="仿宋" w:cs="仿宋"/>
                <w:color w:val="auto"/>
                <w:sz w:val="24"/>
              </w:rPr>
            </w:pPr>
          </w:p>
        </w:tc>
        <w:tc>
          <w:tcPr>
            <w:tcW w:w="1260" w:type="dxa"/>
            <w:noWrap/>
          </w:tcPr>
          <w:p w14:paraId="34012F30">
            <w:pPr>
              <w:pStyle w:val="15"/>
              <w:spacing w:line="240" w:lineRule="atLeast"/>
              <w:ind w:left="1080" w:leftChars="257" w:hanging="540"/>
              <w:rPr>
                <w:rFonts w:ascii="仿宋" w:hAnsi="仿宋" w:eastAsia="仿宋" w:cs="仿宋"/>
                <w:color w:val="auto"/>
                <w:sz w:val="24"/>
              </w:rPr>
            </w:pPr>
          </w:p>
        </w:tc>
        <w:tc>
          <w:tcPr>
            <w:tcW w:w="900" w:type="dxa"/>
            <w:noWrap/>
          </w:tcPr>
          <w:p w14:paraId="501E691E">
            <w:pPr>
              <w:pStyle w:val="15"/>
              <w:spacing w:line="240" w:lineRule="atLeast"/>
              <w:ind w:left="1080" w:leftChars="257" w:hanging="540"/>
              <w:rPr>
                <w:rFonts w:ascii="仿宋" w:hAnsi="仿宋" w:eastAsia="仿宋" w:cs="仿宋"/>
                <w:color w:val="auto"/>
                <w:sz w:val="24"/>
              </w:rPr>
            </w:pPr>
          </w:p>
        </w:tc>
        <w:tc>
          <w:tcPr>
            <w:tcW w:w="900" w:type="dxa"/>
            <w:noWrap/>
          </w:tcPr>
          <w:p w14:paraId="2BCD549C">
            <w:pPr>
              <w:pStyle w:val="15"/>
              <w:spacing w:line="240" w:lineRule="atLeast"/>
              <w:ind w:left="1080" w:leftChars="257" w:hanging="540"/>
              <w:rPr>
                <w:rFonts w:ascii="仿宋" w:hAnsi="仿宋" w:eastAsia="仿宋" w:cs="仿宋"/>
                <w:color w:val="auto"/>
                <w:sz w:val="24"/>
              </w:rPr>
            </w:pPr>
          </w:p>
        </w:tc>
      </w:tr>
      <w:tr w14:paraId="12E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57529DA">
            <w:pPr>
              <w:pStyle w:val="15"/>
              <w:spacing w:line="240" w:lineRule="atLeast"/>
              <w:ind w:left="1080" w:leftChars="257" w:hanging="540"/>
              <w:rPr>
                <w:rFonts w:ascii="仿宋" w:hAnsi="仿宋" w:eastAsia="仿宋" w:cs="仿宋"/>
                <w:color w:val="auto"/>
                <w:sz w:val="24"/>
              </w:rPr>
            </w:pPr>
          </w:p>
        </w:tc>
        <w:tc>
          <w:tcPr>
            <w:tcW w:w="1260" w:type="dxa"/>
            <w:noWrap/>
          </w:tcPr>
          <w:p w14:paraId="644173C6">
            <w:pPr>
              <w:pStyle w:val="15"/>
              <w:spacing w:line="240" w:lineRule="atLeast"/>
              <w:ind w:left="1080" w:leftChars="257" w:hanging="540"/>
              <w:rPr>
                <w:rFonts w:ascii="仿宋" w:hAnsi="仿宋" w:eastAsia="仿宋" w:cs="仿宋"/>
                <w:color w:val="auto"/>
                <w:sz w:val="24"/>
              </w:rPr>
            </w:pPr>
          </w:p>
        </w:tc>
        <w:tc>
          <w:tcPr>
            <w:tcW w:w="2340" w:type="dxa"/>
            <w:noWrap/>
          </w:tcPr>
          <w:p w14:paraId="7E73E0CE">
            <w:pPr>
              <w:pStyle w:val="15"/>
              <w:spacing w:line="240" w:lineRule="atLeast"/>
              <w:ind w:left="1080" w:leftChars="257" w:hanging="540"/>
              <w:rPr>
                <w:rFonts w:ascii="仿宋" w:hAnsi="仿宋" w:eastAsia="仿宋" w:cs="仿宋"/>
                <w:color w:val="auto"/>
                <w:sz w:val="24"/>
              </w:rPr>
            </w:pPr>
          </w:p>
        </w:tc>
        <w:tc>
          <w:tcPr>
            <w:tcW w:w="1260" w:type="dxa"/>
            <w:noWrap/>
          </w:tcPr>
          <w:p w14:paraId="5B4DC6D4">
            <w:pPr>
              <w:pStyle w:val="15"/>
              <w:spacing w:line="240" w:lineRule="atLeast"/>
              <w:ind w:left="1080" w:leftChars="257" w:hanging="540"/>
              <w:rPr>
                <w:rFonts w:ascii="仿宋" w:hAnsi="仿宋" w:eastAsia="仿宋" w:cs="仿宋"/>
                <w:color w:val="auto"/>
                <w:sz w:val="24"/>
              </w:rPr>
            </w:pPr>
          </w:p>
        </w:tc>
        <w:tc>
          <w:tcPr>
            <w:tcW w:w="1260" w:type="dxa"/>
            <w:noWrap/>
          </w:tcPr>
          <w:p w14:paraId="057FFC9A">
            <w:pPr>
              <w:pStyle w:val="15"/>
              <w:spacing w:line="240" w:lineRule="atLeast"/>
              <w:ind w:left="1080" w:leftChars="257" w:hanging="540"/>
              <w:rPr>
                <w:rFonts w:ascii="仿宋" w:hAnsi="仿宋" w:eastAsia="仿宋" w:cs="仿宋"/>
                <w:color w:val="auto"/>
                <w:sz w:val="24"/>
              </w:rPr>
            </w:pPr>
          </w:p>
        </w:tc>
        <w:tc>
          <w:tcPr>
            <w:tcW w:w="900" w:type="dxa"/>
            <w:noWrap/>
          </w:tcPr>
          <w:p w14:paraId="3C9FE4FB">
            <w:pPr>
              <w:pStyle w:val="15"/>
              <w:spacing w:line="240" w:lineRule="atLeast"/>
              <w:ind w:left="1080" w:leftChars="257" w:hanging="540"/>
              <w:rPr>
                <w:rFonts w:ascii="仿宋" w:hAnsi="仿宋" w:eastAsia="仿宋" w:cs="仿宋"/>
                <w:color w:val="auto"/>
                <w:sz w:val="24"/>
              </w:rPr>
            </w:pPr>
          </w:p>
        </w:tc>
        <w:tc>
          <w:tcPr>
            <w:tcW w:w="900" w:type="dxa"/>
            <w:noWrap/>
          </w:tcPr>
          <w:p w14:paraId="505EC2A0">
            <w:pPr>
              <w:pStyle w:val="15"/>
              <w:spacing w:line="240" w:lineRule="atLeast"/>
              <w:ind w:left="1080" w:leftChars="257" w:hanging="540"/>
              <w:rPr>
                <w:rFonts w:ascii="仿宋" w:hAnsi="仿宋" w:eastAsia="仿宋" w:cs="仿宋"/>
                <w:color w:val="auto"/>
                <w:sz w:val="24"/>
              </w:rPr>
            </w:pPr>
          </w:p>
        </w:tc>
      </w:tr>
      <w:tr w14:paraId="0BF7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F5D7C62">
            <w:pPr>
              <w:pStyle w:val="15"/>
              <w:spacing w:line="240" w:lineRule="atLeast"/>
              <w:ind w:left="1080" w:leftChars="257" w:hanging="540"/>
              <w:rPr>
                <w:rFonts w:ascii="仿宋" w:hAnsi="仿宋" w:eastAsia="仿宋" w:cs="仿宋"/>
                <w:color w:val="auto"/>
                <w:sz w:val="24"/>
              </w:rPr>
            </w:pPr>
          </w:p>
        </w:tc>
        <w:tc>
          <w:tcPr>
            <w:tcW w:w="1260" w:type="dxa"/>
            <w:noWrap/>
          </w:tcPr>
          <w:p w14:paraId="5D5BA4AA">
            <w:pPr>
              <w:pStyle w:val="15"/>
              <w:spacing w:line="240" w:lineRule="atLeast"/>
              <w:ind w:left="1080" w:leftChars="257" w:hanging="540"/>
              <w:rPr>
                <w:rFonts w:ascii="仿宋" w:hAnsi="仿宋" w:eastAsia="仿宋" w:cs="仿宋"/>
                <w:color w:val="auto"/>
                <w:sz w:val="24"/>
              </w:rPr>
            </w:pPr>
          </w:p>
        </w:tc>
        <w:tc>
          <w:tcPr>
            <w:tcW w:w="2340" w:type="dxa"/>
            <w:noWrap/>
          </w:tcPr>
          <w:p w14:paraId="01478354">
            <w:pPr>
              <w:pStyle w:val="15"/>
              <w:spacing w:line="240" w:lineRule="atLeast"/>
              <w:ind w:left="1080" w:leftChars="257" w:hanging="540"/>
              <w:rPr>
                <w:rFonts w:ascii="仿宋" w:hAnsi="仿宋" w:eastAsia="仿宋" w:cs="仿宋"/>
                <w:color w:val="auto"/>
                <w:sz w:val="24"/>
              </w:rPr>
            </w:pPr>
          </w:p>
        </w:tc>
        <w:tc>
          <w:tcPr>
            <w:tcW w:w="1260" w:type="dxa"/>
            <w:noWrap/>
          </w:tcPr>
          <w:p w14:paraId="63A45B26">
            <w:pPr>
              <w:pStyle w:val="15"/>
              <w:spacing w:line="240" w:lineRule="atLeast"/>
              <w:ind w:left="1080" w:leftChars="257" w:hanging="540"/>
              <w:rPr>
                <w:rFonts w:ascii="仿宋" w:hAnsi="仿宋" w:eastAsia="仿宋" w:cs="仿宋"/>
                <w:color w:val="auto"/>
                <w:sz w:val="24"/>
              </w:rPr>
            </w:pPr>
          </w:p>
        </w:tc>
        <w:tc>
          <w:tcPr>
            <w:tcW w:w="1260" w:type="dxa"/>
            <w:noWrap/>
          </w:tcPr>
          <w:p w14:paraId="267CE83B">
            <w:pPr>
              <w:pStyle w:val="15"/>
              <w:spacing w:line="240" w:lineRule="atLeast"/>
              <w:ind w:left="1080" w:leftChars="257" w:hanging="540"/>
              <w:rPr>
                <w:rFonts w:ascii="仿宋" w:hAnsi="仿宋" w:eastAsia="仿宋" w:cs="仿宋"/>
                <w:color w:val="auto"/>
                <w:sz w:val="24"/>
              </w:rPr>
            </w:pPr>
          </w:p>
        </w:tc>
        <w:tc>
          <w:tcPr>
            <w:tcW w:w="900" w:type="dxa"/>
            <w:noWrap/>
          </w:tcPr>
          <w:p w14:paraId="7EFAC0CB">
            <w:pPr>
              <w:pStyle w:val="15"/>
              <w:spacing w:line="240" w:lineRule="atLeast"/>
              <w:ind w:left="1080" w:leftChars="257" w:hanging="540"/>
              <w:rPr>
                <w:rFonts w:ascii="仿宋" w:hAnsi="仿宋" w:eastAsia="仿宋" w:cs="仿宋"/>
                <w:color w:val="auto"/>
                <w:sz w:val="24"/>
              </w:rPr>
            </w:pPr>
          </w:p>
        </w:tc>
        <w:tc>
          <w:tcPr>
            <w:tcW w:w="900" w:type="dxa"/>
            <w:noWrap/>
          </w:tcPr>
          <w:p w14:paraId="58FABFEF">
            <w:pPr>
              <w:pStyle w:val="15"/>
              <w:spacing w:line="240" w:lineRule="atLeast"/>
              <w:ind w:left="1080" w:leftChars="257" w:hanging="540"/>
              <w:rPr>
                <w:rFonts w:ascii="仿宋" w:hAnsi="仿宋" w:eastAsia="仿宋" w:cs="仿宋"/>
                <w:color w:val="auto"/>
                <w:sz w:val="24"/>
              </w:rPr>
            </w:pPr>
          </w:p>
        </w:tc>
      </w:tr>
    </w:tbl>
    <w:p w14:paraId="7895C109">
      <w:pPr>
        <w:pStyle w:val="15"/>
        <w:spacing w:line="240" w:lineRule="atLeast"/>
        <w:ind w:left="1080" w:leftChars="257" w:hanging="540"/>
        <w:rPr>
          <w:rFonts w:ascii="仿宋" w:hAnsi="仿宋" w:eastAsia="仿宋" w:cs="仿宋"/>
          <w:color w:val="auto"/>
          <w:sz w:val="24"/>
        </w:rPr>
      </w:pPr>
    </w:p>
    <w:p w14:paraId="4ECE02F1">
      <w:pPr>
        <w:pStyle w:val="15"/>
        <w:spacing w:line="240" w:lineRule="atLeast"/>
        <w:ind w:left="1080" w:leftChars="257" w:hanging="540"/>
        <w:rPr>
          <w:rFonts w:ascii="仿宋" w:hAnsi="仿宋" w:eastAsia="仿宋" w:cs="仿宋"/>
          <w:color w:val="auto"/>
          <w:sz w:val="24"/>
        </w:rPr>
      </w:pPr>
    </w:p>
    <w:p w14:paraId="74B896BB">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EBCC0C5">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2C0EEDDE">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u w:val="single"/>
        </w:rPr>
        <w:br w:type="page"/>
      </w:r>
    </w:p>
    <w:p w14:paraId="4CB87EF7">
      <w:pPr>
        <w:pStyle w:val="4"/>
        <w:spacing w:before="0" w:line="240" w:lineRule="atLeast"/>
        <w:ind w:left="1080" w:leftChars="257" w:hanging="540"/>
        <w:rPr>
          <w:rFonts w:ascii="仿宋" w:hAnsi="仿宋" w:eastAsia="仿宋" w:cs="仿宋"/>
          <w:color w:val="auto"/>
          <w:sz w:val="24"/>
        </w:rPr>
      </w:pPr>
      <w:bookmarkStart w:id="514" w:name="_Toc216582818"/>
      <w:bookmarkStart w:id="515" w:name="_Toc1980"/>
      <w:bookmarkStart w:id="516" w:name="_Toc10432"/>
      <w:bookmarkStart w:id="517" w:name="_Toc31429"/>
      <w:bookmarkStart w:id="518" w:name="_Toc515647821"/>
      <w:bookmarkStart w:id="519" w:name="_Toc17135"/>
      <w:bookmarkStart w:id="520" w:name="_Toc23"/>
      <w:bookmarkStart w:id="521" w:name="_Toc15598"/>
      <w:bookmarkStart w:id="522" w:name="_Toc28630"/>
      <w:r>
        <w:rPr>
          <w:rFonts w:hint="eastAsia" w:ascii="仿宋" w:hAnsi="仿宋" w:eastAsia="仿宋" w:cs="仿宋"/>
          <w:color w:val="auto"/>
          <w:sz w:val="24"/>
        </w:rPr>
        <w:t>6   商务条款偏离表</w:t>
      </w:r>
      <w:bookmarkEnd w:id="514"/>
      <w:r>
        <w:rPr>
          <w:rFonts w:hint="eastAsia" w:ascii="仿宋" w:hAnsi="仿宋" w:eastAsia="仿宋" w:cs="仿宋"/>
          <w:color w:val="auto"/>
          <w:sz w:val="24"/>
        </w:rPr>
        <w:t>（投标文件格式十）</w:t>
      </w:r>
      <w:bookmarkEnd w:id="515"/>
      <w:bookmarkEnd w:id="516"/>
      <w:bookmarkEnd w:id="517"/>
      <w:bookmarkEnd w:id="518"/>
      <w:bookmarkEnd w:id="519"/>
      <w:bookmarkEnd w:id="520"/>
      <w:bookmarkEnd w:id="521"/>
      <w:bookmarkEnd w:id="522"/>
    </w:p>
    <w:p w14:paraId="00F1F35A">
      <w:pPr>
        <w:pStyle w:val="15"/>
        <w:spacing w:line="240" w:lineRule="atLeast"/>
        <w:ind w:left="1080" w:leftChars="257" w:hanging="540"/>
        <w:rPr>
          <w:rFonts w:ascii="仿宋" w:hAnsi="仿宋" w:eastAsia="仿宋" w:cs="仿宋"/>
          <w:color w:val="auto"/>
          <w:sz w:val="24"/>
        </w:rPr>
      </w:pPr>
    </w:p>
    <w:p w14:paraId="3A0B8155">
      <w:pPr>
        <w:pStyle w:val="15"/>
        <w:spacing w:line="240" w:lineRule="atLeast"/>
        <w:ind w:left="1080" w:leftChars="257" w:hanging="540"/>
        <w:rPr>
          <w:rFonts w:hint="eastAsia" w:ascii="仿宋" w:hAnsi="仿宋" w:eastAsia="仿宋" w:cs="仿宋"/>
          <w:color w:val="auto"/>
          <w:sz w:val="24"/>
          <w:lang w:val="en-US" w:eastAsia="zh-CN"/>
        </w:rPr>
      </w:pPr>
      <w:r>
        <w:rPr>
          <w:rFonts w:hint="eastAsia" w:ascii="仿宋" w:hAnsi="仿宋" w:eastAsia="仿宋" w:cs="仿宋"/>
          <w:color w:val="auto"/>
          <w:sz w:val="24"/>
        </w:rPr>
        <w:t>项目名称:                      招标编号:             包号:</w:t>
      </w:r>
      <w:r>
        <w:rPr>
          <w:rFonts w:hint="eastAsia" w:ascii="仿宋" w:hAnsi="仿宋" w:eastAsia="仿宋" w:cs="仿宋"/>
          <w:color w:val="auto"/>
          <w:sz w:val="24"/>
          <w:lang w:val="en-US" w:eastAsia="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CC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8D55708">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2040" w:type="dxa"/>
            <w:noWrap/>
          </w:tcPr>
          <w:p w14:paraId="2F50E877">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2520" w:type="dxa"/>
            <w:noWrap/>
          </w:tcPr>
          <w:p w14:paraId="0DA3DE7C">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tcPr>
          <w:p w14:paraId="0EB6642A">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投标文件的商务条款</w:t>
            </w:r>
          </w:p>
        </w:tc>
        <w:tc>
          <w:tcPr>
            <w:tcW w:w="900" w:type="dxa"/>
            <w:noWrap/>
          </w:tcPr>
          <w:p w14:paraId="6B1E5AAF">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104A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07E3118">
            <w:pPr>
              <w:pStyle w:val="15"/>
              <w:spacing w:line="240" w:lineRule="atLeast"/>
              <w:ind w:left="1080" w:leftChars="257" w:hanging="540"/>
              <w:rPr>
                <w:rFonts w:ascii="仿宋" w:hAnsi="仿宋" w:eastAsia="仿宋" w:cs="仿宋"/>
                <w:color w:val="auto"/>
                <w:sz w:val="24"/>
              </w:rPr>
            </w:pPr>
          </w:p>
        </w:tc>
        <w:tc>
          <w:tcPr>
            <w:tcW w:w="2040" w:type="dxa"/>
            <w:noWrap/>
          </w:tcPr>
          <w:p w14:paraId="6A4E527D">
            <w:pPr>
              <w:pStyle w:val="15"/>
              <w:spacing w:line="240" w:lineRule="atLeast"/>
              <w:ind w:left="1080" w:leftChars="257" w:hanging="540"/>
              <w:rPr>
                <w:rFonts w:ascii="仿宋" w:hAnsi="仿宋" w:eastAsia="仿宋" w:cs="仿宋"/>
                <w:color w:val="auto"/>
                <w:sz w:val="24"/>
              </w:rPr>
            </w:pPr>
          </w:p>
        </w:tc>
        <w:tc>
          <w:tcPr>
            <w:tcW w:w="2520" w:type="dxa"/>
            <w:noWrap/>
          </w:tcPr>
          <w:p w14:paraId="75690559">
            <w:pPr>
              <w:pStyle w:val="15"/>
              <w:spacing w:line="240" w:lineRule="atLeast"/>
              <w:ind w:left="1080" w:leftChars="257" w:hanging="540"/>
              <w:jc w:val="center"/>
              <w:rPr>
                <w:rFonts w:ascii="仿宋" w:hAnsi="仿宋" w:eastAsia="仿宋" w:cs="仿宋"/>
                <w:color w:val="auto"/>
                <w:sz w:val="24"/>
              </w:rPr>
            </w:pPr>
          </w:p>
        </w:tc>
        <w:tc>
          <w:tcPr>
            <w:tcW w:w="2520" w:type="dxa"/>
            <w:noWrap/>
          </w:tcPr>
          <w:p w14:paraId="38F18ABC">
            <w:pPr>
              <w:pStyle w:val="15"/>
              <w:spacing w:line="240" w:lineRule="atLeast"/>
              <w:ind w:left="1080" w:leftChars="257" w:hanging="540"/>
              <w:jc w:val="center"/>
              <w:rPr>
                <w:rFonts w:ascii="仿宋" w:hAnsi="仿宋" w:eastAsia="仿宋" w:cs="仿宋"/>
                <w:color w:val="auto"/>
                <w:sz w:val="24"/>
              </w:rPr>
            </w:pPr>
          </w:p>
        </w:tc>
        <w:tc>
          <w:tcPr>
            <w:tcW w:w="900" w:type="dxa"/>
            <w:noWrap/>
          </w:tcPr>
          <w:p w14:paraId="2004D641">
            <w:pPr>
              <w:pStyle w:val="15"/>
              <w:spacing w:line="240" w:lineRule="atLeast"/>
              <w:ind w:left="1080" w:leftChars="257" w:hanging="540"/>
              <w:rPr>
                <w:rFonts w:ascii="仿宋" w:hAnsi="仿宋" w:eastAsia="仿宋" w:cs="仿宋"/>
                <w:color w:val="auto"/>
                <w:sz w:val="24"/>
              </w:rPr>
            </w:pPr>
          </w:p>
        </w:tc>
      </w:tr>
      <w:tr w14:paraId="7BD5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6D6A788">
            <w:pPr>
              <w:pStyle w:val="15"/>
              <w:spacing w:line="240" w:lineRule="atLeast"/>
              <w:ind w:left="1080" w:leftChars="257" w:hanging="540"/>
              <w:rPr>
                <w:rFonts w:ascii="仿宋" w:hAnsi="仿宋" w:eastAsia="仿宋" w:cs="仿宋"/>
                <w:color w:val="auto"/>
                <w:sz w:val="24"/>
              </w:rPr>
            </w:pPr>
          </w:p>
        </w:tc>
        <w:tc>
          <w:tcPr>
            <w:tcW w:w="2040" w:type="dxa"/>
            <w:noWrap/>
          </w:tcPr>
          <w:p w14:paraId="4383116C">
            <w:pPr>
              <w:pStyle w:val="15"/>
              <w:spacing w:line="240" w:lineRule="atLeast"/>
              <w:ind w:left="1080" w:leftChars="257" w:hanging="540"/>
              <w:rPr>
                <w:rFonts w:ascii="仿宋" w:hAnsi="仿宋" w:eastAsia="仿宋" w:cs="仿宋"/>
                <w:color w:val="auto"/>
                <w:sz w:val="24"/>
              </w:rPr>
            </w:pPr>
          </w:p>
        </w:tc>
        <w:tc>
          <w:tcPr>
            <w:tcW w:w="2520" w:type="dxa"/>
            <w:noWrap/>
          </w:tcPr>
          <w:p w14:paraId="18F824B9">
            <w:pPr>
              <w:pStyle w:val="15"/>
              <w:spacing w:line="240" w:lineRule="atLeast"/>
              <w:ind w:left="1080" w:leftChars="257" w:hanging="540"/>
              <w:rPr>
                <w:rFonts w:ascii="仿宋" w:hAnsi="仿宋" w:eastAsia="仿宋" w:cs="仿宋"/>
                <w:color w:val="auto"/>
                <w:sz w:val="24"/>
              </w:rPr>
            </w:pPr>
          </w:p>
        </w:tc>
        <w:tc>
          <w:tcPr>
            <w:tcW w:w="2520" w:type="dxa"/>
            <w:noWrap/>
          </w:tcPr>
          <w:p w14:paraId="39D619F4">
            <w:pPr>
              <w:pStyle w:val="15"/>
              <w:spacing w:line="240" w:lineRule="atLeast"/>
              <w:ind w:left="1080" w:leftChars="257" w:hanging="540"/>
              <w:rPr>
                <w:rFonts w:ascii="仿宋" w:hAnsi="仿宋" w:eastAsia="仿宋" w:cs="仿宋"/>
                <w:color w:val="auto"/>
                <w:sz w:val="24"/>
              </w:rPr>
            </w:pPr>
          </w:p>
        </w:tc>
        <w:tc>
          <w:tcPr>
            <w:tcW w:w="900" w:type="dxa"/>
            <w:noWrap/>
          </w:tcPr>
          <w:p w14:paraId="46F2752B">
            <w:pPr>
              <w:pStyle w:val="15"/>
              <w:spacing w:line="240" w:lineRule="atLeast"/>
              <w:ind w:left="1080" w:leftChars="257" w:hanging="540"/>
              <w:rPr>
                <w:rFonts w:ascii="仿宋" w:hAnsi="仿宋" w:eastAsia="仿宋" w:cs="仿宋"/>
                <w:color w:val="auto"/>
                <w:sz w:val="24"/>
              </w:rPr>
            </w:pPr>
          </w:p>
        </w:tc>
      </w:tr>
      <w:tr w14:paraId="5A08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481A773">
            <w:pPr>
              <w:pStyle w:val="15"/>
              <w:spacing w:line="240" w:lineRule="atLeast"/>
              <w:ind w:left="1080" w:leftChars="257" w:hanging="540"/>
              <w:rPr>
                <w:rFonts w:ascii="仿宋" w:hAnsi="仿宋" w:eastAsia="仿宋" w:cs="仿宋"/>
                <w:color w:val="auto"/>
                <w:sz w:val="24"/>
              </w:rPr>
            </w:pPr>
          </w:p>
        </w:tc>
        <w:tc>
          <w:tcPr>
            <w:tcW w:w="2040" w:type="dxa"/>
            <w:noWrap/>
          </w:tcPr>
          <w:p w14:paraId="2DD7A9E0">
            <w:pPr>
              <w:pStyle w:val="15"/>
              <w:spacing w:line="240" w:lineRule="atLeast"/>
              <w:ind w:left="1080" w:leftChars="257" w:hanging="540"/>
              <w:rPr>
                <w:rFonts w:ascii="仿宋" w:hAnsi="仿宋" w:eastAsia="仿宋" w:cs="仿宋"/>
                <w:color w:val="auto"/>
                <w:sz w:val="24"/>
              </w:rPr>
            </w:pPr>
          </w:p>
        </w:tc>
        <w:tc>
          <w:tcPr>
            <w:tcW w:w="2520" w:type="dxa"/>
            <w:noWrap/>
          </w:tcPr>
          <w:p w14:paraId="48793388">
            <w:pPr>
              <w:pStyle w:val="15"/>
              <w:spacing w:line="240" w:lineRule="atLeast"/>
              <w:ind w:left="1080" w:leftChars="257" w:hanging="540"/>
              <w:rPr>
                <w:rFonts w:ascii="仿宋" w:hAnsi="仿宋" w:eastAsia="仿宋" w:cs="仿宋"/>
                <w:color w:val="auto"/>
                <w:sz w:val="24"/>
              </w:rPr>
            </w:pPr>
          </w:p>
        </w:tc>
        <w:tc>
          <w:tcPr>
            <w:tcW w:w="2520" w:type="dxa"/>
            <w:noWrap/>
          </w:tcPr>
          <w:p w14:paraId="228C79C9">
            <w:pPr>
              <w:pStyle w:val="15"/>
              <w:spacing w:line="240" w:lineRule="atLeast"/>
              <w:ind w:left="1080" w:leftChars="257" w:hanging="540"/>
              <w:rPr>
                <w:rFonts w:ascii="仿宋" w:hAnsi="仿宋" w:eastAsia="仿宋" w:cs="仿宋"/>
                <w:color w:val="auto"/>
                <w:sz w:val="24"/>
              </w:rPr>
            </w:pPr>
          </w:p>
        </w:tc>
        <w:tc>
          <w:tcPr>
            <w:tcW w:w="900" w:type="dxa"/>
            <w:noWrap/>
          </w:tcPr>
          <w:p w14:paraId="2AFBF3D0">
            <w:pPr>
              <w:pStyle w:val="15"/>
              <w:spacing w:line="240" w:lineRule="atLeast"/>
              <w:ind w:left="1080" w:leftChars="257" w:hanging="540"/>
              <w:rPr>
                <w:rFonts w:ascii="仿宋" w:hAnsi="仿宋" w:eastAsia="仿宋" w:cs="仿宋"/>
                <w:color w:val="auto"/>
                <w:sz w:val="24"/>
              </w:rPr>
            </w:pPr>
          </w:p>
        </w:tc>
      </w:tr>
      <w:tr w14:paraId="54D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6C77BE">
            <w:pPr>
              <w:pStyle w:val="15"/>
              <w:spacing w:line="240" w:lineRule="atLeast"/>
              <w:ind w:left="1080" w:leftChars="257" w:hanging="540"/>
              <w:rPr>
                <w:rFonts w:ascii="仿宋" w:hAnsi="仿宋" w:eastAsia="仿宋" w:cs="仿宋"/>
                <w:color w:val="auto"/>
                <w:sz w:val="24"/>
              </w:rPr>
            </w:pPr>
          </w:p>
        </w:tc>
        <w:tc>
          <w:tcPr>
            <w:tcW w:w="2040" w:type="dxa"/>
            <w:noWrap/>
          </w:tcPr>
          <w:p w14:paraId="65344EDE">
            <w:pPr>
              <w:pStyle w:val="15"/>
              <w:spacing w:line="240" w:lineRule="atLeast"/>
              <w:ind w:left="1080" w:leftChars="257" w:hanging="540"/>
              <w:rPr>
                <w:rFonts w:ascii="仿宋" w:hAnsi="仿宋" w:eastAsia="仿宋" w:cs="仿宋"/>
                <w:color w:val="auto"/>
                <w:sz w:val="24"/>
              </w:rPr>
            </w:pPr>
          </w:p>
        </w:tc>
        <w:tc>
          <w:tcPr>
            <w:tcW w:w="2520" w:type="dxa"/>
            <w:noWrap/>
          </w:tcPr>
          <w:p w14:paraId="0D3E6AB9">
            <w:pPr>
              <w:pStyle w:val="15"/>
              <w:spacing w:line="240" w:lineRule="atLeast"/>
              <w:ind w:left="1080" w:leftChars="257" w:hanging="540"/>
              <w:rPr>
                <w:rFonts w:ascii="仿宋" w:hAnsi="仿宋" w:eastAsia="仿宋" w:cs="仿宋"/>
                <w:color w:val="auto"/>
                <w:sz w:val="24"/>
              </w:rPr>
            </w:pPr>
          </w:p>
        </w:tc>
        <w:tc>
          <w:tcPr>
            <w:tcW w:w="2520" w:type="dxa"/>
            <w:noWrap/>
          </w:tcPr>
          <w:p w14:paraId="39886FC5">
            <w:pPr>
              <w:pStyle w:val="15"/>
              <w:spacing w:line="240" w:lineRule="atLeast"/>
              <w:ind w:left="1080" w:leftChars="257" w:hanging="540"/>
              <w:rPr>
                <w:rFonts w:ascii="仿宋" w:hAnsi="仿宋" w:eastAsia="仿宋" w:cs="仿宋"/>
                <w:color w:val="auto"/>
                <w:sz w:val="24"/>
              </w:rPr>
            </w:pPr>
          </w:p>
        </w:tc>
        <w:tc>
          <w:tcPr>
            <w:tcW w:w="900" w:type="dxa"/>
            <w:noWrap/>
          </w:tcPr>
          <w:p w14:paraId="2FA189D9">
            <w:pPr>
              <w:pStyle w:val="15"/>
              <w:spacing w:line="240" w:lineRule="atLeast"/>
              <w:ind w:left="1080" w:leftChars="257" w:hanging="540"/>
              <w:rPr>
                <w:rFonts w:ascii="仿宋" w:hAnsi="仿宋" w:eastAsia="仿宋" w:cs="仿宋"/>
                <w:color w:val="auto"/>
                <w:sz w:val="24"/>
              </w:rPr>
            </w:pPr>
          </w:p>
        </w:tc>
      </w:tr>
      <w:tr w14:paraId="63C7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32504A2">
            <w:pPr>
              <w:pStyle w:val="15"/>
              <w:spacing w:line="240" w:lineRule="atLeast"/>
              <w:ind w:left="1080" w:leftChars="257" w:hanging="540"/>
              <w:rPr>
                <w:rFonts w:ascii="仿宋" w:hAnsi="仿宋" w:eastAsia="仿宋" w:cs="仿宋"/>
                <w:color w:val="auto"/>
                <w:sz w:val="24"/>
              </w:rPr>
            </w:pPr>
          </w:p>
        </w:tc>
        <w:tc>
          <w:tcPr>
            <w:tcW w:w="2040" w:type="dxa"/>
            <w:noWrap/>
          </w:tcPr>
          <w:p w14:paraId="314A0F7F">
            <w:pPr>
              <w:pStyle w:val="15"/>
              <w:spacing w:line="240" w:lineRule="atLeast"/>
              <w:ind w:left="1080" w:leftChars="257" w:hanging="540"/>
              <w:rPr>
                <w:rFonts w:ascii="仿宋" w:hAnsi="仿宋" w:eastAsia="仿宋" w:cs="仿宋"/>
                <w:color w:val="auto"/>
                <w:sz w:val="24"/>
              </w:rPr>
            </w:pPr>
          </w:p>
        </w:tc>
        <w:tc>
          <w:tcPr>
            <w:tcW w:w="2520" w:type="dxa"/>
            <w:noWrap/>
          </w:tcPr>
          <w:p w14:paraId="3819A095">
            <w:pPr>
              <w:pStyle w:val="15"/>
              <w:spacing w:line="240" w:lineRule="atLeast"/>
              <w:ind w:left="1080" w:leftChars="257" w:hanging="540"/>
              <w:rPr>
                <w:rFonts w:ascii="仿宋" w:hAnsi="仿宋" w:eastAsia="仿宋" w:cs="仿宋"/>
                <w:color w:val="auto"/>
                <w:sz w:val="24"/>
              </w:rPr>
            </w:pPr>
          </w:p>
        </w:tc>
        <w:tc>
          <w:tcPr>
            <w:tcW w:w="2520" w:type="dxa"/>
            <w:noWrap/>
          </w:tcPr>
          <w:p w14:paraId="1646EF89">
            <w:pPr>
              <w:pStyle w:val="15"/>
              <w:spacing w:line="240" w:lineRule="atLeast"/>
              <w:ind w:left="1080" w:leftChars="257" w:hanging="540"/>
              <w:rPr>
                <w:rFonts w:ascii="仿宋" w:hAnsi="仿宋" w:eastAsia="仿宋" w:cs="仿宋"/>
                <w:color w:val="auto"/>
                <w:sz w:val="24"/>
              </w:rPr>
            </w:pPr>
          </w:p>
        </w:tc>
        <w:tc>
          <w:tcPr>
            <w:tcW w:w="900" w:type="dxa"/>
            <w:noWrap/>
          </w:tcPr>
          <w:p w14:paraId="4FF2C31C">
            <w:pPr>
              <w:pStyle w:val="15"/>
              <w:spacing w:line="240" w:lineRule="atLeast"/>
              <w:ind w:left="1080" w:leftChars="257" w:hanging="540"/>
              <w:rPr>
                <w:rFonts w:ascii="仿宋" w:hAnsi="仿宋" w:eastAsia="仿宋" w:cs="仿宋"/>
                <w:color w:val="auto"/>
                <w:sz w:val="24"/>
              </w:rPr>
            </w:pPr>
          </w:p>
        </w:tc>
      </w:tr>
      <w:tr w14:paraId="728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DD56DF0">
            <w:pPr>
              <w:pStyle w:val="15"/>
              <w:spacing w:line="240" w:lineRule="atLeast"/>
              <w:ind w:left="1080" w:leftChars="257" w:hanging="540"/>
              <w:rPr>
                <w:rFonts w:ascii="仿宋" w:hAnsi="仿宋" w:eastAsia="仿宋" w:cs="仿宋"/>
                <w:color w:val="auto"/>
                <w:sz w:val="24"/>
              </w:rPr>
            </w:pPr>
          </w:p>
        </w:tc>
        <w:tc>
          <w:tcPr>
            <w:tcW w:w="2040" w:type="dxa"/>
            <w:noWrap/>
          </w:tcPr>
          <w:p w14:paraId="1472705C">
            <w:pPr>
              <w:pStyle w:val="15"/>
              <w:spacing w:line="240" w:lineRule="atLeast"/>
              <w:ind w:left="1080" w:leftChars="257" w:hanging="540"/>
              <w:rPr>
                <w:rFonts w:ascii="仿宋" w:hAnsi="仿宋" w:eastAsia="仿宋" w:cs="仿宋"/>
                <w:color w:val="auto"/>
                <w:sz w:val="24"/>
              </w:rPr>
            </w:pPr>
          </w:p>
        </w:tc>
        <w:tc>
          <w:tcPr>
            <w:tcW w:w="2520" w:type="dxa"/>
            <w:noWrap/>
          </w:tcPr>
          <w:p w14:paraId="4A28321A">
            <w:pPr>
              <w:pStyle w:val="15"/>
              <w:spacing w:line="240" w:lineRule="atLeast"/>
              <w:ind w:left="1080" w:leftChars="257" w:hanging="540"/>
              <w:rPr>
                <w:rFonts w:ascii="仿宋" w:hAnsi="仿宋" w:eastAsia="仿宋" w:cs="仿宋"/>
                <w:color w:val="auto"/>
                <w:sz w:val="24"/>
              </w:rPr>
            </w:pPr>
          </w:p>
        </w:tc>
        <w:tc>
          <w:tcPr>
            <w:tcW w:w="2520" w:type="dxa"/>
            <w:noWrap/>
          </w:tcPr>
          <w:p w14:paraId="65FF35E6">
            <w:pPr>
              <w:pStyle w:val="15"/>
              <w:spacing w:line="240" w:lineRule="atLeast"/>
              <w:ind w:left="1080" w:leftChars="257" w:hanging="540"/>
              <w:rPr>
                <w:rFonts w:ascii="仿宋" w:hAnsi="仿宋" w:eastAsia="仿宋" w:cs="仿宋"/>
                <w:color w:val="auto"/>
                <w:sz w:val="24"/>
              </w:rPr>
            </w:pPr>
          </w:p>
        </w:tc>
        <w:tc>
          <w:tcPr>
            <w:tcW w:w="900" w:type="dxa"/>
            <w:noWrap/>
          </w:tcPr>
          <w:p w14:paraId="2385EB72">
            <w:pPr>
              <w:pStyle w:val="15"/>
              <w:spacing w:line="240" w:lineRule="atLeast"/>
              <w:ind w:left="1080" w:leftChars="257" w:hanging="540"/>
              <w:rPr>
                <w:rFonts w:ascii="仿宋" w:hAnsi="仿宋" w:eastAsia="仿宋" w:cs="仿宋"/>
                <w:color w:val="auto"/>
                <w:sz w:val="24"/>
              </w:rPr>
            </w:pPr>
          </w:p>
        </w:tc>
      </w:tr>
      <w:tr w14:paraId="384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9C725A2">
            <w:pPr>
              <w:pStyle w:val="15"/>
              <w:spacing w:line="240" w:lineRule="atLeast"/>
              <w:ind w:left="1080" w:leftChars="257" w:hanging="540"/>
              <w:rPr>
                <w:rFonts w:ascii="仿宋" w:hAnsi="仿宋" w:eastAsia="仿宋" w:cs="仿宋"/>
                <w:color w:val="auto"/>
                <w:sz w:val="24"/>
              </w:rPr>
            </w:pPr>
          </w:p>
        </w:tc>
        <w:tc>
          <w:tcPr>
            <w:tcW w:w="2040" w:type="dxa"/>
            <w:noWrap/>
          </w:tcPr>
          <w:p w14:paraId="3623506E">
            <w:pPr>
              <w:pStyle w:val="15"/>
              <w:spacing w:line="240" w:lineRule="atLeast"/>
              <w:ind w:left="1080" w:leftChars="257" w:hanging="540"/>
              <w:rPr>
                <w:rFonts w:ascii="仿宋" w:hAnsi="仿宋" w:eastAsia="仿宋" w:cs="仿宋"/>
                <w:color w:val="auto"/>
                <w:sz w:val="24"/>
              </w:rPr>
            </w:pPr>
          </w:p>
        </w:tc>
        <w:tc>
          <w:tcPr>
            <w:tcW w:w="2520" w:type="dxa"/>
            <w:noWrap/>
          </w:tcPr>
          <w:p w14:paraId="56F62442">
            <w:pPr>
              <w:pStyle w:val="15"/>
              <w:spacing w:line="240" w:lineRule="atLeast"/>
              <w:ind w:left="1080" w:leftChars="257" w:hanging="540"/>
              <w:rPr>
                <w:rFonts w:ascii="仿宋" w:hAnsi="仿宋" w:eastAsia="仿宋" w:cs="仿宋"/>
                <w:color w:val="auto"/>
                <w:sz w:val="24"/>
              </w:rPr>
            </w:pPr>
          </w:p>
        </w:tc>
        <w:tc>
          <w:tcPr>
            <w:tcW w:w="2520" w:type="dxa"/>
            <w:noWrap/>
          </w:tcPr>
          <w:p w14:paraId="4C6086B3">
            <w:pPr>
              <w:pStyle w:val="15"/>
              <w:spacing w:line="240" w:lineRule="atLeast"/>
              <w:ind w:left="1080" w:leftChars="257" w:hanging="540"/>
              <w:rPr>
                <w:rFonts w:ascii="仿宋" w:hAnsi="仿宋" w:eastAsia="仿宋" w:cs="仿宋"/>
                <w:color w:val="auto"/>
                <w:sz w:val="24"/>
              </w:rPr>
            </w:pPr>
          </w:p>
        </w:tc>
        <w:tc>
          <w:tcPr>
            <w:tcW w:w="900" w:type="dxa"/>
            <w:noWrap/>
          </w:tcPr>
          <w:p w14:paraId="4475A5D0">
            <w:pPr>
              <w:pStyle w:val="15"/>
              <w:spacing w:line="240" w:lineRule="atLeast"/>
              <w:ind w:left="1080" w:leftChars="257" w:hanging="540"/>
              <w:rPr>
                <w:rFonts w:ascii="仿宋" w:hAnsi="仿宋" w:eastAsia="仿宋" w:cs="仿宋"/>
                <w:color w:val="auto"/>
                <w:sz w:val="24"/>
              </w:rPr>
            </w:pPr>
          </w:p>
        </w:tc>
      </w:tr>
      <w:tr w14:paraId="6928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07B1777">
            <w:pPr>
              <w:pStyle w:val="15"/>
              <w:spacing w:line="240" w:lineRule="atLeast"/>
              <w:ind w:left="1080" w:leftChars="257" w:hanging="540"/>
              <w:rPr>
                <w:rFonts w:ascii="仿宋" w:hAnsi="仿宋" w:eastAsia="仿宋" w:cs="仿宋"/>
                <w:color w:val="auto"/>
                <w:sz w:val="24"/>
              </w:rPr>
            </w:pPr>
          </w:p>
        </w:tc>
        <w:tc>
          <w:tcPr>
            <w:tcW w:w="2040" w:type="dxa"/>
            <w:noWrap/>
          </w:tcPr>
          <w:p w14:paraId="2E943A8E">
            <w:pPr>
              <w:pStyle w:val="15"/>
              <w:spacing w:line="240" w:lineRule="atLeast"/>
              <w:ind w:left="1080" w:leftChars="257" w:hanging="540"/>
              <w:rPr>
                <w:rFonts w:ascii="仿宋" w:hAnsi="仿宋" w:eastAsia="仿宋" w:cs="仿宋"/>
                <w:color w:val="auto"/>
                <w:sz w:val="24"/>
              </w:rPr>
            </w:pPr>
          </w:p>
        </w:tc>
        <w:tc>
          <w:tcPr>
            <w:tcW w:w="2520" w:type="dxa"/>
            <w:noWrap/>
          </w:tcPr>
          <w:p w14:paraId="56A56CCA">
            <w:pPr>
              <w:pStyle w:val="15"/>
              <w:spacing w:line="240" w:lineRule="atLeast"/>
              <w:ind w:left="1080" w:leftChars="257" w:hanging="540"/>
              <w:rPr>
                <w:rFonts w:ascii="仿宋" w:hAnsi="仿宋" w:eastAsia="仿宋" w:cs="仿宋"/>
                <w:color w:val="auto"/>
                <w:sz w:val="24"/>
              </w:rPr>
            </w:pPr>
          </w:p>
        </w:tc>
        <w:tc>
          <w:tcPr>
            <w:tcW w:w="2520" w:type="dxa"/>
            <w:noWrap/>
          </w:tcPr>
          <w:p w14:paraId="47A3154C">
            <w:pPr>
              <w:pStyle w:val="15"/>
              <w:spacing w:line="240" w:lineRule="atLeast"/>
              <w:ind w:left="1080" w:leftChars="257" w:hanging="540"/>
              <w:rPr>
                <w:rFonts w:ascii="仿宋" w:hAnsi="仿宋" w:eastAsia="仿宋" w:cs="仿宋"/>
                <w:color w:val="auto"/>
                <w:sz w:val="24"/>
              </w:rPr>
            </w:pPr>
          </w:p>
        </w:tc>
        <w:tc>
          <w:tcPr>
            <w:tcW w:w="900" w:type="dxa"/>
            <w:noWrap/>
          </w:tcPr>
          <w:p w14:paraId="6F79C71D">
            <w:pPr>
              <w:pStyle w:val="15"/>
              <w:spacing w:line="240" w:lineRule="atLeast"/>
              <w:ind w:left="1080" w:leftChars="257" w:hanging="540"/>
              <w:rPr>
                <w:rFonts w:ascii="仿宋" w:hAnsi="仿宋" w:eastAsia="仿宋" w:cs="仿宋"/>
                <w:color w:val="auto"/>
                <w:sz w:val="24"/>
              </w:rPr>
            </w:pPr>
          </w:p>
        </w:tc>
      </w:tr>
      <w:tr w14:paraId="412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E189A41">
            <w:pPr>
              <w:pStyle w:val="15"/>
              <w:spacing w:line="240" w:lineRule="atLeast"/>
              <w:ind w:left="1080" w:leftChars="257" w:hanging="540"/>
              <w:rPr>
                <w:rFonts w:ascii="仿宋" w:hAnsi="仿宋" w:eastAsia="仿宋" w:cs="仿宋"/>
                <w:color w:val="auto"/>
                <w:sz w:val="24"/>
              </w:rPr>
            </w:pPr>
          </w:p>
        </w:tc>
        <w:tc>
          <w:tcPr>
            <w:tcW w:w="2040" w:type="dxa"/>
            <w:noWrap/>
          </w:tcPr>
          <w:p w14:paraId="4E030EF9">
            <w:pPr>
              <w:pStyle w:val="15"/>
              <w:spacing w:line="240" w:lineRule="atLeast"/>
              <w:ind w:left="1080" w:leftChars="257" w:hanging="540"/>
              <w:rPr>
                <w:rFonts w:ascii="仿宋" w:hAnsi="仿宋" w:eastAsia="仿宋" w:cs="仿宋"/>
                <w:color w:val="auto"/>
                <w:sz w:val="24"/>
              </w:rPr>
            </w:pPr>
          </w:p>
        </w:tc>
        <w:tc>
          <w:tcPr>
            <w:tcW w:w="2520" w:type="dxa"/>
            <w:noWrap/>
          </w:tcPr>
          <w:p w14:paraId="7CAF6D85">
            <w:pPr>
              <w:pStyle w:val="15"/>
              <w:spacing w:line="240" w:lineRule="atLeast"/>
              <w:ind w:left="1080" w:leftChars="257" w:hanging="540"/>
              <w:rPr>
                <w:rFonts w:ascii="仿宋" w:hAnsi="仿宋" w:eastAsia="仿宋" w:cs="仿宋"/>
                <w:color w:val="auto"/>
                <w:sz w:val="24"/>
              </w:rPr>
            </w:pPr>
          </w:p>
        </w:tc>
        <w:tc>
          <w:tcPr>
            <w:tcW w:w="2520" w:type="dxa"/>
            <w:noWrap/>
          </w:tcPr>
          <w:p w14:paraId="28E6A7BD">
            <w:pPr>
              <w:pStyle w:val="15"/>
              <w:spacing w:line="240" w:lineRule="atLeast"/>
              <w:ind w:left="1080" w:leftChars="257" w:hanging="540"/>
              <w:rPr>
                <w:rFonts w:ascii="仿宋" w:hAnsi="仿宋" w:eastAsia="仿宋" w:cs="仿宋"/>
                <w:color w:val="auto"/>
                <w:sz w:val="24"/>
              </w:rPr>
            </w:pPr>
          </w:p>
        </w:tc>
        <w:tc>
          <w:tcPr>
            <w:tcW w:w="900" w:type="dxa"/>
            <w:noWrap/>
          </w:tcPr>
          <w:p w14:paraId="29C1CCDE">
            <w:pPr>
              <w:pStyle w:val="15"/>
              <w:spacing w:line="240" w:lineRule="atLeast"/>
              <w:ind w:left="1080" w:leftChars="257" w:hanging="540"/>
              <w:rPr>
                <w:rFonts w:ascii="仿宋" w:hAnsi="仿宋" w:eastAsia="仿宋" w:cs="仿宋"/>
                <w:color w:val="auto"/>
                <w:sz w:val="24"/>
              </w:rPr>
            </w:pPr>
          </w:p>
        </w:tc>
      </w:tr>
      <w:tr w14:paraId="3FD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E420241">
            <w:pPr>
              <w:pStyle w:val="15"/>
              <w:spacing w:line="240" w:lineRule="atLeast"/>
              <w:ind w:left="1080" w:leftChars="257" w:hanging="540"/>
              <w:rPr>
                <w:rFonts w:ascii="仿宋" w:hAnsi="仿宋" w:eastAsia="仿宋" w:cs="仿宋"/>
                <w:color w:val="auto"/>
                <w:sz w:val="24"/>
              </w:rPr>
            </w:pPr>
          </w:p>
        </w:tc>
        <w:tc>
          <w:tcPr>
            <w:tcW w:w="2040" w:type="dxa"/>
            <w:noWrap/>
          </w:tcPr>
          <w:p w14:paraId="442FEA27">
            <w:pPr>
              <w:pStyle w:val="15"/>
              <w:spacing w:line="240" w:lineRule="atLeast"/>
              <w:ind w:left="1080" w:leftChars="257" w:hanging="540"/>
              <w:rPr>
                <w:rFonts w:ascii="仿宋" w:hAnsi="仿宋" w:eastAsia="仿宋" w:cs="仿宋"/>
                <w:color w:val="auto"/>
                <w:sz w:val="24"/>
              </w:rPr>
            </w:pPr>
          </w:p>
        </w:tc>
        <w:tc>
          <w:tcPr>
            <w:tcW w:w="2520" w:type="dxa"/>
            <w:noWrap/>
          </w:tcPr>
          <w:p w14:paraId="7368FDFF">
            <w:pPr>
              <w:pStyle w:val="15"/>
              <w:spacing w:line="240" w:lineRule="atLeast"/>
              <w:ind w:left="1080" w:leftChars="257" w:hanging="540"/>
              <w:rPr>
                <w:rFonts w:ascii="仿宋" w:hAnsi="仿宋" w:eastAsia="仿宋" w:cs="仿宋"/>
                <w:color w:val="auto"/>
                <w:sz w:val="24"/>
              </w:rPr>
            </w:pPr>
          </w:p>
        </w:tc>
        <w:tc>
          <w:tcPr>
            <w:tcW w:w="2520" w:type="dxa"/>
            <w:noWrap/>
          </w:tcPr>
          <w:p w14:paraId="4C248991">
            <w:pPr>
              <w:pStyle w:val="15"/>
              <w:spacing w:line="240" w:lineRule="atLeast"/>
              <w:ind w:left="1080" w:leftChars="257" w:hanging="540"/>
              <w:rPr>
                <w:rFonts w:ascii="仿宋" w:hAnsi="仿宋" w:eastAsia="仿宋" w:cs="仿宋"/>
                <w:color w:val="auto"/>
                <w:sz w:val="24"/>
              </w:rPr>
            </w:pPr>
          </w:p>
        </w:tc>
        <w:tc>
          <w:tcPr>
            <w:tcW w:w="900" w:type="dxa"/>
            <w:noWrap/>
          </w:tcPr>
          <w:p w14:paraId="7762F8E4">
            <w:pPr>
              <w:pStyle w:val="15"/>
              <w:spacing w:line="240" w:lineRule="atLeast"/>
              <w:ind w:left="1080" w:leftChars="257" w:hanging="540"/>
              <w:rPr>
                <w:rFonts w:ascii="仿宋" w:hAnsi="仿宋" w:eastAsia="仿宋" w:cs="仿宋"/>
                <w:color w:val="auto"/>
                <w:sz w:val="24"/>
              </w:rPr>
            </w:pPr>
          </w:p>
        </w:tc>
      </w:tr>
      <w:tr w14:paraId="58C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976B4AA">
            <w:pPr>
              <w:pStyle w:val="15"/>
              <w:spacing w:line="240" w:lineRule="atLeast"/>
              <w:ind w:left="1080" w:leftChars="257" w:hanging="540"/>
              <w:rPr>
                <w:rFonts w:ascii="仿宋" w:hAnsi="仿宋" w:eastAsia="仿宋" w:cs="仿宋"/>
                <w:color w:val="auto"/>
                <w:sz w:val="24"/>
              </w:rPr>
            </w:pPr>
          </w:p>
        </w:tc>
        <w:tc>
          <w:tcPr>
            <w:tcW w:w="2040" w:type="dxa"/>
            <w:noWrap/>
          </w:tcPr>
          <w:p w14:paraId="7C725D87">
            <w:pPr>
              <w:pStyle w:val="15"/>
              <w:spacing w:line="240" w:lineRule="atLeast"/>
              <w:ind w:left="1080" w:leftChars="257" w:hanging="540"/>
              <w:rPr>
                <w:rFonts w:ascii="仿宋" w:hAnsi="仿宋" w:eastAsia="仿宋" w:cs="仿宋"/>
                <w:color w:val="auto"/>
                <w:sz w:val="24"/>
              </w:rPr>
            </w:pPr>
          </w:p>
        </w:tc>
        <w:tc>
          <w:tcPr>
            <w:tcW w:w="2520" w:type="dxa"/>
            <w:noWrap/>
          </w:tcPr>
          <w:p w14:paraId="2AA6FB6C">
            <w:pPr>
              <w:pStyle w:val="15"/>
              <w:spacing w:line="240" w:lineRule="atLeast"/>
              <w:ind w:left="1080" w:leftChars="257" w:hanging="540"/>
              <w:rPr>
                <w:rFonts w:ascii="仿宋" w:hAnsi="仿宋" w:eastAsia="仿宋" w:cs="仿宋"/>
                <w:color w:val="auto"/>
                <w:sz w:val="24"/>
              </w:rPr>
            </w:pPr>
          </w:p>
        </w:tc>
        <w:tc>
          <w:tcPr>
            <w:tcW w:w="2520" w:type="dxa"/>
            <w:noWrap/>
          </w:tcPr>
          <w:p w14:paraId="2EA32570">
            <w:pPr>
              <w:pStyle w:val="15"/>
              <w:spacing w:line="240" w:lineRule="atLeast"/>
              <w:ind w:left="1080" w:leftChars="257" w:hanging="540"/>
              <w:rPr>
                <w:rFonts w:ascii="仿宋" w:hAnsi="仿宋" w:eastAsia="仿宋" w:cs="仿宋"/>
                <w:color w:val="auto"/>
                <w:sz w:val="24"/>
              </w:rPr>
            </w:pPr>
          </w:p>
        </w:tc>
        <w:tc>
          <w:tcPr>
            <w:tcW w:w="900" w:type="dxa"/>
            <w:noWrap/>
          </w:tcPr>
          <w:p w14:paraId="6315E45A">
            <w:pPr>
              <w:pStyle w:val="15"/>
              <w:spacing w:line="240" w:lineRule="atLeast"/>
              <w:ind w:left="1080" w:leftChars="257" w:hanging="540"/>
              <w:rPr>
                <w:rFonts w:ascii="仿宋" w:hAnsi="仿宋" w:eastAsia="仿宋" w:cs="仿宋"/>
                <w:color w:val="auto"/>
                <w:sz w:val="24"/>
              </w:rPr>
            </w:pPr>
          </w:p>
        </w:tc>
      </w:tr>
      <w:tr w14:paraId="7D17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FD38AA8">
            <w:pPr>
              <w:pStyle w:val="15"/>
              <w:spacing w:line="240" w:lineRule="atLeast"/>
              <w:ind w:left="1080" w:leftChars="257" w:hanging="540"/>
              <w:rPr>
                <w:rFonts w:ascii="仿宋" w:hAnsi="仿宋" w:eastAsia="仿宋" w:cs="仿宋"/>
                <w:color w:val="auto"/>
                <w:sz w:val="24"/>
              </w:rPr>
            </w:pPr>
          </w:p>
        </w:tc>
        <w:tc>
          <w:tcPr>
            <w:tcW w:w="2040" w:type="dxa"/>
            <w:noWrap/>
          </w:tcPr>
          <w:p w14:paraId="22636155">
            <w:pPr>
              <w:pStyle w:val="15"/>
              <w:spacing w:line="240" w:lineRule="atLeast"/>
              <w:ind w:left="1080" w:leftChars="257" w:hanging="540"/>
              <w:rPr>
                <w:rFonts w:ascii="仿宋" w:hAnsi="仿宋" w:eastAsia="仿宋" w:cs="仿宋"/>
                <w:color w:val="auto"/>
                <w:sz w:val="24"/>
              </w:rPr>
            </w:pPr>
          </w:p>
        </w:tc>
        <w:tc>
          <w:tcPr>
            <w:tcW w:w="2520" w:type="dxa"/>
            <w:noWrap/>
          </w:tcPr>
          <w:p w14:paraId="44C88BC0">
            <w:pPr>
              <w:pStyle w:val="15"/>
              <w:spacing w:line="240" w:lineRule="atLeast"/>
              <w:ind w:left="1080" w:leftChars="257" w:hanging="540"/>
              <w:rPr>
                <w:rFonts w:ascii="仿宋" w:hAnsi="仿宋" w:eastAsia="仿宋" w:cs="仿宋"/>
                <w:color w:val="auto"/>
                <w:sz w:val="24"/>
              </w:rPr>
            </w:pPr>
          </w:p>
        </w:tc>
        <w:tc>
          <w:tcPr>
            <w:tcW w:w="2520" w:type="dxa"/>
            <w:noWrap/>
          </w:tcPr>
          <w:p w14:paraId="43A762C7">
            <w:pPr>
              <w:pStyle w:val="15"/>
              <w:spacing w:line="240" w:lineRule="atLeast"/>
              <w:ind w:left="1080" w:leftChars="257" w:hanging="540"/>
              <w:rPr>
                <w:rFonts w:ascii="仿宋" w:hAnsi="仿宋" w:eastAsia="仿宋" w:cs="仿宋"/>
                <w:color w:val="auto"/>
                <w:sz w:val="24"/>
              </w:rPr>
            </w:pPr>
          </w:p>
        </w:tc>
        <w:tc>
          <w:tcPr>
            <w:tcW w:w="900" w:type="dxa"/>
            <w:noWrap/>
          </w:tcPr>
          <w:p w14:paraId="66F535F3">
            <w:pPr>
              <w:pStyle w:val="15"/>
              <w:spacing w:line="240" w:lineRule="atLeast"/>
              <w:ind w:left="1080" w:leftChars="257" w:hanging="540"/>
              <w:rPr>
                <w:rFonts w:ascii="仿宋" w:hAnsi="仿宋" w:eastAsia="仿宋" w:cs="仿宋"/>
                <w:color w:val="auto"/>
                <w:sz w:val="24"/>
              </w:rPr>
            </w:pPr>
          </w:p>
        </w:tc>
      </w:tr>
      <w:tr w14:paraId="5F70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2A2C7AD">
            <w:pPr>
              <w:pStyle w:val="15"/>
              <w:spacing w:line="240" w:lineRule="atLeast"/>
              <w:ind w:left="1080" w:leftChars="257" w:hanging="540"/>
              <w:rPr>
                <w:rFonts w:ascii="仿宋" w:hAnsi="仿宋" w:eastAsia="仿宋" w:cs="仿宋"/>
                <w:color w:val="auto"/>
                <w:sz w:val="24"/>
              </w:rPr>
            </w:pPr>
          </w:p>
        </w:tc>
        <w:tc>
          <w:tcPr>
            <w:tcW w:w="2040" w:type="dxa"/>
            <w:noWrap/>
          </w:tcPr>
          <w:p w14:paraId="15951995">
            <w:pPr>
              <w:pStyle w:val="15"/>
              <w:spacing w:line="240" w:lineRule="atLeast"/>
              <w:ind w:left="1080" w:leftChars="257" w:hanging="540"/>
              <w:rPr>
                <w:rFonts w:ascii="仿宋" w:hAnsi="仿宋" w:eastAsia="仿宋" w:cs="仿宋"/>
                <w:color w:val="auto"/>
                <w:sz w:val="24"/>
              </w:rPr>
            </w:pPr>
          </w:p>
        </w:tc>
        <w:tc>
          <w:tcPr>
            <w:tcW w:w="2520" w:type="dxa"/>
            <w:noWrap/>
          </w:tcPr>
          <w:p w14:paraId="40AD9E0D">
            <w:pPr>
              <w:pStyle w:val="15"/>
              <w:spacing w:line="240" w:lineRule="atLeast"/>
              <w:ind w:left="1080" w:leftChars="257" w:hanging="540"/>
              <w:rPr>
                <w:rFonts w:ascii="仿宋" w:hAnsi="仿宋" w:eastAsia="仿宋" w:cs="仿宋"/>
                <w:color w:val="auto"/>
                <w:sz w:val="24"/>
              </w:rPr>
            </w:pPr>
          </w:p>
        </w:tc>
        <w:tc>
          <w:tcPr>
            <w:tcW w:w="2520" w:type="dxa"/>
            <w:noWrap/>
          </w:tcPr>
          <w:p w14:paraId="6DDDC3B0">
            <w:pPr>
              <w:pStyle w:val="15"/>
              <w:spacing w:line="240" w:lineRule="atLeast"/>
              <w:ind w:left="1080" w:leftChars="257" w:hanging="540"/>
              <w:rPr>
                <w:rFonts w:ascii="仿宋" w:hAnsi="仿宋" w:eastAsia="仿宋" w:cs="仿宋"/>
                <w:color w:val="auto"/>
                <w:sz w:val="24"/>
              </w:rPr>
            </w:pPr>
          </w:p>
        </w:tc>
        <w:tc>
          <w:tcPr>
            <w:tcW w:w="900" w:type="dxa"/>
            <w:noWrap/>
          </w:tcPr>
          <w:p w14:paraId="0589AFB7">
            <w:pPr>
              <w:pStyle w:val="15"/>
              <w:spacing w:line="240" w:lineRule="atLeast"/>
              <w:ind w:left="1080" w:leftChars="257" w:hanging="540"/>
              <w:rPr>
                <w:rFonts w:ascii="仿宋" w:hAnsi="仿宋" w:eastAsia="仿宋" w:cs="仿宋"/>
                <w:color w:val="auto"/>
                <w:sz w:val="24"/>
              </w:rPr>
            </w:pPr>
          </w:p>
        </w:tc>
      </w:tr>
      <w:tr w14:paraId="010D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14E0AE3">
            <w:pPr>
              <w:pStyle w:val="15"/>
              <w:spacing w:line="240" w:lineRule="atLeast"/>
              <w:ind w:left="1080" w:leftChars="257" w:hanging="540"/>
              <w:rPr>
                <w:rFonts w:ascii="仿宋" w:hAnsi="仿宋" w:eastAsia="仿宋" w:cs="仿宋"/>
                <w:color w:val="auto"/>
                <w:sz w:val="24"/>
              </w:rPr>
            </w:pPr>
          </w:p>
        </w:tc>
        <w:tc>
          <w:tcPr>
            <w:tcW w:w="2040" w:type="dxa"/>
            <w:noWrap/>
          </w:tcPr>
          <w:p w14:paraId="2E59184D">
            <w:pPr>
              <w:pStyle w:val="15"/>
              <w:spacing w:line="240" w:lineRule="atLeast"/>
              <w:ind w:left="1080" w:leftChars="257" w:hanging="540"/>
              <w:rPr>
                <w:rFonts w:ascii="仿宋" w:hAnsi="仿宋" w:eastAsia="仿宋" w:cs="仿宋"/>
                <w:color w:val="auto"/>
                <w:sz w:val="24"/>
              </w:rPr>
            </w:pPr>
          </w:p>
        </w:tc>
        <w:tc>
          <w:tcPr>
            <w:tcW w:w="2520" w:type="dxa"/>
            <w:noWrap/>
          </w:tcPr>
          <w:p w14:paraId="259BA15B">
            <w:pPr>
              <w:pStyle w:val="15"/>
              <w:spacing w:line="240" w:lineRule="atLeast"/>
              <w:ind w:left="1080" w:leftChars="257" w:hanging="540"/>
              <w:rPr>
                <w:rFonts w:ascii="仿宋" w:hAnsi="仿宋" w:eastAsia="仿宋" w:cs="仿宋"/>
                <w:color w:val="auto"/>
                <w:sz w:val="24"/>
              </w:rPr>
            </w:pPr>
          </w:p>
        </w:tc>
        <w:tc>
          <w:tcPr>
            <w:tcW w:w="2520" w:type="dxa"/>
            <w:noWrap/>
          </w:tcPr>
          <w:p w14:paraId="351892F9">
            <w:pPr>
              <w:pStyle w:val="15"/>
              <w:spacing w:line="240" w:lineRule="atLeast"/>
              <w:ind w:left="1080" w:leftChars="257" w:hanging="540"/>
              <w:rPr>
                <w:rFonts w:ascii="仿宋" w:hAnsi="仿宋" w:eastAsia="仿宋" w:cs="仿宋"/>
                <w:color w:val="auto"/>
                <w:sz w:val="24"/>
              </w:rPr>
            </w:pPr>
          </w:p>
        </w:tc>
        <w:tc>
          <w:tcPr>
            <w:tcW w:w="900" w:type="dxa"/>
            <w:noWrap/>
          </w:tcPr>
          <w:p w14:paraId="19A596DF">
            <w:pPr>
              <w:pStyle w:val="15"/>
              <w:spacing w:line="240" w:lineRule="atLeast"/>
              <w:ind w:left="1080" w:leftChars="257" w:hanging="540"/>
              <w:rPr>
                <w:rFonts w:ascii="仿宋" w:hAnsi="仿宋" w:eastAsia="仿宋" w:cs="仿宋"/>
                <w:color w:val="auto"/>
                <w:sz w:val="24"/>
              </w:rPr>
            </w:pPr>
          </w:p>
        </w:tc>
      </w:tr>
      <w:tr w14:paraId="5282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35512E0">
            <w:pPr>
              <w:pStyle w:val="15"/>
              <w:spacing w:line="240" w:lineRule="atLeast"/>
              <w:ind w:left="1080" w:leftChars="257" w:hanging="540"/>
              <w:rPr>
                <w:rFonts w:ascii="仿宋" w:hAnsi="仿宋" w:eastAsia="仿宋" w:cs="仿宋"/>
                <w:color w:val="auto"/>
                <w:sz w:val="24"/>
              </w:rPr>
            </w:pPr>
          </w:p>
        </w:tc>
        <w:tc>
          <w:tcPr>
            <w:tcW w:w="2040" w:type="dxa"/>
            <w:noWrap/>
          </w:tcPr>
          <w:p w14:paraId="7C56853F">
            <w:pPr>
              <w:pStyle w:val="15"/>
              <w:spacing w:line="240" w:lineRule="atLeast"/>
              <w:ind w:left="1080" w:leftChars="257" w:hanging="540"/>
              <w:rPr>
                <w:rFonts w:ascii="仿宋" w:hAnsi="仿宋" w:eastAsia="仿宋" w:cs="仿宋"/>
                <w:color w:val="auto"/>
                <w:sz w:val="24"/>
              </w:rPr>
            </w:pPr>
          </w:p>
        </w:tc>
        <w:tc>
          <w:tcPr>
            <w:tcW w:w="2520" w:type="dxa"/>
            <w:noWrap/>
          </w:tcPr>
          <w:p w14:paraId="5BEDCA47">
            <w:pPr>
              <w:pStyle w:val="15"/>
              <w:spacing w:line="240" w:lineRule="atLeast"/>
              <w:ind w:left="1080" w:leftChars="257" w:hanging="540"/>
              <w:rPr>
                <w:rFonts w:ascii="仿宋" w:hAnsi="仿宋" w:eastAsia="仿宋" w:cs="仿宋"/>
                <w:color w:val="auto"/>
                <w:sz w:val="24"/>
              </w:rPr>
            </w:pPr>
          </w:p>
        </w:tc>
        <w:tc>
          <w:tcPr>
            <w:tcW w:w="2520" w:type="dxa"/>
            <w:noWrap/>
          </w:tcPr>
          <w:p w14:paraId="3869B479">
            <w:pPr>
              <w:pStyle w:val="15"/>
              <w:spacing w:line="240" w:lineRule="atLeast"/>
              <w:ind w:left="1080" w:leftChars="257" w:hanging="540"/>
              <w:rPr>
                <w:rFonts w:ascii="仿宋" w:hAnsi="仿宋" w:eastAsia="仿宋" w:cs="仿宋"/>
                <w:color w:val="auto"/>
                <w:sz w:val="24"/>
              </w:rPr>
            </w:pPr>
          </w:p>
        </w:tc>
        <w:tc>
          <w:tcPr>
            <w:tcW w:w="900" w:type="dxa"/>
            <w:noWrap/>
          </w:tcPr>
          <w:p w14:paraId="7F7D95FF">
            <w:pPr>
              <w:pStyle w:val="15"/>
              <w:spacing w:line="240" w:lineRule="atLeast"/>
              <w:ind w:left="1080" w:leftChars="257" w:hanging="540"/>
              <w:rPr>
                <w:rFonts w:ascii="仿宋" w:hAnsi="仿宋" w:eastAsia="仿宋" w:cs="仿宋"/>
                <w:color w:val="auto"/>
                <w:sz w:val="24"/>
              </w:rPr>
            </w:pPr>
          </w:p>
        </w:tc>
      </w:tr>
      <w:tr w14:paraId="46C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36BED9E">
            <w:pPr>
              <w:pStyle w:val="15"/>
              <w:spacing w:line="240" w:lineRule="atLeast"/>
              <w:ind w:left="1080" w:leftChars="257" w:hanging="540"/>
              <w:rPr>
                <w:rFonts w:ascii="仿宋" w:hAnsi="仿宋" w:eastAsia="仿宋" w:cs="仿宋"/>
                <w:color w:val="auto"/>
                <w:sz w:val="24"/>
              </w:rPr>
            </w:pPr>
          </w:p>
        </w:tc>
        <w:tc>
          <w:tcPr>
            <w:tcW w:w="2040" w:type="dxa"/>
            <w:noWrap/>
          </w:tcPr>
          <w:p w14:paraId="5AB215D1">
            <w:pPr>
              <w:pStyle w:val="15"/>
              <w:spacing w:line="240" w:lineRule="atLeast"/>
              <w:ind w:left="1080" w:leftChars="257" w:hanging="540"/>
              <w:rPr>
                <w:rFonts w:ascii="仿宋" w:hAnsi="仿宋" w:eastAsia="仿宋" w:cs="仿宋"/>
                <w:color w:val="auto"/>
                <w:sz w:val="24"/>
              </w:rPr>
            </w:pPr>
          </w:p>
        </w:tc>
        <w:tc>
          <w:tcPr>
            <w:tcW w:w="2520" w:type="dxa"/>
            <w:noWrap/>
          </w:tcPr>
          <w:p w14:paraId="354FD690">
            <w:pPr>
              <w:pStyle w:val="15"/>
              <w:spacing w:line="240" w:lineRule="atLeast"/>
              <w:ind w:left="1080" w:leftChars="257" w:hanging="540"/>
              <w:rPr>
                <w:rFonts w:ascii="仿宋" w:hAnsi="仿宋" w:eastAsia="仿宋" w:cs="仿宋"/>
                <w:color w:val="auto"/>
                <w:sz w:val="24"/>
              </w:rPr>
            </w:pPr>
          </w:p>
        </w:tc>
        <w:tc>
          <w:tcPr>
            <w:tcW w:w="2520" w:type="dxa"/>
            <w:noWrap/>
          </w:tcPr>
          <w:p w14:paraId="54F0796D">
            <w:pPr>
              <w:pStyle w:val="15"/>
              <w:spacing w:line="240" w:lineRule="atLeast"/>
              <w:ind w:left="1080" w:leftChars="257" w:hanging="540"/>
              <w:rPr>
                <w:rFonts w:ascii="仿宋" w:hAnsi="仿宋" w:eastAsia="仿宋" w:cs="仿宋"/>
                <w:color w:val="auto"/>
                <w:sz w:val="24"/>
              </w:rPr>
            </w:pPr>
          </w:p>
        </w:tc>
        <w:tc>
          <w:tcPr>
            <w:tcW w:w="900" w:type="dxa"/>
            <w:noWrap/>
          </w:tcPr>
          <w:p w14:paraId="519F9AA7">
            <w:pPr>
              <w:pStyle w:val="15"/>
              <w:spacing w:line="240" w:lineRule="atLeast"/>
              <w:ind w:left="1080" w:leftChars="257" w:hanging="540"/>
              <w:rPr>
                <w:rFonts w:ascii="仿宋" w:hAnsi="仿宋" w:eastAsia="仿宋" w:cs="仿宋"/>
                <w:color w:val="auto"/>
                <w:sz w:val="24"/>
              </w:rPr>
            </w:pPr>
          </w:p>
        </w:tc>
      </w:tr>
      <w:tr w14:paraId="46FE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4545DC1">
            <w:pPr>
              <w:pStyle w:val="15"/>
              <w:spacing w:line="240" w:lineRule="atLeast"/>
              <w:ind w:left="1080" w:leftChars="257" w:hanging="540"/>
              <w:rPr>
                <w:rFonts w:ascii="仿宋" w:hAnsi="仿宋" w:eastAsia="仿宋" w:cs="仿宋"/>
                <w:color w:val="auto"/>
                <w:sz w:val="24"/>
              </w:rPr>
            </w:pPr>
          </w:p>
        </w:tc>
        <w:tc>
          <w:tcPr>
            <w:tcW w:w="2040" w:type="dxa"/>
            <w:noWrap/>
          </w:tcPr>
          <w:p w14:paraId="48CDAF8E">
            <w:pPr>
              <w:pStyle w:val="15"/>
              <w:spacing w:line="240" w:lineRule="atLeast"/>
              <w:ind w:left="1080" w:leftChars="257" w:hanging="540"/>
              <w:rPr>
                <w:rFonts w:ascii="仿宋" w:hAnsi="仿宋" w:eastAsia="仿宋" w:cs="仿宋"/>
                <w:color w:val="auto"/>
                <w:sz w:val="24"/>
              </w:rPr>
            </w:pPr>
          </w:p>
        </w:tc>
        <w:tc>
          <w:tcPr>
            <w:tcW w:w="2520" w:type="dxa"/>
            <w:noWrap/>
          </w:tcPr>
          <w:p w14:paraId="030B9598">
            <w:pPr>
              <w:pStyle w:val="15"/>
              <w:spacing w:line="240" w:lineRule="atLeast"/>
              <w:ind w:left="1080" w:leftChars="257" w:hanging="540"/>
              <w:rPr>
                <w:rFonts w:ascii="仿宋" w:hAnsi="仿宋" w:eastAsia="仿宋" w:cs="仿宋"/>
                <w:color w:val="auto"/>
                <w:sz w:val="24"/>
              </w:rPr>
            </w:pPr>
          </w:p>
        </w:tc>
        <w:tc>
          <w:tcPr>
            <w:tcW w:w="2520" w:type="dxa"/>
            <w:noWrap/>
          </w:tcPr>
          <w:p w14:paraId="37DC3CAB">
            <w:pPr>
              <w:pStyle w:val="15"/>
              <w:spacing w:line="240" w:lineRule="atLeast"/>
              <w:ind w:left="1080" w:leftChars="257" w:hanging="540"/>
              <w:rPr>
                <w:rFonts w:ascii="仿宋" w:hAnsi="仿宋" w:eastAsia="仿宋" w:cs="仿宋"/>
                <w:color w:val="auto"/>
                <w:sz w:val="24"/>
              </w:rPr>
            </w:pPr>
          </w:p>
        </w:tc>
        <w:tc>
          <w:tcPr>
            <w:tcW w:w="900" w:type="dxa"/>
            <w:noWrap/>
          </w:tcPr>
          <w:p w14:paraId="544ECD19">
            <w:pPr>
              <w:pStyle w:val="15"/>
              <w:spacing w:line="240" w:lineRule="atLeast"/>
              <w:ind w:left="1080" w:leftChars="257" w:hanging="540"/>
              <w:rPr>
                <w:rFonts w:ascii="仿宋" w:hAnsi="仿宋" w:eastAsia="仿宋" w:cs="仿宋"/>
                <w:color w:val="auto"/>
                <w:sz w:val="24"/>
              </w:rPr>
            </w:pPr>
          </w:p>
        </w:tc>
      </w:tr>
    </w:tbl>
    <w:p w14:paraId="45159DD7">
      <w:pPr>
        <w:pStyle w:val="15"/>
        <w:spacing w:line="240" w:lineRule="atLeast"/>
        <w:ind w:left="1080" w:leftChars="257" w:hanging="540"/>
        <w:rPr>
          <w:rFonts w:ascii="仿宋" w:hAnsi="仿宋" w:eastAsia="仿宋" w:cs="仿宋"/>
          <w:color w:val="auto"/>
          <w:sz w:val="24"/>
        </w:rPr>
      </w:pPr>
    </w:p>
    <w:p w14:paraId="30A9741A">
      <w:pPr>
        <w:pStyle w:val="15"/>
        <w:spacing w:line="240" w:lineRule="atLeast"/>
        <w:ind w:left="1080" w:leftChars="257" w:hanging="540"/>
        <w:rPr>
          <w:rFonts w:ascii="仿宋" w:hAnsi="仿宋" w:eastAsia="仿宋" w:cs="仿宋"/>
          <w:color w:val="auto"/>
          <w:sz w:val="24"/>
        </w:rPr>
      </w:pPr>
    </w:p>
    <w:p w14:paraId="0475C6E8">
      <w:pPr>
        <w:pStyle w:val="15"/>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98437FB">
      <w:pPr>
        <w:pStyle w:val="15"/>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DC2ABAE">
      <w:pPr>
        <w:pStyle w:val="4"/>
        <w:spacing w:before="0" w:line="240" w:lineRule="atLeast"/>
        <w:jc w:val="center"/>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523" w:name="_Toc515647823"/>
      <w:bookmarkStart w:id="524" w:name="_Toc21312"/>
      <w:bookmarkStart w:id="525" w:name="_Toc10725"/>
      <w:bookmarkStart w:id="526" w:name="_Toc28099"/>
      <w:bookmarkStart w:id="527" w:name="_Toc515647827"/>
      <w:bookmarkStart w:id="528" w:name="_Toc30795"/>
      <w:r>
        <w:rPr>
          <w:rFonts w:hint="eastAsia" w:ascii="仿宋" w:hAnsi="仿宋" w:eastAsia="仿宋" w:cs="仿宋"/>
          <w:color w:val="auto"/>
          <w:lang w:val="en-US" w:eastAsia="zh-CN"/>
        </w:rPr>
        <w:t xml:space="preserve">      </w:t>
      </w:r>
      <w:bookmarkStart w:id="529" w:name="_Toc7294"/>
      <w:bookmarkStart w:id="530" w:name="_Toc2206"/>
      <w:bookmarkStart w:id="531" w:name="_Toc13473"/>
      <w:bookmarkStart w:id="532" w:name="_Toc19428"/>
      <w:bookmarkStart w:id="533" w:name="_Toc25277"/>
      <w:r>
        <w:rPr>
          <w:rFonts w:hint="eastAsia" w:ascii="仿宋" w:hAnsi="仿宋" w:eastAsia="仿宋" w:cs="仿宋"/>
          <w:b/>
          <w:bCs w:val="0"/>
          <w:color w:val="auto"/>
          <w:sz w:val="24"/>
          <w:szCs w:val="24"/>
        </w:rPr>
        <w:t>7</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 xml:space="preserve"> </w:t>
      </w:r>
      <w:bookmarkEnd w:id="523"/>
      <w:bookmarkEnd w:id="524"/>
      <w:bookmarkEnd w:id="525"/>
      <w:bookmarkStart w:id="534" w:name="_Toc11803"/>
      <w:bookmarkStart w:id="535" w:name="_Toc10977"/>
      <w:bookmarkStart w:id="536" w:name="_Toc515647824"/>
      <w:r>
        <w:rPr>
          <w:rFonts w:hint="eastAsia" w:ascii="仿宋" w:hAnsi="仿宋" w:eastAsia="仿宋" w:cs="仿宋"/>
          <w:b/>
          <w:bCs w:val="0"/>
          <w:color w:val="auto"/>
          <w:sz w:val="24"/>
          <w:szCs w:val="24"/>
        </w:rPr>
        <w:t>中小企业声明函（货物)</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一</w:t>
      </w:r>
      <w:r>
        <w:rPr>
          <w:rFonts w:hint="eastAsia" w:ascii="仿宋" w:hAnsi="仿宋" w:eastAsia="仿宋" w:cs="仿宋"/>
          <w:color w:val="auto"/>
          <w:sz w:val="24"/>
        </w:rPr>
        <w:t>）</w:t>
      </w:r>
      <w:bookmarkEnd w:id="529"/>
      <w:bookmarkEnd w:id="530"/>
      <w:bookmarkEnd w:id="531"/>
      <w:bookmarkEnd w:id="532"/>
      <w:bookmarkEnd w:id="533"/>
    </w:p>
    <w:p w14:paraId="264845D0">
      <w:pPr>
        <w:pStyle w:val="4"/>
        <w:spacing w:before="0" w:line="240" w:lineRule="atLeast"/>
        <w:jc w:val="both"/>
        <w:outlineLvl w:val="9"/>
        <w:rPr>
          <w:rFonts w:hint="eastAsia" w:ascii="仿宋" w:hAnsi="仿宋" w:eastAsia="仿宋" w:cs="仿宋"/>
          <w:b w:val="0"/>
          <w:bCs/>
          <w:color w:val="auto"/>
          <w:sz w:val="24"/>
          <w:szCs w:val="24"/>
        </w:rPr>
      </w:pPr>
    </w:p>
    <w:p w14:paraId="59E37AB6">
      <w:pPr>
        <w:pStyle w:val="4"/>
        <w:spacing w:before="0" w:line="240" w:lineRule="atLeast"/>
        <w:ind w:firstLine="480" w:firstLineChars="200"/>
        <w:jc w:val="both"/>
        <w:rPr>
          <w:rFonts w:hint="eastAsia" w:ascii="仿宋" w:hAnsi="仿宋" w:eastAsia="仿宋" w:cs="仿宋"/>
          <w:b w:val="0"/>
          <w:bCs/>
          <w:color w:val="auto"/>
          <w:sz w:val="24"/>
          <w:szCs w:val="24"/>
        </w:rPr>
      </w:pPr>
      <w:bookmarkStart w:id="537" w:name="_Toc27159"/>
      <w:bookmarkStart w:id="538" w:name="_Toc6261"/>
      <w:bookmarkStart w:id="539" w:name="_Toc5454"/>
      <w:bookmarkStart w:id="540" w:name="_Toc8444"/>
      <w:bookmarkStart w:id="541" w:name="_Toc29213"/>
      <w:r>
        <w:rPr>
          <w:rFonts w:hint="eastAsia" w:ascii="仿宋" w:hAnsi="仿宋" w:eastAsia="仿宋" w:cs="仿宋"/>
          <w:b w:val="0"/>
          <w:bCs/>
          <w:color w:val="auto"/>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bookmarkEnd w:id="537"/>
      <w:bookmarkEnd w:id="538"/>
      <w:bookmarkEnd w:id="539"/>
      <w:bookmarkEnd w:id="540"/>
      <w:bookmarkEnd w:id="541"/>
    </w:p>
    <w:p w14:paraId="51FDF7A3">
      <w:pPr>
        <w:pStyle w:val="4"/>
        <w:spacing w:before="0" w:line="240" w:lineRule="atLeast"/>
        <w:jc w:val="both"/>
        <w:outlineLvl w:val="9"/>
        <w:rPr>
          <w:rFonts w:hint="eastAsia" w:ascii="仿宋" w:hAnsi="仿宋" w:eastAsia="仿宋" w:cs="仿宋"/>
          <w:b w:val="0"/>
          <w:bCs/>
          <w:color w:val="auto"/>
          <w:sz w:val="24"/>
          <w:szCs w:val="24"/>
        </w:rPr>
      </w:pPr>
    </w:p>
    <w:p w14:paraId="3C9F047B">
      <w:pPr>
        <w:pStyle w:val="4"/>
        <w:spacing w:before="0" w:line="240" w:lineRule="atLeast"/>
        <w:jc w:val="both"/>
        <w:rPr>
          <w:rFonts w:hint="eastAsia" w:ascii="仿宋" w:hAnsi="仿宋" w:eastAsia="仿宋" w:cs="仿宋"/>
          <w:b w:val="0"/>
          <w:bCs/>
          <w:color w:val="auto"/>
          <w:sz w:val="24"/>
          <w:szCs w:val="24"/>
        </w:rPr>
      </w:pPr>
      <w:bookmarkStart w:id="542" w:name="_Toc2670"/>
      <w:bookmarkStart w:id="543" w:name="_Toc22844"/>
      <w:bookmarkStart w:id="544" w:name="_Toc18733"/>
      <w:bookmarkStart w:id="545" w:name="_Toc15650"/>
      <w:bookmarkStart w:id="546" w:name="_Toc10768"/>
      <w:r>
        <w:rPr>
          <w:rFonts w:hint="eastAsia" w:ascii="仿宋" w:hAnsi="仿宋" w:eastAsia="仿宋" w:cs="仿宋"/>
          <w:b w:val="0"/>
          <w:bCs/>
          <w:color w:val="auto"/>
          <w:sz w:val="24"/>
          <w:szCs w:val="24"/>
        </w:rPr>
        <w:t>1.（标的名称），属于（采购文件中明确的所属行业）；制造商为（企业名称），从业人员  人，营业收入为  万元，资产总额为  万元，属于（中型企业、小型企业、微型企业）；</w:t>
      </w:r>
      <w:bookmarkEnd w:id="542"/>
      <w:bookmarkEnd w:id="543"/>
      <w:bookmarkEnd w:id="544"/>
      <w:bookmarkEnd w:id="545"/>
      <w:bookmarkEnd w:id="546"/>
    </w:p>
    <w:p w14:paraId="0A23202A">
      <w:pPr>
        <w:pStyle w:val="4"/>
        <w:spacing w:before="0" w:line="240" w:lineRule="atLeast"/>
        <w:jc w:val="both"/>
        <w:outlineLvl w:val="9"/>
        <w:rPr>
          <w:rFonts w:hint="eastAsia" w:ascii="仿宋" w:hAnsi="仿宋" w:eastAsia="仿宋" w:cs="仿宋"/>
          <w:b w:val="0"/>
          <w:bCs/>
          <w:color w:val="auto"/>
          <w:sz w:val="24"/>
          <w:szCs w:val="24"/>
        </w:rPr>
      </w:pPr>
    </w:p>
    <w:p w14:paraId="4E2D6446">
      <w:pPr>
        <w:pStyle w:val="4"/>
        <w:spacing w:before="0" w:line="240" w:lineRule="atLeast"/>
        <w:jc w:val="both"/>
        <w:rPr>
          <w:rFonts w:hint="eastAsia" w:ascii="仿宋" w:hAnsi="仿宋" w:eastAsia="仿宋" w:cs="仿宋"/>
          <w:b w:val="0"/>
          <w:bCs/>
          <w:color w:val="auto"/>
          <w:sz w:val="24"/>
          <w:szCs w:val="24"/>
        </w:rPr>
      </w:pPr>
      <w:bookmarkStart w:id="547" w:name="_Toc20076"/>
      <w:bookmarkStart w:id="548" w:name="_Toc10003"/>
      <w:bookmarkStart w:id="549" w:name="_Toc28783"/>
      <w:bookmarkStart w:id="550" w:name="_Toc17116"/>
      <w:bookmarkStart w:id="551" w:name="_Toc30895"/>
      <w:r>
        <w:rPr>
          <w:rFonts w:hint="eastAsia" w:ascii="仿宋" w:hAnsi="仿宋" w:eastAsia="仿宋" w:cs="仿宋"/>
          <w:b w:val="0"/>
          <w:bCs/>
          <w:color w:val="auto"/>
          <w:sz w:val="24"/>
          <w:szCs w:val="24"/>
        </w:rPr>
        <w:t>2. （标的名称），属于（采购文件中明确的所属行业）；制造商为（企业名称），从业人员  人，营业收入为  万元，资产总额为  万元，属于（中型企业、小型企业、微型企业）；</w:t>
      </w:r>
      <w:bookmarkEnd w:id="547"/>
      <w:bookmarkEnd w:id="548"/>
      <w:bookmarkEnd w:id="549"/>
      <w:bookmarkEnd w:id="550"/>
      <w:bookmarkEnd w:id="551"/>
    </w:p>
    <w:p w14:paraId="74364D0A">
      <w:pPr>
        <w:pStyle w:val="4"/>
        <w:spacing w:before="0" w:line="240" w:lineRule="atLeast"/>
        <w:jc w:val="both"/>
        <w:outlineLvl w:val="9"/>
        <w:rPr>
          <w:rFonts w:hint="eastAsia" w:ascii="仿宋" w:hAnsi="仿宋" w:eastAsia="仿宋" w:cs="仿宋"/>
          <w:b w:val="0"/>
          <w:bCs/>
          <w:color w:val="auto"/>
          <w:sz w:val="24"/>
          <w:szCs w:val="24"/>
        </w:rPr>
      </w:pPr>
    </w:p>
    <w:p w14:paraId="25BCEB15">
      <w:pPr>
        <w:pStyle w:val="4"/>
        <w:spacing w:before="0" w:line="240" w:lineRule="atLeast"/>
        <w:jc w:val="both"/>
        <w:rPr>
          <w:rFonts w:hint="eastAsia" w:ascii="仿宋" w:hAnsi="仿宋" w:eastAsia="仿宋" w:cs="仿宋"/>
          <w:b w:val="0"/>
          <w:bCs/>
          <w:color w:val="auto"/>
          <w:sz w:val="24"/>
          <w:szCs w:val="24"/>
        </w:rPr>
      </w:pPr>
      <w:bookmarkStart w:id="552" w:name="_Toc22698"/>
      <w:bookmarkStart w:id="553" w:name="_Toc26"/>
      <w:bookmarkStart w:id="554" w:name="_Toc378"/>
      <w:bookmarkStart w:id="555" w:name="_Toc25582"/>
      <w:bookmarkStart w:id="556" w:name="_Toc28505"/>
      <w:r>
        <w:rPr>
          <w:rFonts w:hint="eastAsia" w:ascii="仿宋" w:hAnsi="仿宋" w:eastAsia="仿宋" w:cs="仿宋"/>
          <w:b w:val="0"/>
          <w:bCs/>
          <w:color w:val="auto"/>
          <w:sz w:val="24"/>
          <w:szCs w:val="24"/>
        </w:rPr>
        <w:t>……</w:t>
      </w:r>
      <w:bookmarkEnd w:id="552"/>
      <w:bookmarkEnd w:id="553"/>
      <w:bookmarkEnd w:id="554"/>
      <w:bookmarkEnd w:id="555"/>
      <w:bookmarkEnd w:id="556"/>
    </w:p>
    <w:p w14:paraId="32DB8AB0">
      <w:pPr>
        <w:pStyle w:val="4"/>
        <w:spacing w:before="0" w:line="240" w:lineRule="atLeast"/>
        <w:jc w:val="both"/>
        <w:outlineLvl w:val="9"/>
        <w:rPr>
          <w:rFonts w:hint="eastAsia" w:ascii="仿宋" w:hAnsi="仿宋" w:eastAsia="仿宋" w:cs="仿宋"/>
          <w:b w:val="0"/>
          <w:bCs/>
          <w:color w:val="auto"/>
          <w:sz w:val="24"/>
          <w:szCs w:val="24"/>
        </w:rPr>
      </w:pPr>
    </w:p>
    <w:p w14:paraId="44461A37">
      <w:pPr>
        <w:pStyle w:val="4"/>
        <w:spacing w:before="0" w:line="240" w:lineRule="atLeast"/>
        <w:jc w:val="both"/>
        <w:rPr>
          <w:rFonts w:hint="eastAsia" w:ascii="仿宋" w:hAnsi="仿宋" w:eastAsia="仿宋" w:cs="仿宋"/>
          <w:b w:val="0"/>
          <w:bCs/>
          <w:color w:val="auto"/>
          <w:sz w:val="24"/>
          <w:szCs w:val="24"/>
        </w:rPr>
      </w:pPr>
      <w:bookmarkStart w:id="557" w:name="_Toc20985"/>
      <w:bookmarkStart w:id="558" w:name="_Toc20420"/>
      <w:bookmarkStart w:id="559" w:name="_Toc20979"/>
      <w:bookmarkStart w:id="560" w:name="_Toc11345"/>
      <w:bookmarkStart w:id="561" w:name="_Toc24827"/>
      <w:r>
        <w:rPr>
          <w:rFonts w:hint="eastAsia" w:ascii="仿宋" w:hAnsi="仿宋" w:eastAsia="仿宋" w:cs="仿宋"/>
          <w:b w:val="0"/>
          <w:bCs/>
          <w:color w:val="auto"/>
          <w:sz w:val="24"/>
          <w:szCs w:val="24"/>
        </w:rPr>
        <w:t>以上企业，不属于大企业的分支机构，不存在控股股东为大企业的情形，也不存在与大企业的负责人为同一人的情形。</w:t>
      </w:r>
      <w:bookmarkEnd w:id="557"/>
      <w:bookmarkEnd w:id="558"/>
      <w:bookmarkEnd w:id="559"/>
      <w:bookmarkEnd w:id="560"/>
      <w:bookmarkEnd w:id="561"/>
    </w:p>
    <w:p w14:paraId="5E3419FA">
      <w:pPr>
        <w:pStyle w:val="4"/>
        <w:spacing w:before="0" w:line="240" w:lineRule="atLeast"/>
        <w:jc w:val="both"/>
        <w:outlineLvl w:val="9"/>
        <w:rPr>
          <w:rFonts w:hint="eastAsia" w:ascii="仿宋" w:hAnsi="仿宋" w:eastAsia="仿宋" w:cs="仿宋"/>
          <w:b w:val="0"/>
          <w:bCs/>
          <w:color w:val="auto"/>
          <w:sz w:val="24"/>
          <w:szCs w:val="24"/>
        </w:rPr>
      </w:pPr>
    </w:p>
    <w:p w14:paraId="29A643DD">
      <w:pPr>
        <w:pStyle w:val="4"/>
        <w:spacing w:before="0" w:line="240" w:lineRule="atLeast"/>
        <w:jc w:val="both"/>
        <w:rPr>
          <w:rFonts w:hint="eastAsia" w:ascii="仿宋" w:hAnsi="仿宋" w:eastAsia="仿宋" w:cs="仿宋"/>
          <w:b w:val="0"/>
          <w:bCs/>
          <w:color w:val="auto"/>
          <w:sz w:val="24"/>
          <w:szCs w:val="24"/>
        </w:rPr>
      </w:pPr>
      <w:bookmarkStart w:id="562" w:name="_Toc16400"/>
      <w:bookmarkStart w:id="563" w:name="_Toc26189"/>
      <w:bookmarkStart w:id="564" w:name="_Toc19375"/>
      <w:bookmarkStart w:id="565" w:name="_Toc4139"/>
      <w:bookmarkStart w:id="566" w:name="_Toc8073"/>
      <w:r>
        <w:rPr>
          <w:rFonts w:hint="eastAsia" w:ascii="仿宋" w:hAnsi="仿宋" w:eastAsia="仿宋" w:cs="仿宋"/>
          <w:b w:val="0"/>
          <w:bCs/>
          <w:color w:val="auto"/>
          <w:sz w:val="24"/>
          <w:szCs w:val="24"/>
        </w:rPr>
        <w:t>本企业对上述声明内容的真实性负责。如有虚假，将依法承担相应责任。</w:t>
      </w:r>
      <w:bookmarkEnd w:id="562"/>
      <w:bookmarkEnd w:id="563"/>
      <w:bookmarkEnd w:id="564"/>
      <w:bookmarkEnd w:id="565"/>
      <w:bookmarkEnd w:id="566"/>
    </w:p>
    <w:p w14:paraId="3453A70A">
      <w:pPr>
        <w:pStyle w:val="4"/>
        <w:spacing w:before="0" w:line="240" w:lineRule="atLeast"/>
        <w:jc w:val="both"/>
        <w:outlineLvl w:val="9"/>
        <w:rPr>
          <w:rFonts w:hint="eastAsia" w:ascii="仿宋" w:hAnsi="仿宋" w:eastAsia="仿宋" w:cs="仿宋"/>
          <w:b w:val="0"/>
          <w:bCs/>
          <w:color w:val="auto"/>
          <w:sz w:val="24"/>
          <w:szCs w:val="24"/>
        </w:rPr>
      </w:pPr>
    </w:p>
    <w:p w14:paraId="3D445D6A">
      <w:pPr>
        <w:pStyle w:val="4"/>
        <w:spacing w:before="0" w:line="240" w:lineRule="atLeast"/>
        <w:jc w:val="both"/>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3683183D">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bookmarkStart w:id="567" w:name="_Toc12044"/>
      <w:bookmarkStart w:id="568" w:name="_Toc12918"/>
      <w:bookmarkStart w:id="569" w:name="_Toc18155"/>
      <w:bookmarkStart w:id="570" w:name="_Toc22910"/>
      <w:bookmarkStart w:id="571" w:name="_Toc9786"/>
      <w:r>
        <w:rPr>
          <w:rFonts w:hint="eastAsia" w:ascii="仿宋" w:hAnsi="仿宋" w:eastAsia="仿宋" w:cs="仿宋"/>
          <w:b w:val="0"/>
          <w:bCs/>
          <w:color w:val="auto"/>
          <w:sz w:val="24"/>
          <w:szCs w:val="24"/>
        </w:rPr>
        <w:t>企业名称（盖章）：</w:t>
      </w:r>
      <w:bookmarkEnd w:id="567"/>
      <w:bookmarkEnd w:id="568"/>
      <w:bookmarkEnd w:id="569"/>
      <w:bookmarkEnd w:id="570"/>
      <w:bookmarkEnd w:id="571"/>
    </w:p>
    <w:p w14:paraId="6C2CAFB8">
      <w:pPr>
        <w:pStyle w:val="4"/>
        <w:spacing w:before="0" w:line="240" w:lineRule="atLeast"/>
        <w:jc w:val="both"/>
        <w:outlineLvl w:val="9"/>
        <w:rPr>
          <w:rFonts w:hint="eastAsia" w:ascii="仿宋" w:hAnsi="仿宋" w:eastAsia="仿宋" w:cs="仿宋"/>
          <w:color w:val="auto"/>
          <w:sz w:val="24"/>
        </w:rPr>
      </w:pPr>
    </w:p>
    <w:p w14:paraId="788ECFFB">
      <w:pPr>
        <w:pStyle w:val="4"/>
        <w:spacing w:before="0" w:line="240" w:lineRule="atLeast"/>
        <w:jc w:val="both"/>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rPr>
        <w:t xml:space="preserve">                      </w:t>
      </w:r>
      <w:bookmarkStart w:id="572" w:name="_Toc20636"/>
      <w:bookmarkStart w:id="573" w:name="_Toc12595"/>
      <w:bookmarkStart w:id="574" w:name="_Toc24615"/>
      <w:bookmarkStart w:id="575" w:name="_Toc24434"/>
      <w:bookmarkStart w:id="576" w:name="_Toc10978"/>
      <w:r>
        <w:rPr>
          <w:rFonts w:hint="eastAsia" w:ascii="仿宋" w:hAnsi="仿宋" w:eastAsia="仿宋" w:cs="仿宋"/>
          <w:b w:val="0"/>
          <w:bCs/>
          <w:color w:val="auto"/>
          <w:sz w:val="24"/>
        </w:rPr>
        <w:t>日期：</w:t>
      </w:r>
      <w:bookmarkEnd w:id="572"/>
      <w:bookmarkEnd w:id="573"/>
      <w:bookmarkEnd w:id="574"/>
      <w:bookmarkEnd w:id="575"/>
      <w:bookmarkEnd w:id="576"/>
      <w:r>
        <w:rPr>
          <w:rFonts w:hint="eastAsia" w:ascii="仿宋" w:hAnsi="仿宋" w:eastAsia="仿宋" w:cs="仿宋"/>
          <w:color w:val="auto"/>
          <w:sz w:val="24"/>
        </w:rPr>
        <w:t xml:space="preserve">                    </w:t>
      </w:r>
    </w:p>
    <w:p w14:paraId="7B5EA562">
      <w:pPr>
        <w:widowControl/>
        <w:spacing w:before="100" w:beforeAutospacing="1" w:after="100" w:afterAutospacing="1" w:line="330" w:lineRule="atLeast"/>
        <w:jc w:val="left"/>
        <w:rPr>
          <w:rFonts w:hint="eastAsia" w:ascii="仿宋" w:hAnsi="仿宋" w:eastAsia="仿宋" w:cs="仿宋"/>
          <w:b/>
          <w:bCs/>
          <w:color w:val="auto"/>
          <w:kern w:val="2"/>
          <w:sz w:val="24"/>
          <w:szCs w:val="20"/>
          <w:highlight w:val="none"/>
          <w:lang w:val="en-US" w:eastAsia="zh-CN" w:bidi="ar-SA"/>
        </w:rPr>
      </w:pPr>
    </w:p>
    <w:p w14:paraId="0C2C17A5">
      <w:pPr>
        <w:widowControl/>
        <w:spacing w:before="100" w:beforeAutospacing="1" w:after="100" w:afterAutospacing="1" w:line="330" w:lineRule="atLeast"/>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本项目属于“工业”</w:t>
      </w:r>
    </w:p>
    <w:p w14:paraId="694D5938">
      <w:pPr>
        <w:widowControl/>
        <w:spacing w:before="100" w:beforeAutospacing="1" w:after="100" w:afterAutospacing="1" w:line="330" w:lineRule="atLeast"/>
        <w:ind w:firstLine="482"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注：1.从业人员、营业收入、资产总额填报上一年度数据，无上一年度数据的新成立企业可不填报。</w:t>
      </w:r>
    </w:p>
    <w:p w14:paraId="1EC0EF8C">
      <w:pPr>
        <w:pStyle w:val="2"/>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2.潜在供应商属于中小微企业的，请在投标文件中提供“中小企业声明函”，如果未提供或提供虛假的“中小企业声明函”，供应商将承担由此造成的一切不利后果。</w:t>
      </w:r>
    </w:p>
    <w:p w14:paraId="6EEB2F89">
      <w:pPr>
        <w:pStyle w:val="2"/>
        <w:ind w:left="0" w:leftChars="0" w:firstLine="0" w:firstLineChars="0"/>
        <w:rPr>
          <w:rFonts w:hint="eastAsia" w:ascii="仿宋" w:hAnsi="仿宋" w:eastAsia="仿宋" w:cs="仿宋"/>
          <w:b/>
          <w:bCs/>
          <w:color w:val="auto"/>
          <w:kern w:val="0"/>
          <w:sz w:val="24"/>
          <w:szCs w:val="24"/>
          <w:highlight w:val="none"/>
        </w:rPr>
      </w:pPr>
    </w:p>
    <w:p w14:paraId="1E40C64B">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BC8E090">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BBE4761">
        <w:tblPrEx>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4E3697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B008B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761413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24379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8D9C5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0555D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42E6A6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3E3188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385B0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9738A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EF205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CA8D0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7B033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15D7F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84B9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D2586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E753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B001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CB0C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25CE0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X＜20</w:t>
            </w:r>
          </w:p>
        </w:tc>
      </w:tr>
      <w:tr w14:paraId="3CE032C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552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FA35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F87E4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657EB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45602B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BC9D3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Y＜300</w:t>
            </w:r>
          </w:p>
        </w:tc>
      </w:tr>
      <w:tr w14:paraId="3CBA1F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1423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C1A53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0B411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A6971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9265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6C382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33B69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970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B2256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C21A6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F1F2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C51E2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58FBD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78D236F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775F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70282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62F6F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19C52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95B9D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5E6A4DF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43A9FB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78AF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490F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AFA1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E3404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662C2E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6B82CA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23236A8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C256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89ACD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482C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1AA1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63305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00B7A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A8200E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C8002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AF419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F5824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F716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90132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17A90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084B2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F26B3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F3419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B907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757D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AE88C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EF4B0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2BDD3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36FD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530B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57399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CD2C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BCB10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26F4C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039B07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644C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3246E4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CF57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409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6125A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2E1E1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CDE5D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38700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6093A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9611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0E89F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AE98B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2D6532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914158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AA8AF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62EC9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59F2B9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4DF0FC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255A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C92D9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2F3E55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0F09F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71D7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AECC3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097BE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9F3B3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AD1B9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34DD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9A27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9A979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0B747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BFC1E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0D08F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5162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7E85C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92FB9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E04DA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6824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9F270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705FB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744A9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509CA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C8E6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67C2B9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B7FA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0446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9DE1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9A3C7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A0B71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0A7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F321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DF9FE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FB2C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500FB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FDFB9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73AB5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3C46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EDFE7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D26A5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56B1E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73C3C0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58C3A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009E0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39CE4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28ABB5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0125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9C5F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07F69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625FF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8AB4B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8166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6AE51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A20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5A2FB5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76EDD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B5AF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F0B99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26CD5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333A4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4F7B9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76D8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C0297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6F951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1DF583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93CF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664F20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221F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55552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1060C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5C575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A73E2AF">
        <w:tblPrEx>
          <w:tblCellMar>
            <w:top w:w="0" w:type="dxa"/>
            <w:left w:w="108" w:type="dxa"/>
            <w:bottom w:w="0" w:type="dxa"/>
            <w:right w:w="108" w:type="dxa"/>
          </w:tblCellMar>
        </w:tblPrEx>
        <w:trPr>
          <w:trHeight w:val="1016"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486478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18BA3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984B3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06758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C699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C7C786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36EAD0F4">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369E5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1F7A1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CCE76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5FBD3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E906E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A0925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5D1DC8F">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0B6D58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48D9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0E759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38F42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A079B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175A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0365FF41">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B1805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0C7D93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457D3D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439B6B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20E2C7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1F9D7B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75F1F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FC5A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44BC2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2308D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6383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ACB60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CAB015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517D78D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94C14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2B7D5B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C98D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21C32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0461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33DBB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B86DE5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E4D7B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所称中小企业，是指在中华人民共和国境内依法设立，依据国务院批准的</w:t>
      </w:r>
    </w:p>
    <w:p w14:paraId="2562128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w:t>
      </w:r>
    </w:p>
    <w:p w14:paraId="4F782A0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D7AB8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744A3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4A091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666FD19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bookmarkEnd w:id="534"/>
    <w:bookmarkEnd w:id="535"/>
    <w:bookmarkEnd w:id="536"/>
    <w:p w14:paraId="4C4D7FDF">
      <w:pPr>
        <w:pStyle w:val="4"/>
        <w:spacing w:before="0" w:line="240" w:lineRule="atLeast"/>
        <w:ind w:firstLine="256" w:firstLineChars="91"/>
        <w:rPr>
          <w:rFonts w:hint="eastAsia" w:ascii="仿宋" w:hAnsi="仿宋" w:eastAsia="仿宋" w:cs="仿宋"/>
          <w:color w:val="auto"/>
          <w:sz w:val="28"/>
          <w:szCs w:val="28"/>
        </w:rPr>
      </w:pPr>
      <w:bookmarkStart w:id="577" w:name="_Toc22045"/>
      <w:bookmarkStart w:id="578" w:name="_Toc6429"/>
      <w:bookmarkStart w:id="579" w:name="_Toc25747"/>
      <w:bookmarkStart w:id="580" w:name="_Toc14591"/>
      <w:bookmarkStart w:id="581" w:name="_Toc63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bookmarkEnd w:id="577"/>
      <w:bookmarkEnd w:id="578"/>
      <w:bookmarkEnd w:id="579"/>
      <w:bookmarkEnd w:id="580"/>
      <w:bookmarkEnd w:id="581"/>
    </w:p>
    <w:p w14:paraId="5524503C">
      <w:pPr>
        <w:spacing w:line="240" w:lineRule="atLeast"/>
        <w:ind w:left="1080" w:leftChars="257" w:hanging="540"/>
        <w:jc w:val="center"/>
        <w:rPr>
          <w:rFonts w:hint="eastAsia" w:ascii="仿宋" w:hAnsi="仿宋" w:eastAsia="仿宋" w:cs="仿宋"/>
          <w:color w:val="auto"/>
          <w:kern w:val="0"/>
          <w:sz w:val="24"/>
          <w:szCs w:val="24"/>
        </w:rPr>
      </w:pPr>
    </w:p>
    <w:p w14:paraId="291ADD4B">
      <w:pPr>
        <w:keepNext w:val="0"/>
        <w:keepLines w:val="0"/>
        <w:pageBreakBefore w:val="0"/>
        <w:widowControl w:val="0"/>
        <w:kinsoku/>
        <w:wordWrap/>
        <w:overflowPunct/>
        <w:topLinePunct w:val="0"/>
        <w:autoSpaceDE/>
        <w:autoSpaceDN/>
        <w:bidi w:val="0"/>
        <w:adjustRightInd/>
        <w:snapToGrid/>
        <w:spacing w:line="420" w:lineRule="atLeast"/>
        <w:ind w:firstLine="567"/>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B16CDBC">
      <w:pPr>
        <w:keepNext w:val="0"/>
        <w:keepLines w:val="0"/>
        <w:pageBreakBefore w:val="0"/>
        <w:widowControl w:val="0"/>
        <w:kinsoku/>
        <w:wordWrap/>
        <w:overflowPunct/>
        <w:topLinePunct w:val="0"/>
        <w:autoSpaceDE/>
        <w:autoSpaceDN/>
        <w:bidi w:val="0"/>
        <w:adjustRightInd/>
        <w:snapToGrid/>
        <w:spacing w:line="420" w:lineRule="atLeast"/>
        <w:ind w:left="1080" w:leftChars="257" w:hanging="54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5FFE3038">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4611620A">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58429D94">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u w:val="single" w:color="FFFFFF"/>
          <w:lang w:eastAsia="zh-CN"/>
        </w:rPr>
      </w:pPr>
      <w:r>
        <w:rPr>
          <w:rFonts w:hint="eastAsia" w:ascii="仿宋" w:hAnsi="仿宋" w:eastAsia="仿宋" w:cs="仿宋"/>
          <w:color w:val="auto"/>
          <w:kern w:val="0"/>
          <w:sz w:val="24"/>
          <w:szCs w:val="24"/>
        </w:rPr>
        <w:t>残疾人福利性单位名称（盖单位章</w:t>
      </w:r>
      <w:r>
        <w:rPr>
          <w:rFonts w:hint="eastAsia" w:ascii="仿宋" w:hAnsi="仿宋" w:eastAsia="仿宋" w:cs="仿宋"/>
          <w:color w:val="auto"/>
          <w:kern w:val="0"/>
          <w:sz w:val="24"/>
          <w:szCs w:val="24"/>
          <w:lang w:eastAsia="zh-CN"/>
        </w:rPr>
        <w:t>）：</w:t>
      </w:r>
    </w:p>
    <w:p w14:paraId="7D57B4F1">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日期：________________</w:t>
      </w:r>
    </w:p>
    <w:p w14:paraId="58D04CF9">
      <w:pPr>
        <w:spacing w:line="240" w:lineRule="atLeast"/>
        <w:ind w:left="1080" w:leftChars="257" w:hanging="540"/>
        <w:jc w:val="center"/>
        <w:rPr>
          <w:rFonts w:hint="eastAsia" w:ascii="仿宋" w:hAnsi="仿宋" w:eastAsia="仿宋" w:cs="仿宋"/>
          <w:b/>
          <w:color w:val="auto"/>
          <w:kern w:val="0"/>
          <w:sz w:val="24"/>
          <w:szCs w:val="24"/>
        </w:rPr>
      </w:pPr>
    </w:p>
    <w:p w14:paraId="514BD279">
      <w:pPr>
        <w:rPr>
          <w:rFonts w:ascii="仿宋" w:hAnsi="仿宋" w:eastAsia="仿宋" w:cs="仿宋"/>
          <w:color w:val="auto"/>
          <w:sz w:val="24"/>
        </w:rPr>
      </w:pPr>
    </w:p>
    <w:p w14:paraId="76414B74">
      <w:pPr>
        <w:rPr>
          <w:rFonts w:ascii="仿宋" w:hAnsi="仿宋" w:eastAsia="仿宋" w:cs="仿宋"/>
          <w:color w:val="auto"/>
          <w:sz w:val="24"/>
        </w:rPr>
      </w:pPr>
    </w:p>
    <w:p w14:paraId="3F1FA855">
      <w:pPr>
        <w:rPr>
          <w:rFonts w:ascii="仿宋" w:hAnsi="仿宋" w:eastAsia="仿宋" w:cs="仿宋"/>
          <w:b/>
          <w:bCs/>
          <w:color w:val="auto"/>
          <w:sz w:val="24"/>
        </w:rPr>
      </w:pPr>
    </w:p>
    <w:p w14:paraId="5803F317">
      <w:pPr>
        <w:pStyle w:val="4"/>
        <w:spacing w:before="0" w:line="240" w:lineRule="atLeast"/>
        <w:ind w:left="1080" w:leftChars="257" w:hanging="540"/>
        <w:rPr>
          <w:rFonts w:ascii="仿宋" w:hAnsi="仿宋" w:eastAsia="仿宋" w:cs="仿宋"/>
          <w:b/>
          <w:bCs/>
          <w:color w:val="auto"/>
          <w:sz w:val="24"/>
        </w:rPr>
      </w:pPr>
      <w:bookmarkStart w:id="582" w:name="_Toc24251"/>
      <w:bookmarkStart w:id="583" w:name="_Toc4144"/>
      <w:bookmarkStart w:id="584" w:name="_Toc12252"/>
      <w:bookmarkStart w:id="585" w:name="_Toc3114"/>
      <w:bookmarkStart w:id="586" w:name="_Toc23131"/>
      <w:r>
        <w:rPr>
          <w:rFonts w:hint="eastAsia" w:ascii="仿宋" w:hAnsi="仿宋" w:eastAsia="仿宋" w:cs="仿宋"/>
          <w:b/>
          <w:bCs/>
          <w:color w:val="auto"/>
          <w:sz w:val="24"/>
        </w:rPr>
        <w:t>8   投标人关联单位的说明</w:t>
      </w:r>
      <w:bookmarkEnd w:id="526"/>
      <w:bookmarkEnd w:id="527"/>
      <w:bookmarkEnd w:id="528"/>
      <w:bookmarkEnd w:id="582"/>
      <w:bookmarkEnd w:id="583"/>
      <w:bookmarkEnd w:id="584"/>
      <w:bookmarkEnd w:id="585"/>
      <w:bookmarkEnd w:id="586"/>
    </w:p>
    <w:p w14:paraId="0E42ABE6">
      <w:pPr>
        <w:pStyle w:val="2"/>
        <w:jc w:val="center"/>
        <w:rPr>
          <w:rFonts w:ascii="仿宋" w:hAnsi="仿宋" w:eastAsia="仿宋" w:cs="仿宋"/>
          <w:color w:val="auto"/>
        </w:rPr>
      </w:pPr>
    </w:p>
    <w:p w14:paraId="601C9746">
      <w:pPr>
        <w:pStyle w:val="2"/>
        <w:ind w:firstLine="480" w:firstLineChars="200"/>
        <w:rPr>
          <w:rFonts w:ascii="仿宋" w:hAnsi="仿宋" w:eastAsia="仿宋" w:cs="仿宋"/>
          <w:color w:val="auto"/>
        </w:rPr>
      </w:pPr>
      <w:r>
        <w:rPr>
          <w:rFonts w:hint="eastAsia" w:ascii="仿宋" w:hAnsi="仿宋" w:eastAsia="仿宋" w:cs="仿宋"/>
          <w:color w:val="auto"/>
        </w:rPr>
        <w:t>说明：投标人应当如实披露与本单位存在下列关联关系的单位名称：</w:t>
      </w:r>
    </w:p>
    <w:p w14:paraId="5970148E">
      <w:pPr>
        <w:pStyle w:val="2"/>
        <w:ind w:firstLine="480" w:firstLineChars="200"/>
        <w:rPr>
          <w:rFonts w:hint="eastAsia" w:ascii="仿宋" w:hAnsi="仿宋" w:eastAsia="仿宋" w:cs="仿宋"/>
          <w:color w:val="auto"/>
          <w:lang w:eastAsia="zh-CN"/>
        </w:rPr>
      </w:pPr>
      <w:r>
        <w:rPr>
          <w:rFonts w:hint="eastAsia" w:ascii="仿宋" w:hAnsi="仿宋" w:eastAsia="仿宋" w:cs="仿宋"/>
          <w:color w:val="auto"/>
        </w:rPr>
        <w:t>（1）与投标人单位负责人为同一人的其他单位；</w:t>
      </w:r>
    </w:p>
    <w:p w14:paraId="3C12516D">
      <w:pPr>
        <w:pStyle w:val="2"/>
        <w:ind w:firstLine="480" w:firstLineChars="200"/>
        <w:rPr>
          <w:rFonts w:ascii="仿宋" w:hAnsi="仿宋" w:eastAsia="仿宋" w:cs="仿宋"/>
          <w:color w:val="auto"/>
        </w:rPr>
      </w:pPr>
      <w:r>
        <w:rPr>
          <w:rFonts w:hint="eastAsia" w:ascii="仿宋" w:hAnsi="仿宋" w:eastAsia="仿宋" w:cs="仿宋"/>
          <w:color w:val="auto"/>
        </w:rPr>
        <w:t xml:space="preserve">    （2）与投标人存在直接控股、管理关系的其他单位。</w:t>
      </w:r>
    </w:p>
    <w:p w14:paraId="3FE0CE85">
      <w:pPr>
        <w:pStyle w:val="2"/>
        <w:ind w:firstLine="0"/>
        <w:rPr>
          <w:rFonts w:ascii="仿宋" w:hAnsi="仿宋" w:eastAsia="仿宋" w:cs="仿宋"/>
          <w:color w:val="auto"/>
        </w:rPr>
      </w:pPr>
      <w:bookmarkStart w:id="587" w:name="_Toc515647828"/>
      <w:bookmarkStart w:id="588" w:name="_Toc7414"/>
      <w:bookmarkStart w:id="589" w:name="_Toc17333"/>
    </w:p>
    <w:p w14:paraId="63A7A7E1">
      <w:pPr>
        <w:pStyle w:val="2"/>
        <w:ind w:firstLine="0"/>
        <w:rPr>
          <w:rFonts w:ascii="仿宋" w:hAnsi="仿宋" w:eastAsia="仿宋" w:cs="仿宋"/>
          <w:color w:val="auto"/>
        </w:rPr>
      </w:pPr>
    </w:p>
    <w:p w14:paraId="54F6D07B">
      <w:pPr>
        <w:pStyle w:val="2"/>
        <w:ind w:firstLine="0"/>
        <w:rPr>
          <w:rFonts w:ascii="仿宋" w:hAnsi="仿宋" w:eastAsia="仿宋" w:cs="仿宋"/>
          <w:color w:val="auto"/>
        </w:rPr>
      </w:pPr>
    </w:p>
    <w:p w14:paraId="75353DA7">
      <w:pPr>
        <w:pStyle w:val="2"/>
        <w:ind w:firstLine="0"/>
        <w:rPr>
          <w:rFonts w:ascii="仿宋" w:hAnsi="仿宋" w:eastAsia="仿宋" w:cs="仿宋"/>
          <w:color w:val="auto"/>
        </w:rPr>
      </w:pPr>
    </w:p>
    <w:p w14:paraId="750D8125">
      <w:pPr>
        <w:pStyle w:val="2"/>
        <w:ind w:firstLine="0"/>
        <w:rPr>
          <w:rFonts w:ascii="仿宋" w:hAnsi="仿宋" w:eastAsia="仿宋" w:cs="仿宋"/>
          <w:b/>
          <w:bCs/>
          <w:color w:val="auto"/>
        </w:rPr>
      </w:pPr>
    </w:p>
    <w:p w14:paraId="0B5FBE55">
      <w:pPr>
        <w:pStyle w:val="4"/>
        <w:spacing w:before="0" w:line="240" w:lineRule="atLeast"/>
        <w:ind w:left="1080" w:leftChars="257" w:hanging="540"/>
        <w:rPr>
          <w:rFonts w:ascii="仿宋" w:hAnsi="仿宋" w:eastAsia="仿宋" w:cs="仿宋"/>
          <w:b/>
          <w:bCs/>
          <w:color w:val="auto"/>
          <w:sz w:val="24"/>
        </w:rPr>
      </w:pPr>
      <w:bookmarkStart w:id="590" w:name="_Toc14049"/>
      <w:bookmarkStart w:id="591" w:name="_Toc28009"/>
      <w:bookmarkStart w:id="592" w:name="_Toc11578"/>
      <w:bookmarkStart w:id="593" w:name="_Toc30217"/>
      <w:bookmarkStart w:id="594" w:name="_Toc25831"/>
      <w:r>
        <w:rPr>
          <w:rFonts w:hint="eastAsia" w:ascii="仿宋" w:hAnsi="仿宋" w:eastAsia="仿宋" w:cs="仿宋"/>
          <w:b/>
          <w:bCs/>
          <w:color w:val="auto"/>
          <w:sz w:val="24"/>
        </w:rPr>
        <w:t>9   投标文件还应包括投标人须知第10条的所有技术文件</w:t>
      </w:r>
      <w:bookmarkEnd w:id="587"/>
      <w:bookmarkEnd w:id="588"/>
      <w:bookmarkEnd w:id="589"/>
      <w:bookmarkEnd w:id="590"/>
      <w:bookmarkEnd w:id="591"/>
      <w:bookmarkEnd w:id="592"/>
      <w:bookmarkEnd w:id="593"/>
      <w:bookmarkEnd w:id="594"/>
    </w:p>
    <w:p w14:paraId="6FDF9DE7">
      <w:pPr>
        <w:pStyle w:val="2"/>
        <w:rPr>
          <w:rFonts w:ascii="仿宋" w:hAnsi="仿宋" w:eastAsia="仿宋" w:cs="仿宋"/>
          <w:color w:val="auto"/>
        </w:rPr>
      </w:pPr>
    </w:p>
    <w:p w14:paraId="734824C2">
      <w:pPr>
        <w:pStyle w:val="2"/>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注：参照“第六章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评分方法和标准”，提</w:t>
      </w:r>
      <w:r>
        <w:rPr>
          <w:rFonts w:hint="eastAsia" w:ascii="仿宋" w:hAnsi="仿宋" w:eastAsia="仿宋" w:cs="仿宋"/>
          <w:b/>
          <w:bCs/>
          <w:color w:val="auto"/>
          <w:sz w:val="24"/>
          <w:szCs w:val="24"/>
          <w:highlight w:val="none"/>
        </w:rPr>
        <w:t>供有</w:t>
      </w:r>
      <w:r>
        <w:rPr>
          <w:rFonts w:hint="eastAsia" w:ascii="仿宋" w:hAnsi="仿宋" w:eastAsia="仿宋" w:cs="仿宋"/>
          <w:b/>
          <w:bCs/>
          <w:color w:val="auto"/>
          <w:sz w:val="24"/>
          <w:szCs w:val="24"/>
          <w:highlight w:val="none"/>
          <w:lang w:eastAsia="zh-CN"/>
        </w:rPr>
        <w:t>利</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lang w:val="en-US" w:eastAsia="zh-CN"/>
        </w:rPr>
        <w:t>投标人</w:t>
      </w:r>
      <w:r>
        <w:rPr>
          <w:rFonts w:hint="eastAsia" w:ascii="仿宋" w:hAnsi="仿宋" w:eastAsia="仿宋" w:cs="仿宋"/>
          <w:b/>
          <w:bCs/>
          <w:color w:val="auto"/>
          <w:sz w:val="24"/>
          <w:szCs w:val="24"/>
        </w:rPr>
        <w:t>的其他证明文件或服务方案、</w:t>
      </w:r>
      <w:r>
        <w:rPr>
          <w:rFonts w:hint="eastAsia" w:ascii="仿宋" w:hAnsi="仿宋" w:eastAsia="仿宋" w:cs="仿宋"/>
          <w:b/>
          <w:bCs/>
          <w:color w:val="auto"/>
          <w:sz w:val="24"/>
          <w:szCs w:val="24"/>
          <w:lang w:eastAsia="zh-CN"/>
        </w:rPr>
        <w:t>实施方案</w:t>
      </w:r>
      <w:r>
        <w:rPr>
          <w:rFonts w:hint="eastAsia" w:ascii="仿宋" w:hAnsi="仿宋" w:eastAsia="仿宋" w:cs="仿宋"/>
          <w:b/>
          <w:bCs/>
          <w:color w:val="auto"/>
          <w:sz w:val="24"/>
          <w:szCs w:val="24"/>
        </w:rPr>
        <w:t>等。</w:t>
      </w:r>
    </w:p>
    <w:p w14:paraId="5A454295">
      <w:pPr>
        <w:pStyle w:val="2"/>
        <w:rPr>
          <w:rFonts w:hint="eastAsia" w:ascii="仿宋" w:hAnsi="仿宋" w:eastAsia="仿宋" w:cs="仿宋"/>
          <w:color w:val="auto"/>
          <w:lang w:eastAsia="zh-CN"/>
        </w:rPr>
      </w:pPr>
    </w:p>
    <w:p w14:paraId="536AC742">
      <w:pPr>
        <w:pStyle w:val="2"/>
        <w:rPr>
          <w:rFonts w:ascii="仿宋" w:hAnsi="仿宋" w:eastAsia="仿宋" w:cs="仿宋"/>
          <w:color w:val="auto"/>
        </w:rPr>
      </w:pPr>
    </w:p>
    <w:p w14:paraId="292987AC">
      <w:pPr>
        <w:pStyle w:val="2"/>
        <w:rPr>
          <w:rFonts w:ascii="仿宋" w:hAnsi="仿宋" w:eastAsia="仿宋" w:cs="仿宋"/>
          <w:color w:val="auto"/>
        </w:rPr>
      </w:pPr>
    </w:p>
    <w:tbl>
      <w:tblPr>
        <w:tblStyle w:val="2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4A6C29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446" w:hRule="atLeast"/>
        </w:trPr>
        <w:tc>
          <w:tcPr>
            <w:tcW w:w="9120" w:type="dxa"/>
            <w:shd w:val="clear" w:color="auto" w:fill="FCFEEA"/>
            <w:noWrap/>
          </w:tcPr>
          <w:p w14:paraId="7536BDD6">
            <w:pPr>
              <w:pStyle w:val="11"/>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（正本）</w:t>
            </w:r>
          </w:p>
          <w:p w14:paraId="054576B9">
            <w:pPr>
              <w:pStyle w:val="11"/>
              <w:ind w:firstLine="4216" w:firstLineChars="1500"/>
              <w:rPr>
                <w:rFonts w:ascii="仿宋" w:hAnsi="仿宋" w:eastAsia="仿宋" w:cs="仿宋"/>
                <w:b/>
                <w:bCs/>
                <w:color w:val="auto"/>
                <w:sz w:val="28"/>
                <w:szCs w:val="28"/>
              </w:rPr>
            </w:pPr>
          </w:p>
          <w:p w14:paraId="5AC8896D">
            <w:pPr>
              <w:pStyle w:val="11"/>
              <w:ind w:firstLine="4216" w:firstLineChars="1500"/>
              <w:rPr>
                <w:rFonts w:ascii="仿宋" w:hAnsi="仿宋" w:eastAsia="仿宋" w:cs="仿宋"/>
                <w:b/>
                <w:bCs/>
                <w:color w:val="auto"/>
                <w:sz w:val="28"/>
                <w:szCs w:val="28"/>
              </w:rPr>
            </w:pPr>
          </w:p>
          <w:p w14:paraId="4F70D03A">
            <w:pPr>
              <w:pStyle w:val="11"/>
              <w:rPr>
                <w:rFonts w:ascii="仿宋" w:hAnsi="仿宋" w:eastAsia="仿宋" w:cs="仿宋"/>
                <w:b/>
                <w:bCs/>
                <w:color w:val="auto"/>
                <w:sz w:val="28"/>
                <w:szCs w:val="28"/>
              </w:rPr>
            </w:pPr>
          </w:p>
          <w:p w14:paraId="6F08E67D">
            <w:pPr>
              <w:pStyle w:val="11"/>
              <w:ind w:firstLine="2530" w:firstLineChars="900"/>
              <w:rPr>
                <w:rFonts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30E90B50">
            <w:pPr>
              <w:pStyle w:val="11"/>
              <w:jc w:val="center"/>
              <w:rPr>
                <w:rFonts w:ascii="仿宋" w:hAnsi="仿宋" w:eastAsia="仿宋" w:cs="仿宋"/>
                <w:b/>
                <w:bCs/>
                <w:color w:val="auto"/>
                <w:sz w:val="21"/>
                <w:szCs w:val="21"/>
              </w:rPr>
            </w:pPr>
          </w:p>
          <w:p w14:paraId="44D91144">
            <w:pPr>
              <w:pStyle w:val="11"/>
              <w:ind w:firstLine="3162" w:firstLineChars="1500"/>
              <w:rPr>
                <w:rFonts w:ascii="仿宋" w:hAnsi="仿宋" w:eastAsia="仿宋" w:cs="仿宋"/>
                <w:b/>
                <w:bCs/>
                <w:color w:val="auto"/>
                <w:sz w:val="21"/>
                <w:szCs w:val="21"/>
              </w:rPr>
            </w:pPr>
            <w:r>
              <w:rPr>
                <w:rFonts w:hint="eastAsia" w:ascii="仿宋" w:hAnsi="仿宋" w:eastAsia="仿宋" w:cs="仿宋"/>
                <w:b/>
                <w:bCs/>
                <w:color w:val="auto"/>
                <w:sz w:val="21"/>
                <w:szCs w:val="21"/>
              </w:rPr>
              <w:t>编号 ＊＊＊</w:t>
            </w:r>
          </w:p>
          <w:p w14:paraId="07A6C4D6">
            <w:pPr>
              <w:pStyle w:val="11"/>
              <w:jc w:val="center"/>
              <w:rPr>
                <w:rFonts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1E04A9A6">
            <w:pPr>
              <w:pStyle w:val="11"/>
              <w:jc w:val="center"/>
              <w:rPr>
                <w:rFonts w:ascii="仿宋" w:hAnsi="仿宋" w:eastAsia="仿宋" w:cs="仿宋"/>
                <w:b/>
                <w:bCs/>
                <w:color w:val="auto"/>
                <w:sz w:val="48"/>
              </w:rPr>
            </w:pPr>
            <w:r>
              <w:rPr>
                <w:rFonts w:hint="eastAsia" w:ascii="仿宋" w:hAnsi="仿宋" w:eastAsia="仿宋" w:cs="仿宋"/>
                <w:b/>
                <w:bCs/>
                <w:color w:val="auto"/>
                <w:sz w:val="48"/>
              </w:rPr>
              <w:t>投 标 文 件</w:t>
            </w:r>
          </w:p>
          <w:p w14:paraId="411C0B9B">
            <w:pPr>
              <w:jc w:val="center"/>
              <w:rPr>
                <w:rFonts w:ascii="仿宋" w:hAnsi="仿宋" w:eastAsia="仿宋" w:cs="仿宋"/>
                <w:b/>
                <w:color w:val="auto"/>
                <w:sz w:val="32"/>
              </w:rPr>
            </w:pPr>
          </w:p>
          <w:p w14:paraId="0BC8529A">
            <w:pPr>
              <w:pStyle w:val="2"/>
              <w:rPr>
                <w:rFonts w:ascii="仿宋" w:hAnsi="仿宋" w:eastAsia="仿宋" w:cs="仿宋"/>
                <w:b/>
                <w:color w:val="auto"/>
                <w:sz w:val="32"/>
              </w:rPr>
            </w:pPr>
          </w:p>
          <w:p w14:paraId="6550A1B8">
            <w:pPr>
              <w:pStyle w:val="2"/>
              <w:rPr>
                <w:rFonts w:ascii="仿宋" w:hAnsi="仿宋" w:eastAsia="仿宋" w:cs="仿宋"/>
                <w:b/>
                <w:color w:val="auto"/>
                <w:sz w:val="32"/>
              </w:rPr>
            </w:pPr>
          </w:p>
          <w:p w14:paraId="416A3B10">
            <w:pPr>
              <w:pStyle w:val="2"/>
              <w:rPr>
                <w:rFonts w:ascii="仿宋" w:hAnsi="仿宋" w:eastAsia="仿宋" w:cs="仿宋"/>
                <w:b/>
                <w:color w:val="auto"/>
                <w:sz w:val="32"/>
              </w:rPr>
            </w:pPr>
          </w:p>
          <w:p w14:paraId="3630B8C1">
            <w:pPr>
              <w:pStyle w:val="2"/>
              <w:rPr>
                <w:rFonts w:ascii="仿宋" w:hAnsi="仿宋" w:eastAsia="仿宋" w:cs="仿宋"/>
                <w:b/>
                <w:color w:val="auto"/>
                <w:sz w:val="32"/>
              </w:rPr>
            </w:pPr>
          </w:p>
          <w:p w14:paraId="03C146D3">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投标单位：（公章）</w:t>
            </w:r>
          </w:p>
          <w:p w14:paraId="090B94D7">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项目名称：</w:t>
            </w:r>
          </w:p>
          <w:p w14:paraId="438FFBB5">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项目编号：</w:t>
            </w:r>
          </w:p>
          <w:p w14:paraId="05CD122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联 系 人：</w:t>
            </w:r>
          </w:p>
          <w:p w14:paraId="29521D11">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电    话：</w:t>
            </w:r>
          </w:p>
          <w:p w14:paraId="56D04DFE">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地    址：</w:t>
            </w:r>
          </w:p>
          <w:p w14:paraId="6E0CAB29">
            <w:pPr>
              <w:spacing w:line="360" w:lineRule="auto"/>
              <w:ind w:left="176" w:leftChars="84" w:firstLine="960" w:firstLineChars="400"/>
              <w:rPr>
                <w:rFonts w:ascii="仿宋" w:hAnsi="仿宋" w:eastAsia="仿宋" w:cs="仿宋"/>
                <w:color w:val="auto"/>
                <w:sz w:val="24"/>
              </w:rPr>
            </w:pPr>
          </w:p>
          <w:p w14:paraId="1F16C95A">
            <w:pPr>
              <w:jc w:val="center"/>
              <w:rPr>
                <w:rFonts w:ascii="仿宋" w:hAnsi="仿宋" w:eastAsia="仿宋" w:cs="仿宋"/>
                <w:b/>
                <w:bCs/>
                <w:color w:val="auto"/>
              </w:rPr>
            </w:pPr>
          </w:p>
          <w:p w14:paraId="075D598E">
            <w:pPr>
              <w:jc w:val="center"/>
              <w:rPr>
                <w:rFonts w:ascii="仿宋" w:hAnsi="仿宋" w:eastAsia="仿宋" w:cs="仿宋"/>
                <w:b/>
                <w:bCs/>
                <w:color w:val="auto"/>
              </w:rPr>
            </w:pPr>
          </w:p>
          <w:p w14:paraId="318C96E7">
            <w:pPr>
              <w:jc w:val="center"/>
              <w:rPr>
                <w:rFonts w:ascii="仿宋" w:hAnsi="仿宋" w:eastAsia="仿宋" w:cs="仿宋"/>
                <w:b/>
                <w:bCs/>
                <w:color w:val="auto"/>
              </w:rPr>
            </w:pPr>
          </w:p>
          <w:p w14:paraId="453CFD6C">
            <w:pPr>
              <w:jc w:val="center"/>
              <w:rPr>
                <w:rFonts w:hint="eastAsia" w:ascii="仿宋" w:hAnsi="仿宋" w:eastAsia="仿宋" w:cs="仿宋"/>
                <w:b/>
                <w:bCs/>
                <w:color w:val="auto"/>
              </w:rPr>
            </w:pPr>
          </w:p>
          <w:p w14:paraId="22B33E8E">
            <w:pPr>
              <w:jc w:val="center"/>
              <w:rPr>
                <w:rFonts w:hint="eastAsia" w:ascii="仿宋" w:hAnsi="仿宋" w:eastAsia="仿宋" w:cs="仿宋"/>
                <w:b/>
                <w:bCs/>
                <w:color w:val="auto"/>
                <w:lang w:eastAsia="zh-CN"/>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w:t>
            </w:r>
            <w:r>
              <w:rPr>
                <w:rFonts w:hint="eastAsia" w:ascii="仿宋" w:hAnsi="仿宋" w:eastAsia="仿宋" w:cs="仿宋"/>
                <w:b/>
                <w:bCs/>
                <w:color w:val="auto"/>
                <w:lang w:val="en-US" w:eastAsia="zh-CN"/>
              </w:rPr>
              <w:t>开启</w:t>
            </w:r>
          </w:p>
          <w:p w14:paraId="64C5E317">
            <w:pPr>
              <w:jc w:val="center"/>
              <w:rPr>
                <w:rFonts w:ascii="仿宋" w:hAnsi="仿宋" w:eastAsia="仿宋" w:cs="仿宋"/>
                <w:b/>
                <w:bCs/>
                <w:color w:val="auto"/>
              </w:rPr>
            </w:pPr>
          </w:p>
        </w:tc>
      </w:tr>
    </w:tbl>
    <w:p w14:paraId="58706B5D">
      <w:pPr>
        <w:spacing w:line="240" w:lineRule="atLeast"/>
        <w:rPr>
          <w:rFonts w:ascii="仿宋" w:hAnsi="仿宋" w:eastAsia="仿宋" w:cs="仿宋"/>
          <w:b/>
          <w:color w:val="auto"/>
          <w:sz w:val="52"/>
          <w:szCs w:val="52"/>
        </w:rPr>
      </w:pPr>
    </w:p>
    <w:p w14:paraId="25B7E64E">
      <w:pPr>
        <w:pStyle w:val="20"/>
        <w:rPr>
          <w:rFonts w:ascii="仿宋" w:hAnsi="仿宋" w:eastAsia="仿宋" w:cs="仿宋"/>
          <w:b/>
          <w:color w:val="auto"/>
          <w:sz w:val="52"/>
          <w:szCs w:val="52"/>
        </w:rPr>
      </w:pPr>
    </w:p>
    <w:p w14:paraId="6F3919C5">
      <w:pPr>
        <w:spacing w:line="240" w:lineRule="atLeast"/>
        <w:jc w:val="center"/>
        <w:rPr>
          <w:rFonts w:hint="eastAsia" w:ascii="仿宋" w:hAnsi="仿宋" w:eastAsia="仿宋" w:cs="仿宋"/>
          <w:b/>
          <w:color w:val="auto"/>
          <w:sz w:val="36"/>
          <w:szCs w:val="36"/>
        </w:rPr>
      </w:pPr>
      <w:r>
        <w:rPr>
          <w:rFonts w:hint="eastAsia" w:ascii="仿宋" w:hAnsi="仿宋" w:eastAsia="仿宋" w:cs="仿宋"/>
          <w:b/>
          <w:bCs/>
          <w:color w:val="auto"/>
          <w:kern w:val="2"/>
          <w:sz w:val="36"/>
          <w:szCs w:val="36"/>
          <w:u w:val="none"/>
          <w:lang w:eastAsia="zh-CN"/>
        </w:rPr>
        <w:t>喀什地区纤维检验所棉花公检实验室AGV自动转运调度系统采购项目</w:t>
      </w:r>
    </w:p>
    <w:p w14:paraId="3CC3B17C">
      <w:pPr>
        <w:spacing w:line="240" w:lineRule="atLeast"/>
        <w:jc w:val="center"/>
        <w:rPr>
          <w:rFonts w:hint="eastAsia" w:ascii="仿宋" w:hAnsi="仿宋" w:eastAsia="仿宋" w:cs="仿宋"/>
          <w:b/>
          <w:color w:val="auto"/>
          <w:sz w:val="36"/>
          <w:szCs w:val="36"/>
        </w:rPr>
      </w:pPr>
    </w:p>
    <w:p w14:paraId="496ACEEC">
      <w:pPr>
        <w:spacing w:line="240" w:lineRule="atLeast"/>
        <w:jc w:val="center"/>
        <w:rPr>
          <w:rFonts w:hint="eastAsia" w:ascii="仿宋" w:hAnsi="仿宋" w:eastAsia="仿宋" w:cs="仿宋"/>
          <w:b/>
          <w:color w:val="auto"/>
          <w:sz w:val="36"/>
          <w:szCs w:val="36"/>
        </w:rPr>
      </w:pPr>
    </w:p>
    <w:p w14:paraId="2ACF10FD">
      <w:pPr>
        <w:spacing w:line="240" w:lineRule="atLeast"/>
        <w:jc w:val="center"/>
        <w:rPr>
          <w:rFonts w:ascii="仿宋" w:hAnsi="仿宋" w:eastAsia="仿宋" w:cs="仿宋"/>
          <w:b/>
          <w:color w:val="auto"/>
          <w:sz w:val="36"/>
          <w:szCs w:val="36"/>
        </w:rPr>
      </w:pPr>
      <w:r>
        <w:rPr>
          <w:rFonts w:hint="eastAsia" w:ascii="仿宋" w:hAnsi="仿宋" w:eastAsia="仿宋" w:cs="仿宋"/>
          <w:b/>
          <w:color w:val="auto"/>
          <w:sz w:val="36"/>
          <w:szCs w:val="36"/>
        </w:rPr>
        <w:t>招标文件</w:t>
      </w:r>
    </w:p>
    <w:p w14:paraId="06654AF9">
      <w:pPr>
        <w:spacing w:line="240" w:lineRule="atLeast"/>
        <w:ind w:firstLine="1285" w:firstLineChars="400"/>
        <w:rPr>
          <w:rFonts w:ascii="仿宋" w:hAnsi="仿宋" w:eastAsia="仿宋" w:cs="仿宋"/>
          <w:b/>
          <w:color w:val="auto"/>
          <w:sz w:val="32"/>
          <w:szCs w:val="32"/>
        </w:rPr>
      </w:pPr>
    </w:p>
    <w:p w14:paraId="7583383A">
      <w:pPr>
        <w:spacing w:line="240" w:lineRule="atLeast"/>
        <w:rPr>
          <w:rFonts w:ascii="仿宋" w:hAnsi="仿宋" w:eastAsia="仿宋" w:cs="仿宋"/>
          <w:b/>
          <w:color w:val="auto"/>
          <w:sz w:val="32"/>
          <w:szCs w:val="32"/>
        </w:rPr>
      </w:pPr>
    </w:p>
    <w:p w14:paraId="00E8731C">
      <w:pPr>
        <w:spacing w:line="240" w:lineRule="atLeast"/>
        <w:ind w:firstLine="1606" w:firstLineChars="500"/>
        <w:rPr>
          <w:rFonts w:ascii="仿宋" w:hAnsi="仿宋" w:eastAsia="仿宋" w:cs="仿宋"/>
          <w:b/>
          <w:color w:val="auto"/>
          <w:sz w:val="32"/>
          <w:szCs w:val="32"/>
        </w:rPr>
      </w:pPr>
      <w:r>
        <w:rPr>
          <w:rFonts w:hint="eastAsia" w:ascii="仿宋" w:hAnsi="仿宋" w:eastAsia="仿宋" w:cs="仿宋"/>
          <w:b/>
          <w:color w:val="auto"/>
          <w:sz w:val="32"/>
          <w:szCs w:val="32"/>
        </w:rPr>
        <w:t>（项目编号：ZCD(GK)[2025]-03</w:t>
      </w:r>
      <w:r>
        <w:rPr>
          <w:rFonts w:hint="eastAsia" w:ascii="仿宋" w:hAnsi="仿宋" w:eastAsia="仿宋" w:cs="仿宋"/>
          <w:b/>
          <w:color w:val="auto"/>
          <w:sz w:val="32"/>
          <w:szCs w:val="32"/>
          <w:lang w:val="en-US" w:eastAsia="zh-CN"/>
        </w:rPr>
        <w:t>0</w:t>
      </w:r>
      <w:r>
        <w:rPr>
          <w:rFonts w:hint="eastAsia" w:ascii="仿宋" w:hAnsi="仿宋" w:eastAsia="仿宋" w:cs="仿宋"/>
          <w:b/>
          <w:color w:val="auto"/>
          <w:sz w:val="32"/>
          <w:szCs w:val="32"/>
        </w:rPr>
        <w:t>）</w:t>
      </w:r>
    </w:p>
    <w:p w14:paraId="013E7895">
      <w:pPr>
        <w:spacing w:line="240" w:lineRule="atLeast"/>
        <w:ind w:left="1080" w:leftChars="257" w:hanging="540"/>
        <w:rPr>
          <w:rFonts w:ascii="仿宋" w:hAnsi="仿宋" w:eastAsia="仿宋" w:cs="仿宋"/>
          <w:b/>
          <w:color w:val="auto"/>
          <w:sz w:val="28"/>
        </w:rPr>
      </w:pPr>
    </w:p>
    <w:p w14:paraId="2E023A83">
      <w:pPr>
        <w:pStyle w:val="2"/>
        <w:rPr>
          <w:rFonts w:ascii="仿宋" w:hAnsi="仿宋" w:eastAsia="仿宋" w:cs="仿宋"/>
          <w:b/>
          <w:color w:val="auto"/>
          <w:sz w:val="52"/>
          <w:szCs w:val="52"/>
        </w:rPr>
      </w:pPr>
    </w:p>
    <w:p w14:paraId="07F1D096">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第二册</w:t>
      </w:r>
    </w:p>
    <w:p w14:paraId="3724A49A">
      <w:pPr>
        <w:spacing w:line="240" w:lineRule="atLeast"/>
        <w:ind w:left="1080" w:leftChars="257" w:hanging="540"/>
        <w:rPr>
          <w:rFonts w:ascii="仿宋" w:hAnsi="仿宋" w:eastAsia="仿宋" w:cs="仿宋"/>
          <w:b/>
          <w:color w:val="auto"/>
          <w:sz w:val="28"/>
        </w:rPr>
      </w:pPr>
    </w:p>
    <w:p w14:paraId="38C962C7">
      <w:pPr>
        <w:pStyle w:val="20"/>
        <w:rPr>
          <w:rFonts w:ascii="仿宋" w:hAnsi="仿宋" w:eastAsia="仿宋" w:cs="仿宋"/>
          <w:color w:val="auto"/>
        </w:rPr>
      </w:pPr>
    </w:p>
    <w:p w14:paraId="56AF5EFB">
      <w:pPr>
        <w:spacing w:line="240" w:lineRule="atLeast"/>
        <w:ind w:left="1080" w:leftChars="257" w:hanging="540"/>
        <w:rPr>
          <w:rFonts w:ascii="仿宋" w:hAnsi="仿宋" w:eastAsia="仿宋" w:cs="仿宋"/>
          <w:b/>
          <w:color w:val="auto"/>
          <w:sz w:val="28"/>
        </w:rPr>
      </w:pPr>
    </w:p>
    <w:p w14:paraId="085AE6CD">
      <w:pPr>
        <w:spacing w:line="240" w:lineRule="atLeast"/>
        <w:ind w:left="1080" w:leftChars="257" w:hanging="540"/>
        <w:rPr>
          <w:rFonts w:ascii="仿宋" w:hAnsi="仿宋" w:eastAsia="仿宋" w:cs="仿宋"/>
          <w:b/>
          <w:color w:val="auto"/>
          <w:sz w:val="28"/>
        </w:rPr>
      </w:pPr>
    </w:p>
    <w:p w14:paraId="39237469">
      <w:pPr>
        <w:spacing w:line="240" w:lineRule="atLeast"/>
        <w:ind w:left="1080" w:leftChars="257" w:hanging="540"/>
        <w:rPr>
          <w:rFonts w:ascii="仿宋" w:hAnsi="仿宋" w:eastAsia="仿宋" w:cs="仿宋"/>
          <w:b/>
          <w:color w:val="auto"/>
          <w:sz w:val="28"/>
        </w:rPr>
      </w:pPr>
    </w:p>
    <w:p w14:paraId="171AD1AC">
      <w:pPr>
        <w:spacing w:line="240" w:lineRule="atLeast"/>
        <w:ind w:left="1080" w:leftChars="257" w:hanging="540"/>
        <w:jc w:val="center"/>
        <w:rPr>
          <w:rFonts w:ascii="仿宋" w:hAnsi="仿宋" w:eastAsia="仿宋" w:cs="仿宋"/>
          <w:b/>
          <w:color w:val="auto"/>
          <w:sz w:val="52"/>
        </w:rPr>
      </w:pPr>
    </w:p>
    <w:p w14:paraId="04974B53">
      <w:pPr>
        <w:spacing w:line="240" w:lineRule="atLeast"/>
        <w:ind w:left="1080" w:leftChars="257" w:hanging="540"/>
        <w:jc w:val="center"/>
        <w:rPr>
          <w:rFonts w:ascii="仿宋" w:hAnsi="仿宋" w:eastAsia="仿宋" w:cs="仿宋"/>
          <w:b/>
          <w:color w:val="auto"/>
          <w:sz w:val="52"/>
        </w:rPr>
      </w:pPr>
    </w:p>
    <w:p w14:paraId="4F0CA0DF">
      <w:pPr>
        <w:spacing w:line="240" w:lineRule="atLeast"/>
        <w:ind w:left="1080" w:leftChars="257" w:hanging="540"/>
        <w:jc w:val="center"/>
        <w:rPr>
          <w:rFonts w:ascii="仿宋" w:hAnsi="仿宋" w:eastAsia="仿宋" w:cs="仿宋"/>
          <w:b/>
          <w:color w:val="auto"/>
          <w:sz w:val="52"/>
        </w:rPr>
      </w:pPr>
    </w:p>
    <w:p w14:paraId="446E2A3B">
      <w:pPr>
        <w:spacing w:line="240" w:lineRule="atLeast"/>
        <w:ind w:left="1080" w:leftChars="257" w:hanging="540"/>
        <w:jc w:val="center"/>
        <w:rPr>
          <w:rFonts w:ascii="仿宋" w:hAnsi="仿宋" w:eastAsia="仿宋" w:cs="仿宋"/>
          <w:b/>
          <w:color w:val="auto"/>
          <w:sz w:val="52"/>
        </w:rPr>
      </w:pPr>
    </w:p>
    <w:p w14:paraId="72E4C7C9">
      <w:pPr>
        <w:spacing w:line="240" w:lineRule="atLeast"/>
        <w:ind w:left="1080" w:leftChars="257" w:hanging="540"/>
        <w:jc w:val="center"/>
        <w:rPr>
          <w:rFonts w:ascii="仿宋" w:hAnsi="仿宋" w:eastAsia="仿宋" w:cs="仿宋"/>
          <w:b/>
          <w:color w:val="auto"/>
          <w:sz w:val="52"/>
        </w:rPr>
      </w:pPr>
    </w:p>
    <w:p w14:paraId="547AC25F">
      <w:pPr>
        <w:rPr>
          <w:rFonts w:ascii="仿宋" w:hAnsi="仿宋" w:eastAsia="仿宋" w:cs="仿宋"/>
          <w:color w:val="auto"/>
        </w:rPr>
      </w:pPr>
    </w:p>
    <w:p w14:paraId="6D8DB16D">
      <w:pPr>
        <w:rPr>
          <w:rFonts w:ascii="仿宋" w:hAnsi="仿宋" w:eastAsia="仿宋" w:cs="仿宋"/>
          <w:color w:val="auto"/>
        </w:rPr>
      </w:pPr>
    </w:p>
    <w:p w14:paraId="50575286">
      <w:pPr>
        <w:spacing w:line="240" w:lineRule="atLeast"/>
        <w:rPr>
          <w:rFonts w:ascii="仿宋" w:hAnsi="仿宋" w:eastAsia="仿宋" w:cs="仿宋"/>
          <w:b/>
          <w:color w:val="auto"/>
          <w:sz w:val="30"/>
          <w:szCs w:val="30"/>
        </w:rPr>
      </w:pPr>
    </w:p>
    <w:p w14:paraId="06FA5C28">
      <w:pPr>
        <w:pStyle w:val="2"/>
        <w:rPr>
          <w:color w:val="auto"/>
        </w:rPr>
      </w:pPr>
    </w:p>
    <w:p w14:paraId="37DE8663">
      <w:pPr>
        <w:pStyle w:val="2"/>
        <w:ind w:left="0" w:leftChars="0" w:firstLine="0" w:firstLineChars="0"/>
        <w:rPr>
          <w:rFonts w:ascii="仿宋" w:hAnsi="仿宋" w:eastAsia="仿宋" w:cs="仿宋"/>
          <w:color w:val="auto"/>
        </w:rPr>
      </w:pPr>
    </w:p>
    <w:p w14:paraId="2B2E9EF0">
      <w:pPr>
        <w:rPr>
          <w:rFonts w:ascii="仿宋" w:hAnsi="仿宋" w:eastAsia="仿宋" w:cs="仿宋"/>
          <w:color w:val="auto"/>
        </w:rPr>
      </w:pPr>
    </w:p>
    <w:p w14:paraId="2F86E4C6">
      <w:pPr>
        <w:pStyle w:val="2"/>
        <w:rPr>
          <w:rFonts w:ascii="仿宋" w:hAnsi="仿宋" w:eastAsia="仿宋" w:cs="仿宋"/>
          <w:color w:val="auto"/>
        </w:rPr>
      </w:pPr>
    </w:p>
    <w:p w14:paraId="3DD87C81">
      <w:pPr>
        <w:rPr>
          <w:rFonts w:ascii="仿宋" w:hAnsi="仿宋" w:eastAsia="仿宋" w:cs="仿宋"/>
          <w:color w:val="auto"/>
        </w:rPr>
      </w:pPr>
    </w:p>
    <w:p w14:paraId="7DB0C83E">
      <w:pPr>
        <w:pStyle w:val="2"/>
        <w:rPr>
          <w:color w:val="auto"/>
        </w:rPr>
      </w:pPr>
    </w:p>
    <w:p w14:paraId="5FE52418">
      <w:pPr>
        <w:pStyle w:val="2"/>
        <w:rPr>
          <w:rFonts w:ascii="仿宋" w:hAnsi="仿宋" w:eastAsia="仿宋" w:cs="仿宋"/>
          <w:color w:val="auto"/>
        </w:rPr>
      </w:pPr>
    </w:p>
    <w:p w14:paraId="4B7D6FEE">
      <w:pPr>
        <w:rPr>
          <w:rFonts w:ascii="仿宋" w:hAnsi="仿宋" w:eastAsia="仿宋" w:cs="仿宋"/>
          <w:color w:val="auto"/>
        </w:rPr>
      </w:pPr>
    </w:p>
    <w:p w14:paraId="335544B8">
      <w:pPr>
        <w:spacing w:line="240" w:lineRule="atLeast"/>
        <w:ind w:left="1080" w:leftChars="257" w:hanging="540"/>
        <w:jc w:val="center"/>
        <w:outlineLvl w:val="0"/>
        <w:rPr>
          <w:rFonts w:ascii="仿宋" w:hAnsi="仿宋" w:eastAsia="仿宋" w:cs="仿宋"/>
          <w:b/>
          <w:color w:val="auto"/>
          <w:sz w:val="30"/>
          <w:szCs w:val="30"/>
        </w:rPr>
      </w:pPr>
      <w:bookmarkStart w:id="595" w:name="_Toc24931"/>
      <w:bookmarkStart w:id="596" w:name="_Toc19504"/>
      <w:bookmarkStart w:id="597" w:name="_Toc9508"/>
      <w:r>
        <w:rPr>
          <w:rFonts w:hint="eastAsia" w:ascii="仿宋" w:hAnsi="仿宋" w:eastAsia="仿宋" w:cs="仿宋"/>
          <w:b/>
          <w:color w:val="auto"/>
          <w:sz w:val="30"/>
          <w:szCs w:val="30"/>
        </w:rPr>
        <w:t>第三章公告</w:t>
      </w:r>
      <w:bookmarkEnd w:id="595"/>
      <w:bookmarkEnd w:id="596"/>
      <w:bookmarkEnd w:id="597"/>
    </w:p>
    <w:p w14:paraId="4E7FC832">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hint="eastAsia" w:ascii="仿宋" w:hAnsi="仿宋" w:eastAsia="仿宋" w:cs="仿宋"/>
          <w:b/>
          <w:bCs/>
          <w:color w:val="auto"/>
          <w:sz w:val="24"/>
          <w:szCs w:val="24"/>
          <w:lang w:val="en-US" w:eastAsia="zh-CN"/>
        </w:rPr>
      </w:pPr>
      <w:bookmarkStart w:id="598" w:name="_Toc16788"/>
      <w:bookmarkStart w:id="599" w:name="_Toc30277"/>
      <w:bookmarkStart w:id="600" w:name="_Toc12579"/>
      <w:bookmarkStart w:id="601" w:name="_Toc25821"/>
      <w:bookmarkStart w:id="602" w:name="_Toc2151"/>
      <w:bookmarkStart w:id="603" w:name="_Toc25090"/>
      <w:bookmarkStart w:id="604" w:name="_Toc24671"/>
      <w:bookmarkStart w:id="605" w:name="_Toc20266"/>
      <w:bookmarkStart w:id="606" w:name="_Toc23954"/>
      <w:r>
        <w:rPr>
          <w:rFonts w:hint="eastAsia" w:ascii="仿宋" w:hAnsi="仿宋" w:eastAsia="仿宋" w:cs="仿宋"/>
          <w:b/>
          <w:bCs/>
          <w:color w:val="auto"/>
          <w:sz w:val="24"/>
          <w:szCs w:val="24"/>
          <w:lang w:val="en-US" w:eastAsia="zh-CN"/>
        </w:rPr>
        <w:t>喀什地区纤维检验所棉花公检实验室AGV自动转运调度系统采购项目</w:t>
      </w:r>
    </w:p>
    <w:p w14:paraId="103F7F1B">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公开招标公告</w:t>
      </w:r>
      <w:bookmarkEnd w:id="598"/>
      <w:bookmarkEnd w:id="599"/>
      <w:bookmarkEnd w:id="600"/>
      <w:bookmarkEnd w:id="601"/>
      <w:bookmarkEnd w:id="602"/>
      <w:bookmarkEnd w:id="603"/>
      <w:bookmarkEnd w:id="604"/>
      <w:bookmarkEnd w:id="605"/>
      <w:bookmarkEnd w:id="606"/>
    </w:p>
    <w:p w14:paraId="0BF4F11D">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color w:val="auto"/>
          <w:sz w:val="24"/>
        </w:rPr>
      </w:pPr>
      <w:r>
        <w:rPr>
          <w:rFonts w:hint="eastAsia" w:ascii="仿宋" w:hAnsi="仿宋" w:eastAsia="仿宋" w:cs="仿宋"/>
          <w:color w:val="auto"/>
          <w:sz w:val="24"/>
        </w:rPr>
        <w:t>项目概况</w:t>
      </w:r>
    </w:p>
    <w:p w14:paraId="0759ABCF">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喀什地区纤维检验所棉花公检实验室AGV自动转运调度系统采购项目</w:t>
      </w:r>
      <w:r>
        <w:rPr>
          <w:rStyle w:val="32"/>
          <w:rFonts w:hint="eastAsia" w:ascii="仿宋" w:hAnsi="仿宋" w:eastAsia="仿宋" w:cs="仿宋"/>
          <w:color w:val="auto"/>
          <w:sz w:val="24"/>
          <w:u w:val="none"/>
        </w:rPr>
        <w:t>的潜在供应商应在</w:t>
      </w:r>
      <w:r>
        <w:rPr>
          <w:rStyle w:val="32"/>
          <w:rFonts w:hint="eastAsia" w:ascii="仿宋" w:hAnsi="仿宋" w:eastAsia="仿宋" w:cs="仿宋"/>
          <w:color w:val="auto"/>
          <w:sz w:val="24"/>
          <w:u w:val="single"/>
        </w:rPr>
        <w:t>新疆政府采购</w:t>
      </w:r>
      <w:r>
        <w:rPr>
          <w:rStyle w:val="32"/>
          <w:rFonts w:hint="eastAsia" w:ascii="仿宋" w:hAnsi="仿宋" w:eastAsia="仿宋" w:cs="仿宋"/>
          <w:color w:val="auto"/>
          <w:sz w:val="24"/>
          <w:u w:val="single"/>
          <w:lang w:eastAsia="zh-CN"/>
        </w:rPr>
        <w:t>网</w:t>
      </w:r>
      <w:r>
        <w:rPr>
          <w:rStyle w:val="32"/>
          <w:rFonts w:hint="eastAsia" w:ascii="仿宋" w:hAnsi="仿宋" w:eastAsia="仿宋" w:cs="仿宋"/>
          <w:color w:val="auto"/>
          <w:sz w:val="24"/>
          <w:u w:val="none"/>
        </w:rPr>
        <w:t>获取招标文件，并于202</w:t>
      </w:r>
      <w:r>
        <w:rPr>
          <w:rStyle w:val="32"/>
          <w:rFonts w:hint="eastAsia" w:ascii="仿宋" w:hAnsi="仿宋" w:eastAsia="仿宋" w:cs="仿宋"/>
          <w:color w:val="auto"/>
          <w:sz w:val="24"/>
          <w:u w:val="none"/>
          <w:lang w:val="en-US" w:eastAsia="zh-CN"/>
        </w:rPr>
        <w:t>5</w:t>
      </w:r>
      <w:r>
        <w:rPr>
          <w:rStyle w:val="32"/>
          <w:rFonts w:hint="eastAsia" w:ascii="仿宋" w:hAnsi="仿宋" w:eastAsia="仿宋" w:cs="仿宋"/>
          <w:bCs/>
          <w:color w:val="auto"/>
          <w:sz w:val="24"/>
          <w:u w:val="none"/>
        </w:rPr>
        <w:t>年</w:t>
      </w:r>
      <w:r>
        <w:rPr>
          <w:rStyle w:val="32"/>
          <w:rFonts w:hint="eastAsia" w:ascii="仿宋" w:hAnsi="仿宋" w:eastAsia="仿宋" w:cs="仿宋"/>
          <w:bCs/>
          <w:color w:val="auto"/>
          <w:sz w:val="24"/>
          <w:u w:val="none"/>
          <w:lang w:val="en-US" w:eastAsia="zh-CN"/>
        </w:rPr>
        <w:t>7</w:t>
      </w:r>
      <w:r>
        <w:rPr>
          <w:rStyle w:val="32"/>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21</w:t>
      </w:r>
      <w:r>
        <w:rPr>
          <w:rFonts w:hint="eastAsia" w:ascii="仿宋" w:hAnsi="仿宋" w:eastAsia="仿宋" w:cs="仿宋"/>
          <w:bCs/>
          <w:color w:val="auto"/>
          <w:sz w:val="24"/>
          <w:u w:val="none"/>
        </w:rPr>
        <w:t>日11点00分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14:paraId="534FBA35">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07" w:name="_Toc23117"/>
      <w:bookmarkStart w:id="608" w:name="_Toc35393798"/>
      <w:bookmarkStart w:id="609" w:name="_Toc28359012"/>
      <w:bookmarkStart w:id="610" w:name="_Toc31560"/>
      <w:bookmarkStart w:id="611" w:name="_Toc30702"/>
      <w:bookmarkStart w:id="612" w:name="_Toc15067"/>
      <w:bookmarkStart w:id="613" w:name="_Toc15210"/>
      <w:bookmarkStart w:id="614" w:name="_Toc20541"/>
      <w:bookmarkStart w:id="615" w:name="_Toc32091"/>
      <w:bookmarkStart w:id="616" w:name="_Toc35393629"/>
      <w:bookmarkStart w:id="617" w:name="_Toc11641"/>
      <w:bookmarkStart w:id="618" w:name="_Toc28359089"/>
      <w:bookmarkStart w:id="619" w:name="_Toc21167"/>
      <w:bookmarkStart w:id="620" w:name="_Toc8981"/>
      <w:r>
        <w:rPr>
          <w:rFonts w:hint="eastAsia" w:ascii="仿宋" w:hAnsi="仿宋" w:eastAsia="仿宋" w:cs="仿宋"/>
          <w:color w:val="auto"/>
          <w:sz w:val="24"/>
          <w:szCs w:val="24"/>
        </w:rPr>
        <w:t>一、项目基本情况</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CE8533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项目编号：ZCD(GK)[2025]-03</w:t>
      </w:r>
      <w:r>
        <w:rPr>
          <w:rFonts w:hint="eastAsia" w:ascii="仿宋" w:hAnsi="仿宋" w:eastAsia="仿宋" w:cs="仿宋"/>
          <w:color w:val="auto"/>
          <w:sz w:val="24"/>
          <w:lang w:val="en-US" w:eastAsia="zh-CN"/>
        </w:rPr>
        <w:t>0</w:t>
      </w:r>
    </w:p>
    <w:p w14:paraId="1D18C54F">
      <w:pPr>
        <w:pageBreakBefore w:val="0"/>
        <w:kinsoku/>
        <w:wordWrap/>
        <w:overflowPunct/>
        <w:topLinePunct w:val="0"/>
        <w:bidi w:val="0"/>
        <w:snapToGrid/>
        <w:spacing w:line="380" w:lineRule="exact"/>
        <w:ind w:left="1679" w:leftChars="228" w:hanging="1200" w:hangingChars="5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喀什地区纤维检验所棉花公检实验室AGV自动转运调度系统采购</w:t>
      </w:r>
      <w:r>
        <w:rPr>
          <w:rFonts w:hint="eastAsia" w:ascii="仿宋" w:hAnsi="仿宋" w:eastAsia="仿宋" w:cs="仿宋"/>
          <w:color w:val="auto"/>
          <w:sz w:val="24"/>
          <w:lang w:val="en-US" w:eastAsia="zh-CN"/>
        </w:rPr>
        <w:t>项目</w:t>
      </w:r>
    </w:p>
    <w:p w14:paraId="625D1198">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7E409524">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3500000.00</w:t>
      </w:r>
    </w:p>
    <w:p w14:paraId="1CBD2ED3">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eastAsia="zh-CN"/>
        </w:rPr>
        <w:t>采购一批地面运输AGV及调度管理系统、AGV充电桩、激光导航反光柱、地面不锈钢二维码、快速升降门、接口软件、供配电及网络、标签标识等。实现棉花公检实验室棉样篮等的自动转运和回收，提高实验室的运行效率和自动化水平</w:t>
      </w:r>
      <w:r>
        <w:rPr>
          <w:rFonts w:hint="eastAsia" w:ascii="仿宋" w:hAnsi="仿宋" w:eastAsia="仿宋" w:cs="仿宋"/>
          <w:color w:val="auto"/>
          <w:sz w:val="24"/>
          <w:lang w:val="en-US" w:eastAsia="zh-CN"/>
        </w:rPr>
        <w:t>等</w:t>
      </w:r>
      <w:r>
        <w:rPr>
          <w:rFonts w:hint="eastAsia" w:ascii="仿宋" w:hAnsi="仿宋" w:eastAsia="仿宋" w:cs="仿宋"/>
          <w:color w:val="auto"/>
          <w:sz w:val="24"/>
          <w:lang w:eastAsia="zh-CN"/>
        </w:rPr>
        <w:t>；</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7FDB4DCA">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p>
    <w:p w14:paraId="4F8A54D1">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r>
        <w:rPr>
          <w:rFonts w:hint="eastAsia" w:ascii="仿宋" w:hAnsi="仿宋" w:eastAsia="仿宋" w:cs="仿宋"/>
          <w:color w:val="auto"/>
          <w:sz w:val="24"/>
          <w:lang w:val="en-US" w:eastAsia="zh-CN"/>
        </w:rPr>
        <w:br w:type="textWrapping"/>
      </w:r>
      <w:r>
        <w:rPr>
          <w:rFonts w:hint="eastAsia" w:ascii="仿宋" w:hAnsi="仿宋" w:eastAsia="仿宋" w:cs="仿宋"/>
          <w:color w:val="auto"/>
          <w:sz w:val="24"/>
          <w:lang w:val="en-US" w:eastAsia="zh-CN"/>
        </w:rPr>
        <w:t xml:space="preserve">标项名称:喀什地区纤维检验所棉花公检实验室AGV自动转运调度系统采购  项目        </w:t>
      </w:r>
    </w:p>
    <w:p w14:paraId="0372003E">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数量:1批</w:t>
      </w:r>
    </w:p>
    <w:p w14:paraId="345653D2">
      <w:pPr>
        <w:pageBreakBefore w:val="0"/>
        <w:kinsoku/>
        <w:wordWrap/>
        <w:overflowPunct/>
        <w:topLinePunct w:val="0"/>
        <w:bidi w:val="0"/>
        <w:snapToGrid/>
        <w:spacing w:line="3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预算金额（元）：3500000.00</w:t>
      </w:r>
    </w:p>
    <w:p w14:paraId="5DE28D25">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简要规格描述：</w:t>
      </w:r>
      <w:r>
        <w:rPr>
          <w:rFonts w:hint="eastAsia" w:ascii="仿宋" w:hAnsi="仿宋" w:eastAsia="仿宋" w:cs="仿宋"/>
          <w:color w:val="auto"/>
          <w:sz w:val="24"/>
          <w:lang w:eastAsia="zh-CN"/>
        </w:rPr>
        <w:t>采购一批地面运输AGV及调度管理系统、AGV充电桩、激光导航反光柱、地面不锈钢二维码、快速升降门、接口软件、供配电及网络、标签标识等。实现棉花公检实验室棉样篮等的自动转运和回收，提高实验室的运行效率和自动化水平</w:t>
      </w:r>
      <w:r>
        <w:rPr>
          <w:rFonts w:hint="eastAsia" w:ascii="仿宋" w:hAnsi="仿宋" w:eastAsia="仿宋" w:cs="仿宋"/>
          <w:color w:val="auto"/>
          <w:sz w:val="24"/>
          <w:lang w:val="en-US" w:eastAsia="zh-CN"/>
        </w:rPr>
        <w:t>等</w:t>
      </w:r>
      <w:r>
        <w:rPr>
          <w:rFonts w:hint="eastAsia" w:ascii="仿宋" w:hAnsi="仿宋" w:eastAsia="仿宋" w:cs="仿宋"/>
          <w:color w:val="auto"/>
          <w:sz w:val="24"/>
          <w:lang w:eastAsia="zh-CN"/>
        </w:rPr>
        <w:t>；</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68449F16">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p>
    <w:p w14:paraId="63D0BF51">
      <w:pPr>
        <w:pageBreakBefore w:val="0"/>
        <w:kinsoku/>
        <w:wordWrap/>
        <w:overflowPunct/>
        <w:topLinePunct w:val="0"/>
        <w:bidi w:val="0"/>
        <w:snapToGrid/>
        <w:spacing w:line="380" w:lineRule="exact"/>
        <w:ind w:left="559" w:leftChars="266"/>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合同履约期限：详见招标文件</w:t>
      </w:r>
    </w:p>
    <w:p w14:paraId="20D71C9A">
      <w:pPr>
        <w:pageBreakBefore w:val="0"/>
        <w:kinsoku/>
        <w:wordWrap/>
        <w:overflowPunct/>
        <w:topLinePunct w:val="0"/>
        <w:bidi w:val="0"/>
        <w:snapToGrid/>
        <w:spacing w:line="380" w:lineRule="exact"/>
        <w:ind w:left="559" w:leftChars="266"/>
        <w:textAlignment w:val="auto"/>
        <w:rPr>
          <w:rFonts w:hint="eastAsia"/>
          <w:color w:val="auto"/>
          <w:highlight w:val="none"/>
        </w:rPr>
      </w:pPr>
      <w:r>
        <w:rPr>
          <w:rFonts w:hint="eastAsia" w:ascii="仿宋" w:hAnsi="仿宋" w:eastAsia="仿宋" w:cs="仿宋"/>
          <w:color w:val="auto"/>
          <w:sz w:val="24"/>
          <w:highlight w:val="none"/>
        </w:rPr>
        <w:t>本项目（否）接受联合体投标</w:t>
      </w:r>
    </w:p>
    <w:p w14:paraId="63A56B64">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highlight w:val="none"/>
        </w:rPr>
      </w:pPr>
      <w:bookmarkStart w:id="621" w:name="_Toc13704"/>
      <w:bookmarkStart w:id="622" w:name="_Toc28359013"/>
      <w:bookmarkStart w:id="623" w:name="_Toc20720"/>
      <w:bookmarkStart w:id="624" w:name="_Toc35393630"/>
      <w:bookmarkStart w:id="625" w:name="_Toc8776"/>
      <w:bookmarkStart w:id="626" w:name="_Toc22901"/>
      <w:bookmarkStart w:id="627" w:name="_Toc30528"/>
      <w:bookmarkStart w:id="628" w:name="_Toc28359090"/>
      <w:bookmarkStart w:id="629" w:name="_Toc17664"/>
      <w:bookmarkStart w:id="630" w:name="_Toc4875"/>
      <w:bookmarkStart w:id="631" w:name="_Toc9671"/>
      <w:bookmarkStart w:id="632" w:name="_Toc8045"/>
      <w:bookmarkStart w:id="633" w:name="_Toc23162"/>
      <w:bookmarkStart w:id="634" w:name="_Toc35393799"/>
      <w:r>
        <w:rPr>
          <w:rFonts w:hint="eastAsia" w:ascii="仿宋" w:hAnsi="仿宋" w:eastAsia="仿宋" w:cs="仿宋"/>
          <w:color w:val="auto"/>
          <w:sz w:val="24"/>
          <w:szCs w:val="24"/>
          <w:highlight w:val="none"/>
        </w:rPr>
        <w:t>二、申请人的资格要求</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884141B">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77079B0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bookmarkStart w:id="635" w:name="_Toc35393800"/>
      <w:bookmarkStart w:id="636" w:name="_Toc35393631"/>
      <w:bookmarkStart w:id="637" w:name="_Toc28359091"/>
      <w:bookmarkStart w:id="638" w:name="_Toc28359014"/>
      <w:bookmarkStart w:id="639" w:name="_Toc18271"/>
      <w:bookmarkStart w:id="640" w:name="_Toc6912"/>
      <w:bookmarkStart w:id="641" w:name="_Toc20372"/>
      <w:bookmarkStart w:id="642" w:name="_Toc25402"/>
      <w:bookmarkStart w:id="643" w:name="_Toc23487"/>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color w:val="auto"/>
          <w:kern w:val="2"/>
          <w:sz w:val="24"/>
          <w:szCs w:val="24"/>
          <w:highlight w:val="none"/>
          <w:lang w:val="en-US" w:eastAsia="zh-CN" w:bidi="ar-SA"/>
        </w:rPr>
        <w:t>专门面向中小微企业</w:t>
      </w:r>
    </w:p>
    <w:p w14:paraId="64EEF3C4">
      <w:pPr>
        <w:pStyle w:val="4"/>
        <w:pageBreakBefore w:val="0"/>
        <w:kinsoku/>
        <w:wordWrap/>
        <w:overflowPunct/>
        <w:topLinePunct w:val="0"/>
        <w:bidi w:val="0"/>
        <w:snapToGrid/>
        <w:spacing w:line="38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bookmarkStart w:id="644" w:name="_Toc5559"/>
      <w:bookmarkStart w:id="645" w:name="_Toc20355"/>
      <w:bookmarkStart w:id="646" w:name="_Toc16078"/>
      <w:bookmarkStart w:id="647" w:name="_Toc1972"/>
      <w:bookmarkStart w:id="648" w:name="_Toc26949"/>
      <w:r>
        <w:rPr>
          <w:rFonts w:hint="eastAsia" w:ascii="仿宋" w:hAnsi="仿宋" w:eastAsia="仿宋" w:cs="仿宋"/>
          <w:b w:val="0"/>
          <w:bCs/>
          <w:color w:val="auto"/>
          <w:kern w:val="2"/>
          <w:sz w:val="24"/>
          <w:szCs w:val="24"/>
          <w:highlight w:val="none"/>
          <w:lang w:val="en-US" w:eastAsia="zh-CN" w:bidi="ar-SA"/>
        </w:rPr>
        <w:t>3.本项目的特定资格要求：</w:t>
      </w:r>
      <w:bookmarkEnd w:id="644"/>
      <w:bookmarkEnd w:id="645"/>
      <w:bookmarkEnd w:id="646"/>
      <w:bookmarkEnd w:id="647"/>
      <w:bookmarkEnd w:id="648"/>
      <w:bookmarkStart w:id="649" w:name="_Toc14658"/>
      <w:bookmarkStart w:id="650" w:name="_Toc29413"/>
      <w:bookmarkStart w:id="651" w:name="_Toc20016"/>
      <w:bookmarkStart w:id="652" w:name="_Toc27998"/>
      <w:bookmarkStart w:id="653" w:name="_Toc12468"/>
      <w:r>
        <w:rPr>
          <w:rFonts w:hint="eastAsia" w:ascii="仿宋" w:hAnsi="仿宋" w:eastAsia="仿宋" w:cs="仿宋"/>
          <w:b w:val="0"/>
          <w:bCs/>
          <w:color w:val="auto"/>
          <w:kern w:val="2"/>
          <w:sz w:val="24"/>
          <w:szCs w:val="24"/>
          <w:highlight w:val="none"/>
          <w:lang w:val="en-US" w:eastAsia="zh-CN" w:bidi="ar-SA"/>
        </w:rPr>
        <w:t>/</w:t>
      </w:r>
    </w:p>
    <w:p w14:paraId="640C33FA">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bookmarkEnd w:id="635"/>
      <w:bookmarkEnd w:id="636"/>
      <w:bookmarkEnd w:id="637"/>
      <w:bookmarkEnd w:id="638"/>
      <w:r>
        <w:rPr>
          <w:rFonts w:hint="eastAsia" w:ascii="仿宋" w:hAnsi="仿宋" w:eastAsia="仿宋" w:cs="仿宋"/>
          <w:color w:val="auto"/>
          <w:sz w:val="24"/>
          <w:szCs w:val="24"/>
        </w:rPr>
        <w:t>获取招标文件</w:t>
      </w:r>
      <w:bookmarkEnd w:id="639"/>
      <w:bookmarkEnd w:id="640"/>
      <w:bookmarkEnd w:id="641"/>
      <w:bookmarkEnd w:id="642"/>
      <w:bookmarkEnd w:id="643"/>
      <w:bookmarkEnd w:id="649"/>
      <w:bookmarkEnd w:id="650"/>
      <w:bookmarkEnd w:id="651"/>
      <w:bookmarkEnd w:id="652"/>
      <w:bookmarkEnd w:id="653"/>
    </w:p>
    <w:p w14:paraId="12C9A8F6">
      <w:pPr>
        <w:pageBreakBefore w:val="0"/>
        <w:kinsoku/>
        <w:wordWrap/>
        <w:overflowPunct/>
        <w:topLinePunct w:val="0"/>
        <w:bidi w:val="0"/>
        <w:snapToGrid/>
        <w:spacing w:line="380" w:lineRule="exact"/>
        <w:ind w:firstLine="54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时间：20</w:t>
      </w:r>
      <w:r>
        <w:rPr>
          <w:rFonts w:hint="eastAsia" w:ascii="仿宋" w:hAnsi="仿宋" w:eastAsia="仿宋" w:cs="仿宋"/>
          <w:color w:val="auto"/>
          <w:sz w:val="24"/>
          <w:lang w:val="en-US" w:eastAsia="zh-CN"/>
        </w:rPr>
        <w:t>25</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日，每天上午</w:t>
      </w:r>
      <w:r>
        <w:rPr>
          <w:rFonts w:hint="eastAsia" w:ascii="仿宋" w:hAnsi="仿宋" w:eastAsia="仿宋" w:cs="仿宋"/>
          <w:color w:val="auto"/>
          <w:sz w:val="24"/>
          <w:lang w:val="en-US" w:eastAsia="zh-CN"/>
        </w:rPr>
        <w:t>0</w:t>
      </w:r>
      <w:r>
        <w:rPr>
          <w:rFonts w:hint="eastAsia" w:ascii="仿宋" w:hAnsi="仿宋" w:eastAsia="仿宋" w:cs="仿宋"/>
          <w:color w:val="auto"/>
          <w:sz w:val="24"/>
        </w:rPr>
        <w:t>0:</w:t>
      </w:r>
      <w:r>
        <w:rPr>
          <w:rFonts w:hint="eastAsia" w:ascii="仿宋" w:hAnsi="仿宋" w:eastAsia="仿宋" w:cs="仿宋"/>
          <w:color w:val="auto"/>
          <w:sz w:val="24"/>
          <w:lang w:val="en-US" w:eastAsia="zh-CN"/>
        </w:rPr>
        <w:t>0</w:t>
      </w:r>
      <w:r>
        <w:rPr>
          <w:rFonts w:hint="eastAsia" w:ascii="仿宋" w:hAnsi="仿宋" w:eastAsia="仿宋" w:cs="仿宋"/>
          <w:color w:val="auto"/>
          <w:sz w:val="24"/>
        </w:rPr>
        <w:t>0至14:00，下午1</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23</w:t>
      </w:r>
      <w:r>
        <w:rPr>
          <w:rFonts w:hint="eastAsia" w:ascii="仿宋" w:hAnsi="仿宋" w:eastAsia="仿宋" w:cs="仿宋"/>
          <w:color w:val="auto"/>
          <w:sz w:val="24"/>
        </w:rPr>
        <w:t>:</w:t>
      </w:r>
      <w:r>
        <w:rPr>
          <w:rFonts w:hint="eastAsia" w:ascii="仿宋" w:hAnsi="仿宋" w:eastAsia="仿宋" w:cs="仿宋"/>
          <w:color w:val="auto"/>
          <w:sz w:val="24"/>
          <w:lang w:val="en-US" w:eastAsia="zh-CN"/>
        </w:rPr>
        <w:t>59</w:t>
      </w:r>
    </w:p>
    <w:p w14:paraId="06A0B625">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地点：线上获取</w:t>
      </w:r>
    </w:p>
    <w:p w14:paraId="6E5CAF54">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获取方式：供应商登陆政采云平台http://www.zcygov.cn/，在线获取招标文件（登录政府采购云平台→ 项目采购 → 获取招标文件，通过后可下载招标文件，如有操作性问题，可与政采云在线客服进行咨询，咨询电话：</w:t>
      </w:r>
      <w:r>
        <w:rPr>
          <w:rFonts w:hint="eastAsia" w:ascii="仿宋" w:hAnsi="仿宋" w:eastAsia="仿宋" w:cs="仿宋"/>
          <w:color w:val="auto"/>
          <w:sz w:val="24"/>
          <w:lang w:val="en-US" w:eastAsia="zh-CN"/>
        </w:rPr>
        <w:t>95763</w:t>
      </w:r>
      <w:r>
        <w:rPr>
          <w:rFonts w:hint="eastAsia" w:ascii="仿宋" w:hAnsi="仿宋" w:eastAsia="仿宋" w:cs="仿宋"/>
          <w:color w:val="auto"/>
          <w:sz w:val="24"/>
        </w:rPr>
        <w:t>）</w:t>
      </w:r>
    </w:p>
    <w:p w14:paraId="0B1F8A41">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54" w:name="_Toc35393632"/>
      <w:bookmarkStart w:id="655" w:name="_Toc28359092"/>
      <w:bookmarkStart w:id="656" w:name="_Toc35393801"/>
      <w:bookmarkStart w:id="657" w:name="_Toc28359015"/>
      <w:bookmarkStart w:id="658" w:name="_Toc19900"/>
      <w:bookmarkStart w:id="659" w:name="_Toc22943"/>
      <w:bookmarkStart w:id="660" w:name="_Toc8281"/>
      <w:bookmarkStart w:id="661" w:name="_Toc4002"/>
      <w:bookmarkStart w:id="662" w:name="_Toc10246"/>
      <w:bookmarkStart w:id="663" w:name="_Toc18957"/>
      <w:bookmarkStart w:id="664" w:name="_Toc13130"/>
      <w:bookmarkStart w:id="665" w:name="_Toc13643"/>
      <w:bookmarkStart w:id="666" w:name="_Toc7623"/>
      <w:bookmarkStart w:id="667" w:name="_Toc26985"/>
      <w:r>
        <w:rPr>
          <w:rFonts w:hint="eastAsia" w:ascii="仿宋" w:hAnsi="仿宋" w:eastAsia="仿宋" w:cs="仿宋"/>
          <w:color w:val="auto"/>
          <w:sz w:val="24"/>
          <w:szCs w:val="24"/>
        </w:rPr>
        <w:t>四、</w:t>
      </w:r>
      <w:bookmarkEnd w:id="654"/>
      <w:bookmarkEnd w:id="655"/>
      <w:bookmarkEnd w:id="656"/>
      <w:bookmarkEnd w:id="657"/>
      <w:r>
        <w:rPr>
          <w:rFonts w:hint="eastAsia" w:ascii="仿宋" w:hAnsi="仿宋" w:eastAsia="仿宋" w:cs="仿宋"/>
          <w:color w:val="auto"/>
          <w:sz w:val="24"/>
          <w:szCs w:val="24"/>
        </w:rPr>
        <w:t>提交投标文件截止时间、开标时间和地点</w:t>
      </w:r>
      <w:bookmarkEnd w:id="658"/>
      <w:bookmarkEnd w:id="659"/>
      <w:bookmarkEnd w:id="660"/>
      <w:bookmarkEnd w:id="661"/>
      <w:bookmarkEnd w:id="662"/>
      <w:bookmarkEnd w:id="663"/>
      <w:bookmarkEnd w:id="664"/>
      <w:bookmarkEnd w:id="665"/>
      <w:bookmarkEnd w:id="666"/>
      <w:bookmarkEnd w:id="667"/>
    </w:p>
    <w:p w14:paraId="7EAE0E16">
      <w:pPr>
        <w:pStyle w:val="23"/>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2025年7月21日 11：00</w:t>
      </w:r>
    </w:p>
    <w:p w14:paraId="7765238D">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sz w:val="24"/>
          <w:szCs w:val="24"/>
          <w:u w:val="none"/>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请登录政采云投标客户端投标</w:t>
      </w:r>
    </w:p>
    <w:p w14:paraId="0417461A">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2025年21月 21日 11：00</w:t>
      </w:r>
    </w:p>
    <w:p w14:paraId="5EF8A193">
      <w:pPr>
        <w:pStyle w:val="23"/>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 xml:space="preserve">政采云平台（https://login.zcygov.cn/user-login/#/login） </w:t>
      </w:r>
    </w:p>
    <w:p w14:paraId="79A0A581">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68" w:name="_Toc35393803"/>
      <w:bookmarkStart w:id="669" w:name="_Toc29260"/>
      <w:bookmarkStart w:id="670" w:name="_Toc2696"/>
      <w:bookmarkStart w:id="671" w:name="_Toc22370"/>
      <w:bookmarkStart w:id="672" w:name="_Toc3923"/>
      <w:bookmarkStart w:id="673" w:name="_Toc29109"/>
      <w:bookmarkStart w:id="674" w:name="_Toc35393634"/>
      <w:bookmarkStart w:id="675" w:name="_Toc28359017"/>
      <w:bookmarkStart w:id="676" w:name="_Toc617"/>
      <w:bookmarkStart w:id="677" w:name="_Toc28359094"/>
      <w:bookmarkStart w:id="678" w:name="_Toc31790"/>
      <w:bookmarkStart w:id="679" w:name="_Toc19165"/>
      <w:bookmarkStart w:id="680" w:name="_Toc24219"/>
      <w:bookmarkStart w:id="681" w:name="_Toc17509"/>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87136D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21DE9FDC">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682" w:name="_Toc14879"/>
      <w:bookmarkStart w:id="683" w:name="_Toc31190"/>
      <w:bookmarkStart w:id="684" w:name="_Toc19434"/>
      <w:bookmarkStart w:id="685" w:name="_Toc6403"/>
      <w:bookmarkStart w:id="686" w:name="_Toc18392"/>
      <w:bookmarkStart w:id="687" w:name="_Toc35393804"/>
      <w:bookmarkStart w:id="688" w:name="_Toc8818"/>
      <w:bookmarkStart w:id="689" w:name="_Toc8788"/>
      <w:bookmarkStart w:id="690" w:name="_Toc5888"/>
      <w:bookmarkStart w:id="691" w:name="_Toc25942"/>
      <w:bookmarkStart w:id="692" w:name="_Toc18994"/>
      <w:bookmarkStart w:id="693" w:name="_Toc35393635"/>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其他补充事宜</w:t>
      </w:r>
      <w:bookmarkEnd w:id="682"/>
      <w:bookmarkEnd w:id="683"/>
      <w:bookmarkEnd w:id="684"/>
      <w:bookmarkEnd w:id="685"/>
      <w:bookmarkEnd w:id="686"/>
      <w:bookmarkEnd w:id="687"/>
      <w:bookmarkEnd w:id="688"/>
      <w:bookmarkEnd w:id="689"/>
      <w:bookmarkEnd w:id="690"/>
      <w:bookmarkEnd w:id="691"/>
      <w:bookmarkEnd w:id="692"/>
      <w:bookmarkEnd w:id="693"/>
    </w:p>
    <w:p w14:paraId="1B02B41A">
      <w:pPr>
        <w:pStyle w:val="4"/>
        <w:pageBreakBefore w:val="0"/>
        <w:kinsoku/>
        <w:wordWrap/>
        <w:overflowPunct/>
        <w:topLinePunct w:val="0"/>
        <w:bidi w:val="0"/>
        <w:snapToGrid/>
        <w:spacing w:line="380" w:lineRule="exact"/>
        <w:ind w:firstLine="482" w:firstLineChars="200"/>
        <w:jc w:val="both"/>
        <w:textAlignment w:val="auto"/>
        <w:rPr>
          <w:rFonts w:hint="eastAsia" w:ascii="仿宋" w:hAnsi="仿宋" w:eastAsia="仿宋" w:cs="仿宋"/>
          <w:color w:val="auto"/>
          <w:kern w:val="0"/>
          <w:sz w:val="24"/>
          <w:lang w:val="en-US" w:eastAsia="zh-CN"/>
        </w:rPr>
      </w:pPr>
      <w:bookmarkStart w:id="694" w:name="_Toc7050"/>
      <w:bookmarkStart w:id="695" w:name="_Toc31027"/>
      <w:bookmarkStart w:id="696" w:name="_Toc26848"/>
      <w:bookmarkStart w:id="697" w:name="_Toc3206"/>
      <w:bookmarkStart w:id="698" w:name="_Toc27190"/>
      <w:bookmarkStart w:id="699" w:name="_Toc25232"/>
      <w:bookmarkStart w:id="700" w:name="_Toc12009"/>
      <w:bookmarkStart w:id="701" w:name="_Toc13258"/>
      <w:bookmarkStart w:id="702" w:name="_Toc2419"/>
      <w:bookmarkStart w:id="703" w:name="_Toc28359018"/>
      <w:bookmarkStart w:id="704" w:name="_Toc35393636"/>
      <w:bookmarkStart w:id="705" w:name="_Toc18863"/>
      <w:bookmarkStart w:id="706" w:name="_Toc28359095"/>
      <w:bookmarkStart w:id="707" w:name="_Toc35393805"/>
      <w:r>
        <w:rPr>
          <w:rFonts w:hint="eastAsia" w:ascii="仿宋" w:hAnsi="仿宋" w:eastAsia="仿宋" w:cs="仿宋"/>
          <w:color w:val="auto"/>
          <w:kern w:val="0"/>
          <w:sz w:val="24"/>
          <w:lang w:val="en-US" w:eastAsia="zh-CN"/>
        </w:rPr>
        <w:t>无</w:t>
      </w:r>
      <w:bookmarkEnd w:id="694"/>
      <w:bookmarkEnd w:id="695"/>
      <w:bookmarkEnd w:id="696"/>
      <w:bookmarkEnd w:id="697"/>
      <w:bookmarkEnd w:id="698"/>
      <w:bookmarkEnd w:id="699"/>
      <w:bookmarkEnd w:id="700"/>
    </w:p>
    <w:p w14:paraId="08780DA0">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708" w:name="_Toc23491"/>
      <w:bookmarkStart w:id="709" w:name="_Toc1070"/>
      <w:bookmarkStart w:id="710" w:name="_Toc23788"/>
      <w:bookmarkStart w:id="711" w:name="_Toc12154"/>
      <w:bookmarkStart w:id="712" w:name="_Toc30224"/>
      <w:bookmarkStart w:id="713" w:name="_Toc1260"/>
      <w:bookmarkStart w:id="714" w:name="_Toc2283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07F0E58">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bookmarkStart w:id="715" w:name="_Toc35393637"/>
      <w:bookmarkStart w:id="716" w:name="_Toc35393806"/>
      <w:bookmarkStart w:id="717" w:name="_Toc28359096"/>
      <w:bookmarkStart w:id="718" w:name="_Toc28359019"/>
      <w:r>
        <w:rPr>
          <w:rFonts w:hint="eastAsia" w:ascii="仿宋" w:hAnsi="仿宋" w:eastAsia="仿宋" w:cs="仿宋"/>
          <w:color w:val="auto"/>
        </w:rPr>
        <w:t>1.采购人信息</w:t>
      </w:r>
      <w:bookmarkEnd w:id="715"/>
      <w:bookmarkEnd w:id="716"/>
      <w:bookmarkEnd w:id="717"/>
      <w:bookmarkEnd w:id="718"/>
    </w:p>
    <w:p w14:paraId="2AB4BCE7">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       称：喀什地区纤维检验所</w:t>
      </w:r>
    </w:p>
    <w:p w14:paraId="3C93B397">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址：喀什市世纪大道北路5号</w:t>
      </w:r>
    </w:p>
    <w:p w14:paraId="0ABC1DCB">
      <w:pPr>
        <w:pStyle w:val="23"/>
        <w:spacing w:before="75" w:beforeAutospacing="0" w:after="75" w:afterAutospacing="0" w:line="400" w:lineRule="exact"/>
        <w:ind w:firstLine="480" w:firstLineChars="200"/>
        <w:rPr>
          <w:rFonts w:hint="default" w:ascii="仿宋" w:hAnsi="仿宋" w:eastAsia="仿宋" w:cs="仿宋"/>
          <w:color w:val="auto"/>
          <w:lang w:val="en-US"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刘永川</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13579339955</w:t>
      </w:r>
    </w:p>
    <w:p w14:paraId="1609C938">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w:t>
      </w:r>
    </w:p>
    <w:p w14:paraId="7691AD73">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智诚达项目管理咨询有限公司</w:t>
      </w:r>
    </w:p>
    <w:p w14:paraId="746AC0E6">
      <w:pPr>
        <w:pStyle w:val="23"/>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highlight w:val="none"/>
          <w:lang w:eastAsia="zh-CN"/>
        </w:rPr>
        <w:t>新疆喀什地区喀什经济开发区川渝大厦10层1003号</w:t>
      </w:r>
      <w:r>
        <w:rPr>
          <w:rFonts w:hint="eastAsia" w:ascii="仿宋" w:hAnsi="仿宋" w:eastAsia="仿宋" w:cs="仿宋"/>
          <w:color w:val="auto"/>
          <w:highlight w:val="none"/>
        </w:rPr>
        <w:t xml:space="preserve"> </w:t>
      </w:r>
    </w:p>
    <w:p w14:paraId="67796AC9">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color w:val="auto"/>
        </w:rPr>
      </w:pPr>
      <w:r>
        <w:rPr>
          <w:rFonts w:hint="eastAsia" w:ascii="仿宋" w:hAnsi="仿宋" w:eastAsia="仿宋" w:cs="仿宋"/>
          <w:color w:val="auto"/>
          <w:lang w:val="en-US" w:eastAsia="zh-CN"/>
        </w:rPr>
        <w:t xml:space="preserve">联   系 人：乔成江          联系方式: 19229005360　            </w:t>
      </w:r>
    </w:p>
    <w:p w14:paraId="4BDCDEE3">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.政府采购监督部门</w:t>
      </w:r>
    </w:p>
    <w:p w14:paraId="60644A1A">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名 称：喀什地区政府采购管理办公室 </w:t>
      </w:r>
    </w:p>
    <w:p w14:paraId="0CCF841C">
      <w:pPr>
        <w:pStyle w:val="23"/>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val="en-US" w:eastAsia="zh-CN"/>
        </w:rPr>
        <w:t>0998-2597000</w:t>
      </w:r>
      <w:r>
        <w:rPr>
          <w:rFonts w:hint="eastAsia" w:ascii="仿宋" w:hAnsi="仿宋" w:eastAsia="仿宋" w:cs="仿宋"/>
          <w:color w:val="auto"/>
        </w:rPr>
        <w:t xml:space="preserve"> </w:t>
      </w:r>
      <w:r>
        <w:rPr>
          <w:rFonts w:hint="eastAsia" w:ascii="仿宋" w:hAnsi="仿宋" w:eastAsia="仿宋" w:cs="仿宋"/>
          <w:color w:val="auto"/>
          <w:lang w:val="en-US" w:eastAsia="zh-CN"/>
        </w:rPr>
        <w:t>/</w:t>
      </w:r>
      <w:r>
        <w:rPr>
          <w:rFonts w:hint="eastAsia" w:ascii="仿宋" w:hAnsi="仿宋" w:eastAsia="仿宋" w:cs="仿宋"/>
          <w:color w:val="auto"/>
        </w:rPr>
        <w:t xml:space="preserve">0998-2597200     </w:t>
      </w:r>
    </w:p>
    <w:p w14:paraId="688283C2">
      <w:pPr>
        <w:rPr>
          <w:color w:val="auto"/>
        </w:rPr>
      </w:pPr>
    </w:p>
    <w:p w14:paraId="71AA73BF">
      <w:pPr>
        <w:rPr>
          <w:color w:val="auto"/>
        </w:rPr>
      </w:pPr>
    </w:p>
    <w:p w14:paraId="079FBBB7">
      <w:pPr>
        <w:pStyle w:val="3"/>
        <w:tabs>
          <w:tab w:val="left" w:pos="0"/>
        </w:tabs>
        <w:spacing w:before="0" w:after="0" w:line="240" w:lineRule="atLeast"/>
        <w:jc w:val="center"/>
        <w:outlineLvl w:val="0"/>
        <w:rPr>
          <w:rFonts w:ascii="仿宋" w:hAnsi="仿宋" w:eastAsia="仿宋" w:cs="仿宋"/>
          <w:b w:val="0"/>
          <w:color w:val="auto"/>
          <w:szCs w:val="32"/>
        </w:rPr>
      </w:pPr>
      <w:bookmarkStart w:id="719" w:name="_Toc6073"/>
      <w:bookmarkStart w:id="720" w:name="_Toc215"/>
      <w:bookmarkStart w:id="721" w:name="_Toc5893"/>
      <w:r>
        <w:rPr>
          <w:rFonts w:hint="eastAsia" w:ascii="仿宋" w:hAnsi="仿宋" w:eastAsia="仿宋" w:cs="仿宋"/>
          <w:color w:val="auto"/>
        </w:rPr>
        <w:t>第四章  投标人须知资料表</w:t>
      </w:r>
      <w:bookmarkEnd w:id="719"/>
      <w:bookmarkEnd w:id="720"/>
      <w:bookmarkEnd w:id="721"/>
    </w:p>
    <w:p w14:paraId="48207356">
      <w:pPr>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本表是本招标项目的具体资料，是对投标人须知的具体补充和修改，如有矛盾，应以本资料表为准。</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14:paraId="40C9A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3B7EEF7C">
            <w:pPr>
              <w:spacing w:line="240" w:lineRule="atLeast"/>
              <w:rPr>
                <w:rFonts w:ascii="仿宋" w:hAnsi="仿宋" w:eastAsia="仿宋" w:cs="仿宋"/>
                <w:color w:val="auto"/>
                <w:sz w:val="24"/>
              </w:rPr>
            </w:pPr>
            <w:r>
              <w:rPr>
                <w:rFonts w:hint="eastAsia" w:ascii="仿宋" w:hAnsi="仿宋" w:eastAsia="仿宋" w:cs="仿宋"/>
                <w:color w:val="auto"/>
                <w:sz w:val="24"/>
              </w:rPr>
              <w:t>条款号</w:t>
            </w:r>
          </w:p>
        </w:tc>
        <w:tc>
          <w:tcPr>
            <w:tcW w:w="7364" w:type="dxa"/>
            <w:noWrap/>
            <w:vAlign w:val="center"/>
          </w:tcPr>
          <w:p w14:paraId="4F1E313E">
            <w:pPr>
              <w:spacing w:line="240" w:lineRule="atLeast"/>
              <w:rPr>
                <w:rFonts w:ascii="仿宋" w:hAnsi="仿宋" w:eastAsia="仿宋" w:cs="仿宋"/>
                <w:b/>
                <w:color w:val="auto"/>
                <w:sz w:val="24"/>
              </w:rPr>
            </w:pPr>
            <w:r>
              <w:rPr>
                <w:rFonts w:hint="eastAsia" w:ascii="仿宋" w:hAnsi="仿宋" w:eastAsia="仿宋" w:cs="仿宋"/>
                <w:b/>
                <w:color w:val="auto"/>
                <w:sz w:val="24"/>
              </w:rPr>
              <w:t>内      容</w:t>
            </w:r>
          </w:p>
        </w:tc>
      </w:tr>
      <w:tr w14:paraId="4213A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14:paraId="24F6DCDC">
            <w:pPr>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7364" w:type="dxa"/>
            <w:noWrap/>
            <w:vAlign w:val="center"/>
          </w:tcPr>
          <w:p w14:paraId="072F003F">
            <w:pPr>
              <w:spacing w:line="240" w:lineRule="atLeast"/>
              <w:rPr>
                <w:rFonts w:hint="eastAsia" w:ascii="仿宋_GB2312" w:eastAsia="仿宋_GB2312"/>
                <w:color w:val="auto"/>
                <w:sz w:val="24"/>
                <w:lang w:eastAsia="zh-CN"/>
              </w:rPr>
            </w:pPr>
            <w:r>
              <w:rPr>
                <w:rFonts w:hint="eastAsia" w:ascii="仿宋_GB2312" w:eastAsia="仿宋_GB2312"/>
                <w:color w:val="auto"/>
                <w:sz w:val="24"/>
              </w:rPr>
              <w:t>采 购 人：</w:t>
            </w:r>
            <w:r>
              <w:rPr>
                <w:rFonts w:hint="eastAsia" w:ascii="仿宋_GB2312" w:eastAsia="仿宋_GB2312"/>
                <w:color w:val="auto"/>
                <w:sz w:val="24"/>
                <w:lang w:eastAsia="zh-CN"/>
              </w:rPr>
              <w:t>喀什地区纤维检验所</w:t>
            </w:r>
          </w:p>
          <w:p w14:paraId="5BBD15FC">
            <w:pPr>
              <w:spacing w:line="240" w:lineRule="atLeast"/>
              <w:rPr>
                <w:rFonts w:ascii="仿宋_GB2312" w:eastAsia="仿宋_GB2312"/>
                <w:color w:val="auto"/>
                <w:sz w:val="24"/>
              </w:rPr>
            </w:pPr>
            <w:r>
              <w:rPr>
                <w:rFonts w:hint="eastAsia" w:ascii="仿宋_GB2312" w:eastAsia="仿宋_GB2312"/>
                <w:color w:val="auto"/>
                <w:sz w:val="24"/>
              </w:rPr>
              <w:t>地    址：</w:t>
            </w:r>
            <w:r>
              <w:rPr>
                <w:rFonts w:hint="eastAsia" w:ascii="仿宋_GB2312" w:eastAsia="仿宋_GB2312"/>
                <w:color w:val="auto"/>
                <w:sz w:val="24"/>
                <w:lang w:eastAsia="zh-CN"/>
              </w:rPr>
              <w:t>喀什市世纪大道北路5号</w:t>
            </w:r>
            <w:r>
              <w:rPr>
                <w:rFonts w:hint="eastAsia" w:ascii="仿宋_GB2312" w:eastAsia="仿宋_GB2312"/>
                <w:color w:val="auto"/>
                <w:sz w:val="24"/>
              </w:rPr>
              <w:t>　</w:t>
            </w:r>
          </w:p>
          <w:p w14:paraId="60002185">
            <w:pPr>
              <w:spacing w:line="240" w:lineRule="atLeast"/>
              <w:rPr>
                <w:rFonts w:ascii="仿宋" w:hAnsi="仿宋" w:eastAsia="仿宋" w:cs="仿宋"/>
                <w:color w:val="auto"/>
                <w:sz w:val="24"/>
              </w:rPr>
            </w:pPr>
            <w:r>
              <w:rPr>
                <w:rFonts w:hint="eastAsia" w:ascii="仿宋" w:hAnsi="仿宋" w:eastAsia="仿宋" w:cs="仿宋"/>
                <w:color w:val="auto"/>
                <w:sz w:val="24"/>
              </w:rPr>
              <w:t>联 系 人：刘永川          联系电话：13579339955</w:t>
            </w:r>
          </w:p>
        </w:tc>
      </w:tr>
      <w:tr w14:paraId="4BE3F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3DEBCCE6">
            <w:pPr>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7364" w:type="dxa"/>
            <w:noWrap/>
            <w:vAlign w:val="center"/>
          </w:tcPr>
          <w:p w14:paraId="71F7629D">
            <w:pPr>
              <w:spacing w:line="240" w:lineRule="atLeast"/>
              <w:rPr>
                <w:rFonts w:hint="eastAsia" w:ascii="仿宋" w:hAnsi="仿宋" w:eastAsia="仿宋" w:cs="仿宋"/>
                <w:color w:val="auto"/>
                <w:sz w:val="24"/>
                <w:u w:val="single"/>
                <w:lang w:eastAsia="zh-CN"/>
              </w:rPr>
            </w:pPr>
            <w:r>
              <w:rPr>
                <w:rFonts w:hint="eastAsia" w:ascii="仿宋" w:hAnsi="仿宋" w:eastAsia="仿宋" w:cs="仿宋"/>
                <w:color w:val="auto"/>
                <w:sz w:val="24"/>
              </w:rPr>
              <w:t>代理机构：</w:t>
            </w:r>
            <w:r>
              <w:rPr>
                <w:rFonts w:hint="eastAsia" w:ascii="仿宋" w:hAnsi="仿宋" w:eastAsia="仿宋" w:cs="仿宋"/>
                <w:color w:val="auto"/>
                <w:sz w:val="24"/>
                <w:lang w:eastAsia="zh-CN"/>
              </w:rPr>
              <w:t>智诚达项目管理咨询有限公司</w:t>
            </w:r>
          </w:p>
          <w:p w14:paraId="6C329C5B">
            <w:pPr>
              <w:spacing w:line="240" w:lineRule="atLeast"/>
              <w:rPr>
                <w:rFonts w:ascii="仿宋" w:hAnsi="仿宋" w:eastAsia="仿宋" w:cs="仿宋"/>
                <w:color w:val="auto"/>
                <w:sz w:val="24"/>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址：新疆喀什地区喀什经济开发区川渝大厦10层1003号 </w:t>
            </w:r>
          </w:p>
          <w:p w14:paraId="1359A498">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w:t>
            </w:r>
            <w:r>
              <w:rPr>
                <w:rFonts w:hint="eastAsia" w:ascii="仿宋" w:hAnsi="仿宋" w:eastAsia="仿宋" w:cs="仿宋"/>
                <w:color w:val="auto"/>
                <w:sz w:val="24"/>
                <w:lang w:eastAsia="zh-CN"/>
              </w:rPr>
              <w:t>乔成江</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19229005360</w:t>
            </w:r>
          </w:p>
        </w:tc>
      </w:tr>
      <w:tr w14:paraId="239F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trPr>
        <w:tc>
          <w:tcPr>
            <w:tcW w:w="944" w:type="dxa"/>
            <w:noWrap/>
            <w:vAlign w:val="center"/>
          </w:tcPr>
          <w:p w14:paraId="153983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1.3.1</w:t>
            </w:r>
          </w:p>
        </w:tc>
        <w:tc>
          <w:tcPr>
            <w:tcW w:w="7364" w:type="dxa"/>
            <w:noWrap/>
            <w:vAlign w:val="center"/>
          </w:tcPr>
          <w:p w14:paraId="604E4A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合格投标人的资格要求：  </w:t>
            </w:r>
          </w:p>
          <w:p w14:paraId="570291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（1）提供有效期内的营业执照；</w:t>
            </w:r>
          </w:p>
          <w:p w14:paraId="2B6CC61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）法人投标提供法人身份证明书，委托代理人投标提供法人授权委托书;</w:t>
            </w:r>
          </w:p>
          <w:p w14:paraId="7839E40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年度</w:t>
            </w:r>
            <w:r>
              <w:rPr>
                <w:rFonts w:hint="eastAsia" w:ascii="仿宋" w:hAnsi="仿宋" w:eastAsia="仿宋" w:cs="仿宋"/>
                <w:color w:val="auto"/>
                <w:sz w:val="24"/>
                <w:lang w:val="en-US" w:eastAsia="zh-CN"/>
              </w:rPr>
              <w:t>或2024年度</w:t>
            </w:r>
            <w:r>
              <w:rPr>
                <w:rFonts w:hint="eastAsia" w:ascii="仿宋" w:hAnsi="仿宋" w:eastAsia="仿宋" w:cs="仿宋"/>
                <w:color w:val="auto"/>
                <w:sz w:val="24"/>
              </w:rPr>
              <w:t>的财务审计报告（新成立未满一年的公司需提供有效的银行资信证明）</w:t>
            </w:r>
            <w:r>
              <w:rPr>
                <w:rFonts w:hint="eastAsia" w:ascii="仿宋" w:hAnsi="仿宋" w:eastAsia="仿宋" w:cs="仿宋"/>
                <w:color w:val="auto"/>
                <w:sz w:val="24"/>
                <w:lang w:eastAsia="zh-CN"/>
              </w:rPr>
              <w:t>；</w:t>
            </w:r>
          </w:p>
          <w:p w14:paraId="288349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提供近六个月</w:t>
            </w:r>
            <w:r>
              <w:rPr>
                <w:rFonts w:hint="eastAsia" w:ascii="仿宋" w:hAnsi="仿宋" w:eastAsia="仿宋" w:cs="仿宋"/>
                <w:color w:val="auto"/>
                <w:sz w:val="24"/>
              </w:rPr>
              <w:t>任意一个月社保缴纳证明</w:t>
            </w:r>
            <w:r>
              <w:rPr>
                <w:rFonts w:hint="eastAsia" w:ascii="仿宋" w:hAnsi="仿宋" w:eastAsia="仿宋" w:cs="仿宋"/>
                <w:color w:val="auto"/>
                <w:sz w:val="24"/>
                <w:lang w:eastAsia="zh-CN"/>
              </w:rPr>
              <w:t>；</w:t>
            </w:r>
          </w:p>
          <w:p w14:paraId="1A71CAD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5）提供近六个月任意一个月税务局开具的完税证明（非社保类）；  </w:t>
            </w:r>
          </w:p>
          <w:p w14:paraId="4457640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）根据《财政部关于在政府采购活动中查询及使用信用记录有关问题的通知》（财库﹝2016﹞125 号）的要求，凡拟参加本次招标项目的供应商，如在“信用中国”网站（ www.creditchina.gov.cn） 信用公示未被列入失信被执行人、重大税收违法失信主体名单、中国政府采购网（http://www.ccgp.gov.cn/search/cr/）严重违法失信行为信息记录名单的（尚在处罚期内的）；将拒绝其参加本次招标活动；（</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eastAsia="zh-CN"/>
              </w:rPr>
              <w:t>参与政府采购活动前</w:t>
            </w:r>
            <w:r>
              <w:rPr>
                <w:rFonts w:hint="eastAsia" w:ascii="仿宋" w:hAnsi="仿宋" w:eastAsia="仿宋" w:cs="仿宋"/>
                <w:color w:val="auto"/>
                <w:sz w:val="24"/>
                <w:lang w:val="en-US" w:eastAsia="zh-CN"/>
              </w:rPr>
              <w:t>三</w:t>
            </w:r>
            <w:r>
              <w:rPr>
                <w:rFonts w:hint="eastAsia" w:ascii="仿宋" w:hAnsi="仿宋" w:eastAsia="仿宋" w:cs="仿宋"/>
                <w:color w:val="auto"/>
                <w:sz w:val="24"/>
                <w:lang w:eastAsia="zh-CN"/>
              </w:rPr>
              <w:t>年内未被列入失信、重大税收违法案件、财政部门禁止参加政府采购活动的承诺书（自拟）；</w:t>
            </w:r>
          </w:p>
          <w:p w14:paraId="0812D6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）针对本项目的反商业贿赂承诺书；</w:t>
            </w:r>
          </w:p>
        </w:tc>
      </w:tr>
      <w:tr w14:paraId="34E1B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65C5DD63">
            <w:pPr>
              <w:spacing w:line="240" w:lineRule="atLeast"/>
              <w:ind w:left="269" w:leftChars="128"/>
              <w:rPr>
                <w:rFonts w:hint="eastAsia" w:ascii="仿宋" w:hAnsi="仿宋" w:eastAsia="仿宋" w:cs="仿宋"/>
                <w:color w:val="auto"/>
                <w:sz w:val="24"/>
                <w:lang w:eastAsia="zh-CN"/>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5</w:t>
            </w:r>
          </w:p>
        </w:tc>
        <w:tc>
          <w:tcPr>
            <w:tcW w:w="7364" w:type="dxa"/>
            <w:noWrap/>
            <w:vAlign w:val="center"/>
          </w:tcPr>
          <w:p w14:paraId="49479401">
            <w:pPr>
              <w:spacing w:line="240" w:lineRule="atLeas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是否为专门面向中小企业采购：</w:t>
            </w:r>
            <w:r>
              <w:rPr>
                <w:rFonts w:hint="eastAsia" w:ascii="仿宋" w:hAnsi="仿宋" w:eastAsia="仿宋" w:cs="仿宋"/>
                <w:b/>
                <w:bCs/>
                <w:color w:val="auto"/>
                <w:sz w:val="24"/>
                <w:lang w:val="en-US" w:eastAsia="zh-CN"/>
              </w:rPr>
              <w:t xml:space="preserve">是 </w:t>
            </w:r>
            <w:r>
              <w:rPr>
                <w:rFonts w:hint="eastAsia" w:ascii="仿宋" w:hAnsi="仿宋" w:eastAsia="仿宋" w:cs="仿宋"/>
                <w:b/>
                <w:bCs/>
                <w:color w:val="auto"/>
                <w:sz w:val="24"/>
                <w:highlight w:val="none"/>
                <w:lang w:eastAsia="zh-CN"/>
              </w:rPr>
              <w:t>（是、否）</w:t>
            </w:r>
          </w:p>
          <w:p w14:paraId="0BBD32A0">
            <w:pPr>
              <w:pStyle w:val="2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325AD8E3">
            <w:pPr>
              <w:pStyle w:val="2"/>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本项目所属行业：工业</w:t>
            </w:r>
          </w:p>
          <w:p w14:paraId="6E6EDA94">
            <w:pPr>
              <w:pStyle w:val="2"/>
              <w:ind w:left="0" w:leftChars="0" w:firstLine="0" w:firstLineChars="0"/>
              <w:rPr>
                <w:color w:val="auto"/>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tc>
      </w:tr>
      <w:tr w14:paraId="5DDB8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4" w:type="dxa"/>
            <w:noWrap/>
            <w:vAlign w:val="center"/>
          </w:tcPr>
          <w:p w14:paraId="37E83071">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7364" w:type="dxa"/>
            <w:noWrap/>
            <w:vAlign w:val="center"/>
          </w:tcPr>
          <w:p w14:paraId="1BCB1C87">
            <w:pPr>
              <w:spacing w:line="240" w:lineRule="atLeast"/>
              <w:rPr>
                <w:rFonts w:ascii="仿宋" w:hAnsi="仿宋" w:eastAsia="仿宋" w:cs="仿宋"/>
                <w:color w:val="auto"/>
                <w:sz w:val="24"/>
              </w:rPr>
            </w:pPr>
            <w:r>
              <w:rPr>
                <w:rFonts w:hint="eastAsia" w:ascii="仿宋" w:hAnsi="仿宋" w:eastAsia="仿宋" w:cs="仿宋"/>
                <w:color w:val="auto"/>
                <w:sz w:val="24"/>
              </w:rPr>
              <w:t>是否允许联合体投标：</w:t>
            </w:r>
            <w:r>
              <w:rPr>
                <w:rFonts w:hint="eastAsia" w:ascii="仿宋" w:hAnsi="仿宋" w:eastAsia="仿宋" w:cs="仿宋"/>
                <w:i/>
                <w:iCs/>
                <w:color w:val="auto"/>
                <w:sz w:val="24"/>
                <w:u w:val="none"/>
              </w:rPr>
              <w:t>否（是、否）</w:t>
            </w:r>
          </w:p>
        </w:tc>
      </w:tr>
      <w:tr w14:paraId="54814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3B85939E">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1.4.</w:t>
            </w:r>
          </w:p>
        </w:tc>
        <w:tc>
          <w:tcPr>
            <w:tcW w:w="7364" w:type="dxa"/>
            <w:noWrap/>
            <w:vAlign w:val="center"/>
          </w:tcPr>
          <w:p w14:paraId="510390D7">
            <w:pPr>
              <w:spacing w:line="240" w:lineRule="atLeast"/>
              <w:rPr>
                <w:rFonts w:ascii="仿宋" w:hAnsi="仿宋" w:eastAsia="仿宋" w:cs="仿宋"/>
                <w:color w:val="auto"/>
                <w:sz w:val="24"/>
              </w:rPr>
            </w:pPr>
            <w:r>
              <w:rPr>
                <w:rFonts w:hint="eastAsia" w:ascii="仿宋" w:hAnsi="仿宋" w:eastAsia="仿宋" w:cs="仿宋"/>
                <w:color w:val="auto"/>
                <w:sz w:val="24"/>
              </w:rPr>
              <w:t>联合体的其他资格要求：无</w:t>
            </w:r>
          </w:p>
        </w:tc>
      </w:tr>
      <w:tr w14:paraId="61261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4C3A53FB">
            <w:pPr>
              <w:spacing w:line="240" w:lineRule="atLeast"/>
              <w:jc w:val="center"/>
              <w:rPr>
                <w:rFonts w:ascii="仿宋" w:hAnsi="仿宋" w:eastAsia="仿宋" w:cs="仿宋"/>
                <w:color w:val="auto"/>
                <w:sz w:val="24"/>
              </w:rPr>
            </w:pPr>
            <w:r>
              <w:rPr>
                <w:rFonts w:hint="eastAsia" w:ascii="仿宋" w:hAnsi="仿宋" w:eastAsia="仿宋" w:cs="仿宋"/>
                <w:color w:val="auto"/>
                <w:sz w:val="24"/>
              </w:rPr>
              <w:t>2</w:t>
            </w:r>
          </w:p>
        </w:tc>
        <w:tc>
          <w:tcPr>
            <w:tcW w:w="7364" w:type="dxa"/>
            <w:noWrap/>
            <w:vAlign w:val="center"/>
          </w:tcPr>
          <w:p w14:paraId="3D5475B9">
            <w:pPr>
              <w:pStyle w:val="2"/>
              <w:ind w:firstLine="0"/>
              <w:rPr>
                <w:rFonts w:ascii="仿宋" w:hAnsi="仿宋" w:eastAsia="仿宋" w:cs="仿宋"/>
                <w:color w:val="auto"/>
              </w:rPr>
            </w:pPr>
            <w:r>
              <w:rPr>
                <w:rFonts w:hint="eastAsia" w:ascii="仿宋" w:hAnsi="仿宋" w:eastAsia="仿宋" w:cs="仿宋"/>
                <w:color w:val="auto"/>
              </w:rPr>
              <w:t>预算金额</w:t>
            </w:r>
            <w:r>
              <w:rPr>
                <w:rFonts w:hint="eastAsia" w:ascii="仿宋" w:hAnsi="仿宋" w:eastAsia="仿宋" w:cs="仿宋"/>
                <w:color w:val="auto"/>
                <w:lang w:eastAsia="zh-CN"/>
              </w:rPr>
              <w:t>：</w:t>
            </w:r>
            <w:r>
              <w:rPr>
                <w:rFonts w:hint="eastAsia" w:ascii="仿宋" w:hAnsi="仿宋" w:eastAsia="仿宋" w:cs="仿宋"/>
                <w:color w:val="auto"/>
                <w:lang w:val="en-US" w:eastAsia="zh-CN"/>
              </w:rPr>
              <w:t>:3500000.00</w:t>
            </w:r>
            <w:r>
              <w:rPr>
                <w:rFonts w:hint="eastAsia" w:ascii="仿宋" w:hAnsi="仿宋" w:eastAsia="仿宋" w:cs="仿宋"/>
                <w:color w:val="auto"/>
              </w:rPr>
              <w:t>元（</w:t>
            </w:r>
            <w:r>
              <w:rPr>
                <w:rFonts w:hint="eastAsia" w:ascii="仿宋" w:hAnsi="仿宋" w:eastAsia="仿宋" w:cs="仿宋"/>
                <w:color w:val="auto"/>
                <w:lang w:val="en-US" w:eastAsia="zh-CN"/>
              </w:rPr>
              <w:t>叁佰伍拾万元整</w:t>
            </w:r>
            <w:r>
              <w:rPr>
                <w:rFonts w:hint="eastAsia" w:ascii="仿宋" w:hAnsi="仿宋" w:eastAsia="仿宋" w:cs="仿宋"/>
                <w:color w:val="auto"/>
              </w:rPr>
              <w:t>）；</w:t>
            </w:r>
          </w:p>
        </w:tc>
      </w:tr>
      <w:tr w14:paraId="0AD2B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4103AC2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12.1</w:t>
            </w:r>
          </w:p>
        </w:tc>
        <w:tc>
          <w:tcPr>
            <w:tcW w:w="7364" w:type="dxa"/>
            <w:noWrap/>
            <w:vAlign w:val="center"/>
          </w:tcPr>
          <w:p w14:paraId="0C0A0371">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投标保证金的形式：</w:t>
            </w:r>
            <w:r>
              <w:rPr>
                <w:rFonts w:hint="eastAsia" w:ascii="仿宋" w:hAnsi="仿宋" w:eastAsia="仿宋" w:cs="仿宋"/>
                <w:b/>
                <w:bCs/>
                <w:color w:val="auto"/>
                <w:sz w:val="24"/>
                <w:highlight w:val="none"/>
                <w:lang w:val="en-US" w:eastAsia="zh-CN"/>
              </w:rPr>
              <w:t>☑保函 ☑电汇 ☑支票 ☑对公转账</w:t>
            </w:r>
          </w:p>
          <w:p w14:paraId="303DA003">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（从投标单位基本账户转入招标人指定账户）</w:t>
            </w:r>
          </w:p>
          <w:p w14:paraId="1432B91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60000.00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陆万元整</w:t>
            </w:r>
            <w:r>
              <w:rPr>
                <w:rFonts w:hint="eastAsia" w:ascii="仿宋" w:hAnsi="仿宋" w:eastAsia="仿宋" w:cs="仿宋"/>
                <w:color w:val="auto"/>
                <w:sz w:val="24"/>
                <w:highlight w:val="none"/>
              </w:rPr>
              <w:t>)</w:t>
            </w:r>
          </w:p>
          <w:p w14:paraId="79F255FD">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14:paraId="5A559FC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 </w:t>
            </w:r>
          </w:p>
          <w:p w14:paraId="78239396">
            <w:pPr>
              <w:spacing w:line="240" w:lineRule="atLeast"/>
              <w:rPr>
                <w:rFonts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号：86516510110130002000499   </w:t>
            </w:r>
          </w:p>
          <w:p w14:paraId="0AB9BC93">
            <w:pPr>
              <w:spacing w:line="240" w:lineRule="atLeast"/>
              <w:rPr>
                <w:rFonts w:hint="eastAsia" w:ascii="仿宋" w:hAnsi="仿宋" w:eastAsia="仿宋" w:cs="仿宋"/>
                <w:color w:val="auto"/>
                <w:sz w:val="24"/>
              </w:rPr>
            </w:pPr>
            <w:r>
              <w:rPr>
                <w:rFonts w:hint="eastAsia" w:ascii="仿宋" w:hAnsi="仿宋" w:eastAsia="仿宋" w:cs="仿宋"/>
                <w:color w:val="auto"/>
                <w:sz w:val="24"/>
              </w:rPr>
              <w:t>开户行：交通银行乌鲁木齐人民路支行</w:t>
            </w:r>
          </w:p>
          <w:p w14:paraId="753011BE">
            <w:pPr>
              <w:spacing w:line="240" w:lineRule="atLeast"/>
              <w:rPr>
                <w:rFonts w:ascii="仿宋" w:hAnsi="仿宋" w:eastAsia="仿宋" w:cs="仿宋"/>
                <w:color w:val="auto"/>
                <w:sz w:val="24"/>
              </w:rPr>
            </w:pPr>
            <w:r>
              <w:rPr>
                <w:rFonts w:hint="eastAsia" w:ascii="仿宋" w:hAnsi="仿宋" w:eastAsia="仿宋" w:cs="仿宋"/>
                <w:color w:val="auto"/>
                <w:sz w:val="24"/>
              </w:rPr>
              <w:t>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号：301881000091  </w:t>
            </w:r>
          </w:p>
          <w:p w14:paraId="5444C381">
            <w:pPr>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注：投标保证金应在开标日期前交到</w:t>
            </w:r>
            <w:r>
              <w:rPr>
                <w:rFonts w:hint="eastAsia" w:ascii="仿宋" w:hAnsi="仿宋" w:eastAsia="仿宋" w:cs="仿宋"/>
                <w:color w:val="auto"/>
                <w:sz w:val="24"/>
                <w:highlight w:val="none"/>
                <w:lang w:eastAsia="zh-CN"/>
              </w:rPr>
              <w:t>智诚达项目管理咨询有限公司</w:t>
            </w:r>
            <w:r>
              <w:rPr>
                <w:rFonts w:hint="eastAsia" w:ascii="仿宋" w:hAnsi="仿宋" w:eastAsia="仿宋" w:cs="仿宋"/>
                <w:color w:val="auto"/>
                <w:sz w:val="24"/>
                <w:highlight w:val="none"/>
              </w:rPr>
              <w:t>，打款时应注明项目名称及包号（如有）。</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D3CF1FD">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乔成江</w:t>
            </w:r>
            <w:r>
              <w:rPr>
                <w:rFonts w:hint="eastAsia" w:ascii="仿宋" w:hAnsi="仿宋" w:eastAsia="仿宋" w:cs="仿宋"/>
                <w:color w:val="auto"/>
                <w:sz w:val="24"/>
                <w:highlight w:val="none"/>
              </w:rPr>
              <w:t xml:space="preserve">     联系人电话：</w:t>
            </w:r>
            <w:r>
              <w:rPr>
                <w:rFonts w:hint="eastAsia" w:ascii="仿宋" w:hAnsi="仿宋" w:eastAsia="仿宋" w:cs="仿宋"/>
                <w:color w:val="auto"/>
                <w:sz w:val="24"/>
                <w:highlight w:val="none"/>
                <w:lang w:val="en-US" w:eastAsia="zh-CN"/>
              </w:rPr>
              <w:t>19229005360</w:t>
            </w:r>
          </w:p>
          <w:p w14:paraId="243B5CC0">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注：投标保证金应在开标日期前交到</w:t>
            </w:r>
            <w:r>
              <w:rPr>
                <w:rFonts w:hint="eastAsia" w:ascii="仿宋" w:hAnsi="仿宋" w:eastAsia="仿宋" w:cs="仿宋"/>
                <w:b/>
                <w:bCs/>
                <w:color w:val="auto"/>
                <w:sz w:val="24"/>
                <w:highlight w:val="none"/>
                <w:lang w:eastAsia="zh-CN"/>
              </w:rPr>
              <w:t>智诚达项目管理有限公司</w:t>
            </w:r>
            <w:r>
              <w:rPr>
                <w:rFonts w:hint="eastAsia" w:ascii="仿宋" w:hAnsi="仿宋" w:eastAsia="仿宋" w:cs="仿宋"/>
                <w:b/>
                <w:bCs/>
                <w:color w:val="auto"/>
                <w:sz w:val="24"/>
                <w:highlight w:val="none"/>
              </w:rPr>
              <w:t>财务室</w:t>
            </w:r>
            <w:r>
              <w:rPr>
                <w:rFonts w:hint="eastAsia" w:ascii="仿宋" w:hAnsi="仿宋" w:eastAsia="仿宋" w:cs="仿宋"/>
                <w:b/>
                <w:bCs/>
                <w:color w:val="auto"/>
                <w:sz w:val="24"/>
                <w:highlight w:val="none"/>
                <w:lang w:val="en-US" w:eastAsia="zh-CN"/>
              </w:rPr>
              <w:t xml:space="preserve">无需换取收据！将到账打款凭证放置投标文件中。 </w:t>
            </w:r>
          </w:p>
          <w:p w14:paraId="23147173">
            <w:pPr>
              <w:pStyle w:val="35"/>
              <w:rPr>
                <w:color w:val="auto"/>
              </w:rPr>
            </w:pPr>
            <w:r>
              <w:rPr>
                <w:rFonts w:hint="eastAsia" w:ascii="仿宋" w:hAnsi="仿宋" w:eastAsia="仿宋" w:cs="仿宋"/>
                <w:b/>
                <w:bCs/>
                <w:color w:val="auto"/>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6A268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14:paraId="25A9E0D4">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13</w:t>
            </w:r>
          </w:p>
        </w:tc>
        <w:tc>
          <w:tcPr>
            <w:tcW w:w="7364" w:type="dxa"/>
            <w:noWrap/>
            <w:vAlign w:val="center"/>
          </w:tcPr>
          <w:p w14:paraId="72CFC1F2">
            <w:pPr>
              <w:spacing w:line="240" w:lineRule="atLeast"/>
              <w:rPr>
                <w:rFonts w:ascii="仿宋" w:hAnsi="仿宋" w:eastAsia="仿宋" w:cs="仿宋"/>
                <w:color w:val="auto"/>
                <w:sz w:val="24"/>
              </w:rPr>
            </w:pPr>
            <w:r>
              <w:rPr>
                <w:rFonts w:hint="eastAsia" w:ascii="仿宋" w:hAnsi="仿宋" w:eastAsia="仿宋" w:cs="仿宋"/>
                <w:color w:val="auto"/>
                <w:sz w:val="24"/>
              </w:rPr>
              <w:t>投标有效期：</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日历日</w:t>
            </w:r>
          </w:p>
        </w:tc>
      </w:tr>
      <w:tr w14:paraId="44A51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noWrap/>
            <w:vAlign w:val="center"/>
          </w:tcPr>
          <w:p w14:paraId="213AAF5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15</w:t>
            </w:r>
          </w:p>
        </w:tc>
        <w:tc>
          <w:tcPr>
            <w:tcW w:w="7364" w:type="dxa"/>
            <w:noWrap/>
            <w:vAlign w:val="center"/>
          </w:tcPr>
          <w:p w14:paraId="3A0F7A36">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359C081">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本项目实行网上投标，采用电子投标文件(供应商须使用CA加密设备通过政采云电子投标客户端制作投标文件)。若供应商参与投标，自行承担投标一切费用。</w:t>
            </w:r>
          </w:p>
          <w:p w14:paraId="1EDF8F05">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各供应商应在开标前应确保成为新疆政府采购网正式注册入库供应商，并完成CA数字证书申领。因未注册入库、未办理CA数字证书等原因造成无法投标或投标失败等后果由供应商自行承担。</w:t>
            </w:r>
          </w:p>
          <w:p w14:paraId="00334C87">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进行咨询。</w:t>
            </w:r>
          </w:p>
          <w:p w14:paraId="3C2D8F6F">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供应商在开标时须使用制作加密电子投标文件所使用的CA锁及电脑，电脑须提前配置好浏览器（建议使用谷歌浏览器），以便开标时解锁。</w:t>
            </w:r>
          </w:p>
          <w:p w14:paraId="276275E0">
            <w:pPr>
              <w:pageBreakBefore w:val="0"/>
              <w:kinsoku/>
              <w:wordWrap/>
              <w:overflowPunct/>
              <w:topLinePunct w:val="0"/>
              <w:bidi w:val="0"/>
              <w:snapToGrid/>
              <w:spacing w:line="38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投标保证金缴纳及确认时间：凡拟参加本次招标项目的供应商，必须在开标前将投标保证金汇入指定账户。投标保证金汇款凭证上用途栏应注明:招标项目名称+标项号+投标保证金。否则，届时其投标将被拒绝。</w:t>
            </w:r>
          </w:p>
          <w:p w14:paraId="32D4450F">
            <w:pPr>
              <w:pageBreakBefore w:val="0"/>
              <w:kinsoku/>
              <w:wordWrap/>
              <w:overflowPunct/>
              <w:topLinePunct w:val="0"/>
              <w:bidi w:val="0"/>
              <w:snapToGri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71E4104D">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（8）各供应商须在投标截止时间前完成在系统上递交电子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文件。供应商的电子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w:t>
            </w:r>
          </w:p>
          <w:p w14:paraId="7694CC1A">
            <w:pPr>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（9）各供应商在投标截止时间前将“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文件”上传至政采云平台。响应文件包括“报价一览表及资格证明文件”与“商务及技术文件”两部分合并成一册。响应文件应按照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文件规定的格式填写、签署和盖章，并以.jmbs格式上传至政采云开评标平台（</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文件为正本扫描件）。</w:t>
            </w:r>
          </w:p>
          <w:p w14:paraId="2D8490A7">
            <w:pPr>
              <w:spacing w:line="240" w:lineRule="atLeas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）解密时长为30分钟。</w:t>
            </w:r>
          </w:p>
          <w:p w14:paraId="538C0EA5">
            <w:pPr>
              <w:spacing w:line="240" w:lineRule="atLeast"/>
              <w:jc w:val="left"/>
              <w:rPr>
                <w:rFonts w:ascii="仿宋" w:hAnsi="仿宋" w:eastAsia="仿宋" w:cs="仿宋"/>
                <w:color w:val="auto"/>
                <w:sz w:val="24"/>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）须供应商提供备份的</w:t>
            </w: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文件。</w:t>
            </w:r>
          </w:p>
        </w:tc>
      </w:tr>
      <w:tr w14:paraId="283C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44" w:type="dxa"/>
            <w:noWrap/>
            <w:vAlign w:val="center"/>
          </w:tcPr>
          <w:p w14:paraId="49BB536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w:t>
            </w:r>
          </w:p>
        </w:tc>
        <w:tc>
          <w:tcPr>
            <w:tcW w:w="7364" w:type="dxa"/>
            <w:noWrap/>
            <w:vAlign w:val="center"/>
          </w:tcPr>
          <w:p w14:paraId="1EC70425">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w:t>
            </w:r>
            <w:r>
              <w:rPr>
                <w:rFonts w:hint="eastAsia" w:ascii="仿宋" w:hAnsi="仿宋" w:eastAsia="仿宋" w:cs="仿宋"/>
                <w:b/>
                <w:bCs/>
                <w:color w:val="auto"/>
                <w:sz w:val="24"/>
                <w:u w:val="single"/>
                <w:lang w:eastAsia="zh-CN"/>
              </w:rPr>
              <w:t>202</w:t>
            </w:r>
            <w:r>
              <w:rPr>
                <w:rFonts w:hint="eastAsia" w:ascii="仿宋" w:hAnsi="仿宋" w:eastAsia="仿宋" w:cs="仿宋"/>
                <w:b/>
                <w:bCs/>
                <w:color w:val="auto"/>
                <w:sz w:val="24"/>
                <w:u w:val="single"/>
                <w:lang w:val="en-US" w:eastAsia="zh-CN"/>
              </w:rPr>
              <w:t>5</w:t>
            </w:r>
            <w:r>
              <w:rPr>
                <w:rFonts w:hint="eastAsia" w:ascii="仿宋" w:hAnsi="仿宋" w:eastAsia="仿宋" w:cs="仿宋"/>
                <w:b/>
                <w:bCs/>
                <w:color w:val="auto"/>
                <w:sz w:val="24"/>
                <w:u w:val="single"/>
                <w:lang w:eastAsia="zh-CN"/>
              </w:rPr>
              <w:t>年</w:t>
            </w:r>
            <w:r>
              <w:rPr>
                <w:rFonts w:hint="eastAsia" w:ascii="仿宋" w:hAnsi="仿宋" w:eastAsia="仿宋" w:cs="仿宋"/>
                <w:b/>
                <w:bCs/>
                <w:color w:val="auto"/>
                <w:sz w:val="24"/>
                <w:u w:val="single"/>
                <w:lang w:val="en-US" w:eastAsia="zh-CN"/>
              </w:rPr>
              <w:t>7</w:t>
            </w:r>
            <w:r>
              <w:rPr>
                <w:rFonts w:hint="eastAsia" w:ascii="仿宋" w:hAnsi="仿宋" w:eastAsia="仿宋" w:cs="仿宋"/>
                <w:b/>
                <w:bCs/>
                <w:color w:val="auto"/>
                <w:sz w:val="24"/>
                <w:u w:val="single"/>
                <w:lang w:eastAsia="zh-CN"/>
              </w:rPr>
              <w:t>月</w:t>
            </w:r>
            <w:r>
              <w:rPr>
                <w:rFonts w:hint="eastAsia" w:ascii="仿宋" w:hAnsi="仿宋" w:eastAsia="仿宋" w:cs="仿宋"/>
                <w:b/>
                <w:bCs/>
                <w:color w:val="auto"/>
                <w:sz w:val="24"/>
                <w:u w:val="single"/>
                <w:lang w:val="en-US" w:eastAsia="zh-CN"/>
              </w:rPr>
              <w:t>21</w:t>
            </w:r>
            <w:r>
              <w:rPr>
                <w:rFonts w:hint="eastAsia" w:ascii="仿宋" w:hAnsi="仿宋" w:eastAsia="仿宋" w:cs="仿宋"/>
                <w:b/>
                <w:bCs/>
                <w:color w:val="auto"/>
                <w:sz w:val="24"/>
                <w:u w:val="single"/>
                <w:lang w:eastAsia="zh-CN"/>
              </w:rPr>
              <w:t>日</w:t>
            </w:r>
            <w:r>
              <w:rPr>
                <w:rFonts w:hint="eastAsia" w:ascii="仿宋" w:hAnsi="仿宋" w:eastAsia="仿宋" w:cs="仿宋"/>
                <w:b/>
                <w:bCs/>
                <w:color w:val="auto"/>
                <w:sz w:val="24"/>
                <w:u w:val="single"/>
              </w:rPr>
              <w:t>11:00时</w:t>
            </w:r>
          </w:p>
        </w:tc>
      </w:tr>
      <w:tr w14:paraId="5BBBA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4890909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16.2</w:t>
            </w:r>
          </w:p>
        </w:tc>
        <w:tc>
          <w:tcPr>
            <w:tcW w:w="7364" w:type="dxa"/>
            <w:noWrap/>
            <w:vAlign w:val="center"/>
          </w:tcPr>
          <w:p w14:paraId="38BA360B">
            <w:pPr>
              <w:spacing w:line="240" w:lineRule="atLeast"/>
              <w:jc w:val="left"/>
              <w:rPr>
                <w:rFonts w:ascii="仿宋" w:hAnsi="仿宋" w:eastAsia="仿宋" w:cs="仿宋"/>
                <w:b/>
                <w:bCs/>
                <w:color w:val="auto"/>
                <w:sz w:val="24"/>
                <w:u w:val="single"/>
              </w:rPr>
            </w:pPr>
            <w:r>
              <w:rPr>
                <w:rFonts w:hint="eastAsia" w:ascii="仿宋" w:hAnsi="仿宋" w:eastAsia="仿宋" w:cs="仿宋"/>
                <w:b/>
                <w:bCs/>
                <w:color w:val="auto"/>
                <w:sz w:val="24"/>
              </w:rPr>
              <w:t>投标文件递交地点：政采云平台（https://login.zcygov.cn/user-login/#/login）</w:t>
            </w:r>
          </w:p>
        </w:tc>
      </w:tr>
      <w:tr w14:paraId="34F6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4E061627">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20.5</w:t>
            </w:r>
          </w:p>
        </w:tc>
        <w:tc>
          <w:tcPr>
            <w:tcW w:w="7364" w:type="dxa"/>
            <w:noWrap/>
            <w:vAlign w:val="center"/>
          </w:tcPr>
          <w:p w14:paraId="5843F129">
            <w:pPr>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采购需求</w:t>
            </w:r>
            <w:r>
              <w:rPr>
                <w:rFonts w:hint="eastAsia" w:ascii="仿宋" w:hAnsi="仿宋" w:eastAsia="仿宋" w:cs="仿宋"/>
                <w:b w:val="0"/>
                <w:bCs w:val="0"/>
                <w:color w:val="auto"/>
                <w:sz w:val="24"/>
              </w:rPr>
              <w:t>：</w:t>
            </w:r>
            <w:r>
              <w:rPr>
                <w:rFonts w:hint="eastAsia" w:ascii="仿宋" w:hAnsi="仿宋" w:eastAsia="仿宋" w:cs="仿宋"/>
                <w:color w:val="auto"/>
                <w:sz w:val="24"/>
                <w:lang w:val="en-US" w:eastAsia="zh-CN"/>
              </w:rPr>
              <w:t>地面运输AGV及调度管理系统</w:t>
            </w:r>
          </w:p>
        </w:tc>
      </w:tr>
      <w:tr w14:paraId="2D9F7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05BA3A09">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26</w:t>
            </w:r>
          </w:p>
        </w:tc>
        <w:tc>
          <w:tcPr>
            <w:tcW w:w="7364" w:type="dxa"/>
            <w:noWrap/>
            <w:vAlign w:val="center"/>
          </w:tcPr>
          <w:p w14:paraId="74593EC8">
            <w:pPr>
              <w:spacing w:line="240" w:lineRule="atLeast"/>
              <w:rPr>
                <w:rFonts w:ascii="仿宋" w:hAnsi="仿宋" w:eastAsia="仿宋" w:cs="仿宋"/>
                <w:i/>
                <w:color w:val="auto"/>
                <w:sz w:val="24"/>
              </w:rPr>
            </w:pPr>
            <w:r>
              <w:rPr>
                <w:rFonts w:hint="eastAsia" w:ascii="仿宋" w:hAnsi="仿宋" w:eastAsia="仿宋" w:cs="仿宋"/>
                <w:color w:val="auto"/>
                <w:sz w:val="24"/>
              </w:rPr>
              <w:t>评标方法：</w:t>
            </w:r>
            <w:r>
              <w:rPr>
                <w:rFonts w:hint="eastAsia" w:ascii="仿宋" w:hAnsi="仿宋" w:eastAsia="仿宋" w:cs="仿宋"/>
                <w:b/>
                <w:bCs/>
                <w:color w:val="auto"/>
                <w:sz w:val="24"/>
              </w:rPr>
              <w:t>综合评分法</w:t>
            </w:r>
            <w:r>
              <w:rPr>
                <w:rFonts w:hint="eastAsia" w:ascii="仿宋" w:hAnsi="仿宋" w:eastAsia="仿宋" w:cs="仿宋"/>
                <w:color w:val="auto"/>
                <w:sz w:val="24"/>
              </w:rPr>
              <w:t>　　　</w:t>
            </w:r>
          </w:p>
        </w:tc>
      </w:tr>
      <w:tr w14:paraId="1613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648954E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noWrap/>
            <w:vAlign w:val="center"/>
          </w:tcPr>
          <w:p w14:paraId="779ACE5C">
            <w:pPr>
              <w:spacing w:line="240" w:lineRule="atLeast"/>
              <w:rPr>
                <w:rFonts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3个</w:t>
            </w:r>
          </w:p>
        </w:tc>
      </w:tr>
      <w:tr w14:paraId="0C122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59DA101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shd w:val="clear" w:color="auto" w:fill="auto"/>
            <w:noWrap/>
            <w:vAlign w:val="center"/>
          </w:tcPr>
          <w:p w14:paraId="2CC680B0">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lang w:eastAsia="zh-CN"/>
              </w:rPr>
              <w:t>否</w:t>
            </w:r>
            <w:r>
              <w:rPr>
                <w:rFonts w:hint="eastAsia" w:ascii="仿宋" w:hAnsi="仿宋" w:eastAsia="仿宋" w:cs="仿宋"/>
                <w:i/>
                <w:color w:val="auto"/>
                <w:sz w:val="24"/>
                <w:highlight w:val="none"/>
              </w:rPr>
              <w:t>（是、否）</w:t>
            </w:r>
          </w:p>
        </w:tc>
      </w:tr>
      <w:tr w14:paraId="21B42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00CAFBF2">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32</w:t>
            </w:r>
          </w:p>
        </w:tc>
        <w:tc>
          <w:tcPr>
            <w:tcW w:w="7364" w:type="dxa"/>
            <w:noWrap/>
            <w:vAlign w:val="center"/>
          </w:tcPr>
          <w:p w14:paraId="623A87FF">
            <w:pPr>
              <w:spacing w:line="240" w:lineRule="atLeast"/>
              <w:rPr>
                <w:rFonts w:ascii="仿宋" w:hAnsi="仿宋" w:eastAsia="仿宋" w:cs="仿宋"/>
                <w:color w:val="auto"/>
                <w:sz w:val="24"/>
              </w:rPr>
            </w:pPr>
            <w:r>
              <w:rPr>
                <w:rFonts w:hint="eastAsia" w:ascii="仿宋" w:hAnsi="仿宋" w:eastAsia="仿宋" w:cs="仿宋"/>
                <w:color w:val="auto"/>
                <w:sz w:val="24"/>
                <w:lang w:val="en-US" w:eastAsia="zh-CN"/>
              </w:rPr>
              <w:t>中标服务费：</w:t>
            </w:r>
            <w:r>
              <w:rPr>
                <w:rFonts w:hint="eastAsia" w:ascii="仿宋" w:hAnsi="仿宋" w:eastAsia="仿宋" w:cs="仿宋"/>
                <w:color w:val="auto"/>
                <w:sz w:val="24"/>
              </w:rPr>
              <w:t>参照发改价格【2015】299文，招标代理服务费由采购单位和代理机构协商确定。由成交单位按预算金额</w:t>
            </w:r>
            <w:r>
              <w:rPr>
                <w:rFonts w:ascii="仿宋" w:hAnsi="仿宋" w:eastAsia="仿宋" w:cs="仿宋"/>
                <w:color w:val="auto"/>
                <w:sz w:val="24"/>
              </w:rPr>
              <w:t>差额定率累进法计算</w:t>
            </w:r>
            <w:r>
              <w:rPr>
                <w:rFonts w:hint="eastAsia" w:ascii="仿宋" w:hAnsi="仿宋" w:eastAsia="仿宋" w:cs="仿宋"/>
                <w:color w:val="auto"/>
                <w:sz w:val="24"/>
                <w:lang w:val="en-US" w:eastAsia="zh-CN"/>
              </w:rPr>
              <w:t>下浮25%</w:t>
            </w:r>
            <w:r>
              <w:rPr>
                <w:rFonts w:ascii="仿宋" w:hAnsi="仿宋" w:eastAsia="仿宋" w:cs="仿宋"/>
                <w:color w:val="auto"/>
                <w:sz w:val="24"/>
              </w:rPr>
              <w:t>，支付费率标准如下：</w:t>
            </w:r>
          </w:p>
          <w:p w14:paraId="4D4995C8">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以下</w:t>
            </w:r>
            <w:r>
              <w:rPr>
                <w:rFonts w:hint="default" w:ascii="仿宋" w:hAnsi="仿宋" w:eastAsia="仿宋" w:cs="仿宋"/>
                <w:color w:val="auto"/>
                <w:sz w:val="24"/>
                <w:highlight w:val="none"/>
                <w:lang w:val="en-US" w:eastAsia="zh-CN"/>
              </w:rPr>
              <w:t>的项目，按1.</w:t>
            </w:r>
            <w:r>
              <w:rPr>
                <w:rFonts w:hint="eastAsia" w:ascii="仿宋" w:hAnsi="仿宋" w:eastAsia="仿宋" w:cs="仿宋"/>
                <w:color w:val="auto"/>
                <w:sz w:val="24"/>
                <w:highlight w:val="none"/>
                <w:lang w:val="en-US" w:eastAsia="zh-CN"/>
              </w:rPr>
              <w:t>50</w:t>
            </w:r>
            <w:r>
              <w:rPr>
                <w:rFonts w:hint="default" w:ascii="仿宋" w:hAnsi="仿宋" w:eastAsia="仿宋" w:cs="仿宋"/>
                <w:color w:val="auto"/>
                <w:sz w:val="24"/>
                <w:highlight w:val="none"/>
                <w:lang w:val="en-US" w:eastAsia="zh-CN"/>
              </w:rPr>
              <w:t>%</w:t>
            </w:r>
          </w:p>
          <w:p w14:paraId="1851BACB">
            <w:pPr>
              <w:spacing w:line="240" w:lineRule="atLeas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100万元—</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00万元的项目，按</w:t>
            </w:r>
            <w:r>
              <w:rPr>
                <w:rFonts w:hint="eastAsia" w:ascii="仿宋" w:hAnsi="仿宋" w:eastAsia="仿宋" w:cs="仿宋"/>
                <w:color w:val="auto"/>
                <w:sz w:val="24"/>
                <w:highlight w:val="none"/>
                <w:lang w:val="en-US" w:eastAsia="zh-CN"/>
              </w:rPr>
              <w:t>1.10</w:t>
            </w:r>
            <w:r>
              <w:rPr>
                <w:rFonts w:hint="default" w:ascii="仿宋" w:hAnsi="仿宋" w:eastAsia="仿宋" w:cs="仿宋"/>
                <w:color w:val="auto"/>
                <w:sz w:val="24"/>
                <w:highlight w:val="none"/>
                <w:lang w:val="en-US" w:eastAsia="zh-CN"/>
              </w:rPr>
              <w:t>%</w:t>
            </w:r>
          </w:p>
          <w:p w14:paraId="73A1C8AC">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00万元—</w:t>
            </w:r>
            <w:r>
              <w:rPr>
                <w:rFonts w:hint="eastAsia" w:ascii="仿宋" w:hAnsi="仿宋" w:eastAsia="仿宋" w:cs="仿宋"/>
                <w:color w:val="auto"/>
                <w:sz w:val="24"/>
                <w:highlight w:val="none"/>
                <w:lang w:val="en-US" w:eastAsia="zh-CN"/>
              </w:rPr>
              <w:t>1000</w:t>
            </w:r>
            <w:r>
              <w:rPr>
                <w:rFonts w:hint="default" w:ascii="仿宋" w:hAnsi="仿宋" w:eastAsia="仿宋" w:cs="仿宋"/>
                <w:color w:val="auto"/>
                <w:sz w:val="24"/>
                <w:highlight w:val="none"/>
                <w:lang w:val="en-US" w:eastAsia="zh-CN"/>
              </w:rPr>
              <w:t>万元的项目，按0.</w:t>
            </w:r>
            <w:r>
              <w:rPr>
                <w:rFonts w:hint="eastAsia" w:ascii="仿宋" w:hAnsi="仿宋" w:eastAsia="仿宋" w:cs="仿宋"/>
                <w:color w:val="auto"/>
                <w:sz w:val="24"/>
                <w:highlight w:val="none"/>
                <w:lang w:val="en-US" w:eastAsia="zh-CN"/>
              </w:rPr>
              <w:t>80</w:t>
            </w:r>
            <w:r>
              <w:rPr>
                <w:rFonts w:hint="default" w:ascii="仿宋" w:hAnsi="仿宋" w:eastAsia="仿宋" w:cs="仿宋"/>
                <w:color w:val="auto"/>
                <w:sz w:val="24"/>
                <w:highlight w:val="none"/>
                <w:lang w:val="en-US" w:eastAsia="zh-CN"/>
              </w:rPr>
              <w:t>%</w:t>
            </w:r>
          </w:p>
          <w:p w14:paraId="02CD9884">
            <w:pPr>
              <w:rPr>
                <w:rFonts w:ascii="仿宋" w:hAnsi="仿宋" w:eastAsia="仿宋" w:cs="仿宋"/>
                <w:color w:val="auto"/>
                <w:sz w:val="24"/>
              </w:rPr>
            </w:pPr>
            <w:r>
              <w:rPr>
                <w:rFonts w:hint="eastAsia" w:ascii="仿宋" w:hAnsi="仿宋" w:eastAsia="仿宋" w:cs="仿宋"/>
                <w:color w:val="auto"/>
                <w:sz w:val="24"/>
              </w:rPr>
              <w:t>支付形式：电汇、网银、支票</w:t>
            </w:r>
          </w:p>
          <w:p w14:paraId="4B8CC99D">
            <w:pPr>
              <w:spacing w:line="240" w:lineRule="atLeast"/>
              <w:rPr>
                <w:rFonts w:ascii="仿宋" w:hAnsi="仿宋" w:eastAsia="仿宋" w:cs="仿宋"/>
                <w:color w:val="auto"/>
                <w:sz w:val="24"/>
              </w:rPr>
            </w:pPr>
            <w:r>
              <w:rPr>
                <w:rFonts w:hint="eastAsia" w:ascii="仿宋" w:hAnsi="仿宋" w:eastAsia="仿宋" w:cs="仿宋"/>
                <w:color w:val="auto"/>
                <w:sz w:val="24"/>
              </w:rPr>
              <w:t>支付时间：成交公示后3个工作日内</w:t>
            </w:r>
          </w:p>
        </w:tc>
      </w:tr>
      <w:tr w14:paraId="14C83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3B19D2FA">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33.2</w:t>
            </w:r>
          </w:p>
        </w:tc>
        <w:tc>
          <w:tcPr>
            <w:tcW w:w="7364" w:type="dxa"/>
            <w:noWrap/>
            <w:vAlign w:val="center"/>
          </w:tcPr>
          <w:p w14:paraId="57B29494">
            <w:pPr>
              <w:spacing w:line="240" w:lineRule="atLeast"/>
              <w:rPr>
                <w:rFonts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highlight w:val="none"/>
                <w:u w:val="single"/>
                <w:lang w:eastAsia="zh-CN"/>
              </w:rPr>
              <w:t>是</w:t>
            </w:r>
            <w:r>
              <w:rPr>
                <w:rFonts w:hint="eastAsia" w:ascii="仿宋" w:hAnsi="仿宋" w:eastAsia="仿宋" w:cs="仿宋"/>
                <w:i/>
                <w:color w:val="auto"/>
                <w:sz w:val="24"/>
              </w:rPr>
              <w:t>（是、否）</w:t>
            </w:r>
          </w:p>
        </w:tc>
      </w:tr>
      <w:tr w14:paraId="172AB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944" w:type="dxa"/>
            <w:noWrap/>
            <w:vAlign w:val="center"/>
          </w:tcPr>
          <w:p w14:paraId="3990715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w:t>
            </w:r>
          </w:p>
        </w:tc>
        <w:tc>
          <w:tcPr>
            <w:tcW w:w="7364" w:type="dxa"/>
            <w:noWrap/>
            <w:vAlign w:val="center"/>
          </w:tcPr>
          <w:p w14:paraId="0A7946A0">
            <w:pPr>
              <w:rPr>
                <w:rFonts w:ascii="仿宋" w:hAnsi="仿宋" w:eastAsia="仿宋" w:cs="仿宋"/>
                <w:color w:val="auto"/>
                <w:sz w:val="24"/>
              </w:rPr>
            </w:pPr>
            <w:r>
              <w:rPr>
                <w:rFonts w:hint="eastAsia" w:ascii="仿宋" w:hAnsi="仿宋" w:eastAsia="仿宋" w:cs="仿宋"/>
                <w:color w:val="auto"/>
                <w:sz w:val="24"/>
              </w:rPr>
              <w:t>监督部门：喀什地区财政局政府内控监督科(政府采购管理科）</w:t>
            </w:r>
          </w:p>
        </w:tc>
      </w:tr>
      <w:tr w14:paraId="7265A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75CD0EF1">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34.3</w:t>
            </w:r>
          </w:p>
        </w:tc>
        <w:tc>
          <w:tcPr>
            <w:tcW w:w="7364" w:type="dxa"/>
            <w:noWrap/>
            <w:vAlign w:val="center"/>
          </w:tcPr>
          <w:p w14:paraId="692D3EBD">
            <w:pPr>
              <w:rPr>
                <w:rFonts w:ascii="仿宋" w:hAnsi="仿宋" w:eastAsia="仿宋" w:cs="仿宋"/>
                <w:color w:val="auto"/>
                <w:sz w:val="24"/>
              </w:rPr>
            </w:pPr>
            <w:r>
              <w:rPr>
                <w:rFonts w:hint="eastAsia" w:ascii="仿宋" w:hAnsi="仿宋" w:eastAsia="仿宋" w:cs="仿宋"/>
                <w:color w:val="auto"/>
                <w:sz w:val="24"/>
              </w:rPr>
              <w:t>监督电话：0998-2597000</w:t>
            </w:r>
          </w:p>
        </w:tc>
      </w:tr>
      <w:tr w14:paraId="3D47F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14:paraId="3F66119E">
            <w:pPr>
              <w:spacing w:line="240" w:lineRule="atLeast"/>
              <w:jc w:val="center"/>
              <w:rPr>
                <w:rFonts w:ascii="仿宋" w:hAnsi="仿宋" w:eastAsia="仿宋" w:cs="仿宋"/>
                <w:color w:val="auto"/>
                <w:sz w:val="24"/>
              </w:rPr>
            </w:pPr>
          </w:p>
        </w:tc>
        <w:tc>
          <w:tcPr>
            <w:tcW w:w="7364" w:type="dxa"/>
            <w:noWrap/>
            <w:vAlign w:val="center"/>
          </w:tcPr>
          <w:p w14:paraId="10A6F849">
            <w:pPr>
              <w:rPr>
                <w:rFonts w:ascii="仿宋" w:hAnsi="仿宋" w:eastAsia="仿宋" w:cs="仿宋"/>
                <w:color w:val="auto"/>
                <w:sz w:val="24"/>
              </w:rPr>
            </w:pPr>
            <w:r>
              <w:rPr>
                <w:rFonts w:hint="eastAsia" w:ascii="仿宋" w:hAnsi="仿宋" w:eastAsia="仿宋" w:cs="仿宋"/>
                <w:color w:val="auto"/>
                <w:sz w:val="24"/>
              </w:rPr>
              <w:t>适用于本投标人须知的额外增加的变动：无</w:t>
            </w:r>
          </w:p>
        </w:tc>
      </w:tr>
    </w:tbl>
    <w:p w14:paraId="59EB177E">
      <w:pPr>
        <w:rPr>
          <w:rFonts w:ascii="仿宋" w:hAnsi="仿宋" w:eastAsia="仿宋" w:cs="仿宋"/>
          <w:color w:val="auto"/>
          <w:sz w:val="24"/>
        </w:rPr>
        <w:sectPr>
          <w:headerReference r:id="rId8" w:type="default"/>
          <w:headerReference r:id="rId9" w:type="even"/>
          <w:footerReference r:id="rId10" w:type="even"/>
          <w:pgSz w:w="11906" w:h="16838"/>
          <w:pgMar w:top="1440" w:right="1797" w:bottom="1440" w:left="1797" w:header="851" w:footer="992" w:gutter="0"/>
          <w:cols w:space="720" w:num="1"/>
          <w:docGrid w:linePitch="312" w:charSpace="0"/>
        </w:sectPr>
      </w:pPr>
      <w:r>
        <w:rPr>
          <w:rFonts w:ascii="仿宋" w:hAnsi="仿宋" w:eastAsia="仿宋" w:cs="仿宋"/>
          <w:color w:val="auto"/>
          <w:sz w:val="24"/>
        </w:rPr>
        <w:br w:type="page"/>
      </w:r>
    </w:p>
    <w:p w14:paraId="2E760435">
      <w:pPr>
        <w:widowControl/>
        <w:jc w:val="center"/>
        <w:outlineLvl w:val="0"/>
        <w:rPr>
          <w:rFonts w:hint="eastAsia" w:ascii="Arial" w:eastAsia="仿宋"/>
          <w:color w:val="auto"/>
          <w:sz w:val="24"/>
          <w:szCs w:val="24"/>
          <w:lang w:val="en-US" w:eastAsia="zh-CN"/>
        </w:rPr>
      </w:pPr>
      <w:bookmarkStart w:id="722" w:name="_Toc219175638"/>
      <w:bookmarkStart w:id="723" w:name="_Toc20432"/>
      <w:bookmarkStart w:id="724" w:name="_Toc507399906"/>
      <w:bookmarkStart w:id="725" w:name="_Toc25227"/>
      <w:bookmarkStart w:id="726" w:name="_Toc512937852"/>
      <w:bookmarkStart w:id="727" w:name="_Toc9032"/>
      <w:bookmarkStart w:id="728" w:name="_Toc216582825"/>
      <w:bookmarkStart w:id="729" w:name="_Toc515647831"/>
      <w:bookmarkStart w:id="730" w:name="_Toc9887"/>
      <w:bookmarkStart w:id="731" w:name="_Toc218935354"/>
      <w:r>
        <w:rPr>
          <w:rFonts w:hint="eastAsia" w:ascii="仿宋" w:hAnsi="仿宋" w:eastAsia="仿宋" w:cs="仿宋"/>
          <w:b/>
          <w:bCs/>
          <w:color w:val="auto"/>
          <w:sz w:val="32"/>
          <w:szCs w:val="32"/>
          <w:highlight w:val="none"/>
          <w:lang w:val="en-US" w:eastAsia="zh-CN"/>
        </w:rPr>
        <w:t>第五章、</w:t>
      </w:r>
      <w:r>
        <w:rPr>
          <w:rFonts w:hint="eastAsia" w:ascii="仿宋" w:hAnsi="仿宋" w:eastAsia="仿宋" w:cs="仿宋"/>
          <w:b/>
          <w:bCs/>
          <w:color w:val="auto"/>
          <w:sz w:val="32"/>
          <w:szCs w:val="32"/>
          <w:highlight w:val="none"/>
        </w:rPr>
        <w:t>货物</w:t>
      </w:r>
      <w:r>
        <w:rPr>
          <w:rFonts w:hint="eastAsia" w:ascii="仿宋" w:hAnsi="仿宋" w:eastAsia="仿宋" w:cs="仿宋"/>
          <w:b/>
          <w:bCs/>
          <w:color w:val="auto"/>
          <w:sz w:val="32"/>
          <w:szCs w:val="32"/>
          <w:highlight w:val="none"/>
          <w:lang w:val="en-US" w:eastAsia="zh-CN"/>
        </w:rPr>
        <w:t>技术</w:t>
      </w:r>
      <w:r>
        <w:rPr>
          <w:rFonts w:hint="eastAsia" w:ascii="仿宋" w:hAnsi="仿宋" w:eastAsia="仿宋" w:cs="仿宋"/>
          <w:b/>
          <w:bCs/>
          <w:color w:val="auto"/>
          <w:sz w:val="32"/>
          <w:szCs w:val="32"/>
          <w:highlight w:val="none"/>
        </w:rPr>
        <w:t>参数</w:t>
      </w:r>
      <w:r>
        <w:rPr>
          <w:rFonts w:hint="eastAsia" w:ascii="仿宋" w:hAnsi="仿宋" w:eastAsia="仿宋" w:cs="仿宋"/>
          <w:b/>
          <w:bCs/>
          <w:color w:val="auto"/>
          <w:sz w:val="32"/>
          <w:szCs w:val="32"/>
          <w:highlight w:val="none"/>
          <w:lang w:val="en-US" w:eastAsia="zh-CN"/>
        </w:rPr>
        <w:t>及</w:t>
      </w:r>
      <w:r>
        <w:rPr>
          <w:rFonts w:hint="eastAsia" w:ascii="仿宋" w:hAnsi="仿宋" w:eastAsia="仿宋" w:cs="仿宋"/>
          <w:b/>
          <w:bCs/>
          <w:color w:val="auto"/>
          <w:sz w:val="32"/>
          <w:szCs w:val="32"/>
          <w:highlight w:val="none"/>
        </w:rPr>
        <w:t>规格</w:t>
      </w:r>
      <w:bookmarkEnd w:id="722"/>
      <w:bookmarkEnd w:id="723"/>
      <w:bookmarkEnd w:id="724"/>
      <w:bookmarkEnd w:id="725"/>
      <w:bookmarkEnd w:id="726"/>
      <w:bookmarkEnd w:id="727"/>
      <w:bookmarkEnd w:id="728"/>
      <w:bookmarkEnd w:id="729"/>
      <w:bookmarkEnd w:id="730"/>
      <w:bookmarkEnd w:id="731"/>
      <w:r>
        <w:rPr>
          <w:rFonts w:hint="eastAsia" w:ascii="仿宋" w:hAnsi="仿宋" w:eastAsia="仿宋" w:cs="仿宋"/>
          <w:b/>
          <w:bCs/>
          <w:color w:val="auto"/>
          <w:sz w:val="32"/>
          <w:szCs w:val="32"/>
          <w:highlight w:val="none"/>
          <w:lang w:val="en-US" w:eastAsia="zh-CN"/>
        </w:rPr>
        <w:t>要求</w:t>
      </w:r>
    </w:p>
    <w:p w14:paraId="10955F22">
      <w:pPr>
        <w:spacing w:line="91" w:lineRule="auto"/>
        <w:rPr>
          <w:rFonts w:ascii="Arial"/>
          <w:color w:val="auto"/>
          <w:sz w:val="2"/>
        </w:rPr>
      </w:pPr>
    </w:p>
    <w:p w14:paraId="400F45A0">
      <w:pPr>
        <w:rPr>
          <w:rFonts w:ascii="Arial"/>
          <w:color w:val="auto"/>
          <w:sz w:val="21"/>
        </w:rPr>
      </w:pPr>
    </w:p>
    <w:p w14:paraId="1D4324B6">
      <w:pPr>
        <w:pStyle w:val="130"/>
        <w:numPr>
          <w:ilvl w:val="0"/>
          <w:numId w:val="7"/>
        </w:numPr>
        <w:spacing w:line="360" w:lineRule="auto"/>
        <w:ind w:left="0" w:leftChars="0" w:firstLine="0" w:firstLineChars="0"/>
        <w:outlineLvl w:val="1"/>
        <w:rPr>
          <w:rFonts w:hint="eastAsia" w:ascii="仿宋" w:hAnsi="仿宋" w:eastAsia="仿宋" w:cs="仿宋"/>
          <w:color w:val="auto"/>
          <w:sz w:val="28"/>
          <w:szCs w:val="28"/>
          <w:highlight w:val="none"/>
          <w:shd w:val="clear" w:color="auto" w:fill="auto"/>
          <w:lang w:val="en-US" w:eastAsia="zh-CN"/>
        </w:rPr>
      </w:pPr>
      <w:bookmarkStart w:id="732" w:name="_Toc8380"/>
      <w:r>
        <w:rPr>
          <w:rFonts w:hint="eastAsia" w:ascii="仿宋" w:hAnsi="仿宋" w:eastAsia="仿宋" w:cs="仿宋"/>
          <w:color w:val="auto"/>
          <w:sz w:val="28"/>
          <w:szCs w:val="28"/>
          <w:highlight w:val="none"/>
          <w:shd w:val="clear" w:color="auto" w:fill="auto"/>
          <w:lang w:val="en-US" w:eastAsia="zh-CN"/>
        </w:rPr>
        <w:t>用户需求</w:t>
      </w:r>
      <w:bookmarkEnd w:id="732"/>
    </w:p>
    <w:p w14:paraId="61543A8D">
      <w:pPr>
        <w:keepNext w:val="0"/>
        <w:keepLines w:val="0"/>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210" w:leftChars="0" w:hanging="210" w:firstLineChars="0"/>
        <w:jc w:val="both"/>
        <w:textAlignment w:val="baseline"/>
        <w:outlineLvl w:val="9"/>
        <w:rPr>
          <w:rFonts w:hint="eastAsia" w:ascii="仿宋" w:hAnsi="仿宋" w:eastAsia="仿宋" w:cs="仿宋"/>
          <w:color w:val="auto"/>
          <w:lang w:eastAsia="zh-CN"/>
        </w:rPr>
      </w:pPr>
      <w:r>
        <w:rPr>
          <w:rFonts w:hint="eastAsia" w:ascii="仿宋" w:hAnsi="仿宋" w:eastAsia="仿宋" w:cs="仿宋"/>
          <w:b/>
          <w:bCs/>
          <w:i w:val="0"/>
          <w:caps w:val="0"/>
          <w:color w:val="auto"/>
          <w:spacing w:val="0"/>
          <w:w w:val="100"/>
          <w:sz w:val="24"/>
          <w:szCs w:val="24"/>
          <w:shd w:val="clear" w:color="auto" w:fill="auto"/>
          <w:lang w:val="en-US" w:eastAsia="zh-CN"/>
        </w:rPr>
        <w:t>项目概述</w:t>
      </w:r>
    </w:p>
    <w:p w14:paraId="210ED39D">
      <w:pPr>
        <w:pStyle w:val="20"/>
        <w:tabs>
          <w:tab w:val="left" w:pos="605"/>
        </w:tabs>
        <w:spacing w:line="360" w:lineRule="auto"/>
        <w:ind w:firstLine="480" w:firstLineChars="200"/>
        <w:rPr>
          <w:rFonts w:hint="eastAsia" w:ascii="仿宋" w:hAnsi="仿宋" w:eastAsia="仿宋" w:cs="仿宋"/>
          <w:b w:val="0"/>
          <w:bCs/>
          <w:color w:val="auto"/>
          <w:sz w:val="24"/>
          <w:szCs w:val="24"/>
          <w:shd w:val="clear" w:color="auto" w:fill="auto"/>
          <w:lang w:val="en-US" w:eastAsia="zh-CN"/>
        </w:rPr>
      </w:pPr>
      <w:r>
        <w:rPr>
          <w:rFonts w:hint="eastAsia" w:ascii="仿宋" w:hAnsi="仿宋" w:eastAsia="仿宋" w:cs="仿宋"/>
          <w:color w:val="auto"/>
          <w:sz w:val="24"/>
          <w:szCs w:val="24"/>
          <w:highlight w:val="none"/>
          <w:lang w:val="en-US" w:eastAsia="zh-CN"/>
        </w:rPr>
        <w:t>喀什地区纤维检验所采购8台运输AGV、2台中转AGV、相关配套设施、AGV调度管理系统应用到中国棉花公证检验巴楚实验室，详见采购清单。</w:t>
      </w:r>
      <w:r>
        <w:rPr>
          <w:rFonts w:hint="eastAsia" w:ascii="仿宋" w:hAnsi="仿宋" w:eastAsia="仿宋" w:cs="仿宋"/>
          <w:b w:val="0"/>
          <w:bCs/>
          <w:color w:val="auto"/>
          <w:sz w:val="24"/>
          <w:szCs w:val="24"/>
          <w:shd w:val="clear" w:color="auto" w:fill="auto"/>
          <w:lang w:val="en-US" w:eastAsia="zh-CN"/>
        </w:rPr>
        <w:t xml:space="preserve">     </w:t>
      </w:r>
    </w:p>
    <w:p w14:paraId="638C05B1">
      <w:pPr>
        <w:keepNext w:val="0"/>
        <w:keepLines w:val="0"/>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210" w:leftChars="0" w:hanging="210" w:firstLineChars="0"/>
        <w:jc w:val="both"/>
        <w:textAlignment w:val="baseline"/>
        <w:outlineLvl w:val="9"/>
        <w:rPr>
          <w:rFonts w:hint="eastAsia" w:ascii="仿宋" w:hAnsi="仿宋" w:eastAsia="仿宋" w:cs="仿宋"/>
          <w:b/>
          <w:bCs/>
          <w:i w:val="0"/>
          <w:caps w:val="0"/>
          <w:color w:val="auto"/>
          <w:spacing w:val="0"/>
          <w:w w:val="100"/>
          <w:sz w:val="24"/>
          <w:szCs w:val="24"/>
          <w:shd w:val="clear" w:color="auto" w:fill="auto"/>
          <w:lang w:val="en-US" w:eastAsia="zh-CN"/>
        </w:rPr>
      </w:pPr>
      <w:r>
        <w:rPr>
          <w:rFonts w:hint="eastAsia" w:ascii="仿宋" w:hAnsi="仿宋" w:eastAsia="仿宋" w:cs="仿宋"/>
          <w:b/>
          <w:bCs/>
          <w:i w:val="0"/>
          <w:caps w:val="0"/>
          <w:color w:val="auto"/>
          <w:spacing w:val="0"/>
          <w:w w:val="100"/>
          <w:sz w:val="24"/>
          <w:szCs w:val="24"/>
          <w:shd w:val="clear" w:color="auto" w:fill="auto"/>
          <w:lang w:val="en-US" w:eastAsia="zh-CN"/>
        </w:rPr>
        <w:t>技术要求</w:t>
      </w:r>
    </w:p>
    <w:p w14:paraId="54846CC2">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运输AGV为地面型，主要负责运送空棉样篮。运送路径从新实验室清样间到分样大厅，路径平均长度约130米。</w:t>
      </w:r>
    </w:p>
    <w:p w14:paraId="36E091AA">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运输AGV技术要求：</w:t>
      </w:r>
    </w:p>
    <w:p w14:paraId="6D6C6FF6">
      <w:pPr>
        <w:pStyle w:val="20"/>
        <w:numPr>
          <w:ilvl w:val="0"/>
          <w:numId w:val="10"/>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 w:hAnsi="仿宋" w:eastAsia="仿宋" w:cs="仿宋"/>
          <w:color w:val="auto"/>
          <w:sz w:val="24"/>
          <w:szCs w:val="24"/>
          <w:lang w:val="en-US" w:eastAsia="zh-CN"/>
        </w:rPr>
        <w:t>一次可装载20个空棉样篮；</w:t>
      </w:r>
    </w:p>
    <w:p w14:paraId="5C139051">
      <w:pPr>
        <w:pStyle w:val="20"/>
        <w:numPr>
          <w:ilvl w:val="0"/>
          <w:numId w:val="10"/>
        </w:numPr>
        <w:tabs>
          <w:tab w:val="left" w:pos="605"/>
        </w:tabs>
        <w:spacing w:line="360" w:lineRule="auto"/>
        <w:ind w:left="425" w:leftChars="0" w:firstLine="415" w:firstLineChars="0"/>
        <w:rPr>
          <w:rFonts w:hint="default" w:ascii="仿宋" w:hAnsi="仿宋" w:eastAsia="仿宋" w:cs="仿宋"/>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 w:hAnsi="仿宋" w:eastAsia="仿宋" w:cs="仿宋"/>
          <w:color w:val="auto"/>
          <w:sz w:val="24"/>
          <w:szCs w:val="24"/>
          <w:lang w:val="en-US" w:eastAsia="zh-CN"/>
        </w:rPr>
        <w:t>人工上下料，操作简单、符合传统习惯；无操作障碍、作业效率高；</w:t>
      </w:r>
    </w:p>
    <w:p w14:paraId="56CC31CA">
      <w:pPr>
        <w:pStyle w:val="20"/>
        <w:numPr>
          <w:ilvl w:val="0"/>
          <w:numId w:val="10"/>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 w:hAnsi="仿宋" w:eastAsia="仿宋" w:cs="仿宋"/>
          <w:color w:val="auto"/>
          <w:sz w:val="24"/>
          <w:szCs w:val="24"/>
          <w:lang w:val="en-US" w:eastAsia="zh-CN"/>
        </w:rPr>
        <w:t>运输过程不能发生AGV倾覆和空棉样篮散落事故，确保运输安全性；</w:t>
      </w:r>
    </w:p>
    <w:p w14:paraId="4C60FD91">
      <w:pPr>
        <w:pStyle w:val="20"/>
        <w:numPr>
          <w:ilvl w:val="0"/>
          <w:numId w:val="10"/>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仿宋" w:hAnsi="仿宋" w:eastAsia="仿宋" w:cs="仿宋"/>
          <w:color w:val="auto"/>
          <w:sz w:val="24"/>
          <w:szCs w:val="24"/>
          <w:lang w:val="en-US" w:eastAsia="zh-CN"/>
        </w:rPr>
        <w:t>结构与外形尺寸与现场条件匹配；</w:t>
      </w:r>
    </w:p>
    <w:p w14:paraId="7A85687B">
      <w:pPr>
        <w:pStyle w:val="20"/>
        <w:numPr>
          <w:ilvl w:val="0"/>
          <w:numId w:val="10"/>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AGV车身安全防护措施配备齐全；</w:t>
      </w:r>
    </w:p>
    <w:p w14:paraId="04F59999">
      <w:pPr>
        <w:pStyle w:val="20"/>
        <w:numPr>
          <w:ilvl w:val="0"/>
          <w:numId w:val="10"/>
        </w:numPr>
        <w:tabs>
          <w:tab w:val="left" w:pos="605"/>
        </w:tabs>
        <w:spacing w:line="360" w:lineRule="auto"/>
        <w:ind w:left="1245" w:leftChars="0" w:hanging="40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AGV专用通道空车最高运行速度不超过2m/s，AGV专用通道实车运行速度1.0-1.5m/s，人机混合通道实车运行速度0.5-1.0m/s；</w:t>
      </w:r>
    </w:p>
    <w:p w14:paraId="5445BD29">
      <w:pPr>
        <w:pStyle w:val="20"/>
        <w:numPr>
          <w:ilvl w:val="0"/>
          <w:numId w:val="10"/>
        </w:numPr>
        <w:tabs>
          <w:tab w:val="left" w:pos="605"/>
        </w:tabs>
        <w:spacing w:line="360" w:lineRule="auto"/>
        <w:ind w:left="1245" w:leftChars="0" w:hanging="40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车身高度≤2.4m；（实验室自动门净高2.5m）；</w:t>
      </w:r>
    </w:p>
    <w:p w14:paraId="3F402F45">
      <w:pPr>
        <w:pStyle w:val="20"/>
        <w:numPr>
          <w:ilvl w:val="0"/>
          <w:numId w:val="10"/>
        </w:numPr>
        <w:tabs>
          <w:tab w:val="left" w:pos="605"/>
        </w:tabs>
        <w:spacing w:line="360" w:lineRule="auto"/>
        <w:ind w:left="1245" w:leftChars="0" w:hanging="40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低电量自动回充；</w:t>
      </w:r>
    </w:p>
    <w:p w14:paraId="6094E1BD">
      <w:pPr>
        <w:pStyle w:val="20"/>
        <w:numPr>
          <w:ilvl w:val="0"/>
          <w:numId w:val="10"/>
        </w:numPr>
        <w:tabs>
          <w:tab w:val="left" w:pos="605"/>
        </w:tabs>
        <w:spacing w:line="360" w:lineRule="auto"/>
        <w:ind w:left="425" w:leftChars="0" w:firstLine="415"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配套专用充电桩。</w:t>
      </w:r>
    </w:p>
    <w:p w14:paraId="00F282C9">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中转AGV为地面型，负责运送棉样高效压缩储纳箱。运送路径从新实验室的清样间到旧实验室清样区（改为留样室二）过道，路径平均长度约50米。</w:t>
      </w:r>
    </w:p>
    <w:p w14:paraId="041A197E">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中转AGV技术要求：</w:t>
      </w:r>
    </w:p>
    <w:p w14:paraId="2EBACC3A">
      <w:pPr>
        <w:pStyle w:val="20"/>
        <w:numPr>
          <w:ilvl w:val="0"/>
          <w:numId w:val="11"/>
        </w:numPr>
        <w:tabs>
          <w:tab w:val="left" w:pos="605"/>
        </w:tabs>
        <w:spacing w:line="360" w:lineRule="auto"/>
        <w:ind w:left="1260" w:leftChars="400" w:hanging="420" w:hangingChars="17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棉样克重在(130-145)g范围时，一次可装载6个压缩储纳箱；棉样克重在(110-129)g范围时，一次可装载8个压缩储纳箱；棉样克重在(90-109)g范围时，一次可装载10个压缩储纳箱。每个压缩储纳箱可存放一个检验批的留样56个。</w:t>
      </w:r>
    </w:p>
    <w:p w14:paraId="16357309">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✱人工上下料，操作简单；无操作障碍、作业效率高；</w:t>
      </w:r>
    </w:p>
    <w:p w14:paraId="786C3A59">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✱运输过程不能发生AGV倾覆和压缩储纳箱跌落事故，确保运送作业安全性；</w:t>
      </w:r>
    </w:p>
    <w:p w14:paraId="416C31F5">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AGV车身安全防护措施配备齐全；</w:t>
      </w:r>
    </w:p>
    <w:p w14:paraId="0F67E5B6">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✱结构与功能必须适应现场条件，确保运送作业可靠性；</w:t>
      </w:r>
    </w:p>
    <w:p w14:paraId="5CEDD567">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实车运行速度0.3-1.0m/s，可调；</w:t>
      </w:r>
    </w:p>
    <w:p w14:paraId="27E2E124">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✱中转AGV实载时，总高度</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1.65m；</w:t>
      </w:r>
    </w:p>
    <w:p w14:paraId="53147535">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✱中转AGV具有和留样库专用升降AGV自动对接、交接货物功能，确保可持续发展性；</w:t>
      </w:r>
    </w:p>
    <w:p w14:paraId="5EDFBCDD">
      <w:pPr>
        <w:pStyle w:val="20"/>
        <w:numPr>
          <w:ilvl w:val="0"/>
          <w:numId w:val="11"/>
        </w:numPr>
        <w:tabs>
          <w:tab w:val="left" w:pos="605"/>
        </w:tabs>
        <w:spacing w:line="360" w:lineRule="auto"/>
        <w:ind w:left="425" w:leftChars="0" w:firstLine="41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低电量自动回充；</w:t>
      </w:r>
    </w:p>
    <w:p w14:paraId="3A592EDC">
      <w:pPr>
        <w:pStyle w:val="20"/>
        <w:numPr>
          <w:ilvl w:val="0"/>
          <w:numId w:val="0"/>
        </w:numPr>
        <w:tabs>
          <w:tab w:val="left" w:pos="605"/>
        </w:tabs>
        <w:spacing w:line="360" w:lineRule="auto"/>
        <w:ind w:left="840"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（10）配套专用充电桩。</w:t>
      </w:r>
    </w:p>
    <w:p w14:paraId="3C25CE19">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AGV调度管理系统技术要求：</w:t>
      </w:r>
    </w:p>
    <w:p w14:paraId="0EA58775">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能够提供任务管理、路径规划、图形化监控等控制功能；</w:t>
      </w:r>
    </w:p>
    <w:p w14:paraId="2A3DF6FD">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能够提供机器人状态监控、任务管理、日志查询、统计分析等管理功能，调度机器人执行物料搬运任务。</w:t>
      </w:r>
    </w:p>
    <w:p w14:paraId="7FB3382C">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按照规划路径行驶，将物料搬运到对应停靠站点，由人工进行上下料操作。</w:t>
      </w:r>
    </w:p>
    <w:p w14:paraId="65940CDF">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在多机器人环境下，通过任务调度、交通控制，协调机器人和各设备高效有序工作。</w:t>
      </w:r>
    </w:p>
    <w:p w14:paraId="4ADB9654">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具有智能巡检功能，包含运维管理、人工控制、车辆调度、计划任务和系统建模等。</w:t>
      </w:r>
    </w:p>
    <w:p w14:paraId="53232A14">
      <w:pPr>
        <w:pStyle w:val="20"/>
        <w:numPr>
          <w:ilvl w:val="0"/>
          <w:numId w:val="12"/>
        </w:numPr>
        <w:tabs>
          <w:tab w:val="left" w:pos="605"/>
        </w:tabs>
        <w:spacing w:line="360" w:lineRule="auto"/>
        <w:ind w:left="425" w:leftChars="0" w:firstLine="41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配备国产服务器和国产操作系统。</w:t>
      </w:r>
    </w:p>
    <w:p w14:paraId="7D7ACA0C">
      <w:pPr>
        <w:pStyle w:val="20"/>
        <w:numPr>
          <w:ilvl w:val="0"/>
          <w:numId w:val="0"/>
        </w:numPr>
        <w:tabs>
          <w:tab w:val="left" w:pos="605"/>
        </w:tabs>
        <w:spacing w:line="360" w:lineRule="auto"/>
        <w:ind w:leftChars="200"/>
        <w:rPr>
          <w:rFonts w:hint="eastAsia" w:ascii="仿宋" w:hAnsi="仿宋" w:eastAsia="仿宋" w:cs="仿宋"/>
          <w:color w:val="auto"/>
          <w:sz w:val="24"/>
          <w:szCs w:val="24"/>
          <w:lang w:val="en-US" w:eastAsia="zh-CN"/>
        </w:rPr>
      </w:pPr>
    </w:p>
    <w:p w14:paraId="6E86DFAB">
      <w:pPr>
        <w:pStyle w:val="20"/>
        <w:numPr>
          <w:ilvl w:val="0"/>
          <w:numId w:val="9"/>
        </w:numPr>
        <w:tabs>
          <w:tab w:val="left" w:pos="605"/>
        </w:tabs>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其他技术要求</w:t>
      </w:r>
    </w:p>
    <w:p w14:paraId="5BB60987">
      <w:pPr>
        <w:pStyle w:val="20"/>
        <w:numPr>
          <w:ilvl w:val="0"/>
          <w:numId w:val="13"/>
        </w:numPr>
        <w:tabs>
          <w:tab w:val="left" w:pos="605"/>
        </w:tabs>
        <w:spacing w:line="360" w:lineRule="auto"/>
        <w:ind w:left="424" w:leftChars="202" w:firstLine="414" w:firstLineChars="172"/>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中转大料箱</w:t>
      </w:r>
    </w:p>
    <w:p w14:paraId="6C68DA1D">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内尺寸：</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L920×720×300mm</w:t>
      </w:r>
    </w:p>
    <w:p w14:paraId="0914625D">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外尺寸：</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L960×760×340mm</w:t>
      </w:r>
    </w:p>
    <w:p w14:paraId="0136838B">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专门定制整套成型模具，采用优质原料注塑成型；</w:t>
      </w:r>
    </w:p>
    <w:p w14:paraId="6FB2116E">
      <w:pPr>
        <w:numPr>
          <w:ilvl w:val="0"/>
          <w:numId w:val="14"/>
        </w:numPr>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结构强度高，坚固结实；</w:t>
      </w:r>
    </w:p>
    <w:p w14:paraId="6B32994B">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有一定弹性，耐冲击，可反复使用；</w:t>
      </w:r>
    </w:p>
    <w:p w14:paraId="6E2FE7F4">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自重≤8.5kg，承重不小于60 kg；</w:t>
      </w:r>
    </w:p>
    <w:p w14:paraId="0F32675C">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内壁光滑，无毛刺、无凸起；</w:t>
      </w:r>
    </w:p>
    <w:p w14:paraId="555A2640">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内部尺寸保证与</w:t>
      </w:r>
      <w:r>
        <w:rPr>
          <w:rFonts w:hint="eastAsia" w:ascii="仿宋" w:hAnsi="仿宋" w:eastAsia="仿宋" w:cs="仿宋"/>
          <w:color w:val="auto"/>
          <w:sz w:val="24"/>
          <w:szCs w:val="24"/>
          <w:lang w:val="en-US" w:eastAsia="zh-CN"/>
        </w:rPr>
        <w:t>棉样高效压缩储纳箱</w:t>
      </w:r>
      <w:r>
        <w:rPr>
          <w:rFonts w:hint="eastAsia" w:ascii="仿宋" w:hAnsi="仿宋" w:eastAsia="仿宋" w:cs="仿宋"/>
          <w:color w:val="auto"/>
          <w:sz w:val="24"/>
          <w:szCs w:val="24"/>
          <w:highlight w:val="none"/>
          <w:lang w:val="en-US" w:eastAsia="zh-CN"/>
        </w:rPr>
        <w:t>完美配合，存取便捷；</w:t>
      </w:r>
    </w:p>
    <w:p w14:paraId="02CF898F">
      <w:pPr>
        <w:numPr>
          <w:ilvl w:val="0"/>
          <w:numId w:val="14"/>
        </w:numPr>
        <w:spacing w:line="360" w:lineRule="auto"/>
        <w:ind w:left="0" w:leftChars="0" w:firstLine="840" w:firstLineChars="3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箱底采用防滑设计，防止运输途中滑落。</w:t>
      </w:r>
    </w:p>
    <w:p w14:paraId="66E47AEA">
      <w:pPr>
        <w:pStyle w:val="20"/>
        <w:widowControl w:val="0"/>
        <w:numPr>
          <w:ilvl w:val="0"/>
          <w:numId w:val="0"/>
        </w:numPr>
        <w:tabs>
          <w:tab w:val="left" w:pos="605"/>
        </w:tabs>
        <w:snapToGrid w:val="0"/>
        <w:spacing w:line="360" w:lineRule="auto"/>
        <w:jc w:val="left"/>
        <w:rPr>
          <w:rFonts w:hint="eastAsia" w:ascii="仿宋" w:hAnsi="仿宋" w:eastAsia="仿宋" w:cs="仿宋"/>
          <w:color w:val="auto"/>
          <w:sz w:val="24"/>
          <w:szCs w:val="24"/>
          <w:lang w:val="en-US" w:eastAsia="zh-CN"/>
        </w:rPr>
      </w:pPr>
    </w:p>
    <w:p w14:paraId="451D09A3">
      <w:pPr>
        <w:pStyle w:val="20"/>
        <w:numPr>
          <w:ilvl w:val="0"/>
          <w:numId w:val="13"/>
        </w:numPr>
        <w:tabs>
          <w:tab w:val="left" w:pos="605"/>
        </w:tabs>
        <w:spacing w:line="360" w:lineRule="auto"/>
        <w:ind w:left="424" w:leftChars="202" w:firstLine="414" w:firstLineChars="17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货架利旧</w:t>
      </w:r>
    </w:p>
    <w:p w14:paraId="3CF5088D">
      <w:pPr>
        <w:pStyle w:val="20"/>
        <w:numPr>
          <w:ilvl w:val="0"/>
          <w:numId w:val="15"/>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旧实验室清样区改为留样室二；</w:t>
      </w:r>
    </w:p>
    <w:p w14:paraId="5A7A5069">
      <w:pPr>
        <w:pStyle w:val="20"/>
        <w:numPr>
          <w:ilvl w:val="0"/>
          <w:numId w:val="15"/>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需要要把大库房内现有钢质立体货架拆解后搬运留样室二进行安装；</w:t>
      </w:r>
    </w:p>
    <w:p w14:paraId="66717E88">
      <w:pPr>
        <w:pStyle w:val="20"/>
        <w:numPr>
          <w:ilvl w:val="0"/>
          <w:numId w:val="15"/>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规格：长1150*宽850mm*高4200mm（现有规格）；</w:t>
      </w:r>
    </w:p>
    <w:p w14:paraId="31BA99F3">
      <w:pPr>
        <w:pStyle w:val="20"/>
        <w:numPr>
          <w:ilvl w:val="0"/>
          <w:numId w:val="15"/>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搬迁安装数量：58组；</w:t>
      </w:r>
    </w:p>
    <w:p w14:paraId="4A410C1F">
      <w:pPr>
        <w:pStyle w:val="20"/>
        <w:numPr>
          <w:ilvl w:val="0"/>
          <w:numId w:val="15"/>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货架层高不变，货架通道不小于900mm。</w:t>
      </w:r>
    </w:p>
    <w:p w14:paraId="5F4B37ED">
      <w:pPr>
        <w:pStyle w:val="20"/>
        <w:numPr>
          <w:ilvl w:val="0"/>
          <w:numId w:val="0"/>
        </w:numPr>
        <w:tabs>
          <w:tab w:val="left" w:pos="605"/>
        </w:tabs>
        <w:spacing w:line="360" w:lineRule="auto"/>
        <w:rPr>
          <w:rFonts w:hint="default" w:ascii="仿宋" w:hAnsi="仿宋" w:eastAsia="仿宋" w:cs="仿宋"/>
          <w:color w:val="auto"/>
          <w:sz w:val="24"/>
          <w:szCs w:val="24"/>
          <w:lang w:val="en-US" w:eastAsia="zh-CN"/>
        </w:rPr>
      </w:pPr>
    </w:p>
    <w:p w14:paraId="5B55D4A4">
      <w:pPr>
        <w:pStyle w:val="20"/>
        <w:numPr>
          <w:ilvl w:val="0"/>
          <w:numId w:val="13"/>
        </w:numPr>
        <w:tabs>
          <w:tab w:val="left" w:pos="605"/>
        </w:tabs>
        <w:spacing w:line="360" w:lineRule="auto"/>
        <w:ind w:left="424" w:leftChars="202" w:firstLine="414" w:firstLineChars="172"/>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自行式高空作业平台</w:t>
      </w:r>
    </w:p>
    <w:p w14:paraId="5CAC7FE2">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最大工作高度</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5.8m；</w:t>
      </w:r>
    </w:p>
    <w:p w14:paraId="64E946C5">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最大平台高度</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3.8m；</w:t>
      </w:r>
    </w:p>
    <w:p w14:paraId="7F2A8DB3">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工作平台尺寸(长</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宽</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高)：</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1.29×0.7×1.05m</w:t>
      </w:r>
    </w:p>
    <w:p w14:paraId="471F6256">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整机外形尺寸(长</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宽</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高，护栏未折叠)：</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1.43×0.76×2.0m</w:t>
      </w:r>
    </w:p>
    <w:p w14:paraId="79A93884">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整机外形尺寸(长</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宽</w:t>
      </w:r>
      <w:r>
        <w:rPr>
          <w:rFonts w:hint="default" w:ascii="Arial" w:hAnsi="Arial" w:eastAsia="仿宋" w:cs="Arial"/>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 xml:space="preserve">高，护栏折叠)： </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 xml:space="preserve"> 1.43×0.76×1.64m</w:t>
      </w:r>
    </w:p>
    <w:p w14:paraId="60A715E9">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台面延伸尺寸：</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0.6m</w:t>
      </w:r>
    </w:p>
    <w:p w14:paraId="11158C81">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安全工作载荷：≥240kg</w:t>
      </w:r>
    </w:p>
    <w:p w14:paraId="241A364C">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延伸平台安全工作载荷：≥100kg</w:t>
      </w:r>
    </w:p>
    <w:p w14:paraId="59E52C29">
      <w:pPr>
        <w:pStyle w:val="20"/>
        <w:numPr>
          <w:ilvl w:val="0"/>
          <w:numId w:val="16"/>
        </w:numPr>
        <w:tabs>
          <w:tab w:val="left" w:pos="605"/>
        </w:tabs>
        <w:spacing w:line="360" w:lineRule="auto"/>
        <w:ind w:left="0" w:leftChars="0" w:firstLine="840" w:firstLineChars="35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整机重量：</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890kg</w:t>
      </w:r>
    </w:p>
    <w:p w14:paraId="45E1EFFC">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转弯半径(外轮/内轮)：</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1.35/0.3m</w:t>
      </w:r>
    </w:p>
    <w:p w14:paraId="3466C18E">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驱动电机：2×24V DC/0.5kw</w:t>
      </w:r>
    </w:p>
    <w:p w14:paraId="1E4ED1E4">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起升电机：24V DC/0.8kw</w:t>
      </w:r>
    </w:p>
    <w:p w14:paraId="2A4B28C5">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升降速度：4-6m/min</w:t>
      </w:r>
    </w:p>
    <w:p w14:paraId="16A42958">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机器行驶速度(收拢状态)：</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4.0km/h</w:t>
      </w:r>
    </w:p>
    <w:p w14:paraId="4FE02DFF">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机器行驶速度(升起状态)：</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0.5km/h</w:t>
      </w:r>
    </w:p>
    <w:p w14:paraId="7654A05B">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最大爬坡能力：</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25%</w:t>
      </w:r>
    </w:p>
    <w:p w14:paraId="4B0BCFA2">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工作最大允许角度：</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b w:val="0"/>
          <w:bCs w:val="0"/>
          <w:color w:val="auto"/>
          <w:sz w:val="24"/>
          <w:szCs w:val="24"/>
          <w:lang w:val="en-US" w:eastAsia="zh-CN"/>
        </w:rPr>
        <w:t>2°/3°</w:t>
      </w:r>
    </w:p>
    <w:p w14:paraId="46162E21">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驱动轮：Φ230×80mm</w:t>
      </w:r>
    </w:p>
    <w:p w14:paraId="4768A00C">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前  轮：Φ230×80mm</w:t>
      </w:r>
    </w:p>
    <w:p w14:paraId="05812D86">
      <w:pPr>
        <w:pStyle w:val="20"/>
        <w:numPr>
          <w:ilvl w:val="0"/>
          <w:numId w:val="16"/>
        </w:numPr>
        <w:tabs>
          <w:tab w:val="left" w:pos="605"/>
        </w:tabs>
        <w:spacing w:line="360" w:lineRule="auto"/>
        <w:ind w:left="0" w:leftChars="0" w:firstLine="840" w:firstLineChars="35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蓄电池：2×12V/80Ah</w:t>
      </w:r>
    </w:p>
    <w:p w14:paraId="01697C96">
      <w:pPr>
        <w:pStyle w:val="20"/>
        <w:numPr>
          <w:ilvl w:val="0"/>
          <w:numId w:val="0"/>
        </w:numPr>
        <w:tabs>
          <w:tab w:val="left" w:pos="605"/>
        </w:tabs>
        <w:spacing w:line="360" w:lineRule="auto"/>
        <w:ind w:leftChars="350"/>
        <w:rPr>
          <w:rFonts w:hint="default" w:ascii="仿宋" w:hAnsi="仿宋" w:eastAsia="仿宋" w:cs="仿宋"/>
          <w:b w:val="0"/>
          <w:bCs w:val="0"/>
          <w:color w:val="auto"/>
          <w:sz w:val="24"/>
          <w:szCs w:val="24"/>
          <w:lang w:val="en-US" w:eastAsia="zh-CN"/>
        </w:rPr>
      </w:pPr>
    </w:p>
    <w:p w14:paraId="5A8C5164">
      <w:pPr>
        <w:pStyle w:val="20"/>
        <w:numPr>
          <w:ilvl w:val="0"/>
          <w:numId w:val="13"/>
        </w:numPr>
        <w:tabs>
          <w:tab w:val="left" w:pos="605"/>
        </w:tabs>
        <w:spacing w:line="360" w:lineRule="auto"/>
        <w:ind w:left="424" w:leftChars="202" w:firstLine="414" w:firstLineChars="172"/>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网络及导航设施</w:t>
      </w:r>
    </w:p>
    <w:p w14:paraId="651D48D3">
      <w:pPr>
        <w:pStyle w:val="20"/>
        <w:numPr>
          <w:ilvl w:val="0"/>
          <w:numId w:val="17"/>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投标人根据自己的方案，布设网络线路，配备交换机、路由器等设施；</w:t>
      </w:r>
    </w:p>
    <w:p w14:paraId="14CEC5D6">
      <w:pPr>
        <w:pStyle w:val="20"/>
        <w:numPr>
          <w:ilvl w:val="0"/>
          <w:numId w:val="17"/>
        </w:numPr>
        <w:tabs>
          <w:tab w:val="left" w:pos="605"/>
        </w:tabs>
        <w:spacing w:line="360" w:lineRule="auto"/>
        <w:ind w:left="1260" w:leftChars="400" w:hanging="420" w:hangingChars="175"/>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✱投标人配备的通信网络设施必须要适应现场环境条件，确保AGV能正常工作，满足检验工作需要；</w:t>
      </w:r>
    </w:p>
    <w:p w14:paraId="77F33043">
      <w:pPr>
        <w:pStyle w:val="20"/>
        <w:numPr>
          <w:ilvl w:val="0"/>
          <w:numId w:val="17"/>
        </w:numPr>
        <w:tabs>
          <w:tab w:val="left" w:pos="605"/>
        </w:tabs>
        <w:spacing w:line="360" w:lineRule="auto"/>
        <w:ind w:left="0" w:leftChars="0" w:firstLine="840" w:firstLineChars="3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投标人根据自己的方案，配备AGV导航设施；</w:t>
      </w:r>
    </w:p>
    <w:p w14:paraId="3C28474E">
      <w:pPr>
        <w:pStyle w:val="20"/>
        <w:numPr>
          <w:ilvl w:val="0"/>
          <w:numId w:val="17"/>
        </w:numPr>
        <w:tabs>
          <w:tab w:val="left" w:pos="605"/>
        </w:tabs>
        <w:spacing w:line="360" w:lineRule="auto"/>
        <w:ind w:left="1260" w:leftChars="400" w:hanging="420" w:hangingChars="175"/>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✱导航设施必须要适应现场环境条件，确保AGV能正常工作，满足检验工作需要；</w:t>
      </w:r>
    </w:p>
    <w:p w14:paraId="2DB7D171">
      <w:pPr>
        <w:pStyle w:val="20"/>
        <w:numPr>
          <w:ilvl w:val="0"/>
          <w:numId w:val="17"/>
        </w:numPr>
        <w:tabs>
          <w:tab w:val="left" w:pos="605"/>
        </w:tabs>
        <w:spacing w:line="360" w:lineRule="auto"/>
        <w:ind w:left="0" w:leftChars="0" w:firstLine="840" w:firstLineChars="35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上述通信网络设施和导航设施计入投标总价。</w:t>
      </w:r>
    </w:p>
    <w:p w14:paraId="2BB2E1C4">
      <w:pPr>
        <w:pStyle w:val="20"/>
        <w:widowControl w:val="0"/>
        <w:numPr>
          <w:ilvl w:val="0"/>
          <w:numId w:val="0"/>
        </w:numPr>
        <w:tabs>
          <w:tab w:val="left" w:pos="605"/>
        </w:tabs>
        <w:snapToGrid w:val="0"/>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7D844F8">
      <w:pPr>
        <w:keepNext w:val="0"/>
        <w:keepLines w:val="0"/>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210" w:leftChars="0" w:hanging="210" w:firstLineChars="0"/>
        <w:jc w:val="both"/>
        <w:textAlignment w:val="baseline"/>
        <w:outlineLvl w:val="9"/>
        <w:rPr>
          <w:rFonts w:hint="eastAsia" w:ascii="仿宋" w:hAnsi="仿宋" w:eastAsia="仿宋" w:cs="仿宋"/>
          <w:b/>
          <w:bCs/>
          <w:i w:val="0"/>
          <w:caps w:val="0"/>
          <w:color w:val="auto"/>
          <w:spacing w:val="0"/>
          <w:w w:val="100"/>
          <w:sz w:val="24"/>
          <w:szCs w:val="24"/>
          <w:highlight w:val="none"/>
          <w:shd w:val="clear" w:color="auto" w:fill="auto"/>
          <w:lang w:val="en-US" w:eastAsia="zh-CN"/>
        </w:rPr>
      </w:pPr>
      <w:r>
        <w:rPr>
          <w:rFonts w:hint="eastAsia" w:ascii="仿宋" w:hAnsi="仿宋" w:eastAsia="仿宋" w:cs="仿宋"/>
          <w:b/>
          <w:bCs/>
          <w:i w:val="0"/>
          <w:caps w:val="0"/>
          <w:color w:val="auto"/>
          <w:spacing w:val="0"/>
          <w:w w:val="100"/>
          <w:sz w:val="24"/>
          <w:szCs w:val="24"/>
          <w:highlight w:val="none"/>
          <w:shd w:val="clear" w:color="auto" w:fill="auto"/>
          <w:lang w:val="en-US" w:eastAsia="zh-CN"/>
        </w:rPr>
        <w:t>项目界面</w:t>
      </w:r>
    </w:p>
    <w:p w14:paraId="2B264C11">
      <w:pPr>
        <w:pStyle w:val="20"/>
        <w:spacing w:line="360" w:lineRule="auto"/>
        <w:rPr>
          <w:rFonts w:hint="eastAsia" w:ascii="仿宋" w:hAnsi="仿宋" w:eastAsia="仿宋" w:cs="仿宋"/>
          <w:color w:val="auto"/>
          <w:lang w:val="en-US" w:eastAsia="zh-CN"/>
        </w:rPr>
      </w:pPr>
    </w:p>
    <w:p w14:paraId="50BBF4D1">
      <w:pPr>
        <w:pStyle w:val="20"/>
        <w:tabs>
          <w:tab w:val="left" w:pos="605"/>
        </w:tabs>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采购人：</w:t>
      </w:r>
    </w:p>
    <w:p w14:paraId="4C4AE539">
      <w:pPr>
        <w:pStyle w:val="20"/>
        <w:numPr>
          <w:ilvl w:val="0"/>
          <w:numId w:val="18"/>
        </w:numPr>
        <w:tabs>
          <w:tab w:val="left" w:pos="605"/>
        </w:tabs>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负责按AGV中标供应商要求，对个别门体、建筑地面、坡道进行改造；</w:t>
      </w:r>
    </w:p>
    <w:p w14:paraId="5101BB04">
      <w:pPr>
        <w:pStyle w:val="20"/>
        <w:numPr>
          <w:ilvl w:val="0"/>
          <w:numId w:val="18"/>
        </w:numPr>
        <w:tabs>
          <w:tab w:val="left" w:pos="605"/>
        </w:tabs>
        <w:spacing w:line="360" w:lineRule="auto"/>
        <w:ind w:left="0" w:leftChars="0" w:firstLine="480" w:firstLineChars="200"/>
        <w:rPr>
          <w:rFonts w:hint="eastAsia" w:ascii="仿宋" w:hAnsi="仿宋" w:eastAsia="仿宋" w:cs="仿宋"/>
          <w:b w:val="0"/>
          <w:bCs/>
          <w:color w:val="auto"/>
          <w:sz w:val="24"/>
          <w:szCs w:val="24"/>
          <w:shd w:val="clear" w:color="auto" w:fill="auto"/>
          <w:lang w:val="en-US" w:eastAsia="zh-CN"/>
        </w:rPr>
      </w:pPr>
      <w:r>
        <w:rPr>
          <w:rFonts w:hint="eastAsia" w:ascii="仿宋" w:hAnsi="仿宋" w:eastAsia="仿宋" w:cs="仿宋"/>
          <w:color w:val="auto"/>
          <w:sz w:val="24"/>
          <w:szCs w:val="24"/>
          <w:lang w:val="en-US" w:eastAsia="zh-CN"/>
        </w:rPr>
        <w:t>AGV充电站内保证提供气体灭火系统、消防报警系统、防爆照明灯具；</w:t>
      </w:r>
    </w:p>
    <w:p w14:paraId="1BA1199A">
      <w:pPr>
        <w:pStyle w:val="20"/>
        <w:numPr>
          <w:ilvl w:val="0"/>
          <w:numId w:val="18"/>
        </w:numPr>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负责将供配电电缆引到AGV充电站配电箱内。</w:t>
      </w:r>
    </w:p>
    <w:p w14:paraId="2B208971">
      <w:pPr>
        <w:pStyle w:val="20"/>
        <w:spacing w:line="360" w:lineRule="auto"/>
        <w:ind w:firstLine="480" w:firstLineChars="200"/>
        <w:rPr>
          <w:rFonts w:hint="eastAsia" w:ascii="仿宋" w:hAnsi="仿宋" w:eastAsia="仿宋" w:cs="仿宋"/>
          <w:color w:val="auto"/>
          <w:sz w:val="24"/>
          <w:szCs w:val="24"/>
          <w:lang w:val="en-US" w:eastAsia="zh-CN"/>
        </w:rPr>
      </w:pPr>
    </w:p>
    <w:p w14:paraId="65542941">
      <w:pPr>
        <w:pStyle w:val="2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w:t>
      </w:r>
    </w:p>
    <w:p w14:paraId="79DAA377">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提供门体改造的规格和要求给业主；</w:t>
      </w:r>
    </w:p>
    <w:p w14:paraId="1B5E362A">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AGV充电站配电箱内出线到各充电桩的连线由投标人负责；</w:t>
      </w:r>
    </w:p>
    <w:p w14:paraId="2ED3BC5A">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提供AGV调度系统所需要的网络交换机、路由器、相关网线等；包含在投标清单报价中；</w:t>
      </w:r>
    </w:p>
    <w:p w14:paraId="1BB4A6D5">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负责供货设备设施的安装调试，质保期保障和售后服务，保证正常运行，实现招标人的目标；</w:t>
      </w:r>
    </w:p>
    <w:p w14:paraId="504C2B23">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本AGV设备及调度管理系统安装调试运行正常后，厂家专业工程师必须驻扎现场提供陪产运行服务，时间不少于30天；</w:t>
      </w:r>
    </w:p>
    <w:p w14:paraId="576D65DE">
      <w:pPr>
        <w:pStyle w:val="20"/>
        <w:numPr>
          <w:ilvl w:val="0"/>
          <w:numId w:val="19"/>
        </w:numPr>
        <w:spacing w:line="360" w:lineRule="auto"/>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本项目所有投标设备及系统提供一年免费质保期，必须包含一个完整的棉花公检期在内。</w:t>
      </w:r>
    </w:p>
    <w:p w14:paraId="06106C5E">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3AA64E10">
      <w:pPr>
        <w:pStyle w:val="130"/>
        <w:numPr>
          <w:ilvl w:val="0"/>
          <w:numId w:val="7"/>
        </w:numPr>
        <w:spacing w:line="360" w:lineRule="auto"/>
        <w:ind w:left="0" w:leftChars="0" w:firstLine="0" w:firstLineChars="0"/>
        <w:outlineLvl w:val="1"/>
        <w:rPr>
          <w:rFonts w:hint="eastAsia" w:ascii="仿宋" w:hAnsi="仿宋" w:eastAsia="仿宋" w:cs="仿宋"/>
          <w:color w:val="auto"/>
          <w:shd w:val="clear" w:color="auto" w:fill="auto"/>
        </w:rPr>
      </w:pPr>
      <w:bookmarkStart w:id="733" w:name="_Toc8676"/>
      <w:r>
        <w:rPr>
          <w:rFonts w:hint="eastAsia" w:ascii="仿宋" w:hAnsi="仿宋" w:eastAsia="仿宋" w:cs="仿宋"/>
          <w:color w:val="auto"/>
          <w:sz w:val="28"/>
          <w:szCs w:val="28"/>
          <w:highlight w:val="none"/>
          <w:shd w:val="clear" w:color="auto" w:fill="auto"/>
          <w:lang w:val="en-US" w:eastAsia="zh-CN"/>
        </w:rPr>
        <w:t>采购清单</w:t>
      </w:r>
      <w:bookmarkEnd w:id="733"/>
    </w:p>
    <w:tbl>
      <w:tblPr>
        <w:tblStyle w:val="27"/>
        <w:tblW w:w="91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1397"/>
        <w:gridCol w:w="5777"/>
        <w:gridCol w:w="770"/>
        <w:gridCol w:w="580"/>
      </w:tblGrid>
      <w:tr w14:paraId="030B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blHeader/>
        </w:trPr>
        <w:tc>
          <w:tcPr>
            <w:tcW w:w="9116" w:type="dxa"/>
            <w:gridSpan w:val="5"/>
            <w:tcBorders>
              <w:top w:val="single" w:color="000000" w:sz="8" w:space="0"/>
              <w:left w:val="single" w:color="000000" w:sz="8" w:space="0"/>
              <w:bottom w:val="single" w:color="000000" w:sz="4" w:space="0"/>
              <w:right w:val="single" w:color="000000" w:sz="4" w:space="0"/>
            </w:tcBorders>
            <w:noWrap w:val="0"/>
            <w:vAlign w:val="center"/>
          </w:tcPr>
          <w:p w14:paraId="71F01C8D">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shd w:val="clear" w:color="auto" w:fill="auto"/>
                <w:lang w:val="en-US" w:eastAsia="zh-CN" w:bidi="ar"/>
              </w:rPr>
            </w:pPr>
            <w:r>
              <w:rPr>
                <w:rFonts w:hint="eastAsia" w:ascii="仿宋" w:hAnsi="仿宋" w:eastAsia="仿宋" w:cs="仿宋"/>
                <w:b/>
                <w:bCs/>
                <w:i w:val="0"/>
                <w:iCs w:val="0"/>
                <w:color w:val="auto"/>
                <w:kern w:val="0"/>
                <w:sz w:val="28"/>
                <w:szCs w:val="28"/>
                <w:u w:val="none"/>
                <w:shd w:val="clear" w:color="auto" w:fill="auto"/>
                <w:lang w:val="en-US" w:eastAsia="zh-CN" w:bidi="ar"/>
              </w:rPr>
              <w:t>喀什地区纤维检验所棉花公检实验室AGV自动转运调度系统项目</w:t>
            </w:r>
          </w:p>
          <w:p w14:paraId="5E1AAC51">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shd w:val="clear" w:color="auto" w:fill="auto"/>
              </w:rPr>
            </w:pPr>
            <w:r>
              <w:rPr>
                <w:rFonts w:hint="eastAsia" w:ascii="仿宋" w:hAnsi="仿宋" w:eastAsia="仿宋" w:cs="仿宋"/>
                <w:b/>
                <w:bCs/>
                <w:i w:val="0"/>
                <w:iCs w:val="0"/>
                <w:color w:val="auto"/>
                <w:kern w:val="0"/>
                <w:sz w:val="28"/>
                <w:szCs w:val="28"/>
                <w:u w:val="none"/>
                <w:shd w:val="clear" w:color="auto" w:fill="auto"/>
                <w:lang w:val="en-US" w:eastAsia="zh-CN" w:bidi="ar"/>
              </w:rPr>
              <w:t>采购清单</w:t>
            </w:r>
          </w:p>
        </w:tc>
      </w:tr>
      <w:tr w14:paraId="38A3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592" w:type="dxa"/>
            <w:tcBorders>
              <w:top w:val="single" w:color="000000" w:sz="4" w:space="0"/>
              <w:left w:val="single" w:color="000000" w:sz="8" w:space="0"/>
              <w:bottom w:val="single" w:color="000000" w:sz="4" w:space="0"/>
              <w:right w:val="single" w:color="000000" w:sz="4" w:space="0"/>
            </w:tcBorders>
            <w:noWrap w:val="0"/>
            <w:vAlign w:val="center"/>
          </w:tcPr>
          <w:p w14:paraId="78687E9B">
            <w:pPr>
              <w:keepNext w:val="0"/>
              <w:keepLines w:val="0"/>
              <w:widowControl/>
              <w:suppressLineNumbers w:val="0"/>
              <w:jc w:val="center"/>
              <w:textAlignment w:val="cente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2"/>
                <w:szCs w:val="22"/>
                <w:u w:val="none"/>
                <w:shd w:val="clear" w:color="auto" w:fill="auto"/>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49FD9FC">
            <w:pPr>
              <w:keepNext w:val="0"/>
              <w:keepLines w:val="0"/>
              <w:widowControl/>
              <w:suppressLineNumbers w:val="0"/>
              <w:jc w:val="center"/>
              <w:textAlignment w:val="cente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2"/>
                <w:szCs w:val="22"/>
                <w:u w:val="none"/>
                <w:shd w:val="clear" w:color="auto" w:fill="auto"/>
                <w:lang w:val="en-US" w:eastAsia="zh-CN" w:bidi="ar"/>
              </w:rPr>
              <w:t>分项名称</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2266BE42">
            <w:pPr>
              <w:keepNext w:val="0"/>
              <w:keepLines w:val="0"/>
              <w:widowControl/>
              <w:suppressLineNumbers w:val="0"/>
              <w:jc w:val="center"/>
              <w:textAlignment w:val="center"/>
              <w:rPr>
                <w:rFonts w:hint="eastAsia" w:ascii="仿宋" w:hAnsi="仿宋" w:eastAsia="仿宋" w:cs="仿宋"/>
                <w:i w:val="0"/>
                <w:iCs w:val="0"/>
                <w:color w:val="auto"/>
                <w:sz w:val="22"/>
                <w:szCs w:val="22"/>
                <w:u w:val="none"/>
                <w:shd w:val="clear" w:color="auto" w:fill="auto"/>
                <w:lang w:val="en-US"/>
              </w:rPr>
            </w:pPr>
            <w:r>
              <w:rPr>
                <w:rFonts w:hint="eastAsia" w:ascii="仿宋" w:hAnsi="仿宋" w:eastAsia="仿宋" w:cs="仿宋"/>
                <w:i w:val="0"/>
                <w:iCs w:val="0"/>
                <w:color w:val="auto"/>
                <w:kern w:val="0"/>
                <w:sz w:val="22"/>
                <w:szCs w:val="22"/>
                <w:u w:val="none"/>
                <w:shd w:val="clear" w:color="auto" w:fill="auto"/>
                <w:lang w:val="en-US" w:eastAsia="zh-CN" w:bidi="ar"/>
              </w:rPr>
              <w:t>规格参数/技术要求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505199">
            <w:pPr>
              <w:keepNext w:val="0"/>
              <w:keepLines w:val="0"/>
              <w:widowControl/>
              <w:suppressLineNumbers w:val="0"/>
              <w:jc w:val="center"/>
              <w:textAlignment w:val="cente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2"/>
                <w:szCs w:val="22"/>
                <w:u w:val="none"/>
                <w:shd w:val="clear" w:color="auto" w:fill="auto"/>
                <w:lang w:val="en-US" w:eastAsia="zh-CN" w:bidi="ar"/>
              </w:rPr>
              <w:t>数量</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2D4C1A20">
            <w:pPr>
              <w:keepNext w:val="0"/>
              <w:keepLines w:val="0"/>
              <w:widowControl/>
              <w:suppressLineNumbers w:val="0"/>
              <w:jc w:val="center"/>
              <w:textAlignment w:val="cente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2"/>
                <w:szCs w:val="22"/>
                <w:u w:val="none"/>
                <w:shd w:val="clear" w:color="auto" w:fill="auto"/>
                <w:lang w:val="en-US" w:eastAsia="zh-CN" w:bidi="ar"/>
              </w:rPr>
              <w:t>单位</w:t>
            </w:r>
          </w:p>
        </w:tc>
      </w:tr>
      <w:tr w14:paraId="556E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A20EE8">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EDC32E0">
            <w:pPr>
              <w:keepNext w:val="0"/>
              <w:keepLines w:val="0"/>
              <w:widowControl/>
              <w:suppressLineNumbers w:val="0"/>
              <w:jc w:val="left"/>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运输AGV</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298BF957">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负责空棉篮运送；</w:t>
            </w:r>
          </w:p>
          <w:p w14:paraId="7F37C031">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✱一次可装载20个空棉样篮；</w:t>
            </w:r>
          </w:p>
          <w:p w14:paraId="24E8156F">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✱人工上下料，操作简单、符合传统习惯；无操作障碍、作业效率高；</w:t>
            </w:r>
          </w:p>
          <w:p w14:paraId="70E29ACE">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✱运输过程不能发生AGV倾覆和空棉样篮散落事故，确保运输安全性；</w:t>
            </w:r>
          </w:p>
          <w:p w14:paraId="43A55F37">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✱结构与外形尺寸与现场条件匹配；</w:t>
            </w:r>
          </w:p>
          <w:p w14:paraId="650EC778">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AGV车身安全防护措施配备齐全；</w:t>
            </w:r>
          </w:p>
          <w:p w14:paraId="142F955F">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AGV专用通道空车最高运行速度不超过2m/s，AGV专用通道实车运行速度1.0-1.5m/s，人机混合通道实车运行速度0.5-1.0m/s；</w:t>
            </w:r>
          </w:p>
          <w:p w14:paraId="48783887">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color w:val="auto"/>
                <w:sz w:val="21"/>
                <w:szCs w:val="21"/>
                <w:lang w:val="en-US" w:eastAsia="zh-CN"/>
              </w:rPr>
              <w:t>车身高度≤2.4m；</w:t>
            </w:r>
          </w:p>
          <w:p w14:paraId="6D6C7E40">
            <w:pPr>
              <w:pStyle w:val="20"/>
              <w:keepNext w:val="0"/>
              <w:keepLines w:val="0"/>
              <w:pageBreakBefore w:val="0"/>
              <w:widowControl w:val="0"/>
              <w:numPr>
                <w:ilvl w:val="0"/>
                <w:numId w:val="21"/>
              </w:numPr>
              <w:tabs>
                <w:tab w:val="left" w:pos="605"/>
              </w:tabs>
              <w:kinsoku/>
              <w:wordWrap/>
              <w:overflowPunct/>
              <w:topLinePunct w:val="0"/>
              <w:autoSpaceDE/>
              <w:autoSpaceDN/>
              <w:bidi w:val="0"/>
              <w:adjustRightInd/>
              <w:snapToGrid w:val="0"/>
              <w:spacing w:line="240" w:lineRule="exact"/>
              <w:ind w:left="425" w:leftChars="0" w:hanging="425" w:firstLineChars="0"/>
              <w:jc w:val="left"/>
              <w:textAlignment w:val="auto"/>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color w:val="auto"/>
                <w:sz w:val="21"/>
                <w:szCs w:val="21"/>
                <w:lang w:val="en-US" w:eastAsia="zh-CN"/>
              </w:rPr>
              <w:t>低电量自动回充。</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6AC710E">
            <w:pPr>
              <w:keepNext w:val="0"/>
              <w:keepLines w:val="0"/>
              <w:widowControl/>
              <w:suppressLineNumbers w:val="0"/>
              <w:jc w:val="center"/>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8</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313DA3FB">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辆</w:t>
            </w:r>
          </w:p>
        </w:tc>
      </w:tr>
      <w:tr w14:paraId="57DA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7630C9">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5E48FC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中转AGV</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0F2191F5">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负责运送棉样高效压缩储纳箱；</w:t>
            </w:r>
          </w:p>
          <w:p w14:paraId="051FB151">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棉样克重在(130-145)g范围时，一次可装载6个压缩储纳箱；棉样克重在(110-129)g范围时，一次可装载8个压缩储纳箱；棉样克重在(90-109)g范围时，一次可装载10个压缩储纳箱。每个压缩储纳箱可存放一个检验批的留样56个。</w:t>
            </w:r>
          </w:p>
          <w:p w14:paraId="0CB452D6">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✱人工上下料，操作简单、无操作障碍、作业效率高；</w:t>
            </w:r>
          </w:p>
          <w:p w14:paraId="61D56D6F">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✱运输过程不能发生AGV倾覆和空棉样篮散落事故，确保运送作业安全性；</w:t>
            </w:r>
          </w:p>
          <w:p w14:paraId="1AC16DB6">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AGV车身安全防护措施配备齐全；</w:t>
            </w:r>
          </w:p>
          <w:p w14:paraId="0315E590">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✱结构与功能必须适应现场条件，确保运送作业可靠性；</w:t>
            </w:r>
          </w:p>
          <w:p w14:paraId="08044F57">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实车运行速度0.3-1.0m/s，可调；</w:t>
            </w:r>
          </w:p>
          <w:p w14:paraId="430DBD42">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✱中转AGV实载时，总高度</w:t>
            </w:r>
            <w:r>
              <w:rPr>
                <w:rFonts w:hint="default" w:ascii="Arial" w:hAnsi="Arial" w:eastAsia="仿宋" w:cs="Arial"/>
                <w:color w:val="auto"/>
                <w:sz w:val="24"/>
                <w:szCs w:val="24"/>
                <w:lang w:val="en-US" w:eastAsia="zh-CN"/>
              </w:rPr>
              <w:t>≤</w:t>
            </w:r>
            <w:r>
              <w:rPr>
                <w:rFonts w:hint="eastAsia" w:ascii="仿宋" w:hAnsi="仿宋" w:eastAsia="仿宋" w:cs="仿宋"/>
                <w:color w:val="auto"/>
                <w:sz w:val="21"/>
                <w:szCs w:val="21"/>
                <w:lang w:val="en-US" w:eastAsia="zh-CN"/>
              </w:rPr>
              <w:t>1.65m；</w:t>
            </w:r>
          </w:p>
          <w:p w14:paraId="74C1698E">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✱中转AGV具有和留样库专用升降AGV自动对接、交接货物功能，确保可持续发展性；</w:t>
            </w:r>
          </w:p>
          <w:p w14:paraId="6EB4D7E5">
            <w:pPr>
              <w:pStyle w:val="20"/>
              <w:numPr>
                <w:ilvl w:val="0"/>
                <w:numId w:val="22"/>
              </w:numPr>
              <w:tabs>
                <w:tab w:val="left" w:pos="605"/>
              </w:tabs>
              <w:spacing w:line="240" w:lineRule="auto"/>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低电量自动回充。</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EFD9E7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7497362A">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辆</w:t>
            </w:r>
          </w:p>
        </w:tc>
      </w:tr>
      <w:tr w14:paraId="5EA3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68E960">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B4FA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充电桩</w:t>
            </w:r>
          </w:p>
        </w:tc>
        <w:tc>
          <w:tcPr>
            <w:tcW w:w="57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04DA4">
            <w:pPr>
              <w:keepNext w:val="0"/>
              <w:keepLines w:val="0"/>
              <w:widowControl/>
              <w:suppressLineNumbers w:val="0"/>
              <w:jc w:val="left"/>
              <w:textAlignment w:val="center"/>
              <w:rPr>
                <w:rFonts w:hint="default" w:ascii="仿宋" w:hAnsi="仿宋" w:eastAsia="仿宋" w:cs="仿宋"/>
                <w:i w:val="0"/>
                <w:iCs w:val="0"/>
                <w:color w:val="auto"/>
                <w:kern w:val="2"/>
                <w:sz w:val="21"/>
                <w:szCs w:val="21"/>
                <w:u w:val="none"/>
                <w:shd w:val="clear" w:color="auto" w:fill="auto"/>
                <w:lang w:val="en-US" w:eastAsia="zh-CN" w:bidi="ar-SA"/>
              </w:rPr>
            </w:pPr>
            <w:r>
              <w:rPr>
                <w:rFonts w:hint="eastAsia" w:ascii="仿宋" w:hAnsi="仿宋" w:eastAsia="仿宋" w:cs="仿宋"/>
                <w:i w:val="0"/>
                <w:iCs w:val="0"/>
                <w:color w:val="auto"/>
                <w:kern w:val="0"/>
                <w:sz w:val="21"/>
                <w:szCs w:val="21"/>
                <w:u w:val="none"/>
                <w:lang w:val="en-US" w:eastAsia="zh-CN" w:bidi="ar"/>
              </w:rPr>
              <w:t>220V/AC，AGV配套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BF39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shd w:val="clear" w:color="auto" w:fill="auto"/>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58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2398B278">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台</w:t>
            </w:r>
          </w:p>
        </w:tc>
      </w:tr>
      <w:tr w14:paraId="1B3B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88DE0B">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A69FBCC">
            <w:pPr>
              <w:keepNext w:val="0"/>
              <w:keepLines w:val="0"/>
              <w:widowControl/>
              <w:suppressLineNumbers w:val="0"/>
              <w:jc w:val="left"/>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AGV调度控制系统软件</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4A65D4AC">
            <w:pPr>
              <w:keepNext w:val="0"/>
              <w:keepLines w:val="0"/>
              <w:widowControl/>
              <w:suppressLineNumbers w:val="0"/>
              <w:jc w:val="left"/>
              <w:textAlignment w:val="center"/>
              <w:rPr>
                <w:rFonts w:hint="default" w:ascii="仿宋" w:hAnsi="仿宋" w:eastAsia="仿宋" w:cs="仿宋"/>
                <w:i w:val="0"/>
                <w:iCs w:val="0"/>
                <w:color w:val="auto"/>
                <w:sz w:val="21"/>
                <w:szCs w:val="21"/>
                <w:u w:val="none"/>
                <w:shd w:val="clear" w:color="auto" w:fill="auto"/>
                <w:lang w:val="en-US" w:eastAsia="zh-CN"/>
              </w:rPr>
            </w:pPr>
            <w:r>
              <w:rPr>
                <w:rFonts w:hint="eastAsia" w:ascii="仿宋" w:hAnsi="仿宋" w:eastAsia="仿宋" w:cs="仿宋"/>
                <w:i w:val="0"/>
                <w:iCs w:val="0"/>
                <w:color w:val="auto"/>
                <w:sz w:val="21"/>
                <w:szCs w:val="21"/>
                <w:u w:val="none"/>
                <w:shd w:val="clear" w:color="auto" w:fill="auto"/>
                <w:lang w:val="en-US" w:eastAsia="zh-CN"/>
              </w:rPr>
              <w:t>按本项目需求定制开发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91C30BC">
            <w:pPr>
              <w:keepNext w:val="0"/>
              <w:keepLines w:val="0"/>
              <w:widowControl/>
              <w:suppressLineNumbers w:val="0"/>
              <w:jc w:val="center"/>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2</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19D61DFE">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套</w:t>
            </w:r>
          </w:p>
        </w:tc>
      </w:tr>
      <w:tr w14:paraId="4F1F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EDB3C4">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450E7E6">
            <w:pPr>
              <w:keepNext w:val="0"/>
              <w:keepLines w:val="0"/>
              <w:widowControl/>
              <w:suppressLineNumbers w:val="0"/>
              <w:jc w:val="left"/>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服务器</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47BDE9E6">
            <w:pPr>
              <w:keepNext w:val="0"/>
              <w:keepLines w:val="0"/>
              <w:pageBreakBefore w:val="0"/>
              <w:widowControl/>
              <w:numPr>
                <w:ilvl w:val="0"/>
                <w:numId w:val="23"/>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国产品牌，非 OEM 产品，2U12盘位标准机架式服务器，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 配置</w:t>
            </w:r>
            <w:r>
              <w:rPr>
                <w:rFonts w:hint="eastAsia" w:ascii="仿宋" w:hAnsi="仿宋" w:eastAsia="仿宋" w:cs="仿宋"/>
                <w:i w:val="0"/>
                <w:iCs w:val="0"/>
                <w:color w:val="auto"/>
                <w:kern w:val="0"/>
                <w:sz w:val="21"/>
                <w:szCs w:val="21"/>
                <w:highlight w:val="none"/>
                <w:u w:val="none"/>
                <w:lang w:val="en-US" w:eastAsia="zh-CN" w:bidi="ar"/>
              </w:rPr>
              <w:t>2颗C86 5380（16C，2.5GHz）处理器</w:t>
            </w:r>
            <w:r>
              <w:rPr>
                <w:rFonts w:hint="eastAsia" w:ascii="仿宋" w:hAnsi="仿宋" w:eastAsia="仿宋" w:cs="仿宋"/>
                <w:i w:val="0"/>
                <w:iCs w:val="0"/>
                <w:color w:val="auto"/>
                <w:kern w:val="0"/>
                <w:sz w:val="21"/>
                <w:szCs w:val="21"/>
                <w:highlight w:val="cyan"/>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 内存：配置 2 条 32GB DDR4RDIMM-3200内存≥16个内存插槽；</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 硬盘：配置 1 块 480G SSD，1 块 4TB SATA 硬盘；</w:t>
            </w:r>
          </w:p>
          <w:p w14:paraId="1D073F4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kern w:val="0"/>
                <w:sz w:val="21"/>
                <w:szCs w:val="21"/>
                <w:u w:val="none"/>
                <w:lang w:val="en-US" w:eastAsia="zh-CN" w:bidi="ar"/>
              </w:rPr>
              <w:t>5) RAID 卡：2G RAID，支持RAID 0/1/5/10/50/60</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 网络：配置双口千兆；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7) 电源：配置 2 块 800W 白金高能效电源；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 银河麒麟服务器操作系统，原厂三年质保</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8512551">
            <w:pPr>
              <w:keepNext w:val="0"/>
              <w:keepLines w:val="0"/>
              <w:widowControl/>
              <w:suppressLineNumbers w:val="0"/>
              <w:jc w:val="center"/>
              <w:textAlignment w:val="center"/>
              <w:rPr>
                <w:rFonts w:hint="eastAsia" w:ascii="仿宋" w:hAnsi="仿宋" w:eastAsia="仿宋" w:cs="仿宋"/>
                <w:i w:val="0"/>
                <w:iCs w:val="0"/>
                <w:color w:val="auto"/>
                <w:sz w:val="24"/>
                <w:szCs w:val="24"/>
                <w:u w:val="none"/>
                <w:shd w:val="clear" w:color="auto" w:fill="auto"/>
              </w:rPr>
            </w:pPr>
            <w:r>
              <w:rPr>
                <w:rFonts w:hint="eastAsia" w:ascii="仿宋" w:hAnsi="仿宋" w:eastAsia="仿宋" w:cs="仿宋"/>
                <w:i w:val="0"/>
                <w:iCs w:val="0"/>
                <w:color w:val="auto"/>
                <w:kern w:val="0"/>
                <w:sz w:val="24"/>
                <w:szCs w:val="24"/>
                <w:u w:val="none"/>
                <w:lang w:val="en-US" w:eastAsia="zh-CN" w:bidi="ar"/>
              </w:rPr>
              <w:t>1</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029695DB">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台</w:t>
            </w:r>
          </w:p>
        </w:tc>
      </w:tr>
      <w:tr w14:paraId="6A6A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E83871">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3527C3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台式电脑</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1C43C28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1）腾锐D2000/8G/256G SSD/1G显存/光驱/键盘鼠标/13升/23.8英寸显示器。</w:t>
            </w:r>
          </w:p>
          <w:p w14:paraId="670F7E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2）麒麟桌面操作系统，原厂三年质保</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C26F5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6EAD4B14">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台</w:t>
            </w:r>
          </w:p>
        </w:tc>
      </w:tr>
      <w:tr w14:paraId="3D83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F621BB">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91F8C12">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中转大料箱</w:t>
            </w:r>
          </w:p>
          <w:p w14:paraId="7904F1C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1E61D45C">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内尺寸：</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color w:val="auto"/>
                <w:sz w:val="21"/>
                <w:szCs w:val="21"/>
                <w:highlight w:val="none"/>
                <w:lang w:val="en-US" w:eastAsia="zh-CN"/>
              </w:rPr>
              <w:t>L920×720×300mm</w:t>
            </w:r>
          </w:p>
          <w:p w14:paraId="1B55F0E5">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外尺寸：</w:t>
            </w:r>
            <w:r>
              <w:rPr>
                <w:rFonts w:hint="eastAsia" w:ascii="微软雅黑" w:hAnsi="微软雅黑" w:eastAsia="微软雅黑" w:cs="微软雅黑"/>
                <w:color w:val="auto"/>
                <w:sz w:val="24"/>
                <w:szCs w:val="24"/>
                <w:highlight w:val="none"/>
                <w:lang w:val="en-US" w:eastAsia="zh-CN"/>
              </w:rPr>
              <w:t>≦</w:t>
            </w:r>
            <w:r>
              <w:rPr>
                <w:rFonts w:hint="eastAsia" w:ascii="仿宋" w:hAnsi="仿宋" w:eastAsia="仿宋" w:cs="仿宋"/>
                <w:color w:val="auto"/>
                <w:sz w:val="21"/>
                <w:szCs w:val="21"/>
                <w:highlight w:val="none"/>
                <w:lang w:val="en-US" w:eastAsia="zh-CN"/>
              </w:rPr>
              <w:t>L960×760×340mm</w:t>
            </w:r>
          </w:p>
          <w:p w14:paraId="5F2DACDB">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专门定制整套成型模具，采用优质原料注塑成型；</w:t>
            </w:r>
          </w:p>
          <w:p w14:paraId="42903DDB">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结构强度高，坚固结实；</w:t>
            </w:r>
          </w:p>
          <w:p w14:paraId="704C4A48">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有一定弹性，耐冲击，可反复使用；</w:t>
            </w:r>
          </w:p>
          <w:p w14:paraId="6E387A08">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自重8.5kg，最大载重60 kg；</w:t>
            </w:r>
          </w:p>
          <w:p w14:paraId="4EDDB308">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内壁光滑，无毛刺、无凸起；</w:t>
            </w:r>
          </w:p>
          <w:p w14:paraId="3E90410A">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内部尺寸保证与</w:t>
            </w:r>
            <w:r>
              <w:rPr>
                <w:rFonts w:hint="eastAsia" w:ascii="仿宋" w:hAnsi="仿宋" w:eastAsia="仿宋" w:cs="仿宋"/>
                <w:color w:val="auto"/>
                <w:sz w:val="21"/>
                <w:szCs w:val="21"/>
                <w:lang w:val="en-US" w:eastAsia="zh-CN"/>
              </w:rPr>
              <w:t>棉样高效压缩储纳箱</w:t>
            </w:r>
            <w:r>
              <w:rPr>
                <w:rFonts w:hint="eastAsia" w:ascii="仿宋" w:hAnsi="仿宋" w:eastAsia="仿宋" w:cs="仿宋"/>
                <w:color w:val="auto"/>
                <w:sz w:val="21"/>
                <w:szCs w:val="21"/>
                <w:highlight w:val="none"/>
                <w:lang w:val="en-US" w:eastAsia="zh-CN"/>
              </w:rPr>
              <w:t>完美配合，存取便捷；</w:t>
            </w:r>
          </w:p>
          <w:p w14:paraId="66B249FB">
            <w:pPr>
              <w:keepNext w:val="0"/>
              <w:keepLines w:val="0"/>
              <w:pageBreakBefore w:val="0"/>
              <w:numPr>
                <w:ilvl w:val="0"/>
                <w:numId w:val="24"/>
              </w:numPr>
              <w:kinsoku/>
              <w:wordWrap/>
              <w:overflowPunct/>
              <w:topLinePunct w:val="0"/>
              <w:autoSpaceDE/>
              <w:autoSpaceDN/>
              <w:bidi w:val="0"/>
              <w:adjustRightInd/>
              <w:snapToGrid/>
              <w:spacing w:line="240" w:lineRule="exact"/>
              <w:ind w:left="425" w:leftChars="0" w:hanging="425" w:firstLineChars="0"/>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sz w:val="21"/>
                <w:szCs w:val="21"/>
                <w:highlight w:val="none"/>
                <w:lang w:val="en-US" w:eastAsia="zh-CN"/>
              </w:rPr>
              <w:t>箱底采用防滑设计，防止运输途中滑落。</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C1BCC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6BECEAC3">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个</w:t>
            </w:r>
          </w:p>
        </w:tc>
      </w:tr>
      <w:tr w14:paraId="55DD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B95FCD">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9FAACFE">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货架利旧</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395B4BEB">
            <w:pPr>
              <w:pStyle w:val="20"/>
              <w:keepNext w:val="0"/>
              <w:keepLines w:val="0"/>
              <w:pageBreakBefore w:val="0"/>
              <w:widowControl w:val="0"/>
              <w:numPr>
                <w:ilvl w:val="0"/>
                <w:numId w:val="25"/>
              </w:numPr>
              <w:tabs>
                <w:tab w:val="left" w:pos="605"/>
              </w:tabs>
              <w:kinsoku/>
              <w:wordWrap/>
              <w:overflowPunct/>
              <w:topLinePunct w:val="0"/>
              <w:autoSpaceDE/>
              <w:autoSpaceDN/>
              <w:bidi w:val="0"/>
              <w:adjustRightInd/>
              <w:snapToGrid w:val="0"/>
              <w:spacing w:line="24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现有钢质立体货架拆解搬运安装</w:t>
            </w:r>
          </w:p>
          <w:p w14:paraId="7FA52F49">
            <w:pPr>
              <w:pStyle w:val="20"/>
              <w:keepNext w:val="0"/>
              <w:keepLines w:val="0"/>
              <w:pageBreakBefore w:val="0"/>
              <w:widowControl w:val="0"/>
              <w:numPr>
                <w:ilvl w:val="0"/>
                <w:numId w:val="25"/>
              </w:numPr>
              <w:tabs>
                <w:tab w:val="left" w:pos="605"/>
              </w:tabs>
              <w:kinsoku/>
              <w:wordWrap/>
              <w:overflowPunct/>
              <w:topLinePunct w:val="0"/>
              <w:autoSpaceDE/>
              <w:autoSpaceDN/>
              <w:bidi w:val="0"/>
              <w:adjustRightInd/>
              <w:snapToGrid w:val="0"/>
              <w:spacing w:line="24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规格：长1150*宽850mm*高4200mm；</w:t>
            </w:r>
          </w:p>
          <w:p w14:paraId="68DDC305">
            <w:pPr>
              <w:pStyle w:val="20"/>
              <w:keepNext w:val="0"/>
              <w:keepLines w:val="0"/>
              <w:pageBreakBefore w:val="0"/>
              <w:widowControl w:val="0"/>
              <w:numPr>
                <w:ilvl w:val="0"/>
                <w:numId w:val="25"/>
              </w:numPr>
              <w:tabs>
                <w:tab w:val="left" w:pos="605"/>
              </w:tabs>
              <w:kinsoku/>
              <w:wordWrap/>
              <w:overflowPunct/>
              <w:topLinePunct w:val="0"/>
              <w:autoSpaceDE/>
              <w:autoSpaceDN/>
              <w:bidi w:val="0"/>
              <w:adjustRightInd/>
              <w:snapToGrid w:val="0"/>
              <w:spacing w:line="24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数量：58组；</w:t>
            </w:r>
          </w:p>
          <w:p w14:paraId="6A79E482">
            <w:pPr>
              <w:pStyle w:val="20"/>
              <w:keepNext w:val="0"/>
              <w:keepLines w:val="0"/>
              <w:pageBreakBefore w:val="0"/>
              <w:widowControl w:val="0"/>
              <w:numPr>
                <w:ilvl w:val="0"/>
                <w:numId w:val="25"/>
              </w:numPr>
              <w:tabs>
                <w:tab w:val="left" w:pos="605"/>
              </w:tabs>
              <w:kinsoku/>
              <w:wordWrap/>
              <w:overflowPunct/>
              <w:topLinePunct w:val="0"/>
              <w:autoSpaceDE/>
              <w:autoSpaceDN/>
              <w:bidi w:val="0"/>
              <w:adjustRightInd/>
              <w:snapToGrid w:val="0"/>
              <w:spacing w:line="240" w:lineRule="exact"/>
              <w:ind w:left="425" w:leftChars="0" w:hanging="425" w:firstLineChars="0"/>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1"/>
                <w:szCs w:val="21"/>
                <w:lang w:val="en-US" w:eastAsia="zh-CN"/>
              </w:rPr>
              <w:t>货架层高不变，货架通道不小于900mm。</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EDD478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1DECFEB8">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组</w:t>
            </w:r>
          </w:p>
        </w:tc>
      </w:tr>
      <w:tr w14:paraId="0697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369E03">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FE887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自行式高空作业平台</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6A9C38AA">
            <w:pPr>
              <w:pStyle w:val="20"/>
              <w:keepNext w:val="0"/>
              <w:keepLines w:val="0"/>
              <w:pageBreakBefore w:val="0"/>
              <w:widowControl w:val="0"/>
              <w:numPr>
                <w:ilvl w:val="0"/>
                <w:numId w:val="0"/>
              </w:numPr>
              <w:tabs>
                <w:tab w:val="left" w:pos="605"/>
              </w:tabs>
              <w:kinsoku/>
              <w:wordWrap/>
              <w:overflowPunct/>
              <w:topLinePunct w:val="0"/>
              <w:autoSpaceDE/>
              <w:autoSpaceDN/>
              <w:bidi w:val="0"/>
              <w:adjustRightInd/>
              <w:snapToGrid w:val="0"/>
              <w:spacing w:line="240" w:lineRule="exact"/>
              <w:ind w:leftChars="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详见用户需求</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BC9102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24EF3039">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部</w:t>
            </w:r>
          </w:p>
        </w:tc>
      </w:tr>
      <w:tr w14:paraId="798C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EBDE43">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B113833">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网络及导航设施</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00C40FB6">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根据投标方案自行配备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970694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72547459">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项</w:t>
            </w:r>
          </w:p>
        </w:tc>
      </w:tr>
      <w:tr w14:paraId="0C71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ACC3D2">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7EF805D">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安装调试</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7B90E129">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本项目所有设备与设施现场安装及调试</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BF27EE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1A51A3A2">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项</w:t>
            </w:r>
          </w:p>
        </w:tc>
      </w:tr>
      <w:tr w14:paraId="55D8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C3B7FF">
            <w:pPr>
              <w:keepNext w:val="0"/>
              <w:keepLines w:val="0"/>
              <w:widowControl/>
              <w:numPr>
                <w:ilvl w:val="0"/>
                <w:numId w:val="20"/>
              </w:numPr>
              <w:suppressLineNumbers w:val="0"/>
              <w:ind w:left="425" w:leftChars="0" w:hanging="425" w:firstLineChars="0"/>
              <w:jc w:val="center"/>
              <w:textAlignment w:val="center"/>
              <w:rPr>
                <w:rFonts w:hint="eastAsia" w:ascii="仿宋" w:hAnsi="仿宋" w:eastAsia="仿宋" w:cs="仿宋"/>
                <w:i w:val="0"/>
                <w:iCs w:val="0"/>
                <w:color w:val="auto"/>
                <w:kern w:val="2"/>
                <w:sz w:val="22"/>
                <w:szCs w:val="22"/>
                <w:u w:val="none"/>
                <w:shd w:val="clear" w:color="auto" w:fill="auto"/>
                <w:lang w:val="en-US" w:eastAsia="zh-CN" w:bidi="ar-SA"/>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BFF1888">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陪产运行</w:t>
            </w:r>
          </w:p>
        </w:tc>
        <w:tc>
          <w:tcPr>
            <w:tcW w:w="5777" w:type="dxa"/>
            <w:tcBorders>
              <w:top w:val="single" w:color="000000" w:sz="4" w:space="0"/>
              <w:left w:val="single" w:color="000000" w:sz="4" w:space="0"/>
              <w:bottom w:val="single" w:color="000000" w:sz="4" w:space="0"/>
              <w:right w:val="single" w:color="000000" w:sz="4" w:space="0"/>
            </w:tcBorders>
            <w:noWrap w:val="0"/>
            <w:vAlign w:val="center"/>
          </w:tcPr>
          <w:p w14:paraId="5E785939">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AGV设备及调度管理系统安装调试运行正常后，厂家专业工程师主驻扎现场提供陪产运行服务，时间不少于30天。</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22741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580" w:type="dxa"/>
            <w:tcBorders>
              <w:top w:val="single" w:color="000000" w:sz="4" w:space="0"/>
              <w:left w:val="single" w:color="000000" w:sz="4" w:space="0"/>
              <w:bottom w:val="single" w:color="000000" w:sz="4" w:space="0"/>
              <w:right w:val="single" w:color="000000" w:sz="8" w:space="0"/>
            </w:tcBorders>
            <w:noWrap w:val="0"/>
            <w:vAlign w:val="center"/>
          </w:tcPr>
          <w:p w14:paraId="1F32CFEE">
            <w:pPr>
              <w:rPr>
                <w:rFonts w:hint="eastAsia" w:ascii="仿宋" w:hAnsi="仿宋" w:eastAsia="仿宋" w:cs="仿宋"/>
                <w:i w:val="0"/>
                <w:iCs w:val="0"/>
                <w:color w:val="auto"/>
                <w:sz w:val="22"/>
                <w:szCs w:val="22"/>
                <w:u w:val="none"/>
                <w:shd w:val="clear" w:color="auto" w:fill="auto"/>
              </w:rPr>
            </w:pPr>
            <w:r>
              <w:rPr>
                <w:rFonts w:hint="eastAsia" w:ascii="仿宋" w:hAnsi="仿宋" w:eastAsia="仿宋" w:cs="仿宋"/>
                <w:i w:val="0"/>
                <w:iCs w:val="0"/>
                <w:color w:val="auto"/>
                <w:kern w:val="0"/>
                <w:sz w:val="24"/>
                <w:szCs w:val="24"/>
                <w:u w:val="none"/>
                <w:lang w:val="en-US" w:eastAsia="zh-CN" w:bidi="ar"/>
              </w:rPr>
              <w:t>项</w:t>
            </w:r>
          </w:p>
        </w:tc>
      </w:tr>
    </w:tbl>
    <w:p w14:paraId="4D5DF16A">
      <w:pPr>
        <w:rPr>
          <w:rFonts w:hint="eastAsia" w:ascii="仿宋" w:hAnsi="仿宋" w:eastAsia="仿宋" w:cs="仿宋"/>
          <w:b/>
          <w:bCs/>
          <w:color w:val="auto"/>
          <w:sz w:val="21"/>
          <w:szCs w:val="21"/>
          <w:shd w:val="clear" w:color="auto" w:fill="auto"/>
        </w:rPr>
      </w:pPr>
    </w:p>
    <w:p w14:paraId="7B4C2446">
      <w:pPr>
        <w:spacing w:line="360" w:lineRule="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注：</w:t>
      </w:r>
    </w:p>
    <w:p w14:paraId="08416DF1">
      <w:pPr>
        <w:spacing w:line="360" w:lineRule="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w:t>
      </w:r>
      <w:r>
        <w:rPr>
          <w:rFonts w:hint="eastAsia" w:ascii="仿宋" w:hAnsi="仿宋" w:eastAsia="仿宋" w:cs="仿宋"/>
          <w:b/>
          <w:bCs/>
          <w:color w:val="FF0000"/>
          <w:sz w:val="24"/>
          <w:szCs w:val="24"/>
          <w:highlight w:val="none"/>
          <w:shd w:val="clear" w:color="auto" w:fill="auto"/>
          <w:lang w:val="en-US" w:eastAsia="zh-CN"/>
        </w:rPr>
        <w:t>注:上述技术参数未指向任何品牌型号，投标商根据上述参数符合商务要求自主选择品牌型号。</w:t>
      </w:r>
      <w:r>
        <w:rPr>
          <w:rFonts w:hint="eastAsia" w:ascii="仿宋" w:hAnsi="仿宋" w:eastAsia="仿宋" w:cs="仿宋"/>
          <w:b/>
          <w:bCs/>
          <w:color w:val="auto"/>
          <w:sz w:val="24"/>
          <w:szCs w:val="24"/>
          <w:highlight w:val="none"/>
          <w:shd w:val="clear" w:color="auto" w:fill="auto"/>
          <w:lang w:val="en-US" w:eastAsia="zh-CN"/>
        </w:rPr>
        <w:t>所提供的投标报价表栏目不得少于采购清单的内容，但可增加，以满足用户需求，保证达到正常使用条件。否则所有产生不良后果，由投标人自行承担。</w:t>
      </w:r>
    </w:p>
    <w:p w14:paraId="3D6E4682">
      <w:pPr>
        <w:spacing w:line="360" w:lineRule="auto"/>
        <w:outlineLvl w:val="9"/>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投标人在填写偏离表时，必须按所投产品的真实技术参数逐条对应填写，并如实申明与技术规格条文的偏离和例外，特别对打*号的分项的规格参数/技术要求，不得仅复制招标文件中的技术参数，投标人必须提供所投产品的具体证明材料，并准确标注证明材料所在投标文件中具体页码。否则将被认为没有完全满足招标要求，要被扣分，具体详见评分标准。</w:t>
      </w:r>
    </w:p>
    <w:p w14:paraId="3FADA4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1"/>
          <w:szCs w:val="21"/>
          <w:shd w:val="clear" w:color="auto" w:fill="auto"/>
        </w:rPr>
      </w:pPr>
    </w:p>
    <w:p w14:paraId="0133E6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1"/>
          <w:szCs w:val="21"/>
          <w:shd w:val="clear" w:color="auto" w:fill="auto"/>
        </w:rPr>
      </w:pPr>
    </w:p>
    <w:p w14:paraId="1DB0FE21">
      <w:pPr>
        <w:pStyle w:val="130"/>
        <w:numPr>
          <w:ilvl w:val="0"/>
          <w:numId w:val="7"/>
        </w:numPr>
        <w:spacing w:line="360" w:lineRule="auto"/>
        <w:ind w:left="0" w:leftChars="0" w:firstLine="0" w:firstLineChars="0"/>
        <w:outlineLvl w:val="1"/>
        <w:rPr>
          <w:rFonts w:hint="eastAsia" w:ascii="仿宋" w:hAnsi="仿宋" w:eastAsia="仿宋" w:cs="仿宋"/>
          <w:color w:val="auto"/>
          <w:sz w:val="28"/>
          <w:szCs w:val="28"/>
          <w:highlight w:val="none"/>
          <w:shd w:val="clear" w:color="auto" w:fill="auto"/>
          <w:lang w:val="en-US" w:eastAsia="zh-CN"/>
        </w:rPr>
      </w:pPr>
      <w:bookmarkStart w:id="734" w:name="_Toc19956"/>
      <w:bookmarkStart w:id="735" w:name="_Toc20424"/>
      <w:r>
        <w:rPr>
          <w:rFonts w:hint="eastAsia" w:ascii="仿宋" w:hAnsi="仿宋" w:eastAsia="仿宋" w:cs="仿宋"/>
          <w:color w:val="auto"/>
          <w:sz w:val="28"/>
          <w:szCs w:val="28"/>
          <w:highlight w:val="none"/>
          <w:shd w:val="clear" w:color="auto" w:fill="auto"/>
          <w:lang w:val="en-US" w:eastAsia="zh-CN"/>
        </w:rPr>
        <w:t>其他要求</w:t>
      </w:r>
      <w:bookmarkEnd w:id="734"/>
      <w:bookmarkEnd w:id="735"/>
      <w:r>
        <w:rPr>
          <w:rFonts w:hint="eastAsia" w:ascii="仿宋" w:hAnsi="仿宋" w:eastAsia="仿宋" w:cs="仿宋"/>
          <w:color w:val="auto"/>
          <w:sz w:val="28"/>
          <w:szCs w:val="28"/>
          <w:highlight w:val="none"/>
          <w:shd w:val="clear" w:color="auto" w:fill="auto"/>
          <w:lang w:val="en-US" w:eastAsia="zh-CN"/>
        </w:rPr>
        <w:t xml:space="preserve"> </w:t>
      </w:r>
    </w:p>
    <w:p w14:paraId="697AC0A6">
      <w:pPr>
        <w:spacing w:line="360" w:lineRule="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 本项目各投标人应参考招标采购清单的规格参数和数量进行报价；</w:t>
      </w:r>
    </w:p>
    <w:p w14:paraId="261F03A0">
      <w:pPr>
        <w:spacing w:line="360" w:lineRule="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投标人根据对用户需求书的理解，可以提交自己的设计方案，增加采购清单的栏目和数量。即投标报价表的栏目包括但不限于招标清单的内容；投标人的投标报价应能保证本项目设备设施的完整交付和正常运行；</w:t>
      </w:r>
    </w:p>
    <w:p w14:paraId="484C8D24">
      <w:pPr>
        <w:spacing w:line="360" w:lineRule="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 投标人选用的设备、设施、措施等不得存在侵犯知识产权的情形，如因违反此条被投诉或引发知识产权纠纷，则取消中标资格；情节严重的还要承担相关法律责任；</w:t>
      </w:r>
    </w:p>
    <w:p w14:paraId="21B74917">
      <w:pPr>
        <w:spacing w:line="360" w:lineRule="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4.除服务器、电脑、路由器、交换机这些涉及网络运行和安全的专业设备可以采用大企业的产品外，其余产品都必须是中小企生产制造的。</w:t>
      </w:r>
    </w:p>
    <w:p w14:paraId="4C6C27D7">
      <w:pPr>
        <w:spacing w:line="360" w:lineRule="auto"/>
        <w:outlineLvl w:val="9"/>
        <w:rPr>
          <w:rFonts w:ascii="Arial" w:hAnsi="Arial" w:eastAsia="Arial" w:cs="Arial"/>
          <w:color w:val="auto"/>
          <w:sz w:val="21"/>
          <w:szCs w:val="21"/>
        </w:rPr>
        <w:sectPr>
          <w:pgSz w:w="11906" w:h="16839"/>
          <w:pgMar w:top="1440" w:right="1800" w:bottom="1440" w:left="1800" w:header="0" w:footer="0" w:gutter="0"/>
          <w:cols w:space="720" w:num="1"/>
        </w:sectPr>
      </w:pPr>
      <w:r>
        <w:rPr>
          <w:rFonts w:hint="eastAsia" w:ascii="仿宋" w:hAnsi="仿宋" w:eastAsia="仿宋" w:cs="仿宋"/>
          <w:b w:val="0"/>
          <w:bCs w:val="0"/>
          <w:color w:val="auto"/>
          <w:sz w:val="24"/>
          <w:szCs w:val="24"/>
          <w:highlight w:val="none"/>
          <w:shd w:val="clear" w:color="auto" w:fill="auto"/>
          <w:lang w:val="en-US" w:eastAsia="zh-CN"/>
        </w:rPr>
        <w:t>5. 本项目所有专用设备、附属设施、配套措施应提供一年免费运行服务期，运行服务期自本项目竣工验收之日起开始计算，但必须包含一个完整的棉花公检期在内。</w:t>
      </w:r>
    </w:p>
    <w:p w14:paraId="0A58464A">
      <w:pPr>
        <w:keepNext w:val="0"/>
        <w:keepLines w:val="0"/>
        <w:widowControl/>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四、付款及售后</w:t>
      </w:r>
    </w:p>
    <w:p w14:paraId="01A4D9C8">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（一）项目的交货期和质保期 </w:t>
      </w:r>
    </w:p>
    <w:p w14:paraId="68816319">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1.交货期：合同签订后75天内完成供货并安装调试完毕；（具体按双方合同约定执行）。</w:t>
      </w:r>
    </w:p>
    <w:p w14:paraId="1E8AFE12">
      <w:pPr>
        <w:tabs>
          <w:tab w:val="left" w:pos="1890"/>
        </w:tabs>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2.售后服务期：质保1年，包含配件，服务期内不在单独收费。</w:t>
      </w:r>
    </w:p>
    <w:p w14:paraId="23557D4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（二）付款方式和交货地点 </w:t>
      </w:r>
    </w:p>
    <w:p w14:paraId="3E1029B4">
      <w:pPr>
        <w:tabs>
          <w:tab w:val="left" w:pos="1890"/>
        </w:tabs>
        <w:spacing w:line="440" w:lineRule="exact"/>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val="en-US" w:eastAsia="zh-CN"/>
        </w:rPr>
        <w:t>1.付</w:t>
      </w:r>
      <w:r>
        <w:rPr>
          <w:rFonts w:hint="eastAsia" w:ascii="仿宋" w:hAnsi="仿宋" w:eastAsia="仿宋" w:cs="仿宋"/>
          <w:color w:val="auto"/>
          <w:sz w:val="24"/>
          <w:szCs w:val="24"/>
          <w:highlight w:val="none"/>
          <w:lang w:val="en-US" w:eastAsia="zh-CN"/>
        </w:rPr>
        <w:t>款方式：合同签订后支付合同价款的50%，货到完成安装调试至正常，货物数量、规格、质量及技术指标均符合采购需求，验收合格后，能够正常开展工作，再支付至合同价款的100% （具体按双方合同约定执行）。</w:t>
      </w:r>
    </w:p>
    <w:p w14:paraId="3A0061C0">
      <w:pPr>
        <w:tabs>
          <w:tab w:val="left" w:pos="1890"/>
        </w:tabs>
        <w:spacing w:line="44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lang w:val="en-US" w:eastAsia="zh-CN"/>
        </w:rPr>
        <w:t>2.交货地点：喀什地区纤维检验所</w:t>
      </w:r>
      <w:r>
        <w:rPr>
          <w:rFonts w:hint="eastAsia" w:ascii="仿宋" w:hAnsi="仿宋" w:eastAsia="仿宋" w:cs="仿宋"/>
          <w:color w:val="auto"/>
          <w:kern w:val="0"/>
          <w:sz w:val="24"/>
          <w:szCs w:val="24"/>
          <w:highlight w:val="none"/>
          <w:lang w:val="en-US" w:eastAsia="zh-CN" w:bidi="ar"/>
        </w:rPr>
        <w:t xml:space="preserve"> </w:t>
      </w:r>
    </w:p>
    <w:p w14:paraId="2C871DF6">
      <w:pPr>
        <w:pStyle w:val="34"/>
        <w:ind w:firstLine="0"/>
        <w:rPr>
          <w:rFonts w:hint="eastAsia" w:ascii="仿宋" w:hAnsi="仿宋" w:eastAsia="仿宋" w:cs="仿宋"/>
          <w:b w:val="0"/>
          <w:bCs w:val="0"/>
          <w:iCs/>
          <w:color w:val="auto"/>
          <w:kern w:val="2"/>
          <w:u w:val="none"/>
        </w:rPr>
      </w:pPr>
      <w:r>
        <w:rPr>
          <w:rFonts w:hint="eastAsia" w:ascii="仿宋" w:hAnsi="仿宋" w:eastAsia="仿宋" w:cs="仿宋"/>
          <w:b/>
          <w:bCs/>
          <w:iCs/>
          <w:color w:val="auto"/>
          <w:kern w:val="2"/>
          <w:u w:val="none"/>
          <w:lang w:val="en-US" w:eastAsia="zh-CN"/>
        </w:rPr>
        <w:t>技术</w:t>
      </w:r>
      <w:r>
        <w:rPr>
          <w:rFonts w:hint="eastAsia" w:ascii="仿宋" w:hAnsi="仿宋" w:eastAsia="仿宋" w:cs="仿宋"/>
          <w:b/>
          <w:bCs/>
          <w:iCs/>
          <w:color w:val="auto"/>
          <w:kern w:val="2"/>
          <w:u w:val="none"/>
        </w:rPr>
        <w:t>培训</w:t>
      </w:r>
      <w:r>
        <w:rPr>
          <w:rFonts w:hint="eastAsia" w:ascii="仿宋" w:hAnsi="仿宋" w:eastAsia="仿宋" w:cs="仿宋"/>
          <w:b w:val="0"/>
          <w:bCs w:val="0"/>
          <w:iCs/>
          <w:color w:val="auto"/>
          <w:kern w:val="2"/>
          <w:u w:val="none"/>
        </w:rPr>
        <w:t>：</w:t>
      </w:r>
    </w:p>
    <w:p w14:paraId="5E7FCDF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1、培训地点:采购人指定地点;</w:t>
      </w:r>
    </w:p>
    <w:p w14:paraId="4E7D4936">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2、为了保证项目</w:t>
      </w:r>
      <w:r>
        <w:rPr>
          <w:rFonts w:hint="eastAsia" w:ascii="仿宋" w:hAnsi="仿宋" w:eastAsia="仿宋" w:cs="仿宋"/>
          <w:color w:val="auto"/>
          <w:sz w:val="24"/>
          <w:szCs w:val="24"/>
          <w:lang w:val="en-US" w:eastAsia="zh-CN"/>
        </w:rPr>
        <w:t>顺利实施，设备正常投入使用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投标人须负责培训采购人的设备操作人员，在</w:t>
      </w:r>
      <w:r>
        <w:rPr>
          <w:rFonts w:hint="eastAsia" w:ascii="仿宋" w:hAnsi="仿宋" w:eastAsia="仿宋" w:cs="仿宋"/>
          <w:color w:val="auto"/>
          <w:sz w:val="24"/>
          <w:szCs w:val="24"/>
          <w:lang w:val="en-US" w:eastAsia="zh-CN"/>
        </w:rPr>
        <w:t>设备投入使用</w:t>
      </w:r>
      <w:r>
        <w:rPr>
          <w:rFonts w:hint="eastAsia" w:ascii="仿宋" w:hAnsi="仿宋" w:eastAsia="仿宋" w:cs="仿宋"/>
          <w:color w:val="auto"/>
          <w:sz w:val="24"/>
          <w:szCs w:val="24"/>
        </w:rPr>
        <w:t>后组织多方面、多层次的培训确保采购方技术人员经过培训后，能充分了解设备的原理和流程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能熟练地掌握操作方法，并能及时排除部分设备故障</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日常维护保养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简单维修方法等。须提供详细的培训计划</w:t>
      </w:r>
    </w:p>
    <w:p w14:paraId="22D332C8">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、供应商配备受过专业培训的售后服务人员、技术支持人员及咨询服务</w:t>
      </w:r>
      <w:r>
        <w:rPr>
          <w:rFonts w:hint="eastAsia" w:ascii="仿宋" w:hAnsi="仿宋" w:eastAsia="仿宋" w:cs="仿宋"/>
          <w:color w:val="auto"/>
          <w:sz w:val="24"/>
          <w:szCs w:val="24"/>
          <w:lang w:val="en-US" w:eastAsia="zh-CN"/>
        </w:rPr>
        <w:t>人员</w:t>
      </w:r>
      <w:r>
        <w:rPr>
          <w:rFonts w:hint="eastAsia" w:ascii="仿宋" w:hAnsi="仿宋" w:eastAsia="仿宋" w:cs="仿宋"/>
          <w:color w:val="auto"/>
          <w:sz w:val="24"/>
          <w:szCs w:val="24"/>
        </w:rPr>
        <w:t>、在任何时候、任何地点均可享受到终生的</w:t>
      </w:r>
      <w:r>
        <w:rPr>
          <w:rFonts w:hint="eastAsia" w:ascii="仿宋" w:hAnsi="仿宋" w:eastAsia="仿宋" w:cs="仿宋"/>
          <w:color w:val="auto"/>
          <w:sz w:val="24"/>
          <w:szCs w:val="24"/>
          <w:lang w:eastAsia="zh-CN"/>
        </w:rPr>
        <w:t>无偿</w:t>
      </w:r>
      <w:r>
        <w:rPr>
          <w:rFonts w:hint="eastAsia" w:ascii="仿宋" w:hAnsi="仿宋" w:eastAsia="仿宋" w:cs="仿宋"/>
          <w:color w:val="auto"/>
          <w:sz w:val="24"/>
          <w:szCs w:val="24"/>
        </w:rPr>
        <w:t>咨询服务。供应商投标时应提供详</w:t>
      </w:r>
    </w:p>
    <w:p w14:paraId="0CBC19B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细的培训方案。培训教员的差旅费、食宿费、培训教材等费用，应计入投标</w:t>
      </w:r>
    </w:p>
    <w:p w14:paraId="0AE71C63">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报价，随时排除所有设备故障进行明确的计划阐述，并对所有设备保修期过</w:t>
      </w:r>
    </w:p>
    <w:p w14:paraId="087F911F">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后维保进行阐述。</w:t>
      </w:r>
    </w:p>
    <w:p w14:paraId="5D63648C">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4、设备正常运行验收后，指派专业工程师负责在现场为使用单位带给不受人</w:t>
      </w:r>
    </w:p>
    <w:p w14:paraId="069AE5D7">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员限制的维修和使用操作培训，每年公司组织培训2次。培训资料包括:设</w:t>
      </w:r>
    </w:p>
    <w:p w14:paraId="294E95EC">
      <w:pPr>
        <w:tabs>
          <w:tab w:val="left" w:pos="189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备正确操作使用知识;识别初级故障及必要的恢复方法;常见故障排除方法。</w:t>
      </w:r>
    </w:p>
    <w:p w14:paraId="54EFAC4A">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color w:val="auto"/>
          <w:kern w:val="0"/>
          <w:sz w:val="24"/>
          <w:szCs w:val="20"/>
          <w:lang w:val="en-US" w:eastAsia="zh-CN" w:bidi="ar-SA"/>
        </w:rPr>
      </w:pPr>
      <w:r>
        <w:rPr>
          <w:rFonts w:hint="eastAsia" w:ascii="仿宋" w:hAnsi="仿宋" w:eastAsia="仿宋" w:cs="仿宋"/>
          <w:color w:val="auto"/>
          <w:sz w:val="24"/>
          <w:szCs w:val="24"/>
        </w:rPr>
        <w:t>供应商根据项目情况结合自身情况提供培训方案，培训方案包含</w:t>
      </w:r>
      <w:r>
        <w:rPr>
          <w:rFonts w:hint="eastAsia" w:ascii="仿宋" w:hAnsi="仿宋" w:eastAsia="仿宋" w:cs="仿宋"/>
          <w:color w:val="auto"/>
          <w:sz w:val="24"/>
          <w:szCs w:val="24"/>
          <w:lang w:val="en-US" w:eastAsia="zh-CN"/>
        </w:rPr>
        <w:t>但不限于</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0"/>
          <w:lang w:val="en-US" w:eastAsia="zh-CN" w:bidi="ar-SA"/>
        </w:rPr>
        <w:t>①培训时间地点；②培训产品基本原理、③培训方式及操作使用和保养维修；</w:t>
      </w:r>
    </w:p>
    <w:p w14:paraId="32ACE9B3">
      <w:pPr>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0"/>
          <w:lang w:val="en-US" w:eastAsia="zh-CN" w:bidi="ar-SA"/>
        </w:rPr>
        <w:t>④培训师资力量授课者技术能力具体真实。</w:t>
      </w:r>
    </w:p>
    <w:p w14:paraId="3B667678">
      <w:pPr>
        <w:rPr>
          <w:rFonts w:hint="eastAsia" w:ascii="仿宋" w:hAnsi="仿宋" w:eastAsia="仿宋" w:cs="仿宋"/>
          <w:b/>
          <w:bCs/>
          <w:color w:val="auto"/>
          <w:sz w:val="24"/>
          <w:szCs w:val="24"/>
          <w:highlight w:val="none"/>
          <w:lang w:val="en-US" w:eastAsia="zh-CN"/>
        </w:rPr>
      </w:pPr>
    </w:p>
    <w:p w14:paraId="655F32F8">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（三）售后服务、理赔、质量技术及验收保证的承诺</w:t>
      </w:r>
    </w:p>
    <w:p w14:paraId="38390B8B">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1、售后服务</w:t>
      </w:r>
    </w:p>
    <w:p w14:paraId="7171B6F7">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 xml:space="preserve">1.1质保期内，当采购人遇到使用及技术问题电话咨询不能解决的，须在12小时内到达现场进行处理。    </w:t>
      </w:r>
    </w:p>
    <w:p w14:paraId="3D1BA1F4">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1.2质保期内，</w:t>
      </w:r>
      <w:r>
        <w:rPr>
          <w:rFonts w:hint="eastAsia" w:ascii="仿宋" w:hAnsi="仿宋" w:eastAsia="仿宋" w:cs="仿宋"/>
          <w:b w:val="0"/>
          <w:bCs w:val="0"/>
          <w:iCs/>
          <w:color w:val="auto"/>
          <w:kern w:val="2"/>
          <w:u w:val="none"/>
          <w:lang w:eastAsia="zh-CN"/>
        </w:rPr>
        <w:t>需提供</w:t>
      </w:r>
      <w:r>
        <w:rPr>
          <w:rFonts w:hint="eastAsia" w:ascii="仿宋" w:hAnsi="仿宋" w:eastAsia="仿宋" w:cs="仿宋"/>
          <w:b w:val="0"/>
          <w:bCs w:val="0"/>
          <w:iCs/>
          <w:color w:val="auto"/>
          <w:kern w:val="2"/>
          <w:u w:val="none"/>
        </w:rPr>
        <w:t>紧急故障维修预案</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设备出现</w:t>
      </w:r>
      <w:r>
        <w:rPr>
          <w:rFonts w:hint="eastAsia" w:ascii="仿宋" w:hAnsi="仿宋" w:eastAsia="仿宋" w:cs="仿宋"/>
          <w:b w:val="0"/>
          <w:bCs w:val="0"/>
          <w:iCs/>
          <w:color w:val="auto"/>
          <w:kern w:val="2"/>
          <w:u w:val="none"/>
          <w:lang w:eastAsia="zh-CN"/>
        </w:rPr>
        <w:t>重停滞、监测数据错误等大</w:t>
      </w:r>
      <w:r>
        <w:rPr>
          <w:rFonts w:hint="eastAsia" w:ascii="仿宋" w:hAnsi="仿宋" w:eastAsia="仿宋" w:cs="仿宋"/>
          <w:b w:val="0"/>
          <w:bCs w:val="0"/>
          <w:iCs/>
          <w:color w:val="auto"/>
          <w:kern w:val="2"/>
          <w:u w:val="none"/>
        </w:rPr>
        <w:t>故障，</w:t>
      </w:r>
      <w:r>
        <w:rPr>
          <w:rFonts w:hint="eastAsia" w:ascii="仿宋" w:hAnsi="仿宋" w:eastAsia="仿宋" w:cs="仿宋"/>
          <w:b w:val="0"/>
          <w:bCs w:val="0"/>
          <w:iCs/>
          <w:color w:val="auto"/>
          <w:kern w:val="2"/>
          <w:u w:val="none"/>
          <w:lang w:eastAsia="zh-CN"/>
        </w:rPr>
        <w:t>电话响应后无法解决时，</w:t>
      </w:r>
      <w:r>
        <w:rPr>
          <w:rFonts w:hint="eastAsia" w:ascii="仿宋" w:hAnsi="仿宋" w:eastAsia="仿宋" w:cs="仿宋"/>
          <w:b w:val="0"/>
          <w:bCs w:val="0"/>
          <w:iCs/>
          <w:color w:val="auto"/>
          <w:kern w:val="2"/>
          <w:u w:val="none"/>
        </w:rPr>
        <w:t>技术人员必须在4小时内响应，12小时内到达现场，24小时内排除。一般故障</w:t>
      </w:r>
      <w:r>
        <w:rPr>
          <w:rFonts w:hint="eastAsia" w:ascii="仿宋" w:hAnsi="仿宋" w:eastAsia="仿宋" w:cs="仿宋"/>
          <w:b w:val="0"/>
          <w:bCs w:val="0"/>
          <w:iCs/>
          <w:color w:val="auto"/>
          <w:kern w:val="2"/>
          <w:u w:val="none"/>
          <w:lang w:eastAsia="zh-CN"/>
        </w:rPr>
        <w:t>（刚换配件）电话响应后</w:t>
      </w:r>
      <w:r>
        <w:rPr>
          <w:rFonts w:hint="eastAsia" w:ascii="仿宋" w:hAnsi="仿宋" w:eastAsia="仿宋" w:cs="仿宋"/>
          <w:b w:val="0"/>
          <w:bCs w:val="0"/>
          <w:iCs/>
          <w:color w:val="auto"/>
          <w:kern w:val="2"/>
          <w:u w:val="none"/>
        </w:rPr>
        <w:t>8小时内修复</w:t>
      </w:r>
      <w:r>
        <w:rPr>
          <w:rFonts w:hint="eastAsia" w:ascii="仿宋" w:hAnsi="仿宋" w:eastAsia="仿宋" w:cs="仿宋"/>
          <w:b w:val="0"/>
          <w:bCs w:val="0"/>
          <w:iCs/>
          <w:color w:val="auto"/>
          <w:kern w:val="2"/>
          <w:u w:val="none"/>
          <w:lang w:eastAsia="zh-CN"/>
        </w:rPr>
        <w:t>。</w:t>
      </w:r>
      <w:r>
        <w:rPr>
          <w:rFonts w:hint="eastAsia" w:ascii="仿宋" w:hAnsi="仿宋" w:eastAsia="仿宋" w:cs="仿宋"/>
          <w:b w:val="0"/>
          <w:bCs w:val="0"/>
          <w:iCs/>
          <w:color w:val="auto"/>
          <w:kern w:val="2"/>
          <w:u w:val="none"/>
        </w:rPr>
        <w:t>每年提供不少于</w:t>
      </w:r>
      <w:r>
        <w:rPr>
          <w:rFonts w:hint="eastAsia" w:ascii="仿宋" w:hAnsi="仿宋" w:eastAsia="仿宋" w:cs="仿宋"/>
          <w:b w:val="0"/>
          <w:bCs w:val="0"/>
          <w:iCs/>
          <w:color w:val="auto"/>
          <w:kern w:val="2"/>
          <w:u w:val="none"/>
          <w:lang w:val="en-US" w:eastAsia="zh-CN"/>
        </w:rPr>
        <w:t>4</w:t>
      </w:r>
      <w:r>
        <w:rPr>
          <w:rFonts w:hint="eastAsia" w:ascii="仿宋" w:hAnsi="仿宋" w:eastAsia="仿宋" w:cs="仿宋"/>
          <w:b w:val="0"/>
          <w:bCs w:val="0"/>
          <w:iCs/>
          <w:color w:val="auto"/>
          <w:kern w:val="2"/>
          <w:u w:val="none"/>
        </w:rPr>
        <w:t>次回访。</w:t>
      </w:r>
    </w:p>
    <w:p w14:paraId="370BD94C">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2、交货时应提供以下技术资料（如涉及）</w:t>
      </w:r>
    </w:p>
    <w:p w14:paraId="7CDE5675">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2.1原产地证明书(由制造厂签发)；</w:t>
      </w:r>
    </w:p>
    <w:p w14:paraId="2874E3FD">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2.2提供主机及配套设备的安装图纸及说明；</w:t>
      </w:r>
    </w:p>
    <w:p w14:paraId="2FCEC716">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2.3提供主机及配套设备使用说明书、维护手册；</w:t>
      </w:r>
    </w:p>
    <w:p w14:paraId="297B53F1">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2.4备件手册、零件及易损件的图纸及相关资料；</w:t>
      </w:r>
    </w:p>
    <w:p w14:paraId="4003C352">
      <w:pPr>
        <w:pStyle w:val="34"/>
        <w:ind w:firstLine="0"/>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2.5其它相关技术资料。</w:t>
      </w:r>
    </w:p>
    <w:p w14:paraId="67E636B9">
      <w:pPr>
        <w:pStyle w:val="34"/>
        <w:ind w:firstLine="0"/>
        <w:rPr>
          <w:rFonts w:hint="eastAsia" w:ascii="仿宋" w:hAnsi="仿宋" w:eastAsia="仿宋" w:cs="仿宋"/>
          <w:b w:val="0"/>
          <w:bCs w:val="0"/>
          <w:iCs/>
          <w:color w:val="auto"/>
          <w:kern w:val="2"/>
          <w:u w:val="none"/>
          <w:lang w:eastAsia="zh-CN"/>
        </w:rPr>
      </w:pPr>
      <w:r>
        <w:rPr>
          <w:rFonts w:hint="eastAsia" w:ascii="仿宋" w:hAnsi="仿宋" w:eastAsia="仿宋" w:cs="仿宋"/>
          <w:b w:val="0"/>
          <w:bCs w:val="0"/>
          <w:iCs/>
          <w:color w:val="auto"/>
          <w:kern w:val="2"/>
          <w:u w:val="none"/>
          <w:lang w:val="en-US" w:eastAsia="zh-CN"/>
        </w:rPr>
        <w:t>3</w:t>
      </w:r>
      <w:r>
        <w:rPr>
          <w:rFonts w:hint="eastAsia" w:ascii="仿宋" w:hAnsi="仿宋" w:eastAsia="仿宋" w:cs="仿宋"/>
          <w:b w:val="0"/>
          <w:bCs w:val="0"/>
          <w:iCs/>
          <w:color w:val="auto"/>
          <w:kern w:val="2"/>
          <w:u w:val="none"/>
        </w:rPr>
        <w:t>安装：</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安装并现场培训相关人员至掌握仪器设备操作及日常维护</w:t>
      </w:r>
      <w:r>
        <w:rPr>
          <w:rFonts w:hint="eastAsia" w:ascii="仿宋" w:hAnsi="仿宋" w:eastAsia="仿宋" w:cs="仿宋"/>
          <w:b w:val="0"/>
          <w:bCs w:val="0"/>
          <w:iCs/>
          <w:color w:val="auto"/>
          <w:kern w:val="2"/>
          <w:u w:val="none"/>
          <w:lang w:eastAsia="zh-CN"/>
        </w:rPr>
        <w:t>，</w:t>
      </w:r>
    </w:p>
    <w:p w14:paraId="4782B5AA">
      <w:pPr>
        <w:pStyle w:val="34"/>
        <w:numPr>
          <w:ilvl w:val="0"/>
          <w:numId w:val="0"/>
        </w:numPr>
        <w:rPr>
          <w:rFonts w:hint="eastAsia" w:ascii="仿宋" w:hAnsi="仿宋" w:eastAsia="仿宋" w:cs="仿宋"/>
          <w:b w:val="0"/>
          <w:bCs w:val="0"/>
          <w:iCs/>
          <w:color w:val="auto"/>
          <w:kern w:val="2"/>
          <w:u w:val="none"/>
        </w:rPr>
      </w:pPr>
      <w:r>
        <w:rPr>
          <w:rFonts w:hint="eastAsia" w:ascii="仿宋" w:hAnsi="仿宋" w:eastAsia="仿宋" w:cs="仿宋"/>
          <w:b w:val="0"/>
          <w:bCs w:val="0"/>
          <w:iCs/>
          <w:color w:val="auto"/>
          <w:kern w:val="2"/>
          <w:u w:val="none"/>
          <w:lang w:val="en-US" w:eastAsia="zh-CN"/>
        </w:rPr>
        <w:t>3.1</w:t>
      </w:r>
      <w:r>
        <w:rPr>
          <w:rFonts w:hint="eastAsia" w:ascii="仿宋" w:hAnsi="仿宋" w:eastAsia="仿宋" w:cs="仿宋"/>
          <w:b w:val="0"/>
          <w:bCs w:val="0"/>
          <w:iCs/>
          <w:color w:val="auto"/>
          <w:kern w:val="2"/>
          <w:u w:val="none"/>
        </w:rPr>
        <w:t>设备到场后，供应商需至少派1名技术人员现场安装调试。</w:t>
      </w:r>
    </w:p>
    <w:p w14:paraId="51D8A436">
      <w:pPr>
        <w:pStyle w:val="34"/>
        <w:numPr>
          <w:ilvl w:val="0"/>
          <w:numId w:val="0"/>
        </w:numPr>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4、投标人设有健全的售后服务机构网点，终端售后服务机构网点有明细以便监督（包括电话、地址、店名、售后负责人</w:t>
      </w:r>
      <w:r>
        <w:rPr>
          <w:rFonts w:hint="eastAsia" w:ascii="仿宋" w:hAnsi="仿宋" w:eastAsia="仿宋" w:cs="仿宋"/>
          <w:b w:val="0"/>
          <w:bCs w:val="0"/>
          <w:iCs/>
          <w:color w:val="auto"/>
          <w:kern w:val="2"/>
          <w:u w:val="none"/>
          <w:lang w:val="en-US" w:eastAsia="zh-CN"/>
        </w:rPr>
        <w:t>1人，接话员1人，专业技术服务人员至少2人</w:t>
      </w:r>
      <w:r>
        <w:rPr>
          <w:rFonts w:hint="eastAsia" w:ascii="仿宋" w:hAnsi="仿宋" w:eastAsia="仿宋" w:cs="仿宋"/>
          <w:b w:val="0"/>
          <w:bCs w:val="0"/>
          <w:iCs/>
          <w:color w:val="auto"/>
          <w:kern w:val="2"/>
          <w:u w:val="none"/>
        </w:rPr>
        <w:t>）(附有效的证明资料；如房屋租赁合同或产权证</w:t>
      </w:r>
      <w:r>
        <w:rPr>
          <w:rFonts w:hint="eastAsia" w:ascii="仿宋" w:hAnsi="仿宋" w:eastAsia="仿宋" w:cs="仿宋"/>
          <w:b w:val="0"/>
          <w:bCs w:val="0"/>
          <w:iCs/>
          <w:color w:val="auto"/>
          <w:kern w:val="2"/>
          <w:u w:val="none"/>
          <w:lang w:eastAsia="zh-CN"/>
        </w:rPr>
        <w:t>，人员提供</w:t>
      </w:r>
      <w:r>
        <w:rPr>
          <w:rFonts w:hint="eastAsia" w:ascii="仿宋" w:hAnsi="仿宋" w:eastAsia="仿宋" w:cs="仿宋"/>
          <w:b w:val="0"/>
          <w:bCs w:val="0"/>
          <w:iCs/>
          <w:color w:val="auto"/>
          <w:kern w:val="2"/>
          <w:u w:val="none"/>
          <w:lang w:val="en-US" w:eastAsia="zh-CN"/>
        </w:rPr>
        <w:t>相</w:t>
      </w:r>
      <w:r>
        <w:rPr>
          <w:rFonts w:hint="eastAsia" w:ascii="仿宋" w:hAnsi="仿宋" w:eastAsia="仿宋" w:cs="仿宋"/>
          <w:b w:val="0"/>
          <w:bCs w:val="0"/>
          <w:iCs/>
          <w:color w:val="auto"/>
          <w:kern w:val="2"/>
          <w:u w:val="none"/>
          <w:lang w:eastAsia="zh-CN"/>
        </w:rPr>
        <w:t>应的聘用合同或单位缴纳的任意一月的社保证明</w:t>
      </w:r>
      <w:r>
        <w:rPr>
          <w:rFonts w:hint="eastAsia" w:ascii="仿宋" w:hAnsi="仿宋" w:eastAsia="仿宋" w:cs="仿宋"/>
          <w:b w:val="0"/>
          <w:bCs w:val="0"/>
          <w:iCs/>
          <w:color w:val="auto"/>
          <w:kern w:val="2"/>
          <w:u w:val="none"/>
        </w:rPr>
        <w:t>)。如发生以下情况，及时响应并解决故障。</w:t>
      </w:r>
    </w:p>
    <w:p w14:paraId="20FBF9AC">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5、新购设备随仪器配备必要的维修工具，工具能满足实验室维护人员对设备的正常维护、维修。</w:t>
      </w:r>
    </w:p>
    <w:p w14:paraId="0ECC47B9">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6、在质保期内，如果投标人的产品技术升级，投标人应及时通知采购人，如采购人有相应要求，投标人应对采购人购买的产品进行无条件升级服务。</w:t>
      </w:r>
    </w:p>
    <w:p w14:paraId="6B1DD0F2">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7、质保期过后，投标人应同样提供</w:t>
      </w:r>
      <w:r>
        <w:rPr>
          <w:rFonts w:hint="eastAsia" w:ascii="仿宋" w:hAnsi="仿宋" w:eastAsia="仿宋" w:cs="仿宋"/>
          <w:b w:val="0"/>
          <w:bCs w:val="0"/>
          <w:iCs/>
          <w:color w:val="auto"/>
          <w:kern w:val="2"/>
          <w:u w:val="none"/>
          <w:lang w:eastAsia="zh-CN"/>
        </w:rPr>
        <w:t>无偿</w:t>
      </w:r>
      <w:r>
        <w:rPr>
          <w:rFonts w:hint="eastAsia" w:ascii="仿宋" w:hAnsi="仿宋" w:eastAsia="仿宋" w:cs="仿宋"/>
          <w:b w:val="0"/>
          <w:bCs w:val="0"/>
          <w:iCs/>
          <w:color w:val="auto"/>
          <w:kern w:val="2"/>
          <w:u w:val="none"/>
        </w:rPr>
        <w:t>电话咨询服务，并应承诺提供该产品上门维护服务。</w:t>
      </w:r>
    </w:p>
    <w:p w14:paraId="0AE5C5DC">
      <w:pPr>
        <w:pStyle w:val="34"/>
        <w:ind w:firstLine="0"/>
        <w:rPr>
          <w:rFonts w:ascii="仿宋" w:hAnsi="仿宋" w:eastAsia="仿宋" w:cs="仿宋"/>
          <w:b w:val="0"/>
          <w:bCs w:val="0"/>
          <w:iCs/>
          <w:color w:val="auto"/>
          <w:kern w:val="2"/>
          <w:u w:val="none"/>
        </w:rPr>
      </w:pPr>
      <w:r>
        <w:rPr>
          <w:rFonts w:hint="eastAsia" w:ascii="仿宋" w:hAnsi="仿宋" w:eastAsia="仿宋" w:cs="仿宋"/>
          <w:b w:val="0"/>
          <w:bCs w:val="0"/>
          <w:iCs/>
          <w:color w:val="auto"/>
          <w:kern w:val="2"/>
          <w:u w:val="none"/>
        </w:rPr>
        <w:t>8、质保期过后，采购人需要继续由原投标人提供售后服务的，该投标人和制造商应以优惠价格提供售后服务。</w:t>
      </w:r>
    </w:p>
    <w:p w14:paraId="58913ED9">
      <w:pPr>
        <w:pStyle w:val="34"/>
        <w:ind w:firstLine="0"/>
        <w:rPr>
          <w:rFonts w:hint="eastAsia"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lang w:eastAsia="zh-CN"/>
        </w:rPr>
        <w:t>（</w:t>
      </w:r>
      <w:r>
        <w:rPr>
          <w:rFonts w:hint="eastAsia" w:ascii="仿宋" w:hAnsi="仿宋" w:eastAsia="仿宋" w:cs="仿宋"/>
          <w:b/>
          <w:bCs/>
          <w:iCs/>
          <w:color w:val="auto"/>
          <w:kern w:val="2"/>
          <w:highlight w:val="none"/>
          <w:u w:val="none"/>
          <w:lang w:val="en-US" w:eastAsia="zh-CN"/>
        </w:rPr>
        <w:t>四）</w:t>
      </w:r>
      <w:r>
        <w:rPr>
          <w:rFonts w:hint="eastAsia" w:ascii="仿宋" w:hAnsi="仿宋" w:eastAsia="仿宋" w:cs="仿宋"/>
          <w:b/>
          <w:bCs/>
          <w:iCs/>
          <w:color w:val="auto"/>
          <w:kern w:val="2"/>
          <w:highlight w:val="none"/>
          <w:u w:val="none"/>
        </w:rPr>
        <w:t>、实施方案及培训方案（具体要求详见综合评分表）</w:t>
      </w:r>
    </w:p>
    <w:p w14:paraId="57C30289">
      <w:pPr>
        <w:pStyle w:val="34"/>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1、</w:t>
      </w:r>
      <w:r>
        <w:rPr>
          <w:rFonts w:hint="eastAsia" w:ascii="仿宋" w:hAnsi="仿宋" w:eastAsia="仿宋" w:cs="仿宋"/>
          <w:b w:val="0"/>
          <w:bCs w:val="0"/>
          <w:iCs/>
          <w:color w:val="auto"/>
          <w:kern w:val="2"/>
          <w:highlight w:val="none"/>
          <w:u w:val="none"/>
        </w:rPr>
        <w:t>供应商根据本项目具体特点及实际需求提供项目实施方案（实施方案包含具体实施流程、安装调试方案、</w:t>
      </w:r>
      <w:r>
        <w:rPr>
          <w:rFonts w:hint="eastAsia" w:ascii="仿宋" w:hAnsi="仿宋" w:eastAsia="仿宋" w:cs="仿宋"/>
          <w:b w:val="0"/>
          <w:bCs w:val="0"/>
          <w:iCs/>
          <w:color w:val="auto"/>
          <w:kern w:val="2"/>
          <w:highlight w:val="none"/>
          <w:u w:val="none"/>
          <w:lang w:val="en-US" w:eastAsia="zh-CN"/>
        </w:rPr>
        <w:t>运行过程说明、设备安装调试方案</w:t>
      </w:r>
      <w:r>
        <w:rPr>
          <w:rFonts w:hint="eastAsia" w:ascii="仿宋" w:hAnsi="仿宋" w:eastAsia="仿宋" w:cs="仿宋"/>
          <w:b w:val="0"/>
          <w:bCs w:val="0"/>
          <w:iCs/>
          <w:color w:val="auto"/>
          <w:kern w:val="2"/>
          <w:highlight w:val="none"/>
          <w:u w:val="none"/>
        </w:rPr>
        <w:t>、</w:t>
      </w:r>
      <w:r>
        <w:rPr>
          <w:rFonts w:hint="eastAsia" w:ascii="仿宋" w:hAnsi="仿宋" w:eastAsia="仿宋" w:cs="仿宋"/>
          <w:b w:val="0"/>
          <w:bCs w:val="0"/>
          <w:iCs/>
          <w:color w:val="auto"/>
          <w:kern w:val="2"/>
          <w:highlight w:val="none"/>
          <w:u w:val="none"/>
          <w:lang w:val="en-US" w:eastAsia="zh-CN"/>
        </w:rPr>
        <w:t>进度安排、</w:t>
      </w:r>
      <w:r>
        <w:rPr>
          <w:rFonts w:hint="eastAsia" w:ascii="仿宋" w:hAnsi="仿宋" w:eastAsia="仿宋" w:cs="仿宋"/>
          <w:b w:val="0"/>
          <w:bCs w:val="0"/>
          <w:iCs/>
          <w:color w:val="auto"/>
          <w:kern w:val="2"/>
          <w:highlight w:val="none"/>
          <w:u w:val="none"/>
        </w:rPr>
        <w:t>质量保证措施、风险防范措施等）。</w:t>
      </w:r>
    </w:p>
    <w:p w14:paraId="0AE79ECB">
      <w:pPr>
        <w:pStyle w:val="34"/>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2、</w:t>
      </w:r>
      <w:r>
        <w:rPr>
          <w:rFonts w:hint="eastAsia" w:ascii="仿宋" w:hAnsi="仿宋" w:eastAsia="仿宋" w:cs="仿宋"/>
          <w:b w:val="0"/>
          <w:bCs w:val="0"/>
          <w:iCs/>
          <w:color w:val="auto"/>
          <w:kern w:val="2"/>
          <w:highlight w:val="none"/>
          <w:u w:val="none"/>
        </w:rPr>
        <w:t>供应商需制定人员培训方案有固定的维修工程师1名为我单位提供人员操作培训，随时排除所有设备故障。</w:t>
      </w:r>
    </w:p>
    <w:p w14:paraId="45E2B564">
      <w:pPr>
        <w:pStyle w:val="34"/>
        <w:ind w:firstLine="0"/>
        <w:rPr>
          <w:rFonts w:hint="eastAsia"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lang w:eastAsia="zh-CN"/>
        </w:rPr>
        <w:t>（</w:t>
      </w:r>
      <w:r>
        <w:rPr>
          <w:rFonts w:hint="eastAsia" w:ascii="仿宋" w:hAnsi="仿宋" w:eastAsia="仿宋" w:cs="仿宋"/>
          <w:b/>
          <w:bCs/>
          <w:iCs/>
          <w:color w:val="auto"/>
          <w:kern w:val="2"/>
          <w:highlight w:val="none"/>
          <w:u w:val="none"/>
          <w:lang w:val="en-US" w:eastAsia="zh-CN"/>
        </w:rPr>
        <w:t>五)</w:t>
      </w:r>
      <w:r>
        <w:rPr>
          <w:rFonts w:hint="eastAsia" w:ascii="仿宋" w:hAnsi="仿宋" w:eastAsia="仿宋" w:cs="仿宋"/>
          <w:b/>
          <w:bCs/>
          <w:iCs/>
          <w:color w:val="auto"/>
          <w:kern w:val="2"/>
          <w:highlight w:val="none"/>
          <w:u w:val="none"/>
        </w:rPr>
        <w:t>、其他要求（具体要求详见综合评分表）</w:t>
      </w:r>
    </w:p>
    <w:p w14:paraId="5DD2D09A">
      <w:pPr>
        <w:pStyle w:val="34"/>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1、</w:t>
      </w:r>
      <w:r>
        <w:rPr>
          <w:rFonts w:hint="eastAsia" w:ascii="仿宋" w:hAnsi="仿宋" w:eastAsia="仿宋" w:cs="仿宋"/>
          <w:b w:val="0"/>
          <w:bCs w:val="0"/>
          <w:iCs/>
          <w:color w:val="auto"/>
          <w:kern w:val="2"/>
          <w:highlight w:val="none"/>
          <w:u w:val="none"/>
        </w:rPr>
        <w:t>提供近三年内同类业绩证明材料中标通知书或合同</w:t>
      </w:r>
      <w:r>
        <w:rPr>
          <w:rFonts w:hint="eastAsia" w:ascii="仿宋" w:hAnsi="仿宋" w:eastAsia="仿宋" w:cs="仿宋"/>
          <w:b w:val="0"/>
          <w:bCs w:val="0"/>
          <w:iCs/>
          <w:color w:val="auto"/>
          <w:kern w:val="2"/>
          <w:highlight w:val="none"/>
          <w:u w:val="none"/>
          <w:lang w:eastAsia="zh-CN"/>
        </w:rPr>
        <w:t>彩印件</w:t>
      </w:r>
      <w:r>
        <w:rPr>
          <w:rFonts w:hint="eastAsia" w:ascii="仿宋" w:hAnsi="仿宋" w:eastAsia="仿宋" w:cs="仿宋"/>
          <w:b w:val="0"/>
          <w:bCs w:val="0"/>
          <w:iCs/>
          <w:color w:val="auto"/>
          <w:kern w:val="2"/>
          <w:highlight w:val="none"/>
          <w:u w:val="none"/>
        </w:rPr>
        <w:t>。（提供的资料须能体现采购内容，否则属于无效资料，如有提供虚假资料，中标后取消中标资格。）</w:t>
      </w:r>
    </w:p>
    <w:p w14:paraId="42B39DF4">
      <w:pPr>
        <w:pStyle w:val="34"/>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2、</w:t>
      </w:r>
      <w:r>
        <w:rPr>
          <w:rFonts w:hint="eastAsia" w:ascii="仿宋" w:hAnsi="仿宋" w:eastAsia="仿宋" w:cs="仿宋"/>
          <w:b w:val="0"/>
          <w:bCs w:val="0"/>
          <w:iCs/>
          <w:color w:val="auto"/>
          <w:kern w:val="2"/>
          <w:highlight w:val="none"/>
          <w:u w:val="none"/>
        </w:rPr>
        <w:t>投标文件目录清晰、页码连续、目录与页码对应准确，评审内容便于查找。</w:t>
      </w:r>
    </w:p>
    <w:p w14:paraId="64509E03">
      <w:pPr>
        <w:pStyle w:val="34"/>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3</w:t>
      </w:r>
      <w:r>
        <w:rPr>
          <w:rFonts w:hint="eastAsia" w:ascii="仿宋" w:hAnsi="仿宋" w:eastAsia="仿宋" w:cs="仿宋"/>
          <w:b w:val="0"/>
          <w:bCs w:val="0"/>
          <w:iCs/>
          <w:color w:val="auto"/>
          <w:kern w:val="2"/>
          <w:highlight w:val="none"/>
          <w:u w:val="none"/>
        </w:rPr>
        <w:t>、投标人必须在投标文件中对以上条款和服务承诺明确列出，承诺内容必须达到本篇及招标文件其他条款的要求。</w:t>
      </w:r>
    </w:p>
    <w:p w14:paraId="7CADC442">
      <w:pPr>
        <w:pStyle w:val="34"/>
        <w:ind w:firstLine="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iCs/>
          <w:color w:val="auto"/>
          <w:kern w:val="2"/>
          <w:highlight w:val="none"/>
          <w:u w:val="none"/>
          <w:lang w:val="en-US" w:eastAsia="zh-CN"/>
        </w:rPr>
        <w:t>4</w:t>
      </w:r>
      <w:r>
        <w:rPr>
          <w:rFonts w:hint="eastAsia" w:ascii="仿宋" w:hAnsi="仿宋" w:eastAsia="仿宋" w:cs="仿宋"/>
          <w:b w:val="0"/>
          <w:bCs w:val="0"/>
          <w:iCs/>
          <w:color w:val="auto"/>
          <w:kern w:val="2"/>
          <w:highlight w:val="none"/>
          <w:u w:val="none"/>
        </w:rPr>
        <w:t>、其他未尽事宜由供需双方在采购合同中详细约定。</w:t>
      </w:r>
    </w:p>
    <w:p w14:paraId="612A1D00">
      <w:pPr>
        <w:pStyle w:val="34"/>
        <w:ind w:firstLine="0"/>
        <w:rPr>
          <w:rFonts w:hint="eastAsia" w:ascii="仿宋" w:hAnsi="仿宋" w:eastAsia="仿宋" w:cs="仿宋"/>
          <w:b/>
          <w:bCs/>
          <w:iCs/>
          <w:color w:val="auto"/>
          <w:kern w:val="2"/>
          <w:highlight w:val="none"/>
          <w:u w:val="none"/>
          <w:lang w:val="en-US" w:eastAsia="zh-CN"/>
        </w:rPr>
      </w:pPr>
      <w:r>
        <w:rPr>
          <w:rFonts w:hint="eastAsia" w:ascii="仿宋" w:hAnsi="仿宋" w:eastAsia="仿宋" w:cs="仿宋"/>
          <w:b/>
          <w:bCs/>
          <w:iCs/>
          <w:color w:val="auto"/>
          <w:kern w:val="2"/>
          <w:highlight w:val="none"/>
          <w:u w:val="none"/>
          <w:lang w:val="en-US" w:eastAsia="zh-CN"/>
        </w:rPr>
        <w:t>（六）验收要求：</w:t>
      </w:r>
    </w:p>
    <w:p w14:paraId="14733C4D">
      <w:pPr>
        <w:pStyle w:val="34"/>
        <w:ind w:firstLine="0"/>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pPr>
      <w:r>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t>①在中标货物安装调试完成并正常工作后组织验收，验收应在采购人和中标人共同参加下进行。</w:t>
      </w:r>
    </w:p>
    <w:p w14:paraId="4EBB16D6">
      <w:pPr>
        <w:pStyle w:val="34"/>
        <w:ind w:firstLine="0"/>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pPr>
      <w:r>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t>②采购人组成验收小组按国家有关的规定、标准进行。相关人员依据国家、行业规范、标准、规程要求进行验收。验收时如发现所交付的货物有短装、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6555E37E">
      <w:pPr>
        <w:pStyle w:val="34"/>
        <w:ind w:firstLine="0"/>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pPr>
      <w:r>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t>③如果货物运输和安装调试过程中因事故造成货物短缺、损坏，中标人应及时安排换货，以保证货物安装调试验收顺利完成。换货的相关费用由中标人承担。</w:t>
      </w:r>
    </w:p>
    <w:p w14:paraId="31FF5FB8">
      <w:pPr>
        <w:pStyle w:val="34"/>
        <w:ind w:firstLine="0"/>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pPr>
      <w:r>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t>④采购人认为如有必要或因货物质量问题发生争议时,可委托质检部门按采购文件要求及国家标准对货物进行抽样检验。如检验不合格，检验费用由中标人承担，并赔偿采购人损失。</w:t>
      </w:r>
    </w:p>
    <w:p w14:paraId="6B748BC8">
      <w:pPr>
        <w:pStyle w:val="34"/>
        <w:ind w:firstLine="0"/>
        <w:rPr>
          <w:rFonts w:hint="eastAsia" w:ascii="仿宋" w:hAnsi="仿宋" w:eastAsia="仿宋" w:cs="仿宋"/>
          <w:b w:val="0"/>
          <w:bCs w:val="0"/>
          <w:iCs/>
          <w:color w:val="000000" w:themeColor="text1"/>
          <w:kern w:val="2"/>
          <w:highlight w:val="none"/>
          <w:u w:val="none"/>
          <w14:textFill>
            <w14:solidFill>
              <w14:schemeClr w14:val="tx1"/>
            </w14:solidFill>
          </w14:textFill>
        </w:rPr>
      </w:pPr>
      <w:r>
        <w:rPr>
          <w:rFonts w:hint="eastAsia" w:ascii="仿宋" w:hAnsi="仿宋" w:eastAsia="仿宋" w:cs="仿宋"/>
          <w:b w:val="0"/>
          <w:bCs w:val="0"/>
          <w:iCs/>
          <w:color w:val="000000" w:themeColor="text1"/>
          <w:kern w:val="2"/>
          <w:highlight w:val="none"/>
          <w:u w:val="none"/>
          <w:lang w:val="en-US" w:eastAsia="zh-CN"/>
          <w14:textFill>
            <w14:solidFill>
              <w14:schemeClr w14:val="tx1"/>
            </w14:solidFill>
          </w14:textFill>
        </w:rPr>
        <w:t>⑤其他验收细则以中标人的投标文件中提供的货物技术资料及双方签订的合同条款为准。</w:t>
      </w:r>
    </w:p>
    <w:p w14:paraId="1C08AB1D">
      <w:pPr>
        <w:pStyle w:val="34"/>
        <w:ind w:firstLine="0"/>
        <w:rPr>
          <w:rFonts w:ascii="仿宋" w:hAnsi="仿宋" w:eastAsia="仿宋" w:cs="仿宋"/>
          <w:b/>
          <w:bCs/>
          <w:iCs/>
          <w:color w:val="000000" w:themeColor="text1"/>
          <w:kern w:val="2"/>
          <w:highlight w:val="none"/>
          <w:u w:val="none"/>
          <w14:textFill>
            <w14:solidFill>
              <w14:schemeClr w14:val="tx1"/>
            </w14:solidFill>
          </w14:textFill>
        </w:rPr>
      </w:pPr>
      <w:bookmarkStart w:id="736" w:name="_Toc8665"/>
      <w:r>
        <w:rPr>
          <w:rFonts w:hint="eastAsia" w:ascii="仿宋" w:hAnsi="仿宋" w:eastAsia="仿宋" w:cs="仿宋"/>
          <w:b/>
          <w:bCs/>
          <w:iCs/>
          <w:color w:val="000000" w:themeColor="text1"/>
          <w:kern w:val="2"/>
          <w:highlight w:val="none"/>
          <w:u w:val="none"/>
          <w14:textFill>
            <w14:solidFill>
              <w14:schemeClr w14:val="tx1"/>
            </w14:solidFill>
          </w14:textFill>
        </w:rPr>
        <w:t>（</w:t>
      </w:r>
      <w:r>
        <w:rPr>
          <w:rFonts w:hint="eastAsia" w:ascii="仿宋" w:hAnsi="仿宋" w:eastAsia="仿宋" w:cs="仿宋"/>
          <w:b/>
          <w:bCs/>
          <w:iCs/>
          <w:color w:val="000000" w:themeColor="text1"/>
          <w:kern w:val="2"/>
          <w:highlight w:val="none"/>
          <w:u w:val="none"/>
          <w:lang w:val="en-US" w:eastAsia="zh-CN"/>
          <w14:textFill>
            <w14:solidFill>
              <w14:schemeClr w14:val="tx1"/>
            </w14:solidFill>
          </w14:textFill>
        </w:rPr>
        <w:t>七</w:t>
      </w:r>
      <w:r>
        <w:rPr>
          <w:rFonts w:hint="eastAsia" w:ascii="仿宋" w:hAnsi="仿宋" w:eastAsia="仿宋" w:cs="仿宋"/>
          <w:b/>
          <w:bCs/>
          <w:iCs/>
          <w:color w:val="000000" w:themeColor="text1"/>
          <w:kern w:val="2"/>
          <w:highlight w:val="none"/>
          <w:u w:val="none"/>
          <w14:textFill>
            <w14:solidFill>
              <w14:schemeClr w14:val="tx1"/>
            </w14:solidFill>
          </w14:textFill>
        </w:rPr>
        <w:t>）知识产权</w:t>
      </w:r>
    </w:p>
    <w:p w14:paraId="6E4F1A0E">
      <w:pPr>
        <w:pStyle w:val="34"/>
        <w:ind w:firstLine="0"/>
        <w:rPr>
          <w:rFonts w:hint="eastAsia" w:ascii="仿宋" w:hAnsi="仿宋" w:eastAsia="仿宋" w:cs="仿宋"/>
          <w:b/>
          <w:color w:val="auto"/>
          <w:sz w:val="28"/>
          <w:szCs w:val="28"/>
        </w:rPr>
      </w:pPr>
      <w:r>
        <w:rPr>
          <w:rFonts w:hint="eastAsia" w:ascii="仿宋" w:hAnsi="仿宋" w:eastAsia="仿宋" w:cs="仿宋"/>
          <w:b w:val="0"/>
          <w:bCs w:val="0"/>
          <w:iCs/>
          <w:color w:val="000000" w:themeColor="text1"/>
          <w:kern w:val="2"/>
          <w:highlight w:val="none"/>
          <w:u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14:paraId="5DDE86DA">
      <w:pPr>
        <w:spacing w:line="360" w:lineRule="auto"/>
        <w:outlineLvl w:val="1"/>
        <w:rPr>
          <w:rFonts w:ascii="仿宋" w:hAnsi="仿宋" w:eastAsia="仿宋" w:cs="仿宋"/>
          <w:b/>
          <w:bCs/>
          <w:iCs/>
          <w:color w:val="auto"/>
          <w:sz w:val="24"/>
          <w:u w:val="single"/>
        </w:rPr>
      </w:pPr>
      <w:r>
        <w:rPr>
          <w:rFonts w:hint="eastAsia" w:ascii="仿宋" w:hAnsi="仿宋" w:eastAsia="仿宋" w:cs="仿宋"/>
          <w:b/>
          <w:color w:val="auto"/>
          <w:sz w:val="28"/>
          <w:szCs w:val="28"/>
          <w:lang w:val="en-US" w:eastAsia="zh-CN"/>
        </w:rPr>
        <w:t>（八）项目</w:t>
      </w:r>
      <w:r>
        <w:rPr>
          <w:rFonts w:hint="eastAsia" w:ascii="仿宋" w:hAnsi="仿宋" w:eastAsia="仿宋" w:cs="仿宋"/>
          <w:b/>
          <w:color w:val="auto"/>
          <w:sz w:val="28"/>
          <w:szCs w:val="28"/>
        </w:rPr>
        <w:t>要求</w:t>
      </w:r>
      <w:bookmarkEnd w:id="736"/>
    </w:p>
    <w:p w14:paraId="48348D33">
      <w:pPr>
        <w:numPr>
          <w:ilvl w:val="0"/>
          <w:numId w:val="26"/>
        </w:numPr>
        <w:spacing w:line="360" w:lineRule="auto"/>
        <w:rPr>
          <w:rFonts w:ascii="仿宋" w:hAnsi="仿宋" w:eastAsia="仿宋" w:cs="仿宋"/>
          <w:b/>
          <w:bCs/>
          <w:iCs/>
          <w:color w:val="auto"/>
          <w:sz w:val="24"/>
          <w:u w:val="single"/>
        </w:rPr>
      </w:pPr>
      <w:bookmarkStart w:id="737" w:name="_Toc32647"/>
      <w:bookmarkStart w:id="738" w:name="_Toc507399907"/>
      <w:bookmarkStart w:id="739" w:name="_Toc515647832"/>
      <w:bookmarkStart w:id="740" w:name="_Toc7971"/>
      <w:r>
        <w:rPr>
          <w:rFonts w:hint="eastAsia" w:ascii="仿宋" w:hAnsi="仿宋" w:eastAsia="仿宋" w:cs="仿宋"/>
          <w:b/>
          <w:bCs/>
          <w:iCs/>
          <w:color w:val="auto"/>
          <w:sz w:val="24"/>
          <w:u w:val="single"/>
        </w:rPr>
        <w:t>交付地点：</w:t>
      </w:r>
      <w:r>
        <w:rPr>
          <w:rFonts w:hint="eastAsia" w:ascii="仿宋" w:hAnsi="仿宋" w:eastAsia="仿宋" w:cs="仿宋"/>
          <w:b/>
          <w:bCs/>
          <w:iCs/>
          <w:color w:val="auto"/>
          <w:sz w:val="24"/>
          <w:u w:val="single"/>
          <w:lang w:eastAsia="zh-CN"/>
        </w:rPr>
        <w:t>喀什地区纤维检验所</w:t>
      </w:r>
    </w:p>
    <w:p w14:paraId="180E73D8">
      <w:pPr>
        <w:spacing w:line="360" w:lineRule="auto"/>
        <w:rPr>
          <w:rFonts w:ascii="仿宋" w:hAnsi="仿宋" w:cs="仿宋"/>
          <w:b/>
          <w:bCs/>
          <w:iCs/>
          <w:color w:val="auto"/>
          <w:sz w:val="24"/>
        </w:rPr>
      </w:pPr>
      <w:r>
        <w:rPr>
          <w:rFonts w:hint="eastAsia" w:ascii="仿宋" w:hAnsi="仿宋" w:eastAsia="仿宋" w:cs="仿宋"/>
          <w:b/>
          <w:bCs/>
          <w:iCs/>
          <w:color w:val="auto"/>
          <w:sz w:val="24"/>
        </w:rPr>
        <w:t>2、</w:t>
      </w:r>
      <w:r>
        <w:rPr>
          <w:rFonts w:hint="eastAsia" w:ascii="仿宋" w:hAnsi="仿宋" w:eastAsia="仿宋" w:cs="仿宋"/>
          <w:b/>
          <w:bCs/>
          <w:iCs/>
          <w:color w:val="auto"/>
          <w:sz w:val="24"/>
          <w:u w:val="single"/>
        </w:rPr>
        <w:t>中标通知书发</w:t>
      </w:r>
      <w:r>
        <w:rPr>
          <w:rFonts w:hint="eastAsia" w:ascii="仿宋" w:hAnsi="仿宋" w:eastAsia="仿宋" w:cs="仿宋"/>
          <w:b/>
          <w:bCs/>
          <w:iCs/>
          <w:color w:val="auto"/>
          <w:sz w:val="24"/>
          <w:u w:val="single"/>
          <w:lang w:val="en-US" w:eastAsia="zh-CN"/>
        </w:rPr>
        <w:t>30日内日</w:t>
      </w:r>
      <w:r>
        <w:rPr>
          <w:rFonts w:hint="eastAsia" w:ascii="仿宋" w:hAnsi="仿宋" w:eastAsia="仿宋" w:cs="仿宋"/>
          <w:b/>
          <w:bCs/>
          <w:iCs/>
          <w:color w:val="auto"/>
          <w:sz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62A6514B">
      <w:pPr>
        <w:spacing w:line="360" w:lineRule="auto"/>
        <w:rPr>
          <w:rFonts w:hint="eastAsia" w:ascii="仿宋" w:hAnsi="仿宋" w:eastAsia="仿宋" w:cs="仿宋"/>
          <w:b/>
          <w:bCs/>
          <w:iCs/>
          <w:color w:val="auto"/>
          <w:sz w:val="24"/>
          <w:u w:val="single"/>
          <w:lang w:val="en-US" w:eastAsia="zh-CN"/>
        </w:rPr>
      </w:pPr>
      <w:r>
        <w:rPr>
          <w:rFonts w:hint="eastAsia" w:ascii="仿宋" w:hAnsi="仿宋" w:eastAsia="仿宋" w:cs="仿宋"/>
          <w:b/>
          <w:bCs/>
          <w:iCs/>
          <w:color w:val="auto"/>
          <w:sz w:val="24"/>
          <w:lang w:val="en-US" w:eastAsia="zh-CN"/>
        </w:rPr>
        <w:t>3</w:t>
      </w:r>
      <w:r>
        <w:rPr>
          <w:rFonts w:hint="eastAsia" w:ascii="仿宋" w:hAnsi="仿宋" w:eastAsia="仿宋" w:cs="仿宋"/>
          <w:b/>
          <w:bCs/>
          <w:iCs/>
          <w:color w:val="auto"/>
          <w:sz w:val="24"/>
        </w:rPr>
        <w:t>、</w:t>
      </w:r>
      <w:r>
        <w:rPr>
          <w:rFonts w:hint="eastAsia" w:ascii="仿宋" w:hAnsi="仿宋" w:eastAsia="仿宋" w:cs="仿宋"/>
          <w:b/>
          <w:bCs/>
          <w:iCs/>
          <w:color w:val="auto"/>
          <w:sz w:val="24"/>
          <w:szCs w:val="24"/>
          <w:u w:val="single"/>
        </w:rPr>
        <w:t>招标价格含:</w:t>
      </w:r>
      <w:r>
        <w:rPr>
          <w:rFonts w:hint="eastAsia" w:ascii="仿宋" w:hAnsi="仿宋" w:eastAsia="仿宋" w:cs="仿宋"/>
          <w:b/>
          <w:bCs/>
          <w:iCs/>
          <w:color w:val="auto"/>
          <w:kern w:val="2"/>
          <w:sz w:val="24"/>
          <w:szCs w:val="24"/>
          <w:u w:val="single"/>
        </w:rPr>
        <w:t>装卸、</w:t>
      </w:r>
      <w:r>
        <w:rPr>
          <w:rFonts w:hint="eastAsia" w:ascii="仿宋" w:hAnsi="仿宋" w:eastAsia="仿宋" w:cs="仿宋"/>
          <w:b/>
          <w:bCs/>
          <w:iCs/>
          <w:color w:val="auto"/>
          <w:kern w:val="2"/>
          <w:sz w:val="24"/>
          <w:szCs w:val="24"/>
          <w:u w:val="single"/>
          <w:lang w:eastAsia="zh-CN"/>
        </w:rPr>
        <w:t>运输、</w:t>
      </w:r>
      <w:r>
        <w:rPr>
          <w:rFonts w:hint="eastAsia" w:ascii="仿宋" w:hAnsi="仿宋" w:eastAsia="仿宋" w:cs="仿宋"/>
          <w:b/>
          <w:bCs/>
          <w:iCs/>
          <w:color w:val="auto"/>
          <w:kern w:val="2"/>
          <w:sz w:val="24"/>
          <w:szCs w:val="24"/>
          <w:u w:val="single"/>
        </w:rPr>
        <w:t>系统升级、售后服务、税费等所有费用</w:t>
      </w:r>
      <w:r>
        <w:rPr>
          <w:rFonts w:hint="eastAsia" w:ascii="仿宋" w:hAnsi="仿宋" w:eastAsia="仿宋" w:cs="仿宋"/>
          <w:b/>
          <w:bCs/>
          <w:iCs/>
          <w:color w:val="auto"/>
          <w:sz w:val="24"/>
          <w:szCs w:val="24"/>
          <w:u w:val="single"/>
        </w:rPr>
        <w:t>。（中标单位必须向</w:t>
      </w:r>
      <w:r>
        <w:rPr>
          <w:rFonts w:hint="eastAsia" w:ascii="仿宋" w:hAnsi="仿宋" w:eastAsia="仿宋" w:cs="仿宋"/>
          <w:b/>
          <w:bCs/>
          <w:iCs/>
          <w:color w:val="auto"/>
          <w:sz w:val="24"/>
          <w:szCs w:val="24"/>
          <w:u w:val="single"/>
          <w:lang w:eastAsia="zh-CN"/>
        </w:rPr>
        <w:t>采购人</w:t>
      </w:r>
      <w:r>
        <w:rPr>
          <w:rFonts w:hint="eastAsia" w:ascii="仿宋" w:hAnsi="仿宋" w:eastAsia="仿宋" w:cs="仿宋"/>
          <w:b/>
          <w:bCs/>
          <w:iCs/>
          <w:color w:val="auto"/>
          <w:sz w:val="24"/>
          <w:szCs w:val="24"/>
          <w:u w:val="single"/>
        </w:rPr>
        <w:t>提供发票）</w:t>
      </w:r>
      <w:r>
        <w:rPr>
          <w:rFonts w:hint="eastAsia" w:ascii="仿宋" w:hAnsi="仿宋" w:eastAsia="仿宋" w:cs="仿宋"/>
          <w:b/>
          <w:bCs/>
          <w:iCs/>
          <w:color w:val="auto"/>
          <w:sz w:val="24"/>
          <w:szCs w:val="24"/>
          <w:u w:val="single"/>
          <w:lang w:val="en-US" w:eastAsia="zh-CN"/>
        </w:rPr>
        <w:t>.</w:t>
      </w:r>
    </w:p>
    <w:p w14:paraId="3EE0341E">
      <w:pPr>
        <w:rPr>
          <w:rFonts w:hint="eastAsia" w:ascii="仿宋" w:hAnsi="仿宋" w:eastAsia="仿宋" w:cs="仿宋"/>
          <w:color w:val="auto"/>
        </w:rPr>
      </w:pPr>
    </w:p>
    <w:p w14:paraId="7BC67F26">
      <w:pPr>
        <w:rPr>
          <w:rFonts w:hint="eastAsia" w:ascii="仿宋" w:hAnsi="仿宋" w:eastAsia="仿宋" w:cs="仿宋"/>
          <w:color w:val="auto"/>
        </w:rPr>
      </w:pPr>
    </w:p>
    <w:p w14:paraId="6F2DE1A2">
      <w:pPr>
        <w:pStyle w:val="3"/>
        <w:tabs>
          <w:tab w:val="left" w:pos="0"/>
        </w:tabs>
        <w:spacing w:before="0" w:after="0" w:line="240" w:lineRule="atLeast"/>
        <w:outlineLvl w:val="0"/>
        <w:rPr>
          <w:rFonts w:ascii="仿宋" w:hAnsi="仿宋" w:eastAsia="仿宋" w:cs="仿宋"/>
          <w:color w:val="auto"/>
        </w:rPr>
      </w:pPr>
      <w:bookmarkStart w:id="741" w:name="_Toc24027"/>
      <w:bookmarkStart w:id="742" w:name="_Toc30073"/>
      <w:bookmarkStart w:id="743" w:name="_Toc330"/>
      <w:r>
        <w:rPr>
          <w:rFonts w:hint="eastAsia" w:ascii="仿宋" w:hAnsi="仿宋" w:eastAsia="仿宋" w:cs="仿宋"/>
          <w:color w:val="auto"/>
        </w:rPr>
        <w:t>第六章、评标方法和标准</w:t>
      </w:r>
      <w:bookmarkEnd w:id="737"/>
      <w:bookmarkEnd w:id="738"/>
      <w:bookmarkEnd w:id="739"/>
      <w:bookmarkEnd w:id="740"/>
      <w:bookmarkEnd w:id="741"/>
      <w:bookmarkEnd w:id="742"/>
      <w:bookmarkEnd w:id="743"/>
    </w:p>
    <w:p w14:paraId="7A753B39">
      <w:pPr>
        <w:pStyle w:val="11"/>
        <w:tabs>
          <w:tab w:val="clear" w:pos="567"/>
        </w:tabs>
        <w:spacing w:before="0" w:line="240" w:lineRule="atLeast"/>
        <w:ind w:firstLine="540" w:firstLineChars="225"/>
        <w:rPr>
          <w:rFonts w:ascii="仿宋" w:hAnsi="仿宋" w:eastAsia="仿宋" w:cs="仿宋"/>
          <w:color w:val="auto"/>
        </w:rPr>
      </w:pPr>
    </w:p>
    <w:p w14:paraId="2F92D222">
      <w:pPr>
        <w:pStyle w:val="11"/>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14:paraId="19AACE23">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4" w:name="_Toc13780"/>
      <w:r>
        <w:rPr>
          <w:rFonts w:hint="eastAsia" w:ascii="仿宋" w:hAnsi="仿宋" w:eastAsia="仿宋" w:cs="仿宋"/>
          <w:b/>
          <w:bCs/>
          <w:color w:val="auto"/>
          <w:kern w:val="2"/>
          <w:sz w:val="24"/>
          <w:szCs w:val="24"/>
          <w:highlight w:val="none"/>
          <w:lang w:val="en-US" w:eastAsia="zh-CN" w:bidi="ar-SA"/>
        </w:rPr>
        <w:t>1、项目基本情况</w:t>
      </w:r>
      <w:bookmarkEnd w:id="744"/>
    </w:p>
    <w:p w14:paraId="463824B1">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项目名称：喀什地区纤维检验所棉花公检实验室AGV自动转运调度系统采购项目</w:t>
      </w:r>
    </w:p>
    <w:p w14:paraId="007CAD4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采购方式：公开招标</w:t>
      </w:r>
    </w:p>
    <w:p w14:paraId="1039E41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14:paraId="59EB667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690CF3C1">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提交投标文件截止时间：2025年7月21日 11：00</w:t>
      </w:r>
    </w:p>
    <w:p w14:paraId="250D54C9">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5" w:name="_Toc388"/>
      <w:r>
        <w:rPr>
          <w:rFonts w:hint="eastAsia" w:ascii="仿宋" w:hAnsi="仿宋" w:eastAsia="仿宋" w:cs="仿宋"/>
          <w:b/>
          <w:bCs/>
          <w:color w:val="auto"/>
          <w:kern w:val="2"/>
          <w:sz w:val="24"/>
          <w:szCs w:val="24"/>
          <w:highlight w:val="none"/>
          <w:lang w:val="en-US" w:eastAsia="zh-CN" w:bidi="ar-SA"/>
        </w:rPr>
        <w:t>2.投标无效的情形：</w:t>
      </w:r>
      <w:bookmarkEnd w:id="745"/>
    </w:p>
    <w:p w14:paraId="5E6256A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14:paraId="73B37F9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14:paraId="4004267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14:paraId="26D6908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14:paraId="1CBAC25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51BBAFF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14:paraId="76E3EFF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14:paraId="1B867BD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F64B53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14:paraId="2CDD0D3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14:paraId="55DF4DB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14:paraId="0240E34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14:paraId="480C2BA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E1BCF2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2F42CB1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5216EBDC">
      <w:pPr>
        <w:pStyle w:val="11"/>
        <w:tabs>
          <w:tab w:val="clear" w:pos="567"/>
        </w:tabs>
        <w:spacing w:before="0" w:line="240" w:lineRule="atLeast"/>
        <w:outlineLvl w:val="1"/>
        <w:rPr>
          <w:rFonts w:hint="eastAsia" w:ascii="仿宋" w:hAnsi="仿宋" w:eastAsia="仿宋" w:cs="仿宋"/>
          <w:b/>
          <w:bCs/>
          <w:color w:val="auto"/>
          <w:kern w:val="2"/>
          <w:sz w:val="24"/>
          <w:szCs w:val="24"/>
          <w:highlight w:val="none"/>
          <w:lang w:val="en-US" w:eastAsia="zh-CN" w:bidi="ar-SA"/>
        </w:rPr>
      </w:pPr>
      <w:bookmarkStart w:id="746" w:name="_Toc31964"/>
      <w:r>
        <w:rPr>
          <w:rFonts w:hint="eastAsia" w:ascii="仿宋" w:hAnsi="仿宋" w:eastAsia="仿宋" w:cs="仿宋"/>
          <w:b/>
          <w:bCs/>
          <w:color w:val="auto"/>
          <w:kern w:val="2"/>
          <w:sz w:val="24"/>
          <w:szCs w:val="24"/>
          <w:highlight w:val="none"/>
          <w:lang w:val="en-US" w:eastAsia="zh-CN" w:bidi="ar-SA"/>
        </w:rPr>
        <w:t>3.开评标</w:t>
      </w:r>
      <w:bookmarkEnd w:id="746"/>
    </w:p>
    <w:p w14:paraId="0179B800">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14:paraId="7CF79F3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14:paraId="601DFAE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14:paraId="49C815C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14:paraId="74242E5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14:paraId="6723D90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14:paraId="2F3415C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14:paraId="3723396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14:paraId="55E72F4C">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14:paraId="00BEAF4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14:paraId="4F5D22A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14:paraId="221F4485">
      <w:pPr>
        <w:rPr>
          <w:rFonts w:hint="eastAsia"/>
          <w:color w:val="auto"/>
          <w:lang w:val="en-US" w:eastAsia="zh-CN"/>
        </w:rPr>
      </w:pPr>
    </w:p>
    <w:p w14:paraId="6402DFBA">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14:paraId="461AB2D2">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5人组成。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3E847507">
      <w:pPr>
        <w:pStyle w:val="11"/>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14:paraId="3EEF9C2A">
      <w:pPr>
        <w:pStyle w:val="11"/>
        <w:tabs>
          <w:tab w:val="clear" w:pos="567"/>
        </w:tabs>
        <w:spacing w:before="0" w:line="360" w:lineRule="auto"/>
        <w:ind w:firstLine="482" w:firstLineChars="200"/>
        <w:outlineLvl w:val="1"/>
        <w:rPr>
          <w:rFonts w:hint="eastAsia" w:ascii="仿宋" w:hAnsi="仿宋" w:eastAsia="仿宋" w:cs="仿宋"/>
          <w:b/>
          <w:bCs/>
          <w:color w:val="auto"/>
          <w:kern w:val="2"/>
          <w:sz w:val="24"/>
          <w:szCs w:val="24"/>
          <w:highlight w:val="none"/>
          <w:lang w:val="en-US" w:eastAsia="zh-CN" w:bidi="ar-SA"/>
        </w:rPr>
      </w:pPr>
      <w:bookmarkStart w:id="747" w:name="_Toc11341"/>
      <w:r>
        <w:rPr>
          <w:rFonts w:hint="eastAsia" w:ascii="仿宋" w:hAnsi="仿宋" w:eastAsia="仿宋" w:cs="仿宋"/>
          <w:b/>
          <w:bCs/>
          <w:color w:val="auto"/>
          <w:kern w:val="2"/>
          <w:sz w:val="24"/>
          <w:szCs w:val="24"/>
          <w:highlight w:val="none"/>
          <w:lang w:val="en-US" w:eastAsia="zh-CN" w:bidi="ar-SA"/>
        </w:rPr>
        <w:t>1、评标的依据为招标文件和投标文件；</w:t>
      </w:r>
      <w:bookmarkEnd w:id="747"/>
    </w:p>
    <w:p w14:paraId="4AF1367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w:t>
      </w:r>
    </w:p>
    <w:p w14:paraId="39BAC7C7">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305E877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14:paraId="62D97B4D">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14:paraId="526077B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7F563DD4">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14:paraId="14083F7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14:paraId="3AC72AF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14:paraId="3B40AC9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68EA792A">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1.未按规定由投标人的法定代表人或投标人代表签字，或未加盖投标投标人公章的，或签字人未经法定代表人有效授权委托的。</w:t>
      </w:r>
    </w:p>
    <w:p w14:paraId="18C34149">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14:paraId="4C6E5300">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14:paraId="752B8223">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14:paraId="5FC679C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14:paraId="30DFA0A7">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14:paraId="064731BE">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7.未实质性响应或者擅自改变招标文件要求或者投标文件有招标方不能接受的附加条件的。</w:t>
      </w:r>
    </w:p>
    <w:p w14:paraId="251EE945">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709A2AE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CBCAFE7">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复核，评分汇总结束后，评标委员会应当进行复核，特别要对拟推荐为中标候选供应商的、报价最低的、投标文件被认定为无效的进行重点复核。</w:t>
      </w:r>
    </w:p>
    <w:p w14:paraId="4CA5EF73">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推荐中标候选供应商。中标候选供应商应当排序。</w:t>
      </w:r>
    </w:p>
    <w:p w14:paraId="291BC6BF">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出具评标报告。评标委员会推荐中标候选供应商后，应当向招标采购单位出具评标报告。评标报告应当包括下列内容：</w:t>
      </w:r>
    </w:p>
    <w:p w14:paraId="5A34C52E">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（一）招标公告刊登的媒体名称、开标日期和地点；</w:t>
      </w:r>
    </w:p>
    <w:p w14:paraId="1842DCC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（二）评标委员会成员名单；</w:t>
      </w:r>
    </w:p>
    <w:p w14:paraId="5F1F6DFD">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（三）评标方法和标准；</w:t>
      </w:r>
    </w:p>
    <w:p w14:paraId="0524A7AB">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（四）开标记录和评标情况及说明，包括无效投标人名单及原因；</w:t>
      </w:r>
    </w:p>
    <w:p w14:paraId="3403B444">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（五）评标结果，确定的中标候选人名单或者经采购人委托直接确定的中标人；</w:t>
      </w:r>
    </w:p>
    <w:p w14:paraId="2FF4B7A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（六）其他需要说明的情况，包括评标过程中投标人根据评标委员会要求进行的澄清、说明或者补正，评标委员会成员的更换等。</w:t>
      </w:r>
    </w:p>
    <w:p w14:paraId="1371864D">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9D09905">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评标争议处理规则。</w:t>
      </w:r>
    </w:p>
    <w:p w14:paraId="05F4752E">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A355A4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w:t>
      </w:r>
    </w:p>
    <w:p w14:paraId="063B891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F74898B">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5E7383DB">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14:paraId="02D87C3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（一）按财政部规定应当在评标时不予承认的投标文件内容事项；</w:t>
      </w:r>
    </w:p>
    <w:p w14:paraId="5628A6B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（二）投标文件中已经明确的内容事项；</w:t>
      </w:r>
    </w:p>
    <w:p w14:paraId="3B42A0BA">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（三）投标文件未提供的材料。</w:t>
      </w:r>
    </w:p>
    <w:p w14:paraId="325950DD">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F2888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A5570D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招标采购单位现场复核评标结果。</w:t>
      </w:r>
    </w:p>
    <w:p w14:paraId="2542065B">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14:paraId="711FBD7A">
      <w:pPr>
        <w:pStyle w:val="11"/>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0F9DCC">
      <w:pPr>
        <w:pStyle w:val="11"/>
        <w:tabs>
          <w:tab w:val="clear" w:pos="567"/>
        </w:tabs>
        <w:spacing w:before="0" w:line="360" w:lineRule="auto"/>
        <w:outlineLvl w:val="1"/>
        <w:rPr>
          <w:rFonts w:hint="eastAsia" w:ascii="仿宋" w:hAnsi="仿宋" w:eastAsia="仿宋" w:cs="仿宋"/>
          <w:b/>
          <w:bCs/>
          <w:color w:val="auto"/>
          <w:kern w:val="2"/>
          <w:sz w:val="24"/>
          <w:szCs w:val="24"/>
          <w:highlight w:val="none"/>
          <w:lang w:val="en-US" w:eastAsia="zh-CN" w:bidi="ar-SA"/>
        </w:rPr>
      </w:pPr>
      <w:bookmarkStart w:id="748" w:name="_Toc17277"/>
      <w:r>
        <w:rPr>
          <w:rFonts w:hint="eastAsia" w:ascii="仿宋" w:hAnsi="仿宋" w:eastAsia="仿宋" w:cs="仿宋"/>
          <w:b/>
          <w:bCs/>
          <w:color w:val="auto"/>
          <w:kern w:val="2"/>
          <w:sz w:val="24"/>
          <w:szCs w:val="24"/>
          <w:highlight w:val="none"/>
          <w:lang w:val="en-US" w:eastAsia="zh-CN" w:bidi="ar-SA"/>
        </w:rPr>
        <w:t>4、确定中标</w:t>
      </w:r>
      <w:bookmarkEnd w:id="748"/>
    </w:p>
    <w:p w14:paraId="2F85CE6C">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14:paraId="4C6B208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价格因素：占30分；</w:t>
      </w:r>
    </w:p>
    <w:p w14:paraId="1E8998A5">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highlight w:val="none"/>
          <w:lang w:val="en-US" w:eastAsia="zh-CN" w:bidi="ar"/>
        </w:rPr>
        <w:t>分数最高不超过30分。</w:t>
      </w:r>
    </w:p>
    <w:p w14:paraId="46139A5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14:paraId="390A173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采购代理机构在评标结束后2个工作日内将评标报告送采购人。</w:t>
      </w:r>
    </w:p>
    <w:p w14:paraId="1E5F351F">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14:paraId="7A3A3077">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14:paraId="169C5174">
      <w:pPr>
        <w:pStyle w:val="11"/>
        <w:tabs>
          <w:tab w:val="clear" w:pos="567"/>
        </w:tabs>
        <w:spacing w:before="0" w:line="360" w:lineRule="auto"/>
        <w:outlineLvl w:val="1"/>
        <w:rPr>
          <w:rFonts w:hint="eastAsia" w:ascii="仿宋" w:hAnsi="仿宋" w:eastAsia="仿宋" w:cs="仿宋"/>
          <w:b/>
          <w:bCs/>
          <w:color w:val="auto"/>
          <w:kern w:val="0"/>
          <w:sz w:val="24"/>
          <w:szCs w:val="24"/>
          <w:lang w:val="en-US" w:eastAsia="zh-CN" w:bidi="ar"/>
        </w:rPr>
      </w:pPr>
      <w:bookmarkStart w:id="749" w:name="_Toc12181"/>
      <w:r>
        <w:rPr>
          <w:rFonts w:hint="eastAsia" w:ascii="仿宋" w:hAnsi="仿宋" w:eastAsia="仿宋" w:cs="仿宋"/>
          <w:b/>
          <w:bCs/>
          <w:color w:val="auto"/>
          <w:kern w:val="0"/>
          <w:sz w:val="24"/>
          <w:szCs w:val="24"/>
          <w:lang w:val="en-US" w:eastAsia="zh-CN" w:bidi="ar"/>
        </w:rPr>
        <w:t>5、中小企业落实政策</w:t>
      </w:r>
      <w:bookmarkEnd w:id="749"/>
    </w:p>
    <w:p w14:paraId="59E70E75">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bCs/>
          <w:color w:val="auto"/>
          <w:kern w:val="0"/>
          <w:sz w:val="24"/>
          <w:szCs w:val="24"/>
          <w:u w:val="single"/>
          <w:lang w:val="en-US" w:eastAsia="zh-CN" w:bidi="ar"/>
        </w:rPr>
        <w:t xml:space="preserve"> 10  </w:t>
      </w:r>
      <w:r>
        <w:rPr>
          <w:rFonts w:hint="eastAsia" w:ascii="仿宋" w:hAnsi="仿宋" w:eastAsia="仿宋" w:cs="仿宋"/>
          <w:b/>
          <w:bCs/>
          <w:color w:val="auto"/>
          <w:kern w:val="0"/>
          <w:sz w:val="24"/>
          <w:szCs w:val="24"/>
          <w:lang w:val="en-US" w:eastAsia="zh-CN" w:bidi="ar"/>
        </w:rPr>
        <w:t>%后参与评审。对于同时属于小微企业、监狱企业残疾人福利性单位的，不重复进行投标报价扣除。</w:t>
      </w:r>
    </w:p>
    <w:p w14:paraId="239245D2">
      <w:pPr>
        <w:pStyle w:val="11"/>
        <w:tabs>
          <w:tab w:val="clear" w:pos="567"/>
        </w:tabs>
        <w:spacing w:before="0" w:line="40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color w:val="auto"/>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14:paraId="19379521">
      <w:pPr>
        <w:rPr>
          <w:rFonts w:hint="eastAsia" w:ascii="仿宋" w:hAnsi="仿宋" w:eastAsia="仿宋" w:cs="仿宋"/>
          <w:color w:val="auto"/>
          <w:lang w:val="en-US" w:eastAsia="zh-CN"/>
        </w:rPr>
      </w:pPr>
    </w:p>
    <w:p w14:paraId="0F83B686">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14:paraId="220FEAC7">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14:paraId="0A0E6ADF">
      <w:pPr>
        <w:pStyle w:val="11"/>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14:paraId="3404518F">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14:paraId="0F1F4947">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14:paraId="01951563">
      <w:pPr>
        <w:pStyle w:val="11"/>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14:paraId="2020ACA1">
      <w:pPr>
        <w:spacing w:line="300" w:lineRule="auto"/>
        <w:jc w:val="center"/>
        <w:rPr>
          <w:rFonts w:hint="eastAsia" w:ascii="仿宋" w:hAnsi="仿宋" w:eastAsia="仿宋" w:cs="仿宋"/>
          <w:b/>
          <w:bCs/>
          <w:color w:val="auto"/>
          <w:sz w:val="28"/>
          <w:szCs w:val="32"/>
        </w:rPr>
      </w:pPr>
    </w:p>
    <w:p w14:paraId="3D80C9FA">
      <w:pPr>
        <w:pStyle w:val="26"/>
        <w:rPr>
          <w:rFonts w:hint="eastAsia"/>
          <w:color w:val="auto"/>
        </w:rPr>
      </w:pPr>
    </w:p>
    <w:p w14:paraId="2C9B715A">
      <w:pPr>
        <w:pStyle w:val="12"/>
        <w:rPr>
          <w:rFonts w:hint="eastAsia"/>
          <w:color w:val="auto"/>
        </w:rPr>
      </w:pPr>
    </w:p>
    <w:p w14:paraId="58980133">
      <w:pPr>
        <w:pStyle w:val="26"/>
        <w:rPr>
          <w:rFonts w:hint="eastAsia"/>
          <w:color w:val="auto"/>
        </w:rPr>
      </w:pPr>
    </w:p>
    <w:p w14:paraId="5AC6FE23">
      <w:pPr>
        <w:pStyle w:val="12"/>
        <w:rPr>
          <w:rFonts w:hint="eastAsia"/>
          <w:color w:val="auto"/>
        </w:rPr>
      </w:pPr>
    </w:p>
    <w:p w14:paraId="0F54FF1D">
      <w:pPr>
        <w:pStyle w:val="26"/>
        <w:rPr>
          <w:rFonts w:hint="eastAsia"/>
          <w:color w:val="auto"/>
        </w:rPr>
      </w:pPr>
    </w:p>
    <w:p w14:paraId="109F84F2">
      <w:pPr>
        <w:pStyle w:val="12"/>
        <w:rPr>
          <w:rFonts w:hint="eastAsia"/>
          <w:color w:val="auto"/>
        </w:rPr>
      </w:pPr>
    </w:p>
    <w:p w14:paraId="15E66F8A">
      <w:pPr>
        <w:pStyle w:val="26"/>
        <w:rPr>
          <w:rFonts w:hint="eastAsia"/>
          <w:color w:val="auto"/>
        </w:rPr>
      </w:pPr>
    </w:p>
    <w:p w14:paraId="1395E346">
      <w:pPr>
        <w:pStyle w:val="12"/>
        <w:rPr>
          <w:rFonts w:hint="eastAsia"/>
          <w:color w:val="auto"/>
        </w:rPr>
      </w:pPr>
    </w:p>
    <w:p w14:paraId="5C05C5A6">
      <w:pPr>
        <w:pStyle w:val="26"/>
        <w:rPr>
          <w:rFonts w:hint="eastAsia"/>
          <w:color w:val="auto"/>
        </w:rPr>
      </w:pPr>
    </w:p>
    <w:p w14:paraId="26D9FD8B">
      <w:pPr>
        <w:pStyle w:val="12"/>
        <w:rPr>
          <w:rFonts w:hint="eastAsia"/>
          <w:color w:val="auto"/>
        </w:rPr>
      </w:pPr>
    </w:p>
    <w:p w14:paraId="2BADBCEA">
      <w:pPr>
        <w:pStyle w:val="26"/>
        <w:rPr>
          <w:rFonts w:hint="eastAsia"/>
          <w:color w:val="auto"/>
        </w:rPr>
      </w:pPr>
    </w:p>
    <w:p w14:paraId="032AF59A">
      <w:pPr>
        <w:pStyle w:val="12"/>
        <w:rPr>
          <w:rFonts w:hint="eastAsia"/>
          <w:color w:val="auto"/>
        </w:rPr>
      </w:pPr>
    </w:p>
    <w:p w14:paraId="240C1DA4">
      <w:pPr>
        <w:spacing w:line="300" w:lineRule="auto"/>
        <w:jc w:val="center"/>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27"/>
        <w:tblpPr w:leftFromText="180" w:rightFromText="180" w:vertAnchor="text" w:horzAnchor="page" w:tblpXSpec="center" w:tblpY="116"/>
        <w:tblOverlap w:val="never"/>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754"/>
      </w:tblGrid>
      <w:tr w14:paraId="68E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14:paraId="6F532C18">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957" w:type="dxa"/>
            <w:vMerge w:val="restart"/>
            <w:noWrap/>
            <w:vAlign w:val="center"/>
          </w:tcPr>
          <w:p w14:paraId="46AA94CF">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2333" w:type="dxa"/>
            <w:gridSpan w:val="3"/>
            <w:noWrap/>
            <w:vAlign w:val="center"/>
          </w:tcPr>
          <w:p w14:paraId="322F1FE2">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w:t>
            </w:r>
          </w:p>
        </w:tc>
      </w:tr>
      <w:tr w14:paraId="1E1F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14:paraId="264E9E9C">
            <w:pPr>
              <w:spacing w:line="300" w:lineRule="auto"/>
              <w:jc w:val="center"/>
              <w:rPr>
                <w:rFonts w:hint="eastAsia" w:ascii="仿宋" w:hAnsi="仿宋" w:eastAsia="仿宋" w:cs="仿宋"/>
                <w:b/>
                <w:color w:val="auto"/>
                <w:sz w:val="24"/>
                <w:szCs w:val="24"/>
              </w:rPr>
            </w:pPr>
          </w:p>
        </w:tc>
        <w:tc>
          <w:tcPr>
            <w:tcW w:w="6957" w:type="dxa"/>
            <w:vMerge w:val="continue"/>
            <w:noWrap/>
            <w:vAlign w:val="center"/>
          </w:tcPr>
          <w:p w14:paraId="023A7F7A">
            <w:pPr>
              <w:spacing w:line="300" w:lineRule="auto"/>
              <w:jc w:val="center"/>
              <w:rPr>
                <w:rFonts w:hint="eastAsia" w:ascii="仿宋" w:hAnsi="仿宋" w:eastAsia="仿宋" w:cs="仿宋"/>
                <w:b/>
                <w:color w:val="auto"/>
                <w:sz w:val="24"/>
                <w:szCs w:val="24"/>
              </w:rPr>
            </w:pPr>
          </w:p>
        </w:tc>
        <w:tc>
          <w:tcPr>
            <w:tcW w:w="829" w:type="dxa"/>
            <w:noWrap/>
            <w:vAlign w:val="center"/>
          </w:tcPr>
          <w:p w14:paraId="75CAC48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0" w:type="dxa"/>
            <w:noWrap/>
            <w:vAlign w:val="center"/>
          </w:tcPr>
          <w:p w14:paraId="2A4C4CB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4" w:type="dxa"/>
            <w:noWrap/>
            <w:vAlign w:val="center"/>
          </w:tcPr>
          <w:p w14:paraId="61DD5BB4">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r>
      <w:tr w14:paraId="1E07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14:paraId="581280A0">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957" w:type="dxa"/>
            <w:noWrap/>
            <w:vAlign w:val="center"/>
          </w:tcPr>
          <w:p w14:paraId="608D2534">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rPr>
              <w:t>提供有效期内的营业执照；</w:t>
            </w:r>
          </w:p>
        </w:tc>
        <w:tc>
          <w:tcPr>
            <w:tcW w:w="829" w:type="dxa"/>
            <w:noWrap/>
          </w:tcPr>
          <w:p w14:paraId="5A5191A7">
            <w:pPr>
              <w:spacing w:line="300" w:lineRule="auto"/>
              <w:rPr>
                <w:rFonts w:hint="eastAsia" w:ascii="仿宋" w:hAnsi="仿宋" w:eastAsia="仿宋" w:cs="仿宋"/>
                <w:color w:val="auto"/>
                <w:sz w:val="24"/>
                <w:szCs w:val="24"/>
              </w:rPr>
            </w:pPr>
          </w:p>
        </w:tc>
        <w:tc>
          <w:tcPr>
            <w:tcW w:w="750" w:type="dxa"/>
            <w:noWrap/>
          </w:tcPr>
          <w:p w14:paraId="2ED61B3B">
            <w:pPr>
              <w:spacing w:line="300" w:lineRule="auto"/>
              <w:rPr>
                <w:rFonts w:hint="eastAsia" w:ascii="仿宋" w:hAnsi="仿宋" w:eastAsia="仿宋" w:cs="仿宋"/>
                <w:color w:val="auto"/>
                <w:sz w:val="24"/>
                <w:szCs w:val="24"/>
              </w:rPr>
            </w:pPr>
          </w:p>
        </w:tc>
        <w:tc>
          <w:tcPr>
            <w:tcW w:w="754" w:type="dxa"/>
            <w:noWrap/>
          </w:tcPr>
          <w:p w14:paraId="50E4D60F">
            <w:pPr>
              <w:spacing w:line="300" w:lineRule="auto"/>
              <w:rPr>
                <w:rFonts w:hint="eastAsia" w:ascii="仿宋" w:hAnsi="仿宋" w:eastAsia="仿宋" w:cs="仿宋"/>
                <w:color w:val="auto"/>
                <w:sz w:val="24"/>
                <w:szCs w:val="24"/>
              </w:rPr>
            </w:pPr>
          </w:p>
        </w:tc>
      </w:tr>
      <w:tr w14:paraId="71D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1" w:type="dxa"/>
            <w:noWrap/>
            <w:vAlign w:val="center"/>
          </w:tcPr>
          <w:p w14:paraId="5F928851">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957" w:type="dxa"/>
            <w:noWrap/>
            <w:vAlign w:val="center"/>
          </w:tcPr>
          <w:p w14:paraId="670554CE">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法人投标提供法人身份证明书，委托代理人投标提供法人授权委托书;</w:t>
            </w:r>
          </w:p>
        </w:tc>
        <w:tc>
          <w:tcPr>
            <w:tcW w:w="829" w:type="dxa"/>
            <w:noWrap/>
          </w:tcPr>
          <w:p w14:paraId="75FA304A">
            <w:pPr>
              <w:spacing w:line="300" w:lineRule="auto"/>
              <w:rPr>
                <w:rFonts w:hint="eastAsia" w:ascii="仿宋" w:hAnsi="仿宋" w:eastAsia="仿宋" w:cs="仿宋"/>
                <w:color w:val="auto"/>
                <w:sz w:val="24"/>
                <w:szCs w:val="24"/>
              </w:rPr>
            </w:pPr>
          </w:p>
        </w:tc>
        <w:tc>
          <w:tcPr>
            <w:tcW w:w="750" w:type="dxa"/>
            <w:noWrap/>
          </w:tcPr>
          <w:p w14:paraId="23C08AA6">
            <w:pPr>
              <w:spacing w:line="300" w:lineRule="auto"/>
              <w:rPr>
                <w:rFonts w:hint="eastAsia" w:ascii="仿宋" w:hAnsi="仿宋" w:eastAsia="仿宋" w:cs="仿宋"/>
                <w:color w:val="auto"/>
                <w:sz w:val="24"/>
                <w:szCs w:val="24"/>
              </w:rPr>
            </w:pPr>
          </w:p>
        </w:tc>
        <w:tc>
          <w:tcPr>
            <w:tcW w:w="754" w:type="dxa"/>
            <w:noWrap/>
          </w:tcPr>
          <w:p w14:paraId="505A4EE8">
            <w:pPr>
              <w:spacing w:line="300" w:lineRule="auto"/>
              <w:rPr>
                <w:rFonts w:hint="eastAsia" w:ascii="仿宋" w:hAnsi="仿宋" w:eastAsia="仿宋" w:cs="仿宋"/>
                <w:color w:val="auto"/>
                <w:sz w:val="24"/>
                <w:szCs w:val="24"/>
              </w:rPr>
            </w:pPr>
          </w:p>
        </w:tc>
      </w:tr>
      <w:tr w14:paraId="3E39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14:paraId="6CEB4E1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957" w:type="dxa"/>
            <w:noWrap/>
            <w:vAlign w:val="center"/>
          </w:tcPr>
          <w:p w14:paraId="4942E1F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2023年度</w:t>
            </w:r>
            <w:r>
              <w:rPr>
                <w:rFonts w:hint="eastAsia" w:ascii="仿宋" w:hAnsi="仿宋" w:eastAsia="仿宋" w:cs="仿宋"/>
                <w:color w:val="auto"/>
                <w:sz w:val="24"/>
                <w:szCs w:val="24"/>
                <w:lang w:val="en-US" w:eastAsia="zh-CN"/>
              </w:rPr>
              <w:t>或2024年度</w:t>
            </w:r>
            <w:r>
              <w:rPr>
                <w:rFonts w:hint="eastAsia" w:ascii="仿宋" w:hAnsi="仿宋" w:eastAsia="仿宋" w:cs="仿宋"/>
                <w:color w:val="auto"/>
                <w:sz w:val="24"/>
                <w:szCs w:val="24"/>
                <w:lang w:eastAsia="zh-CN"/>
              </w:rPr>
              <w:t>的财务审计报告（新成立未满一年的公司需提供有效的银行资信证明）；</w:t>
            </w:r>
          </w:p>
        </w:tc>
        <w:tc>
          <w:tcPr>
            <w:tcW w:w="829" w:type="dxa"/>
            <w:noWrap/>
          </w:tcPr>
          <w:p w14:paraId="00249182">
            <w:pPr>
              <w:spacing w:line="300" w:lineRule="auto"/>
              <w:rPr>
                <w:rFonts w:hint="eastAsia" w:ascii="仿宋" w:hAnsi="仿宋" w:eastAsia="仿宋" w:cs="仿宋"/>
                <w:color w:val="auto"/>
                <w:sz w:val="24"/>
                <w:szCs w:val="24"/>
              </w:rPr>
            </w:pPr>
          </w:p>
        </w:tc>
        <w:tc>
          <w:tcPr>
            <w:tcW w:w="750" w:type="dxa"/>
            <w:noWrap/>
          </w:tcPr>
          <w:p w14:paraId="019F13CF">
            <w:pPr>
              <w:spacing w:line="300" w:lineRule="auto"/>
              <w:rPr>
                <w:rFonts w:hint="eastAsia" w:ascii="仿宋" w:hAnsi="仿宋" w:eastAsia="仿宋" w:cs="仿宋"/>
                <w:color w:val="auto"/>
                <w:sz w:val="24"/>
                <w:szCs w:val="24"/>
              </w:rPr>
            </w:pPr>
          </w:p>
        </w:tc>
        <w:tc>
          <w:tcPr>
            <w:tcW w:w="754" w:type="dxa"/>
            <w:noWrap/>
          </w:tcPr>
          <w:p w14:paraId="40DAB16A">
            <w:pPr>
              <w:spacing w:line="300" w:lineRule="auto"/>
              <w:rPr>
                <w:rFonts w:hint="eastAsia" w:ascii="仿宋" w:hAnsi="仿宋" w:eastAsia="仿宋" w:cs="仿宋"/>
                <w:color w:val="auto"/>
                <w:sz w:val="24"/>
                <w:szCs w:val="24"/>
              </w:rPr>
            </w:pPr>
          </w:p>
        </w:tc>
      </w:tr>
      <w:tr w14:paraId="2CB7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1" w:type="dxa"/>
            <w:noWrap/>
            <w:vAlign w:val="center"/>
          </w:tcPr>
          <w:p w14:paraId="780DE2B9">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957" w:type="dxa"/>
            <w:noWrap/>
            <w:vAlign w:val="center"/>
          </w:tcPr>
          <w:p w14:paraId="2E9EC26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提供近六个月任意一个月社保缴纳证明；</w:t>
            </w:r>
            <w:r>
              <w:rPr>
                <w:rFonts w:hint="eastAsia" w:ascii="仿宋" w:hAnsi="仿宋" w:eastAsia="仿宋" w:cs="仿宋"/>
                <w:color w:val="auto"/>
                <w:sz w:val="24"/>
                <w:szCs w:val="24"/>
              </w:rPr>
              <w:t xml:space="preserve"> </w:t>
            </w:r>
          </w:p>
        </w:tc>
        <w:tc>
          <w:tcPr>
            <w:tcW w:w="829" w:type="dxa"/>
            <w:noWrap/>
          </w:tcPr>
          <w:p w14:paraId="33BE0750">
            <w:pPr>
              <w:spacing w:line="300" w:lineRule="auto"/>
              <w:rPr>
                <w:rFonts w:hint="eastAsia" w:ascii="仿宋" w:hAnsi="仿宋" w:eastAsia="仿宋" w:cs="仿宋"/>
                <w:color w:val="auto"/>
                <w:sz w:val="24"/>
                <w:szCs w:val="24"/>
              </w:rPr>
            </w:pPr>
          </w:p>
        </w:tc>
        <w:tc>
          <w:tcPr>
            <w:tcW w:w="750" w:type="dxa"/>
            <w:noWrap/>
          </w:tcPr>
          <w:p w14:paraId="4C09EC82">
            <w:pPr>
              <w:spacing w:line="300" w:lineRule="auto"/>
              <w:rPr>
                <w:rFonts w:hint="eastAsia" w:ascii="仿宋" w:hAnsi="仿宋" w:eastAsia="仿宋" w:cs="仿宋"/>
                <w:color w:val="auto"/>
                <w:sz w:val="24"/>
                <w:szCs w:val="24"/>
              </w:rPr>
            </w:pPr>
          </w:p>
        </w:tc>
        <w:tc>
          <w:tcPr>
            <w:tcW w:w="754" w:type="dxa"/>
            <w:noWrap/>
          </w:tcPr>
          <w:p w14:paraId="69B45000">
            <w:pPr>
              <w:spacing w:line="300" w:lineRule="auto"/>
              <w:rPr>
                <w:rFonts w:hint="eastAsia" w:ascii="仿宋" w:hAnsi="仿宋" w:eastAsia="仿宋" w:cs="仿宋"/>
                <w:color w:val="auto"/>
                <w:sz w:val="24"/>
                <w:szCs w:val="24"/>
              </w:rPr>
            </w:pPr>
          </w:p>
        </w:tc>
      </w:tr>
      <w:tr w14:paraId="3BD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1" w:type="dxa"/>
            <w:noWrap/>
            <w:vAlign w:val="center"/>
          </w:tcPr>
          <w:p w14:paraId="71330044">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957" w:type="dxa"/>
            <w:noWrap/>
            <w:vAlign w:val="center"/>
          </w:tcPr>
          <w:p w14:paraId="295D71E0">
            <w:pPr>
              <w:spacing w:line="30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lang w:val="en-US" w:eastAsia="zh-CN"/>
              </w:rPr>
              <w:t>近六个月</w:t>
            </w:r>
            <w:r>
              <w:rPr>
                <w:rFonts w:hint="eastAsia" w:ascii="仿宋" w:hAnsi="仿宋" w:eastAsia="仿宋" w:cs="仿宋"/>
                <w:color w:val="auto"/>
                <w:sz w:val="24"/>
                <w:szCs w:val="24"/>
                <w:lang w:eastAsia="zh-CN"/>
              </w:rPr>
              <w:t>任意一个月税务局开具的完税证明（</w:t>
            </w:r>
            <w:r>
              <w:rPr>
                <w:rFonts w:hint="eastAsia" w:ascii="仿宋" w:hAnsi="仿宋" w:eastAsia="仿宋" w:cs="仿宋"/>
                <w:color w:val="auto"/>
                <w:sz w:val="24"/>
                <w:szCs w:val="24"/>
                <w:lang w:val="en-US" w:eastAsia="zh-CN"/>
              </w:rPr>
              <w:t>非社保类</w:t>
            </w:r>
            <w:r>
              <w:rPr>
                <w:rFonts w:hint="eastAsia" w:ascii="仿宋" w:hAnsi="仿宋" w:eastAsia="仿宋" w:cs="仿宋"/>
                <w:color w:val="auto"/>
                <w:sz w:val="24"/>
                <w:szCs w:val="24"/>
                <w:lang w:eastAsia="zh-CN"/>
              </w:rPr>
              <w:t>）；</w:t>
            </w:r>
          </w:p>
        </w:tc>
        <w:tc>
          <w:tcPr>
            <w:tcW w:w="829" w:type="dxa"/>
            <w:noWrap/>
          </w:tcPr>
          <w:p w14:paraId="20CD57FC">
            <w:pPr>
              <w:spacing w:line="300" w:lineRule="auto"/>
              <w:rPr>
                <w:rFonts w:hint="eastAsia" w:ascii="仿宋" w:hAnsi="仿宋" w:eastAsia="仿宋" w:cs="仿宋"/>
                <w:color w:val="auto"/>
                <w:sz w:val="24"/>
                <w:szCs w:val="24"/>
              </w:rPr>
            </w:pPr>
          </w:p>
        </w:tc>
        <w:tc>
          <w:tcPr>
            <w:tcW w:w="750" w:type="dxa"/>
            <w:noWrap/>
          </w:tcPr>
          <w:p w14:paraId="432A0D32">
            <w:pPr>
              <w:spacing w:line="300" w:lineRule="auto"/>
              <w:rPr>
                <w:rFonts w:hint="eastAsia" w:ascii="仿宋" w:hAnsi="仿宋" w:eastAsia="仿宋" w:cs="仿宋"/>
                <w:color w:val="auto"/>
                <w:sz w:val="24"/>
                <w:szCs w:val="24"/>
              </w:rPr>
            </w:pPr>
          </w:p>
        </w:tc>
        <w:tc>
          <w:tcPr>
            <w:tcW w:w="754" w:type="dxa"/>
            <w:noWrap/>
          </w:tcPr>
          <w:p w14:paraId="0E28F423">
            <w:pPr>
              <w:spacing w:line="300" w:lineRule="auto"/>
              <w:rPr>
                <w:rFonts w:hint="eastAsia" w:ascii="仿宋" w:hAnsi="仿宋" w:eastAsia="仿宋" w:cs="仿宋"/>
                <w:color w:val="auto"/>
                <w:sz w:val="24"/>
                <w:szCs w:val="24"/>
              </w:rPr>
            </w:pPr>
          </w:p>
        </w:tc>
      </w:tr>
      <w:tr w14:paraId="76D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14:paraId="3FD2B97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957" w:type="dxa"/>
            <w:noWrap/>
            <w:vAlign w:val="center"/>
          </w:tcPr>
          <w:p w14:paraId="2B1130F8">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根据《财政部关于在政府采购活动中查询及使用信用记录有关问题的通知》（财库﹝2016﹞125 号）的要求，凡拟参加本次招标项目的供应商，如在“信用中国”网站（ www.creditchina.gov.cn） 信用公示被列入失信被执行人、重大税收违法失信主体名单、中国政府采购网（http://www.ccgp.gov.cn/search/cr/）严重违法失信行为信息记录名单的（尚在处罚期内的）；将拒绝其参加本次招标活动；</w:t>
            </w:r>
          </w:p>
        </w:tc>
        <w:tc>
          <w:tcPr>
            <w:tcW w:w="829" w:type="dxa"/>
            <w:noWrap/>
          </w:tcPr>
          <w:p w14:paraId="6CF7A923">
            <w:pPr>
              <w:spacing w:line="300" w:lineRule="auto"/>
              <w:rPr>
                <w:rFonts w:hint="eastAsia" w:ascii="仿宋" w:hAnsi="仿宋" w:eastAsia="仿宋" w:cs="仿宋"/>
                <w:color w:val="auto"/>
                <w:sz w:val="24"/>
                <w:szCs w:val="24"/>
              </w:rPr>
            </w:pPr>
          </w:p>
        </w:tc>
        <w:tc>
          <w:tcPr>
            <w:tcW w:w="750" w:type="dxa"/>
            <w:noWrap/>
          </w:tcPr>
          <w:p w14:paraId="030A0C03">
            <w:pPr>
              <w:spacing w:line="300" w:lineRule="auto"/>
              <w:rPr>
                <w:rFonts w:hint="eastAsia" w:ascii="仿宋" w:hAnsi="仿宋" w:eastAsia="仿宋" w:cs="仿宋"/>
                <w:color w:val="auto"/>
                <w:sz w:val="24"/>
                <w:szCs w:val="24"/>
              </w:rPr>
            </w:pPr>
          </w:p>
        </w:tc>
        <w:tc>
          <w:tcPr>
            <w:tcW w:w="754" w:type="dxa"/>
            <w:noWrap/>
          </w:tcPr>
          <w:p w14:paraId="2CD7B803">
            <w:pPr>
              <w:spacing w:line="300" w:lineRule="auto"/>
              <w:rPr>
                <w:rFonts w:hint="eastAsia" w:ascii="仿宋" w:hAnsi="仿宋" w:eastAsia="仿宋" w:cs="仿宋"/>
                <w:color w:val="auto"/>
                <w:sz w:val="24"/>
                <w:szCs w:val="24"/>
              </w:rPr>
            </w:pPr>
          </w:p>
        </w:tc>
      </w:tr>
      <w:tr w14:paraId="1EF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1" w:type="dxa"/>
            <w:noWrap/>
            <w:vAlign w:val="center"/>
          </w:tcPr>
          <w:p w14:paraId="7A01545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957" w:type="dxa"/>
            <w:noWrap/>
            <w:vAlign w:val="center"/>
          </w:tcPr>
          <w:p w14:paraId="05E5E2F9">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参与政府采购活动前</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年内未被列入失信、重大税收违法案件、财政部门禁止参加政府采购活动的承诺书（自拟）；</w:t>
            </w:r>
          </w:p>
        </w:tc>
        <w:tc>
          <w:tcPr>
            <w:tcW w:w="829" w:type="dxa"/>
            <w:noWrap/>
          </w:tcPr>
          <w:p w14:paraId="576F972E">
            <w:pPr>
              <w:spacing w:line="300" w:lineRule="auto"/>
              <w:rPr>
                <w:rFonts w:hint="eastAsia" w:ascii="仿宋" w:hAnsi="仿宋" w:eastAsia="仿宋" w:cs="仿宋"/>
                <w:color w:val="auto"/>
                <w:sz w:val="24"/>
                <w:szCs w:val="24"/>
              </w:rPr>
            </w:pPr>
          </w:p>
        </w:tc>
        <w:tc>
          <w:tcPr>
            <w:tcW w:w="750" w:type="dxa"/>
            <w:noWrap/>
          </w:tcPr>
          <w:p w14:paraId="24539ED7">
            <w:pPr>
              <w:spacing w:line="300" w:lineRule="auto"/>
              <w:rPr>
                <w:rFonts w:hint="eastAsia" w:ascii="仿宋" w:hAnsi="仿宋" w:eastAsia="仿宋" w:cs="仿宋"/>
                <w:color w:val="auto"/>
                <w:sz w:val="24"/>
                <w:szCs w:val="24"/>
              </w:rPr>
            </w:pPr>
          </w:p>
        </w:tc>
        <w:tc>
          <w:tcPr>
            <w:tcW w:w="754" w:type="dxa"/>
            <w:noWrap/>
          </w:tcPr>
          <w:p w14:paraId="7F2F7658">
            <w:pPr>
              <w:spacing w:line="300" w:lineRule="auto"/>
              <w:rPr>
                <w:rFonts w:hint="eastAsia" w:ascii="仿宋" w:hAnsi="仿宋" w:eastAsia="仿宋" w:cs="仿宋"/>
                <w:color w:val="auto"/>
                <w:sz w:val="24"/>
                <w:szCs w:val="24"/>
              </w:rPr>
            </w:pPr>
          </w:p>
        </w:tc>
      </w:tr>
      <w:tr w14:paraId="7D67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14:paraId="3DD9B2EE">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6957" w:type="dxa"/>
            <w:noWrap/>
            <w:vAlign w:val="center"/>
          </w:tcPr>
          <w:p w14:paraId="01E172F7">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针对本项目的反商业贿赂承诺书；</w:t>
            </w:r>
          </w:p>
        </w:tc>
        <w:tc>
          <w:tcPr>
            <w:tcW w:w="829" w:type="dxa"/>
            <w:noWrap/>
          </w:tcPr>
          <w:p w14:paraId="739AC56C">
            <w:pPr>
              <w:spacing w:line="300" w:lineRule="auto"/>
              <w:rPr>
                <w:rFonts w:hint="eastAsia" w:ascii="仿宋" w:hAnsi="仿宋" w:eastAsia="仿宋" w:cs="仿宋"/>
                <w:color w:val="auto"/>
                <w:sz w:val="24"/>
                <w:szCs w:val="24"/>
              </w:rPr>
            </w:pPr>
          </w:p>
        </w:tc>
        <w:tc>
          <w:tcPr>
            <w:tcW w:w="750" w:type="dxa"/>
            <w:noWrap/>
          </w:tcPr>
          <w:p w14:paraId="4F759B5C">
            <w:pPr>
              <w:spacing w:line="300" w:lineRule="auto"/>
              <w:rPr>
                <w:rFonts w:hint="eastAsia" w:ascii="仿宋" w:hAnsi="仿宋" w:eastAsia="仿宋" w:cs="仿宋"/>
                <w:color w:val="auto"/>
                <w:sz w:val="24"/>
                <w:szCs w:val="24"/>
              </w:rPr>
            </w:pPr>
          </w:p>
        </w:tc>
        <w:tc>
          <w:tcPr>
            <w:tcW w:w="754" w:type="dxa"/>
            <w:noWrap/>
          </w:tcPr>
          <w:p w14:paraId="00A75146">
            <w:pPr>
              <w:spacing w:line="300" w:lineRule="auto"/>
              <w:rPr>
                <w:rFonts w:hint="eastAsia" w:ascii="仿宋" w:hAnsi="仿宋" w:eastAsia="仿宋" w:cs="仿宋"/>
                <w:color w:val="auto"/>
                <w:sz w:val="24"/>
                <w:szCs w:val="24"/>
              </w:rPr>
            </w:pPr>
          </w:p>
        </w:tc>
      </w:tr>
      <w:tr w14:paraId="2122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14:paraId="5A920741">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6957" w:type="dxa"/>
            <w:noWrap/>
            <w:vAlign w:val="center"/>
          </w:tcPr>
          <w:p w14:paraId="0163C8EB">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缴纳投标保证金的有效凭证</w:t>
            </w:r>
            <w:r>
              <w:rPr>
                <w:rFonts w:hint="eastAsia" w:ascii="仿宋" w:hAnsi="仿宋" w:eastAsia="仿宋" w:cs="仿宋"/>
                <w:color w:val="auto"/>
                <w:sz w:val="24"/>
                <w:szCs w:val="24"/>
                <w:lang w:val="en-US" w:eastAsia="zh-CN"/>
              </w:rPr>
              <w:t>或保函；</w:t>
            </w:r>
          </w:p>
        </w:tc>
        <w:tc>
          <w:tcPr>
            <w:tcW w:w="829" w:type="dxa"/>
            <w:noWrap/>
          </w:tcPr>
          <w:p w14:paraId="04E8AE85">
            <w:pPr>
              <w:spacing w:line="300" w:lineRule="auto"/>
              <w:rPr>
                <w:rFonts w:hint="eastAsia" w:ascii="仿宋" w:hAnsi="仿宋" w:eastAsia="仿宋" w:cs="仿宋"/>
                <w:color w:val="auto"/>
                <w:sz w:val="24"/>
                <w:szCs w:val="24"/>
              </w:rPr>
            </w:pPr>
          </w:p>
        </w:tc>
        <w:tc>
          <w:tcPr>
            <w:tcW w:w="750" w:type="dxa"/>
            <w:noWrap/>
          </w:tcPr>
          <w:p w14:paraId="10D68CBE">
            <w:pPr>
              <w:spacing w:line="300" w:lineRule="auto"/>
              <w:rPr>
                <w:rFonts w:hint="eastAsia" w:ascii="仿宋" w:hAnsi="仿宋" w:eastAsia="仿宋" w:cs="仿宋"/>
                <w:color w:val="auto"/>
                <w:sz w:val="24"/>
                <w:szCs w:val="24"/>
              </w:rPr>
            </w:pPr>
          </w:p>
        </w:tc>
        <w:tc>
          <w:tcPr>
            <w:tcW w:w="754" w:type="dxa"/>
            <w:noWrap/>
          </w:tcPr>
          <w:p w14:paraId="643F1F3F">
            <w:pPr>
              <w:spacing w:line="300" w:lineRule="auto"/>
              <w:rPr>
                <w:rFonts w:hint="eastAsia" w:ascii="仿宋" w:hAnsi="仿宋" w:eastAsia="仿宋" w:cs="仿宋"/>
                <w:color w:val="auto"/>
                <w:sz w:val="24"/>
                <w:szCs w:val="24"/>
              </w:rPr>
            </w:pPr>
          </w:p>
        </w:tc>
      </w:tr>
      <w:tr w14:paraId="43F7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14:paraId="2CEFCD92">
            <w:pPr>
              <w:spacing w:line="300" w:lineRule="auto"/>
              <w:rPr>
                <w:rFonts w:hint="eastAsia" w:ascii="仿宋" w:hAnsi="仿宋" w:eastAsia="仿宋" w:cs="仿宋"/>
                <w:color w:val="auto"/>
                <w:sz w:val="24"/>
                <w:szCs w:val="24"/>
              </w:rPr>
            </w:pPr>
          </w:p>
        </w:tc>
        <w:tc>
          <w:tcPr>
            <w:tcW w:w="6957" w:type="dxa"/>
            <w:noWrap/>
            <w:vAlign w:val="center"/>
          </w:tcPr>
          <w:p w14:paraId="2AC85454">
            <w:pPr>
              <w:widowControl/>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结论</w:t>
            </w:r>
            <w:r>
              <w:rPr>
                <w:rFonts w:hint="eastAsia" w:ascii="仿宋" w:hAnsi="仿宋" w:eastAsia="仿宋" w:cs="仿宋"/>
                <w:bCs/>
                <w:color w:val="auto"/>
                <w:sz w:val="24"/>
                <w:szCs w:val="24"/>
                <w:lang w:eastAsia="zh-CN"/>
              </w:rPr>
              <w:t>：通过评审打“√”，未通过评审打“×”</w:t>
            </w:r>
          </w:p>
        </w:tc>
        <w:tc>
          <w:tcPr>
            <w:tcW w:w="829" w:type="dxa"/>
            <w:noWrap/>
          </w:tcPr>
          <w:p w14:paraId="1418A5D6">
            <w:pPr>
              <w:spacing w:line="300" w:lineRule="auto"/>
              <w:rPr>
                <w:rFonts w:hint="eastAsia" w:ascii="仿宋" w:hAnsi="仿宋" w:eastAsia="仿宋" w:cs="仿宋"/>
                <w:color w:val="auto"/>
                <w:sz w:val="24"/>
                <w:szCs w:val="24"/>
              </w:rPr>
            </w:pPr>
          </w:p>
        </w:tc>
        <w:tc>
          <w:tcPr>
            <w:tcW w:w="750" w:type="dxa"/>
            <w:noWrap/>
          </w:tcPr>
          <w:p w14:paraId="619C92BF">
            <w:pPr>
              <w:spacing w:line="300" w:lineRule="auto"/>
              <w:rPr>
                <w:rFonts w:hint="eastAsia" w:ascii="仿宋" w:hAnsi="仿宋" w:eastAsia="仿宋" w:cs="仿宋"/>
                <w:color w:val="auto"/>
                <w:sz w:val="24"/>
                <w:szCs w:val="24"/>
              </w:rPr>
            </w:pPr>
          </w:p>
        </w:tc>
        <w:tc>
          <w:tcPr>
            <w:tcW w:w="754" w:type="dxa"/>
            <w:noWrap/>
          </w:tcPr>
          <w:p w14:paraId="0C980853">
            <w:pPr>
              <w:spacing w:line="300" w:lineRule="auto"/>
              <w:rPr>
                <w:rFonts w:hint="eastAsia" w:ascii="仿宋" w:hAnsi="仿宋" w:eastAsia="仿宋" w:cs="仿宋"/>
                <w:color w:val="auto"/>
                <w:sz w:val="24"/>
                <w:szCs w:val="24"/>
              </w:rPr>
            </w:pPr>
          </w:p>
        </w:tc>
      </w:tr>
    </w:tbl>
    <w:p w14:paraId="16120B5B">
      <w:pPr>
        <w:spacing w:line="360" w:lineRule="auto"/>
        <w:rPr>
          <w:rFonts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78C0D6CA">
      <w:pPr>
        <w:widowControl/>
        <w:spacing w:line="400" w:lineRule="exact"/>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 xml:space="preserve"> 《中华人民共和国政府采购法》</w:t>
      </w:r>
    </w:p>
    <w:p w14:paraId="18CDDF5B">
      <w:pPr>
        <w:pStyle w:val="23"/>
        <w:spacing w:before="75" w:beforeAutospacing="0" w:after="75" w:afterAutospacing="0" w:line="400" w:lineRule="exact"/>
        <w:rPr>
          <w:rFonts w:ascii="仿宋" w:hAnsi="仿宋" w:eastAsia="仿宋" w:cs="仿宋"/>
          <w:color w:val="auto"/>
        </w:rPr>
      </w:pPr>
      <w:r>
        <w:rPr>
          <w:rFonts w:hint="eastAsia" w:ascii="仿宋" w:hAnsi="仿宋" w:eastAsia="仿宋" w:cs="仿宋"/>
          <w:color w:val="auto"/>
        </w:rPr>
        <w:t>2. 财政部第87号令《政府采购货物和服务招标投标管理办法》</w:t>
      </w:r>
    </w:p>
    <w:p w14:paraId="0032E4CE">
      <w:pPr>
        <w:pStyle w:val="23"/>
        <w:spacing w:before="75" w:beforeAutospacing="0" w:after="75" w:afterAutospacing="0" w:line="400" w:lineRule="exact"/>
        <w:rPr>
          <w:rFonts w:hint="eastAsia" w:ascii="仿宋" w:hAnsi="仿宋" w:eastAsia="仿宋" w:cs="仿宋"/>
          <w:b/>
          <w:color w:val="auto"/>
          <w:sz w:val="28"/>
          <w:szCs w:val="28"/>
        </w:rPr>
      </w:pPr>
      <w:r>
        <w:rPr>
          <w:rFonts w:hint="eastAsia" w:ascii="仿宋" w:hAnsi="仿宋" w:eastAsia="仿宋" w:cs="仿宋"/>
          <w:color w:val="auto"/>
        </w:rPr>
        <w:t>3.《合同法》 </w:t>
      </w:r>
      <w:bookmarkStart w:id="750" w:name="_Toc507399904"/>
    </w:p>
    <w:p w14:paraId="6AA03D99">
      <w:pPr>
        <w:pStyle w:val="2"/>
        <w:rPr>
          <w:rFonts w:hint="eastAsia"/>
          <w:color w:val="auto"/>
        </w:rPr>
      </w:pPr>
    </w:p>
    <w:p w14:paraId="68EBC8D2">
      <w:pPr>
        <w:pStyle w:val="2"/>
        <w:rPr>
          <w:rFonts w:hint="eastAsia"/>
          <w:color w:val="auto"/>
        </w:rPr>
      </w:pPr>
    </w:p>
    <w:p w14:paraId="3763179A">
      <w:pPr>
        <w:pStyle w:val="2"/>
        <w:rPr>
          <w:rFonts w:hint="eastAsia"/>
          <w:color w:val="auto"/>
        </w:rPr>
      </w:pPr>
    </w:p>
    <w:p w14:paraId="66139D25">
      <w:pPr>
        <w:pStyle w:val="2"/>
        <w:rPr>
          <w:rFonts w:hint="eastAsia"/>
          <w:color w:val="auto"/>
        </w:rPr>
      </w:pPr>
    </w:p>
    <w:p w14:paraId="754733E1">
      <w:pPr>
        <w:pStyle w:val="2"/>
        <w:rPr>
          <w:rFonts w:hint="eastAsia"/>
          <w:color w:val="auto"/>
        </w:rPr>
      </w:pPr>
    </w:p>
    <w:p w14:paraId="107ED8FF">
      <w:pPr>
        <w:pStyle w:val="2"/>
        <w:spacing w:line="300" w:lineRule="auto"/>
        <w:ind w:firstLine="0"/>
        <w:jc w:val="center"/>
        <w:rPr>
          <w:rFonts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7"/>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1751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14:paraId="026098C8">
            <w:pPr>
              <w:spacing w:line="300" w:lineRule="auto"/>
              <w:jc w:val="center"/>
              <w:rPr>
                <w:rFonts w:ascii="仿宋" w:hAnsi="仿宋" w:eastAsia="仿宋" w:cs="仿宋"/>
                <w:b/>
                <w:color w:val="auto"/>
                <w:spacing w:val="-2"/>
                <w:sz w:val="24"/>
                <w:szCs w:val="24"/>
              </w:rPr>
            </w:pPr>
            <w:r>
              <w:rPr>
                <w:rFonts w:hint="eastAsia" w:ascii="仿宋" w:hAnsi="仿宋" w:eastAsia="仿宋" w:cs="仿宋"/>
                <w:b/>
                <w:color w:val="auto"/>
                <w:spacing w:val="-2"/>
                <w:sz w:val="24"/>
                <w:szCs w:val="24"/>
              </w:rPr>
              <w:t>评审内容</w:t>
            </w:r>
          </w:p>
        </w:tc>
        <w:tc>
          <w:tcPr>
            <w:tcW w:w="1276" w:type="dxa"/>
            <w:noWrap/>
            <w:vAlign w:val="center"/>
          </w:tcPr>
          <w:p w14:paraId="508B1B0B">
            <w:pPr>
              <w:spacing w:line="300" w:lineRule="auto"/>
              <w:jc w:val="center"/>
              <w:rPr>
                <w:rFonts w:ascii="仿宋" w:hAnsi="仿宋" w:eastAsia="仿宋" w:cs="仿宋"/>
                <w:color w:val="auto"/>
                <w:spacing w:val="-2"/>
                <w:sz w:val="24"/>
                <w:szCs w:val="24"/>
              </w:rPr>
            </w:pPr>
            <w:r>
              <w:rPr>
                <w:rFonts w:hint="eastAsia" w:ascii="仿宋" w:hAnsi="仿宋" w:eastAsia="仿宋" w:cs="仿宋"/>
                <w:b/>
                <w:color w:val="auto"/>
                <w:sz w:val="24"/>
                <w:szCs w:val="24"/>
              </w:rPr>
              <w:t>评审意见</w:t>
            </w:r>
          </w:p>
        </w:tc>
      </w:tr>
      <w:tr w14:paraId="1A8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14:paraId="403DF2E6">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915" w:type="dxa"/>
            <w:noWrap/>
            <w:vAlign w:val="center"/>
          </w:tcPr>
          <w:p w14:paraId="41119C47">
            <w:pPr>
              <w:spacing w:line="300" w:lineRule="auto"/>
              <w:rPr>
                <w:rFonts w:ascii="仿宋" w:hAnsi="仿宋" w:eastAsia="仿宋" w:cs="仿宋"/>
                <w:color w:val="auto"/>
                <w:spacing w:val="-2"/>
                <w:sz w:val="24"/>
                <w:szCs w:val="24"/>
              </w:rPr>
            </w:pPr>
          </w:p>
        </w:tc>
        <w:tc>
          <w:tcPr>
            <w:tcW w:w="1276" w:type="dxa"/>
            <w:noWrap/>
            <w:vAlign w:val="center"/>
          </w:tcPr>
          <w:p w14:paraId="3FDFB9EF">
            <w:pPr>
              <w:spacing w:line="300" w:lineRule="auto"/>
              <w:jc w:val="center"/>
              <w:rPr>
                <w:rFonts w:ascii="仿宋" w:hAnsi="仿宋" w:eastAsia="仿宋" w:cs="仿宋"/>
                <w:color w:val="auto"/>
                <w:spacing w:val="-2"/>
                <w:sz w:val="24"/>
                <w:szCs w:val="24"/>
              </w:rPr>
            </w:pPr>
            <w:r>
              <w:rPr>
                <w:rFonts w:hint="eastAsia" w:ascii="仿宋" w:hAnsi="仿宋" w:eastAsia="仿宋" w:cs="仿宋"/>
                <w:color w:val="auto"/>
                <w:spacing w:val="-2"/>
                <w:sz w:val="24"/>
                <w:szCs w:val="24"/>
              </w:rPr>
              <w:t>是否合格</w:t>
            </w:r>
          </w:p>
        </w:tc>
      </w:tr>
      <w:tr w14:paraId="28D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1B8917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915" w:type="dxa"/>
            <w:noWrap/>
            <w:vAlign w:val="center"/>
          </w:tcPr>
          <w:p w14:paraId="65A7F931">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投标报价高于预算金额；</w:t>
            </w:r>
          </w:p>
        </w:tc>
        <w:tc>
          <w:tcPr>
            <w:tcW w:w="1276" w:type="dxa"/>
            <w:noWrap/>
            <w:vAlign w:val="center"/>
          </w:tcPr>
          <w:p w14:paraId="37CCB820">
            <w:pPr>
              <w:spacing w:line="300" w:lineRule="auto"/>
              <w:rPr>
                <w:rFonts w:ascii="仿宋" w:hAnsi="仿宋" w:eastAsia="仿宋" w:cs="仿宋"/>
                <w:color w:val="auto"/>
                <w:spacing w:val="-2"/>
                <w:sz w:val="24"/>
                <w:szCs w:val="24"/>
              </w:rPr>
            </w:pPr>
          </w:p>
        </w:tc>
      </w:tr>
      <w:tr w14:paraId="279D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14:paraId="37D40F01">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915" w:type="dxa"/>
            <w:noWrap/>
            <w:vAlign w:val="center"/>
          </w:tcPr>
          <w:p w14:paraId="34E41BAD">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投标人之间或者投标人与采购人串通投标的；</w:t>
            </w:r>
          </w:p>
        </w:tc>
        <w:tc>
          <w:tcPr>
            <w:tcW w:w="1276" w:type="dxa"/>
            <w:noWrap/>
            <w:vAlign w:val="center"/>
          </w:tcPr>
          <w:p w14:paraId="2A29E2C1">
            <w:pPr>
              <w:spacing w:line="300" w:lineRule="auto"/>
              <w:rPr>
                <w:rFonts w:ascii="仿宋" w:hAnsi="仿宋" w:eastAsia="仿宋" w:cs="仿宋"/>
                <w:color w:val="auto"/>
                <w:spacing w:val="-2"/>
                <w:sz w:val="24"/>
                <w:szCs w:val="24"/>
              </w:rPr>
            </w:pPr>
          </w:p>
        </w:tc>
      </w:tr>
      <w:tr w14:paraId="333E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14:paraId="2EED7C3E">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915" w:type="dxa"/>
            <w:noWrap/>
            <w:vAlign w:val="center"/>
          </w:tcPr>
          <w:p w14:paraId="20907BCB">
            <w:pPr>
              <w:widowControl/>
              <w:spacing w:line="300" w:lineRule="auto"/>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以行贿手段谋取中标或者以其他弄虚作假方式投标的；</w:t>
            </w:r>
          </w:p>
        </w:tc>
        <w:tc>
          <w:tcPr>
            <w:tcW w:w="1276" w:type="dxa"/>
            <w:noWrap/>
            <w:vAlign w:val="center"/>
          </w:tcPr>
          <w:p w14:paraId="450D8AE3">
            <w:pPr>
              <w:spacing w:line="300" w:lineRule="auto"/>
              <w:rPr>
                <w:rFonts w:ascii="仿宋" w:hAnsi="仿宋" w:eastAsia="仿宋" w:cs="仿宋"/>
                <w:color w:val="auto"/>
                <w:sz w:val="24"/>
                <w:szCs w:val="24"/>
              </w:rPr>
            </w:pPr>
          </w:p>
        </w:tc>
      </w:tr>
      <w:tr w14:paraId="57E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21CA87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915" w:type="dxa"/>
            <w:noWrap/>
            <w:vAlign w:val="center"/>
          </w:tcPr>
          <w:p w14:paraId="14A495EB">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评标委员会共同确定有实质上不响应招标文件要求的；</w:t>
            </w:r>
          </w:p>
        </w:tc>
        <w:tc>
          <w:tcPr>
            <w:tcW w:w="1276" w:type="dxa"/>
            <w:noWrap/>
            <w:vAlign w:val="center"/>
          </w:tcPr>
          <w:p w14:paraId="479E18AE">
            <w:pPr>
              <w:spacing w:line="300" w:lineRule="auto"/>
              <w:rPr>
                <w:rFonts w:ascii="仿宋" w:hAnsi="仿宋" w:eastAsia="仿宋" w:cs="仿宋"/>
                <w:color w:val="auto"/>
                <w:spacing w:val="-2"/>
                <w:sz w:val="24"/>
                <w:szCs w:val="24"/>
              </w:rPr>
            </w:pPr>
          </w:p>
        </w:tc>
      </w:tr>
      <w:tr w14:paraId="7C08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14:paraId="02BCD593">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915" w:type="dxa"/>
            <w:noWrap/>
            <w:vAlign w:val="center"/>
          </w:tcPr>
          <w:p w14:paraId="686E27E8">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投标文件没有投标单位法定代表人或其授权代表签字（章）和加盖投标单位公章的；</w:t>
            </w:r>
          </w:p>
        </w:tc>
        <w:tc>
          <w:tcPr>
            <w:tcW w:w="1276" w:type="dxa"/>
            <w:noWrap/>
            <w:vAlign w:val="center"/>
          </w:tcPr>
          <w:p w14:paraId="5533545B">
            <w:pPr>
              <w:spacing w:line="300" w:lineRule="auto"/>
              <w:rPr>
                <w:rFonts w:ascii="仿宋" w:hAnsi="仿宋" w:eastAsia="仿宋" w:cs="仿宋"/>
                <w:color w:val="auto"/>
                <w:spacing w:val="-2"/>
                <w:sz w:val="24"/>
                <w:szCs w:val="24"/>
              </w:rPr>
            </w:pPr>
          </w:p>
        </w:tc>
      </w:tr>
      <w:tr w14:paraId="096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233BE8CA">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915" w:type="dxa"/>
            <w:noWrap/>
            <w:vAlign w:val="center"/>
          </w:tcPr>
          <w:p w14:paraId="0FF5BA9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投标的政府采购项目完成期限超过招标文件规定期限的；</w:t>
            </w:r>
          </w:p>
        </w:tc>
        <w:tc>
          <w:tcPr>
            <w:tcW w:w="1276" w:type="dxa"/>
            <w:noWrap/>
            <w:vAlign w:val="center"/>
          </w:tcPr>
          <w:p w14:paraId="7DF2802A">
            <w:pPr>
              <w:spacing w:line="300" w:lineRule="auto"/>
              <w:rPr>
                <w:rFonts w:ascii="仿宋" w:hAnsi="仿宋" w:eastAsia="仿宋" w:cs="仿宋"/>
                <w:color w:val="auto"/>
                <w:spacing w:val="-2"/>
                <w:sz w:val="24"/>
                <w:szCs w:val="24"/>
              </w:rPr>
            </w:pPr>
          </w:p>
        </w:tc>
      </w:tr>
      <w:tr w14:paraId="780C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14:paraId="3A0F628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915" w:type="dxa"/>
            <w:noWrap/>
            <w:vAlign w:val="center"/>
          </w:tcPr>
          <w:p w14:paraId="493D73C3">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投标文件载明的技术规格、技术标准、货物包装方式、检验标准和方法等，不符合招标文件要求的；</w:t>
            </w:r>
          </w:p>
        </w:tc>
        <w:tc>
          <w:tcPr>
            <w:tcW w:w="1276" w:type="dxa"/>
            <w:noWrap/>
            <w:vAlign w:val="center"/>
          </w:tcPr>
          <w:p w14:paraId="343296B7">
            <w:pPr>
              <w:spacing w:line="300" w:lineRule="auto"/>
              <w:rPr>
                <w:rFonts w:ascii="仿宋" w:hAnsi="仿宋" w:eastAsia="仿宋" w:cs="仿宋"/>
                <w:color w:val="auto"/>
                <w:spacing w:val="-2"/>
                <w:sz w:val="24"/>
                <w:szCs w:val="24"/>
              </w:rPr>
            </w:pPr>
          </w:p>
        </w:tc>
      </w:tr>
      <w:tr w14:paraId="713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039A209">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915" w:type="dxa"/>
            <w:noWrap/>
            <w:vAlign w:val="center"/>
          </w:tcPr>
          <w:p w14:paraId="2EF54914">
            <w:pPr>
              <w:widowControl/>
              <w:spacing w:line="300" w:lineRule="auto"/>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投标文件附有采购人不能接受条件的；</w:t>
            </w:r>
          </w:p>
        </w:tc>
        <w:tc>
          <w:tcPr>
            <w:tcW w:w="1276" w:type="dxa"/>
            <w:noWrap/>
            <w:vAlign w:val="center"/>
          </w:tcPr>
          <w:p w14:paraId="05156259">
            <w:pPr>
              <w:spacing w:line="300" w:lineRule="auto"/>
              <w:rPr>
                <w:rFonts w:ascii="仿宋" w:hAnsi="仿宋" w:eastAsia="仿宋" w:cs="仿宋"/>
                <w:color w:val="auto"/>
                <w:sz w:val="24"/>
                <w:szCs w:val="24"/>
              </w:rPr>
            </w:pPr>
          </w:p>
        </w:tc>
      </w:tr>
      <w:tr w14:paraId="2BA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7B435C6B">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6915" w:type="dxa"/>
            <w:noWrap/>
            <w:vAlign w:val="center"/>
          </w:tcPr>
          <w:p w14:paraId="57CD27B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不满足招标文件实质性要求的其他情形.</w:t>
            </w:r>
          </w:p>
        </w:tc>
        <w:tc>
          <w:tcPr>
            <w:tcW w:w="1276" w:type="dxa"/>
            <w:noWrap/>
            <w:vAlign w:val="center"/>
          </w:tcPr>
          <w:p w14:paraId="74B772FE">
            <w:pPr>
              <w:spacing w:line="300" w:lineRule="auto"/>
              <w:rPr>
                <w:rFonts w:ascii="仿宋" w:hAnsi="仿宋" w:eastAsia="仿宋" w:cs="仿宋"/>
                <w:color w:val="auto"/>
                <w:spacing w:val="-2"/>
                <w:sz w:val="24"/>
                <w:szCs w:val="24"/>
              </w:rPr>
            </w:pPr>
          </w:p>
        </w:tc>
      </w:tr>
      <w:tr w14:paraId="6FF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13044D8E">
            <w:pPr>
              <w:spacing w:line="300" w:lineRule="auto"/>
              <w:rPr>
                <w:rFonts w:ascii="仿宋" w:hAnsi="仿宋" w:eastAsia="仿宋" w:cs="仿宋"/>
                <w:color w:val="auto"/>
                <w:sz w:val="24"/>
                <w:szCs w:val="24"/>
              </w:rPr>
            </w:pPr>
          </w:p>
        </w:tc>
        <w:tc>
          <w:tcPr>
            <w:tcW w:w="6915" w:type="dxa"/>
            <w:noWrap/>
            <w:vAlign w:val="center"/>
          </w:tcPr>
          <w:p w14:paraId="15C45EE6">
            <w:pPr>
              <w:widowControl/>
              <w:spacing w:line="300" w:lineRule="auto"/>
              <w:jc w:val="left"/>
              <w:textAlignment w:val="center"/>
              <w:rPr>
                <w:rFonts w:ascii="仿宋" w:hAnsi="仿宋" w:eastAsia="仿宋" w:cs="仿宋"/>
                <w:color w:val="auto"/>
                <w:kern w:val="0"/>
                <w:sz w:val="24"/>
                <w:szCs w:val="24"/>
              </w:rPr>
            </w:pPr>
          </w:p>
        </w:tc>
        <w:tc>
          <w:tcPr>
            <w:tcW w:w="1276" w:type="dxa"/>
            <w:noWrap/>
            <w:vAlign w:val="center"/>
          </w:tcPr>
          <w:p w14:paraId="7F86C5A3">
            <w:pPr>
              <w:spacing w:line="300" w:lineRule="auto"/>
              <w:rPr>
                <w:rFonts w:ascii="仿宋" w:hAnsi="仿宋" w:eastAsia="仿宋" w:cs="仿宋"/>
                <w:color w:val="auto"/>
                <w:spacing w:val="-2"/>
                <w:sz w:val="24"/>
                <w:szCs w:val="24"/>
              </w:rPr>
            </w:pPr>
          </w:p>
        </w:tc>
      </w:tr>
      <w:tr w14:paraId="19F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14:paraId="19D3701E">
            <w:pPr>
              <w:spacing w:line="300" w:lineRule="auto"/>
              <w:ind w:firstLine="424" w:firstLineChars="180"/>
              <w:rPr>
                <w:rFonts w:ascii="仿宋" w:hAnsi="仿宋" w:eastAsia="仿宋" w:cs="仿宋"/>
                <w:color w:val="auto"/>
                <w:spacing w:val="-2"/>
                <w:sz w:val="24"/>
                <w:szCs w:val="24"/>
              </w:rPr>
            </w:pPr>
            <w:r>
              <w:rPr>
                <w:rFonts w:hint="eastAsia" w:ascii="仿宋" w:hAnsi="仿宋" w:eastAsia="仿宋" w:cs="仿宋"/>
                <w:color w:val="auto"/>
                <w:spacing w:val="-2"/>
                <w:sz w:val="24"/>
                <w:szCs w:val="24"/>
              </w:rPr>
              <w:t>结论：通过评审打“√”，未通过评审打“×”</w:t>
            </w:r>
          </w:p>
        </w:tc>
        <w:tc>
          <w:tcPr>
            <w:tcW w:w="1276" w:type="dxa"/>
            <w:noWrap/>
            <w:vAlign w:val="center"/>
          </w:tcPr>
          <w:p w14:paraId="4763501E">
            <w:pPr>
              <w:spacing w:line="300" w:lineRule="auto"/>
              <w:ind w:firstLine="424" w:firstLineChars="180"/>
              <w:rPr>
                <w:rFonts w:ascii="仿宋" w:hAnsi="仿宋" w:eastAsia="仿宋" w:cs="仿宋"/>
                <w:color w:val="auto"/>
                <w:spacing w:val="-2"/>
                <w:sz w:val="24"/>
                <w:szCs w:val="24"/>
              </w:rPr>
            </w:pPr>
          </w:p>
        </w:tc>
      </w:tr>
    </w:tbl>
    <w:p w14:paraId="1AE09FD6">
      <w:pPr>
        <w:spacing w:line="360" w:lineRule="exact"/>
        <w:rPr>
          <w:rFonts w:ascii="仿宋" w:hAnsi="仿宋" w:eastAsia="仿宋" w:cs="仿宋"/>
          <w:color w:val="auto"/>
          <w:sz w:val="24"/>
        </w:rPr>
      </w:pPr>
      <w:r>
        <w:rPr>
          <w:rFonts w:hint="eastAsia" w:ascii="仿宋" w:hAnsi="仿宋" w:eastAsia="仿宋" w:cs="仿宋"/>
          <w:color w:val="auto"/>
          <w:sz w:val="24"/>
        </w:rPr>
        <w:t>说明：</w:t>
      </w:r>
    </w:p>
    <w:p w14:paraId="125F1022">
      <w:pPr>
        <w:spacing w:line="360" w:lineRule="exact"/>
        <w:rPr>
          <w:rFonts w:ascii="仿宋" w:hAnsi="仿宋" w:eastAsia="仿宋" w:cs="仿宋"/>
          <w:color w:val="auto"/>
          <w:sz w:val="24"/>
        </w:rPr>
      </w:pPr>
      <w:r>
        <w:rPr>
          <w:rFonts w:hint="eastAsia" w:ascii="仿宋" w:hAnsi="仿宋" w:eastAsia="仿宋" w:cs="仿宋"/>
          <w:color w:val="auto"/>
          <w:sz w:val="24"/>
        </w:rPr>
        <w:t>（1）上述各项中用“√”表示通过，“×”表示不通过；</w:t>
      </w:r>
    </w:p>
    <w:p w14:paraId="7D6B825F">
      <w:pPr>
        <w:spacing w:line="360" w:lineRule="exact"/>
        <w:rPr>
          <w:rFonts w:ascii="仿宋" w:hAnsi="仿宋" w:eastAsia="仿宋" w:cs="仿宋"/>
          <w:color w:val="auto"/>
          <w:sz w:val="24"/>
        </w:rPr>
      </w:pPr>
      <w:r>
        <w:rPr>
          <w:rFonts w:hint="eastAsia" w:ascii="仿宋" w:hAnsi="仿宋" w:eastAsia="仿宋" w:cs="仿宋"/>
          <w:color w:val="auto"/>
          <w:sz w:val="24"/>
        </w:rPr>
        <w:t>（2）上述各项中如有一项为“×”，则结论为“×”，表示该投标文件中存在重大偏差，不能通过初步评审；评委对某一分项评审认为不合格时，必须要写明原因。</w:t>
      </w:r>
    </w:p>
    <w:p w14:paraId="06DB3C98">
      <w:pPr>
        <w:spacing w:line="360" w:lineRule="exact"/>
        <w:rPr>
          <w:rFonts w:eastAsia="仿宋"/>
          <w:color w:val="auto"/>
        </w:rPr>
      </w:pPr>
      <w:r>
        <w:rPr>
          <w:rFonts w:hint="eastAsia" w:ascii="仿宋" w:hAnsi="仿宋" w:eastAsia="仿宋" w:cs="仿宋"/>
          <w:color w:val="auto"/>
          <w:sz w:val="24"/>
        </w:rPr>
        <w:t>（3）投标文件最终合格与否，以所有评委的评审意见中少数服从多数为原则定论。</w:t>
      </w:r>
    </w:p>
    <w:p w14:paraId="1FCC5C26">
      <w:pPr>
        <w:spacing w:line="360" w:lineRule="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12A366DC">
      <w:pPr>
        <w:pStyle w:val="34"/>
        <w:rPr>
          <w:rFonts w:hint="eastAsia" w:ascii="仿宋" w:hAnsi="仿宋" w:eastAsia="仿宋" w:cs="仿宋"/>
          <w:b/>
          <w:bCs/>
          <w:color w:val="auto"/>
          <w:sz w:val="24"/>
        </w:rPr>
      </w:pPr>
    </w:p>
    <w:p w14:paraId="24697D97">
      <w:pPr>
        <w:pStyle w:val="34"/>
        <w:rPr>
          <w:rFonts w:hint="eastAsia" w:ascii="仿宋" w:hAnsi="仿宋" w:eastAsia="仿宋" w:cs="仿宋"/>
          <w:b/>
          <w:bCs/>
          <w:color w:val="auto"/>
          <w:sz w:val="24"/>
        </w:rPr>
      </w:pPr>
    </w:p>
    <w:p w14:paraId="014B4D63">
      <w:pPr>
        <w:pStyle w:val="34"/>
        <w:rPr>
          <w:rFonts w:hint="eastAsia" w:ascii="仿宋" w:hAnsi="仿宋" w:eastAsia="仿宋" w:cs="仿宋"/>
          <w:b/>
          <w:bCs/>
          <w:color w:val="auto"/>
          <w:sz w:val="24"/>
        </w:rPr>
      </w:pPr>
    </w:p>
    <w:p w14:paraId="590F4EA1">
      <w:pPr>
        <w:pStyle w:val="34"/>
        <w:rPr>
          <w:rFonts w:hint="eastAsia" w:ascii="仿宋" w:hAnsi="仿宋" w:eastAsia="仿宋" w:cs="仿宋"/>
          <w:b/>
          <w:bCs/>
          <w:color w:val="auto"/>
          <w:sz w:val="24"/>
        </w:rPr>
      </w:pPr>
    </w:p>
    <w:tbl>
      <w:tblPr>
        <w:tblStyle w:val="27"/>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271AF7AD">
        <w:trPr>
          <w:trHeight w:val="385" w:hRule="atLeast"/>
        </w:trPr>
        <w:tc>
          <w:tcPr>
            <w:tcW w:w="9456" w:type="dxa"/>
            <w:gridSpan w:val="5"/>
            <w:tcBorders>
              <w:top w:val="nil"/>
              <w:left w:val="nil"/>
              <w:bottom w:val="single" w:color="auto" w:sz="4" w:space="0"/>
              <w:right w:val="nil"/>
            </w:tcBorders>
            <w:noWrap/>
            <w:vAlign w:val="center"/>
          </w:tcPr>
          <w:p w14:paraId="1B2CC78F">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35B3D68D">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58782EB">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5BE55DBF">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投标人名称及审查情况</w:t>
            </w:r>
          </w:p>
        </w:tc>
      </w:tr>
      <w:tr w14:paraId="5B2FA5A6">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FA1754B">
            <w:pPr>
              <w:widowControl/>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14:paraId="7D0ECC8A">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78BD1AA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EA8CD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F1F3D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8188F82">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997F8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14:paraId="0B49CC3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6AD28FAB">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0EA736D">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CEC31C3">
            <w:pPr>
              <w:widowControl/>
              <w:jc w:val="left"/>
              <w:rPr>
                <w:rFonts w:ascii="仿宋" w:hAnsi="仿宋" w:eastAsia="仿宋" w:cs="仿宋"/>
                <w:color w:val="auto"/>
                <w:kern w:val="0"/>
                <w:sz w:val="24"/>
                <w:szCs w:val="24"/>
              </w:rPr>
            </w:pPr>
          </w:p>
        </w:tc>
      </w:tr>
      <w:tr w14:paraId="414B5B7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1B092DB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14:paraId="616A82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不接受</w:t>
            </w:r>
            <w:r>
              <w:rPr>
                <w:rFonts w:hint="eastAsia" w:ascii="仿宋" w:hAnsi="仿宋" w:eastAsia="仿宋" w:cs="仿宋"/>
                <w:color w:val="auto"/>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14:paraId="412AA2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3B433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D291CD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E1F7F0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DDFABF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投标人的关联性</w:t>
            </w:r>
          </w:p>
          <w:p w14:paraId="59DC263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14:paraId="0659CB9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400B77C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06A86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BDABBC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2F5D82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65CA3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14:paraId="564B295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62016C59">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7EEB5A4">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6FBED17">
            <w:pPr>
              <w:widowControl/>
              <w:jc w:val="left"/>
              <w:rPr>
                <w:rFonts w:ascii="仿宋" w:hAnsi="仿宋" w:eastAsia="仿宋" w:cs="仿宋"/>
                <w:color w:val="auto"/>
                <w:kern w:val="0"/>
                <w:sz w:val="24"/>
                <w:szCs w:val="24"/>
              </w:rPr>
            </w:pPr>
          </w:p>
        </w:tc>
      </w:tr>
      <w:tr w14:paraId="2E12D77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49D20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满足投标范围的完整性要求</w:t>
            </w:r>
          </w:p>
          <w:p w14:paraId="0D0F268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14:paraId="2F486022">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668BF6E2">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46480271">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1233C99E">
            <w:pPr>
              <w:widowControl/>
              <w:jc w:val="left"/>
              <w:rPr>
                <w:rFonts w:ascii="仿宋" w:hAnsi="仿宋" w:eastAsia="仿宋" w:cs="仿宋"/>
                <w:color w:val="auto"/>
                <w:kern w:val="0"/>
                <w:sz w:val="24"/>
                <w:szCs w:val="24"/>
              </w:rPr>
            </w:pPr>
          </w:p>
        </w:tc>
      </w:tr>
      <w:tr w14:paraId="169B66B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22D3CF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7D8853E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14:paraId="764327D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7427AC1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4F330D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ACDBF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4BBA43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94953D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14:paraId="3C5700C4">
            <w:pPr>
              <w:widowControl/>
              <w:jc w:val="center"/>
              <w:rPr>
                <w:rFonts w:ascii="仿宋" w:hAnsi="仿宋" w:eastAsia="仿宋" w:cs="仿宋"/>
                <w:color w:val="auto"/>
                <w:sz w:val="24"/>
                <w:szCs w:val="24"/>
              </w:rPr>
            </w:pPr>
            <w:r>
              <w:rPr>
                <w:rFonts w:hint="eastAsia" w:ascii="仿宋" w:hAnsi="仿宋" w:eastAsia="仿宋" w:cs="仿宋"/>
                <w:color w:val="auto"/>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54061C8D">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36DF4D6E">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DD22537">
            <w:pPr>
              <w:widowControl/>
              <w:jc w:val="left"/>
              <w:rPr>
                <w:rFonts w:ascii="仿宋" w:hAnsi="仿宋" w:eastAsia="仿宋" w:cs="仿宋"/>
                <w:color w:val="auto"/>
                <w:kern w:val="0"/>
                <w:sz w:val="24"/>
                <w:szCs w:val="24"/>
              </w:rPr>
            </w:pPr>
          </w:p>
        </w:tc>
      </w:tr>
      <w:tr w14:paraId="7CCEE9D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897A46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14:paraId="5FD9B0A8">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自提交投标文件截止之日起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14:paraId="254CB9C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CDF279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B7E9AC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B62E0DD">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CFBDD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14:paraId="414F0F81">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3135EA63">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29CE568">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5DD88FA2">
            <w:pPr>
              <w:widowControl/>
              <w:jc w:val="left"/>
              <w:rPr>
                <w:rFonts w:ascii="仿宋" w:hAnsi="仿宋" w:eastAsia="仿宋" w:cs="仿宋"/>
                <w:color w:val="auto"/>
                <w:kern w:val="0"/>
                <w:sz w:val="24"/>
                <w:szCs w:val="24"/>
              </w:rPr>
            </w:pPr>
          </w:p>
        </w:tc>
      </w:tr>
      <w:tr w14:paraId="50889B1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37906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328C7D2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14:paraId="690E14CE">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7F400C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772BE6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FC5DDE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970C7C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6B08A7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14:paraId="4B7C168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427B15B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40B5146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D0120E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60F709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EEFD35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14:paraId="334CE3BF">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1864D1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D63A1E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930BC2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D16D64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CF7B24D">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14:paraId="41F8DA79">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1815634F">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364CE46">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B6D4B53">
            <w:pPr>
              <w:widowControl/>
              <w:jc w:val="left"/>
              <w:rPr>
                <w:rFonts w:ascii="仿宋" w:hAnsi="仿宋" w:eastAsia="仿宋" w:cs="仿宋"/>
                <w:color w:val="auto"/>
                <w:kern w:val="0"/>
                <w:sz w:val="24"/>
                <w:szCs w:val="24"/>
              </w:rPr>
            </w:pPr>
          </w:p>
        </w:tc>
      </w:tr>
      <w:tr w14:paraId="67081823">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828EA7B">
            <w:pPr>
              <w:widowControl/>
              <w:jc w:val="center"/>
              <w:rPr>
                <w:rFonts w:ascii="仿宋" w:hAnsi="仿宋" w:eastAsia="仿宋" w:cs="仿宋"/>
                <w:b/>
                <w:color w:val="auto"/>
                <w:sz w:val="24"/>
                <w:szCs w:val="24"/>
              </w:rPr>
            </w:pPr>
            <w:r>
              <w:rPr>
                <w:rFonts w:hint="eastAsia" w:ascii="仿宋" w:hAnsi="仿宋" w:eastAsia="仿宋" w:cs="仿宋"/>
                <w:b/>
                <w:color w:val="auto"/>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14:paraId="21069259">
            <w:pPr>
              <w:widowControl/>
              <w:jc w:val="center"/>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28C4DE91">
            <w:pPr>
              <w:widowControl/>
              <w:jc w:val="center"/>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E51FAAE">
            <w:pPr>
              <w:widowControl/>
              <w:jc w:val="center"/>
              <w:rPr>
                <w:rFonts w:ascii="仿宋" w:hAnsi="仿宋" w:eastAsia="仿宋" w:cs="仿宋"/>
                <w:color w:val="auto"/>
                <w:kern w:val="0"/>
                <w:sz w:val="24"/>
                <w:szCs w:val="24"/>
              </w:rPr>
            </w:pPr>
          </w:p>
        </w:tc>
      </w:tr>
    </w:tbl>
    <w:p w14:paraId="766EFD46">
      <w:pPr>
        <w:spacing w:line="360" w:lineRule="auto"/>
        <w:rPr>
          <w:rFonts w:hint="eastAsia" w:ascii="仿宋" w:hAnsi="仿宋" w:eastAsia="仿宋" w:cs="仿宋"/>
          <w:b/>
          <w:bCs/>
          <w:color w:val="auto"/>
          <w:kern w:val="0"/>
          <w:sz w:val="28"/>
          <w:szCs w:val="28"/>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28C6CA2B">
      <w:pPr>
        <w:spacing w:line="300" w:lineRule="auto"/>
        <w:jc w:val="both"/>
        <w:rPr>
          <w:rFonts w:hint="eastAsia" w:ascii="仿宋" w:hAnsi="仿宋" w:eastAsia="仿宋" w:cs="仿宋"/>
          <w:b/>
          <w:bCs/>
          <w:color w:val="auto"/>
          <w:kern w:val="0"/>
          <w:sz w:val="28"/>
          <w:szCs w:val="28"/>
        </w:rPr>
      </w:pPr>
    </w:p>
    <w:p w14:paraId="6FC2AB45">
      <w:pPr>
        <w:pStyle w:val="35"/>
        <w:rPr>
          <w:rFonts w:hint="eastAsia"/>
          <w:color w:val="auto"/>
        </w:rPr>
      </w:pPr>
    </w:p>
    <w:p w14:paraId="4D302FB0">
      <w:pPr>
        <w:rPr>
          <w:rFonts w:hint="eastAsia"/>
          <w:color w:val="auto"/>
        </w:rPr>
      </w:pPr>
    </w:p>
    <w:p w14:paraId="7AA4E3E0">
      <w:pPr>
        <w:pStyle w:val="2"/>
        <w:rPr>
          <w:rFonts w:hint="eastAsia"/>
        </w:rPr>
      </w:pPr>
    </w:p>
    <w:p w14:paraId="2A26B2B7">
      <w:pPr>
        <w:spacing w:line="300" w:lineRule="auto"/>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技术符合性审查表</w:t>
      </w:r>
    </w:p>
    <w:tbl>
      <w:tblPr>
        <w:tblStyle w:val="27"/>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2E9C197B">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1A27BA7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14:paraId="0BDF80D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6E218C6">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39918A9">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r>
      <w:tr w14:paraId="7E40017A">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AC7E334">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D799972">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14:paraId="598CACEA">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0E4649E5">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46ED6CCD">
            <w:pPr>
              <w:widowControl/>
              <w:jc w:val="center"/>
              <w:textAlignment w:val="center"/>
              <w:rPr>
                <w:rFonts w:ascii="仿宋" w:hAnsi="仿宋" w:eastAsia="仿宋" w:cs="仿宋"/>
                <w:color w:val="auto"/>
                <w:kern w:val="0"/>
                <w:sz w:val="22"/>
                <w:szCs w:val="22"/>
              </w:rPr>
            </w:pPr>
          </w:p>
        </w:tc>
      </w:tr>
      <w:tr w14:paraId="331709C0">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98AA130">
            <w:pPr>
              <w:widowControl/>
              <w:jc w:val="center"/>
              <w:textAlignment w:val="cente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476D194">
            <w:pPr>
              <w:widowControl/>
              <w:jc w:val="center"/>
              <w:textAlignment w:val="cente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F9437FA">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7861889">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966175D">
            <w:pPr>
              <w:jc w:val="left"/>
              <w:rPr>
                <w:rFonts w:ascii="仿宋" w:hAnsi="仿宋" w:eastAsia="仿宋" w:cs="仿宋"/>
                <w:color w:val="auto"/>
                <w:sz w:val="22"/>
                <w:szCs w:val="22"/>
              </w:rPr>
            </w:pPr>
          </w:p>
        </w:tc>
      </w:tr>
      <w:tr w14:paraId="7B5C38D6">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87022C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6BAFB4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EDD75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2AB858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4AE480A">
            <w:pPr>
              <w:rPr>
                <w:rFonts w:ascii="仿宋" w:hAnsi="仿宋" w:eastAsia="仿宋" w:cs="仿宋"/>
                <w:color w:val="auto"/>
                <w:sz w:val="22"/>
                <w:szCs w:val="22"/>
              </w:rPr>
            </w:pPr>
          </w:p>
        </w:tc>
      </w:tr>
      <w:tr w14:paraId="008E1D72">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9329FC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4A6C88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E74CE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58F37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6C7E01D">
            <w:pPr>
              <w:rPr>
                <w:rFonts w:ascii="仿宋" w:hAnsi="仿宋" w:eastAsia="仿宋" w:cs="仿宋"/>
                <w:color w:val="auto"/>
                <w:sz w:val="22"/>
                <w:szCs w:val="22"/>
              </w:rPr>
            </w:pPr>
          </w:p>
        </w:tc>
      </w:tr>
      <w:tr w14:paraId="13C7AE3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259EDC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B8C07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608C21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D37F5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B501CBA">
            <w:pPr>
              <w:rPr>
                <w:rFonts w:ascii="仿宋" w:hAnsi="仿宋" w:eastAsia="仿宋" w:cs="仿宋"/>
                <w:color w:val="auto"/>
                <w:sz w:val="22"/>
                <w:szCs w:val="22"/>
              </w:rPr>
            </w:pPr>
          </w:p>
        </w:tc>
      </w:tr>
      <w:tr w14:paraId="015B8167">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DE2AAF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DAC020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657DF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9D360D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48C35">
            <w:pPr>
              <w:rPr>
                <w:rFonts w:ascii="仿宋" w:hAnsi="仿宋" w:eastAsia="仿宋" w:cs="仿宋"/>
                <w:color w:val="auto"/>
                <w:sz w:val="22"/>
                <w:szCs w:val="22"/>
              </w:rPr>
            </w:pPr>
          </w:p>
        </w:tc>
      </w:tr>
      <w:tr w14:paraId="43D428C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7E4432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B8743C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FA2C91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97ED4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D72F84">
            <w:pPr>
              <w:rPr>
                <w:rFonts w:ascii="仿宋" w:hAnsi="仿宋" w:eastAsia="仿宋" w:cs="仿宋"/>
                <w:color w:val="auto"/>
                <w:sz w:val="22"/>
                <w:szCs w:val="22"/>
              </w:rPr>
            </w:pPr>
          </w:p>
        </w:tc>
      </w:tr>
      <w:tr w14:paraId="75806EFE">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54D46AE">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8F73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98F4A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C993E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39B187">
            <w:pPr>
              <w:rPr>
                <w:rFonts w:ascii="仿宋" w:hAnsi="仿宋" w:eastAsia="仿宋" w:cs="仿宋"/>
                <w:color w:val="auto"/>
                <w:sz w:val="22"/>
                <w:szCs w:val="22"/>
              </w:rPr>
            </w:pPr>
          </w:p>
        </w:tc>
      </w:tr>
      <w:tr w14:paraId="1F7AE04B">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94A7828">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FF16E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2F6F0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E4B073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8CFF142">
            <w:pPr>
              <w:rPr>
                <w:rFonts w:ascii="仿宋" w:hAnsi="仿宋" w:eastAsia="仿宋" w:cs="仿宋"/>
                <w:color w:val="auto"/>
                <w:sz w:val="22"/>
                <w:szCs w:val="22"/>
              </w:rPr>
            </w:pPr>
          </w:p>
        </w:tc>
      </w:tr>
      <w:tr w14:paraId="23927072">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ECF700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2B6092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39F67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5BFB53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124C72">
            <w:pPr>
              <w:rPr>
                <w:rFonts w:ascii="仿宋" w:hAnsi="仿宋" w:eastAsia="仿宋" w:cs="仿宋"/>
                <w:color w:val="auto"/>
                <w:sz w:val="22"/>
                <w:szCs w:val="22"/>
              </w:rPr>
            </w:pPr>
          </w:p>
        </w:tc>
      </w:tr>
      <w:tr w14:paraId="62B66A0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6931FAF">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9C3438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B0474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F16D2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CBF183C">
            <w:pPr>
              <w:rPr>
                <w:rFonts w:ascii="仿宋" w:hAnsi="仿宋" w:eastAsia="仿宋" w:cs="仿宋"/>
                <w:color w:val="auto"/>
                <w:sz w:val="22"/>
                <w:szCs w:val="22"/>
              </w:rPr>
            </w:pPr>
          </w:p>
        </w:tc>
      </w:tr>
      <w:tr w14:paraId="22B284A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D6DCE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15BB05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62DD1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F4997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0F0A52D">
            <w:pPr>
              <w:rPr>
                <w:rFonts w:ascii="仿宋" w:hAnsi="仿宋" w:eastAsia="仿宋" w:cs="仿宋"/>
                <w:color w:val="auto"/>
                <w:sz w:val="22"/>
                <w:szCs w:val="22"/>
              </w:rPr>
            </w:pPr>
          </w:p>
        </w:tc>
      </w:tr>
      <w:tr w14:paraId="05AB8465">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CCAF4A">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691F59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52ADB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12C83A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4BAEFF2">
            <w:pPr>
              <w:rPr>
                <w:rFonts w:ascii="仿宋" w:hAnsi="仿宋" w:eastAsia="仿宋" w:cs="仿宋"/>
                <w:color w:val="auto"/>
                <w:sz w:val="22"/>
                <w:szCs w:val="22"/>
              </w:rPr>
            </w:pPr>
          </w:p>
        </w:tc>
      </w:tr>
      <w:tr w14:paraId="547BDB98">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551CAB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116B8B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8E7F5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7E33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07C65BB">
            <w:pPr>
              <w:rPr>
                <w:rFonts w:ascii="仿宋" w:hAnsi="仿宋" w:eastAsia="仿宋" w:cs="仿宋"/>
                <w:color w:val="auto"/>
                <w:sz w:val="22"/>
                <w:szCs w:val="22"/>
              </w:rPr>
            </w:pPr>
          </w:p>
        </w:tc>
      </w:tr>
      <w:tr w14:paraId="5EA0E12D">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F7E4F11">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2768B6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99A8B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59C87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D103CB2">
            <w:pPr>
              <w:rPr>
                <w:rFonts w:ascii="仿宋" w:hAnsi="仿宋" w:eastAsia="仿宋" w:cs="仿宋"/>
                <w:color w:val="auto"/>
                <w:sz w:val="22"/>
                <w:szCs w:val="22"/>
              </w:rPr>
            </w:pPr>
          </w:p>
        </w:tc>
      </w:tr>
      <w:tr w14:paraId="5BE98117">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B0AFE7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E7798A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765A3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EF483D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AAF721C">
            <w:pPr>
              <w:rPr>
                <w:rFonts w:ascii="仿宋" w:hAnsi="仿宋" w:eastAsia="仿宋" w:cs="仿宋"/>
                <w:color w:val="auto"/>
                <w:sz w:val="22"/>
                <w:szCs w:val="22"/>
              </w:rPr>
            </w:pPr>
          </w:p>
        </w:tc>
      </w:tr>
      <w:tr w14:paraId="3CB3DE55">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31AC562">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92CD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0B25F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3E47A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46E2EC9">
            <w:pPr>
              <w:rPr>
                <w:rFonts w:ascii="仿宋" w:hAnsi="仿宋" w:eastAsia="仿宋" w:cs="仿宋"/>
                <w:color w:val="auto"/>
                <w:sz w:val="22"/>
                <w:szCs w:val="22"/>
              </w:rPr>
            </w:pPr>
          </w:p>
        </w:tc>
      </w:tr>
      <w:tr w14:paraId="015C67DA">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29E38F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F130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11E3D1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00A38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569D4C">
            <w:pPr>
              <w:rPr>
                <w:rFonts w:ascii="仿宋" w:hAnsi="仿宋" w:eastAsia="仿宋" w:cs="仿宋"/>
                <w:color w:val="auto"/>
                <w:sz w:val="22"/>
                <w:szCs w:val="22"/>
              </w:rPr>
            </w:pPr>
          </w:p>
        </w:tc>
      </w:tr>
      <w:tr w14:paraId="3BB6ED76">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779F7BD">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7B7E0F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67EE24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67F0A7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40DE334">
            <w:pPr>
              <w:rPr>
                <w:rFonts w:ascii="仿宋" w:hAnsi="仿宋" w:eastAsia="仿宋" w:cs="仿宋"/>
                <w:color w:val="auto"/>
                <w:sz w:val="22"/>
                <w:szCs w:val="22"/>
              </w:rPr>
            </w:pPr>
          </w:p>
        </w:tc>
      </w:tr>
      <w:tr w14:paraId="1EEABC07">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A16333B">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198758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A1D13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3B60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793206">
            <w:pPr>
              <w:rPr>
                <w:rFonts w:ascii="仿宋" w:hAnsi="仿宋" w:eastAsia="仿宋" w:cs="仿宋"/>
                <w:color w:val="auto"/>
                <w:sz w:val="22"/>
                <w:szCs w:val="22"/>
              </w:rPr>
            </w:pPr>
          </w:p>
        </w:tc>
      </w:tr>
      <w:tr w14:paraId="6D5B9E36">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326BEE69">
            <w:pPr>
              <w:jc w:val="center"/>
              <w:rPr>
                <w:rFonts w:ascii="仿宋" w:hAnsi="仿宋" w:eastAsia="仿宋" w:cs="仿宋"/>
                <w:color w:val="auto"/>
                <w:sz w:val="22"/>
                <w:szCs w:val="22"/>
              </w:rPr>
            </w:pPr>
            <w:r>
              <w:rPr>
                <w:rFonts w:hint="eastAsia" w:ascii="仿宋" w:hAnsi="仿宋" w:eastAsia="仿宋" w:cs="仿宋"/>
                <w:color w:val="auto"/>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F2C98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9BE508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F71AAA">
            <w:pPr>
              <w:rPr>
                <w:rFonts w:ascii="仿宋" w:hAnsi="仿宋" w:eastAsia="仿宋" w:cs="仿宋"/>
                <w:color w:val="auto"/>
                <w:sz w:val="22"/>
                <w:szCs w:val="22"/>
              </w:rPr>
            </w:pPr>
          </w:p>
        </w:tc>
      </w:tr>
    </w:tbl>
    <w:p w14:paraId="5CD3D00D">
      <w:pPr>
        <w:pStyle w:val="11"/>
        <w:tabs>
          <w:tab w:val="clear" w:pos="567"/>
        </w:tabs>
        <w:spacing w:before="0" w:line="360" w:lineRule="auto"/>
        <w:rPr>
          <w:rFonts w:ascii="仿宋" w:hAnsi="仿宋" w:eastAsia="仿宋" w:cs="仿宋"/>
          <w:b/>
          <w:bCs/>
          <w:color w:val="auto"/>
        </w:rPr>
      </w:pPr>
    </w:p>
    <w:p w14:paraId="0B744E75">
      <w:pPr>
        <w:pStyle w:val="11"/>
        <w:tabs>
          <w:tab w:val="clear" w:pos="567"/>
        </w:tabs>
        <w:spacing w:before="0" w:line="360" w:lineRule="auto"/>
        <w:rPr>
          <w:rFonts w:ascii="仿宋" w:hAnsi="仿宋" w:eastAsia="仿宋" w:cs="仿宋"/>
          <w:b/>
          <w:bCs/>
          <w:color w:val="auto"/>
        </w:rPr>
      </w:pPr>
    </w:p>
    <w:p w14:paraId="3E747FDD">
      <w:pPr>
        <w:pStyle w:val="11"/>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1BE806AA">
      <w:pPr>
        <w:pStyle w:val="22"/>
        <w:rPr>
          <w:rFonts w:hint="eastAsia"/>
          <w:color w:val="auto"/>
        </w:rPr>
      </w:pPr>
    </w:p>
    <w:p w14:paraId="2CEE4101">
      <w:pPr>
        <w:pStyle w:val="11"/>
        <w:tabs>
          <w:tab w:val="clear" w:pos="567"/>
        </w:tabs>
        <w:spacing w:before="0" w:line="360" w:lineRule="auto"/>
        <w:jc w:val="both"/>
        <w:outlineLvl w:val="9"/>
        <w:rPr>
          <w:rFonts w:hint="eastAsia" w:ascii="仿宋" w:hAnsi="仿宋" w:eastAsia="仿宋" w:cs="仿宋"/>
          <w:b/>
          <w:bCs/>
          <w:color w:val="auto"/>
        </w:rPr>
      </w:pPr>
      <w:bookmarkStart w:id="751" w:name="_Toc1880"/>
    </w:p>
    <w:p w14:paraId="3026F7EB">
      <w:pPr>
        <w:pStyle w:val="12"/>
        <w:rPr>
          <w:rFonts w:hint="eastAsia" w:ascii="仿宋" w:hAnsi="仿宋" w:eastAsia="仿宋" w:cs="仿宋"/>
          <w:b/>
          <w:bCs/>
          <w:color w:val="auto"/>
        </w:rPr>
      </w:pPr>
    </w:p>
    <w:p w14:paraId="1A3BFAC1">
      <w:pPr>
        <w:rPr>
          <w:rFonts w:hint="eastAsia"/>
          <w:color w:val="auto"/>
        </w:rPr>
      </w:pPr>
    </w:p>
    <w:p w14:paraId="002F31EA">
      <w:pPr>
        <w:pStyle w:val="11"/>
        <w:tabs>
          <w:tab w:val="clear" w:pos="567"/>
        </w:tabs>
        <w:spacing w:before="0" w:line="360" w:lineRule="auto"/>
        <w:ind w:left="-181" w:leftChars="-86" w:firstLine="663" w:firstLineChars="275"/>
        <w:jc w:val="center"/>
        <w:outlineLvl w:val="0"/>
        <w:rPr>
          <w:rFonts w:ascii="仿宋" w:hAnsi="仿宋" w:eastAsia="仿宋" w:cs="仿宋"/>
          <w:b/>
          <w:bCs/>
          <w:color w:val="auto"/>
        </w:rPr>
      </w:pPr>
      <w:bookmarkStart w:id="752" w:name="_Toc6386"/>
      <w:bookmarkStart w:id="753" w:name="_Toc28490"/>
      <w:bookmarkStart w:id="754" w:name="_Toc14137"/>
      <w:bookmarkStart w:id="755" w:name="_Toc8938"/>
      <w:bookmarkStart w:id="756" w:name="_Toc31545"/>
      <w:bookmarkStart w:id="757" w:name="_Toc12229"/>
      <w:r>
        <w:rPr>
          <w:rFonts w:hint="eastAsia" w:ascii="仿宋" w:hAnsi="仿宋" w:eastAsia="仿宋" w:cs="仿宋"/>
          <w:b/>
          <w:bCs/>
          <w:color w:val="auto"/>
        </w:rPr>
        <w:t>评分方法（综合评分法）及评分标准</w:t>
      </w:r>
      <w:bookmarkEnd w:id="751"/>
      <w:bookmarkEnd w:id="752"/>
      <w:bookmarkEnd w:id="753"/>
      <w:bookmarkEnd w:id="754"/>
      <w:bookmarkEnd w:id="755"/>
      <w:bookmarkEnd w:id="756"/>
      <w:bookmarkEnd w:id="757"/>
    </w:p>
    <w:tbl>
      <w:tblPr>
        <w:tblStyle w:val="27"/>
        <w:tblW w:w="9972" w:type="dxa"/>
        <w:jc w:val="center"/>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Layout w:type="fixed"/>
        <w:tblCellMar>
          <w:top w:w="0" w:type="dxa"/>
          <w:left w:w="0" w:type="dxa"/>
          <w:bottom w:w="0" w:type="dxa"/>
          <w:right w:w="0" w:type="dxa"/>
        </w:tblCellMar>
      </w:tblPr>
      <w:tblGrid>
        <w:gridCol w:w="933"/>
        <w:gridCol w:w="1487"/>
        <w:gridCol w:w="7552"/>
      </w:tblGrid>
      <w:tr w14:paraId="7A8EE969">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972" w:type="dxa"/>
            <w:gridSpan w:val="3"/>
            <w:tcBorders>
              <w:tl2br w:val="nil"/>
              <w:tr2bl w:val="nil"/>
            </w:tcBorders>
            <w:vAlign w:val="center"/>
          </w:tcPr>
          <w:p w14:paraId="601266B9">
            <w:pPr>
              <w:spacing w:line="400" w:lineRule="exact"/>
              <w:jc w:val="center"/>
              <w:rPr>
                <w:rFonts w:hint="eastAsia" w:ascii="仿宋" w:hAnsi="仿宋" w:eastAsia="仿宋" w:cs="仿宋"/>
                <w:color w:val="auto"/>
                <w:sz w:val="24"/>
                <w:szCs w:val="24"/>
                <w:shd w:val="clear" w:color="auto" w:fill="auto"/>
              </w:rPr>
            </w:pPr>
            <w:bookmarkStart w:id="758" w:name="EBa48645eff2ee4582a36f886367fb689c"/>
            <w:bookmarkEnd w:id="758"/>
            <w:r>
              <w:rPr>
                <w:rFonts w:hint="eastAsia" w:ascii="仿宋" w:hAnsi="仿宋" w:eastAsia="仿宋" w:cs="仿宋"/>
                <w:b/>
                <w:bCs/>
                <w:color w:val="auto"/>
                <w:sz w:val="24"/>
                <w:szCs w:val="24"/>
                <w:shd w:val="clear" w:color="auto" w:fill="auto"/>
              </w:rPr>
              <w:t>详  细  评  审</w:t>
            </w:r>
          </w:p>
        </w:tc>
      </w:tr>
      <w:tr w14:paraId="1C37DFB8">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jc w:val="center"/>
        </w:trPr>
        <w:tc>
          <w:tcPr>
            <w:tcW w:w="933" w:type="dxa"/>
            <w:tcBorders>
              <w:tl2br w:val="nil"/>
              <w:tr2bl w:val="nil"/>
            </w:tcBorders>
            <w:vAlign w:val="center"/>
          </w:tcPr>
          <w:p w14:paraId="2BA917B6">
            <w:pPr>
              <w:spacing w:line="400" w:lineRule="exact"/>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评分</w:t>
            </w:r>
          </w:p>
          <w:p w14:paraId="3B38908E">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因素</w:t>
            </w:r>
          </w:p>
        </w:tc>
        <w:tc>
          <w:tcPr>
            <w:tcW w:w="1487" w:type="dxa"/>
            <w:tcBorders>
              <w:tl2br w:val="nil"/>
              <w:tr2bl w:val="nil"/>
            </w:tcBorders>
            <w:vAlign w:val="center"/>
          </w:tcPr>
          <w:p w14:paraId="180CDE1E">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评分点</w:t>
            </w:r>
          </w:p>
        </w:tc>
        <w:tc>
          <w:tcPr>
            <w:tcW w:w="7552" w:type="dxa"/>
            <w:tcBorders>
              <w:tl2br w:val="nil"/>
              <w:tr2bl w:val="nil"/>
            </w:tcBorders>
            <w:vAlign w:val="center"/>
          </w:tcPr>
          <w:p w14:paraId="3D91B0C5">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评分标准</w:t>
            </w:r>
          </w:p>
        </w:tc>
      </w:tr>
      <w:tr w14:paraId="0414DF58">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33" w:type="dxa"/>
            <w:tcBorders>
              <w:tl2br w:val="nil"/>
              <w:tr2bl w:val="nil"/>
            </w:tcBorders>
            <w:vAlign w:val="center"/>
          </w:tcPr>
          <w:p w14:paraId="0906DDBA">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价格</w:t>
            </w:r>
          </w:p>
          <w:p w14:paraId="66F33427">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评审</w:t>
            </w:r>
          </w:p>
          <w:p w14:paraId="3C3ABD04">
            <w:pPr>
              <w:spacing w:line="400" w:lineRule="exact"/>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(30分)</w:t>
            </w:r>
          </w:p>
        </w:tc>
        <w:tc>
          <w:tcPr>
            <w:tcW w:w="1487" w:type="dxa"/>
            <w:tcBorders>
              <w:tl2br w:val="nil"/>
              <w:tr2bl w:val="nil"/>
            </w:tcBorders>
            <w:vAlign w:val="center"/>
          </w:tcPr>
          <w:p w14:paraId="1BDB731D">
            <w:pPr>
              <w:pStyle w:val="131"/>
              <w:spacing w:line="400" w:lineRule="exact"/>
              <w:jc w:val="center"/>
              <w:rPr>
                <w:rFonts w:hint="eastAsia" w:ascii="仿宋" w:hAnsi="仿宋" w:eastAsia="仿宋" w:cs="仿宋"/>
                <w:b w:val="0"/>
                <w:color w:val="auto"/>
                <w:kern w:val="2"/>
                <w:sz w:val="24"/>
                <w:szCs w:val="24"/>
                <w:shd w:val="clear" w:color="auto" w:fill="auto"/>
              </w:rPr>
            </w:pPr>
            <w:r>
              <w:rPr>
                <w:rFonts w:hint="eastAsia" w:ascii="仿宋" w:hAnsi="仿宋" w:eastAsia="仿宋" w:cs="仿宋"/>
                <w:b w:val="0"/>
                <w:color w:val="auto"/>
                <w:kern w:val="2"/>
                <w:sz w:val="24"/>
                <w:szCs w:val="24"/>
                <w:shd w:val="clear" w:color="auto" w:fill="auto"/>
              </w:rPr>
              <w:t>投标报价</w:t>
            </w:r>
          </w:p>
          <w:p w14:paraId="0D4F1D13">
            <w:pPr>
              <w:pStyle w:val="131"/>
              <w:spacing w:line="400" w:lineRule="exact"/>
              <w:jc w:val="center"/>
              <w:rPr>
                <w:rFonts w:hint="eastAsia" w:ascii="仿宋" w:hAnsi="仿宋" w:eastAsia="仿宋" w:cs="仿宋"/>
                <w:b w:val="0"/>
                <w:color w:val="auto"/>
                <w:kern w:val="2"/>
                <w:sz w:val="24"/>
                <w:szCs w:val="24"/>
                <w:shd w:val="clear" w:color="auto" w:fill="auto"/>
              </w:rPr>
            </w:pPr>
            <w:r>
              <w:rPr>
                <w:rFonts w:hint="eastAsia" w:ascii="仿宋" w:hAnsi="仿宋" w:eastAsia="仿宋" w:cs="仿宋"/>
                <w:b w:val="0"/>
                <w:color w:val="auto"/>
                <w:kern w:val="2"/>
                <w:sz w:val="24"/>
                <w:szCs w:val="24"/>
                <w:shd w:val="clear" w:color="auto" w:fill="auto"/>
              </w:rPr>
              <w:t>（3</w:t>
            </w:r>
            <w:r>
              <w:rPr>
                <w:rFonts w:hint="eastAsia" w:ascii="仿宋" w:hAnsi="仿宋" w:eastAsia="仿宋" w:cs="仿宋"/>
                <w:b w:val="0"/>
                <w:color w:val="auto"/>
                <w:kern w:val="2"/>
                <w:sz w:val="24"/>
                <w:szCs w:val="24"/>
                <w:shd w:val="clear" w:color="auto" w:fill="auto"/>
                <w:lang w:val="en-US" w:eastAsia="zh-CN"/>
              </w:rPr>
              <w:t>0</w:t>
            </w:r>
            <w:r>
              <w:rPr>
                <w:rFonts w:hint="eastAsia" w:ascii="仿宋" w:hAnsi="仿宋" w:eastAsia="仿宋" w:cs="仿宋"/>
                <w:b w:val="0"/>
                <w:color w:val="auto"/>
                <w:kern w:val="2"/>
                <w:sz w:val="24"/>
                <w:szCs w:val="24"/>
                <w:shd w:val="clear" w:color="auto" w:fill="auto"/>
              </w:rPr>
              <w:t>分）</w:t>
            </w:r>
          </w:p>
        </w:tc>
        <w:tc>
          <w:tcPr>
            <w:tcW w:w="7552" w:type="dxa"/>
            <w:tcBorders>
              <w:tl2br w:val="nil"/>
              <w:tr2bl w:val="nil"/>
            </w:tcBorders>
            <w:vAlign w:val="center"/>
          </w:tcPr>
          <w:p w14:paraId="793FD6E0">
            <w:pPr>
              <w:pStyle w:val="131"/>
              <w:keepNext w:val="0"/>
              <w:keepLines w:val="0"/>
              <w:pageBreakBefore w:val="0"/>
              <w:widowControl/>
              <w:numPr>
                <w:ilvl w:val="0"/>
                <w:numId w:val="2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b w:val="0"/>
                <w:color w:val="auto"/>
                <w:kern w:val="2"/>
                <w:sz w:val="24"/>
                <w:szCs w:val="24"/>
                <w:highlight w:val="none"/>
                <w:shd w:val="clear" w:color="auto" w:fill="auto"/>
              </w:rPr>
              <w:t>评标基准价为</w:t>
            </w:r>
            <w:r>
              <w:rPr>
                <w:rFonts w:hint="eastAsia" w:ascii="仿宋" w:hAnsi="仿宋" w:eastAsia="仿宋" w:cs="仿宋"/>
                <w:b w:val="0"/>
                <w:color w:val="auto"/>
                <w:kern w:val="2"/>
                <w:sz w:val="24"/>
                <w:szCs w:val="24"/>
                <w:highlight w:val="none"/>
                <w:shd w:val="clear" w:color="auto" w:fill="auto"/>
                <w:lang w:val="en-US" w:eastAsia="zh-CN"/>
              </w:rPr>
              <w:t>对招标要求做出了实质性响应、且能</w:t>
            </w:r>
            <w:r>
              <w:rPr>
                <w:rFonts w:hint="eastAsia" w:ascii="仿宋" w:hAnsi="仿宋" w:eastAsia="仿宋" w:cs="仿宋"/>
                <w:b w:val="0"/>
                <w:color w:val="auto"/>
                <w:kern w:val="2"/>
                <w:sz w:val="24"/>
                <w:szCs w:val="24"/>
                <w:highlight w:val="none"/>
                <w:shd w:val="clear" w:color="auto" w:fill="auto"/>
              </w:rPr>
              <w:t>满足招标文件要求</w:t>
            </w:r>
            <w:r>
              <w:rPr>
                <w:rFonts w:hint="eastAsia" w:ascii="仿宋" w:hAnsi="仿宋" w:eastAsia="仿宋" w:cs="仿宋"/>
                <w:b w:val="0"/>
                <w:color w:val="auto"/>
                <w:kern w:val="2"/>
                <w:sz w:val="24"/>
                <w:szCs w:val="24"/>
                <w:highlight w:val="none"/>
                <w:shd w:val="clear" w:color="auto" w:fill="auto"/>
                <w:lang w:eastAsia="zh-CN"/>
              </w:rPr>
              <w:t>，</w:t>
            </w:r>
            <w:r>
              <w:rPr>
                <w:rFonts w:hint="eastAsia" w:ascii="仿宋" w:hAnsi="仿宋" w:eastAsia="仿宋" w:cs="仿宋"/>
                <w:b w:val="0"/>
                <w:color w:val="auto"/>
                <w:kern w:val="2"/>
                <w:sz w:val="24"/>
                <w:szCs w:val="24"/>
                <w:highlight w:val="none"/>
                <w:shd w:val="clear" w:color="auto" w:fill="auto"/>
                <w:lang w:val="en-US" w:eastAsia="zh-CN"/>
              </w:rPr>
              <w:t>并通过符合性审查的</w:t>
            </w:r>
            <w:r>
              <w:rPr>
                <w:rFonts w:hint="eastAsia" w:ascii="仿宋" w:hAnsi="仿宋" w:eastAsia="仿宋" w:cs="仿宋"/>
                <w:b w:val="0"/>
                <w:color w:val="auto"/>
                <w:kern w:val="2"/>
                <w:sz w:val="24"/>
                <w:szCs w:val="24"/>
                <w:highlight w:val="none"/>
                <w:shd w:val="clear" w:color="auto" w:fill="auto"/>
              </w:rPr>
              <w:t>有效投标报价</w:t>
            </w:r>
            <w:r>
              <w:rPr>
                <w:rFonts w:hint="eastAsia" w:ascii="仿宋" w:hAnsi="仿宋" w:eastAsia="仿宋" w:cs="仿宋"/>
                <w:b w:val="0"/>
                <w:color w:val="auto"/>
                <w:kern w:val="2"/>
                <w:sz w:val="24"/>
                <w:szCs w:val="24"/>
                <w:highlight w:val="none"/>
                <w:shd w:val="clear" w:color="auto" w:fill="auto"/>
                <w:lang w:val="en-US" w:eastAsia="zh-CN"/>
              </w:rPr>
              <w:t>的最低价。</w:t>
            </w:r>
          </w:p>
          <w:p w14:paraId="1787625B">
            <w:pPr>
              <w:pStyle w:val="15"/>
              <w:snapToGrid w:val="0"/>
              <w:spacing w:before="120" w:after="120" w:line="320" w:lineRule="exact"/>
              <w:rPr>
                <w:rFonts w:hint="eastAsia" w:ascii="仿宋" w:hAnsi="仿宋" w:eastAsia="仿宋" w:cs="仿宋"/>
                <w:b w:val="0"/>
                <w:color w:val="auto"/>
                <w:kern w:val="2"/>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bidi="zh-CN"/>
              </w:rPr>
              <w:t>2</w:t>
            </w:r>
            <w:r>
              <w:rPr>
                <w:rFonts w:hint="eastAsia" w:ascii="仿宋" w:hAnsi="仿宋" w:eastAsia="仿宋" w:cs="仿宋"/>
                <w:color w:val="auto"/>
                <w:kern w:val="0"/>
                <w:sz w:val="24"/>
                <w:szCs w:val="24"/>
                <w:highlight w:val="none"/>
                <w:shd w:val="clear" w:color="auto" w:fill="auto"/>
                <w:lang w:val="zh-CN" w:eastAsia="zh-CN" w:bidi="zh-CN"/>
              </w:rPr>
              <w:t>）投标</w:t>
            </w:r>
            <w:r>
              <w:rPr>
                <w:rFonts w:hint="eastAsia" w:ascii="仿宋" w:hAnsi="仿宋" w:eastAsia="仿宋" w:cs="仿宋"/>
                <w:b w:val="0"/>
                <w:color w:val="auto"/>
                <w:kern w:val="2"/>
                <w:sz w:val="24"/>
                <w:szCs w:val="24"/>
                <w:highlight w:val="none"/>
                <w:shd w:val="clear" w:color="auto" w:fill="auto"/>
                <w:lang w:val="zh-CN" w:eastAsia="zh-CN" w:bidi="ar-SA"/>
              </w:rPr>
              <w:t>报价得分=(评标基准价/投标报价)×</w:t>
            </w:r>
            <w:r>
              <w:rPr>
                <w:rFonts w:hint="eastAsia" w:ascii="仿宋" w:hAnsi="仿宋" w:eastAsia="仿宋" w:cs="仿宋"/>
                <w:b w:val="0"/>
                <w:color w:val="auto"/>
                <w:kern w:val="2"/>
                <w:sz w:val="24"/>
                <w:szCs w:val="24"/>
                <w:highlight w:val="none"/>
                <w:shd w:val="clear" w:color="auto" w:fill="auto"/>
                <w:lang w:val="en-US" w:eastAsia="zh-CN" w:bidi="ar-SA"/>
              </w:rPr>
              <w:t>30</w:t>
            </w:r>
            <w:r>
              <w:rPr>
                <w:rFonts w:hint="eastAsia" w:ascii="仿宋" w:hAnsi="仿宋" w:eastAsia="仿宋" w:cs="仿宋"/>
                <w:b w:val="0"/>
                <w:color w:val="auto"/>
                <w:kern w:val="2"/>
                <w:sz w:val="24"/>
                <w:szCs w:val="24"/>
                <w:highlight w:val="none"/>
                <w:shd w:val="clear" w:color="auto" w:fill="auto"/>
                <w:lang w:val="zh-CN" w:eastAsia="zh-CN" w:bidi="ar-SA"/>
              </w:rPr>
              <w:t>%×100，</w:t>
            </w:r>
            <w:r>
              <w:rPr>
                <w:rFonts w:hint="eastAsia" w:ascii="仿宋" w:hAnsi="仿宋" w:eastAsia="仿宋" w:cs="仿宋"/>
                <w:b w:val="0"/>
                <w:color w:val="auto"/>
                <w:kern w:val="2"/>
                <w:sz w:val="24"/>
                <w:szCs w:val="24"/>
                <w:highlight w:val="none"/>
                <w:shd w:val="clear" w:color="auto" w:fill="auto"/>
                <w:lang w:val="en-US" w:eastAsia="zh-CN" w:bidi="ar-SA"/>
              </w:rPr>
              <w:t>保留小数点后两位。</w:t>
            </w:r>
          </w:p>
        </w:tc>
      </w:tr>
      <w:tr w14:paraId="2FD6226E">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933" w:type="dxa"/>
            <w:vMerge w:val="restart"/>
            <w:tcBorders>
              <w:tl2br w:val="nil"/>
              <w:tr2bl w:val="nil"/>
            </w:tcBorders>
            <w:vAlign w:val="center"/>
          </w:tcPr>
          <w:p w14:paraId="25AEE5BF">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商务</w:t>
            </w:r>
          </w:p>
          <w:p w14:paraId="35896A4E">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部分</w:t>
            </w:r>
          </w:p>
          <w:p w14:paraId="623A038D">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评审</w:t>
            </w:r>
          </w:p>
          <w:p w14:paraId="05E9D68E">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val="en-US" w:eastAsia="zh-CN"/>
              </w:rPr>
              <w:t>12</w:t>
            </w:r>
            <w:r>
              <w:rPr>
                <w:rFonts w:hint="eastAsia" w:ascii="仿宋" w:hAnsi="仿宋" w:eastAsia="仿宋" w:cs="仿宋"/>
                <w:color w:val="auto"/>
                <w:sz w:val="24"/>
                <w:szCs w:val="24"/>
                <w:shd w:val="clear" w:color="auto" w:fill="auto"/>
              </w:rPr>
              <w:t>分）</w:t>
            </w:r>
          </w:p>
        </w:tc>
        <w:tc>
          <w:tcPr>
            <w:tcW w:w="1487" w:type="dxa"/>
            <w:tcBorders>
              <w:tl2br w:val="nil"/>
              <w:tr2bl w:val="nil"/>
            </w:tcBorders>
            <w:vAlign w:val="center"/>
          </w:tcPr>
          <w:p w14:paraId="4217CB29">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类似业绩</w:t>
            </w:r>
          </w:p>
          <w:p w14:paraId="10B0FDAF">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分）</w:t>
            </w:r>
          </w:p>
        </w:tc>
        <w:tc>
          <w:tcPr>
            <w:tcW w:w="7552" w:type="dxa"/>
            <w:tcBorders>
              <w:tl2br w:val="nil"/>
              <w:tr2bl w:val="nil"/>
            </w:tcBorders>
            <w:vAlign w:val="center"/>
          </w:tcPr>
          <w:p w14:paraId="39DFE70D">
            <w:pPr>
              <w:pStyle w:val="13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color w:val="auto"/>
                <w:kern w:val="2"/>
                <w:sz w:val="24"/>
                <w:szCs w:val="24"/>
                <w:highlight w:val="none"/>
                <w:shd w:val="clear" w:color="auto" w:fill="auto"/>
                <w:lang w:val="en-US" w:eastAsia="zh-CN" w:bidi="ar-SA"/>
              </w:rPr>
            </w:pPr>
            <w:r>
              <w:rPr>
                <w:rFonts w:hint="eastAsia" w:ascii="仿宋" w:hAnsi="仿宋" w:eastAsia="仿宋" w:cs="仿宋"/>
                <w:b w:val="0"/>
                <w:color w:val="auto"/>
                <w:kern w:val="2"/>
                <w:sz w:val="24"/>
                <w:szCs w:val="24"/>
                <w:highlight w:val="none"/>
                <w:shd w:val="clear" w:color="auto" w:fill="auto"/>
                <w:lang w:val="en-US" w:eastAsia="zh-CN" w:bidi="ar-SA"/>
              </w:rPr>
              <w:t>投标人提供投标截止日期前三年至今的类似项目业绩。类似业绩是指合同实施内容须包含AGV或调度管理系统的项目。业绩满足上述条件，且与棉花检测相关，提供一项业绩得1.5分，最多得3分。</w:t>
            </w:r>
          </w:p>
          <w:p w14:paraId="4E62D09F">
            <w:pPr>
              <w:pStyle w:val="13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color w:val="auto"/>
                <w:kern w:val="2"/>
                <w:sz w:val="24"/>
                <w:szCs w:val="24"/>
                <w:highlight w:val="none"/>
                <w:shd w:val="clear" w:color="auto" w:fill="auto"/>
                <w:lang w:val="en-US" w:eastAsia="zh-CN" w:bidi="ar-SA"/>
              </w:rPr>
            </w:pPr>
            <w:r>
              <w:rPr>
                <w:rFonts w:hint="eastAsia" w:ascii="仿宋" w:hAnsi="仿宋" w:eastAsia="仿宋" w:cs="仿宋"/>
                <w:b w:val="0"/>
                <w:color w:val="auto"/>
                <w:kern w:val="2"/>
                <w:sz w:val="24"/>
                <w:szCs w:val="24"/>
                <w:highlight w:val="none"/>
                <w:shd w:val="clear" w:color="auto" w:fill="auto"/>
                <w:lang w:val="en-US" w:eastAsia="zh-CN" w:bidi="ar-SA"/>
              </w:rPr>
              <w:t>注：需提供中标通知书和合同关键页复印件及项目竣工验收报告。提供证明资料或证明资料不全的，不得分。</w:t>
            </w:r>
          </w:p>
          <w:p w14:paraId="78F5D04D">
            <w:pPr>
              <w:pStyle w:val="131"/>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仿宋"/>
                <w:b w:val="0"/>
                <w:color w:val="auto"/>
                <w:kern w:val="2"/>
                <w:sz w:val="24"/>
                <w:szCs w:val="24"/>
                <w:highlight w:val="none"/>
                <w:shd w:val="clear" w:color="auto" w:fill="auto"/>
                <w:lang w:val="en-US" w:eastAsia="zh-CN" w:bidi="ar-SA"/>
              </w:rPr>
            </w:pPr>
            <w:r>
              <w:rPr>
                <w:rFonts w:hint="eastAsia" w:ascii="仿宋" w:hAnsi="仿宋" w:eastAsia="仿宋" w:cs="仿宋"/>
                <w:b w:val="0"/>
                <w:color w:val="auto"/>
                <w:kern w:val="2"/>
                <w:sz w:val="24"/>
                <w:szCs w:val="24"/>
                <w:highlight w:val="none"/>
                <w:shd w:val="clear" w:color="auto" w:fill="auto"/>
                <w:lang w:val="en-US" w:eastAsia="zh-CN" w:bidi="ar-SA"/>
              </w:rPr>
              <w:t>正在实施的项目只需要提供中标通知书、合同关键页复印件即可。</w:t>
            </w:r>
          </w:p>
        </w:tc>
      </w:tr>
      <w:tr w14:paraId="62704155">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933" w:type="dxa"/>
            <w:vMerge w:val="continue"/>
            <w:tcBorders>
              <w:tl2br w:val="nil"/>
              <w:tr2bl w:val="nil"/>
            </w:tcBorders>
            <w:vAlign w:val="center"/>
          </w:tcPr>
          <w:p w14:paraId="4D377F5C">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vAlign w:val="center"/>
          </w:tcPr>
          <w:p w14:paraId="1AA09630">
            <w:pPr>
              <w:pStyle w:val="132"/>
              <w:spacing w:line="500" w:lineRule="exact"/>
              <w:jc w:val="center"/>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售后服务体系</w:t>
            </w:r>
          </w:p>
          <w:p w14:paraId="722D146B">
            <w:pPr>
              <w:pStyle w:val="132"/>
              <w:spacing w:line="500" w:lineRule="exact"/>
              <w:jc w:val="center"/>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w:t>
            </w:r>
            <w:r>
              <w:rPr>
                <w:rFonts w:hint="eastAsia" w:ascii="仿宋" w:hAnsi="仿宋" w:eastAsia="仿宋" w:cs="仿宋"/>
                <w:b w:val="0"/>
                <w:bCs/>
                <w:color w:val="auto"/>
                <w:sz w:val="24"/>
                <w:szCs w:val="24"/>
                <w:shd w:val="clear" w:color="auto" w:fill="auto"/>
                <w:lang w:val="en-US" w:eastAsia="zh-CN"/>
              </w:rPr>
              <w:t>4</w:t>
            </w:r>
            <w:r>
              <w:rPr>
                <w:rFonts w:hint="eastAsia" w:ascii="仿宋" w:hAnsi="仿宋" w:eastAsia="仿宋" w:cs="仿宋"/>
                <w:b w:val="0"/>
                <w:bCs/>
                <w:color w:val="auto"/>
                <w:sz w:val="24"/>
                <w:szCs w:val="24"/>
                <w:shd w:val="clear" w:color="auto" w:fill="auto"/>
              </w:rPr>
              <w:t>分）</w:t>
            </w:r>
          </w:p>
        </w:tc>
        <w:tc>
          <w:tcPr>
            <w:tcW w:w="7552" w:type="dxa"/>
            <w:tcBorders>
              <w:tl2br w:val="nil"/>
              <w:tr2bl w:val="nil"/>
            </w:tcBorders>
          </w:tcPr>
          <w:p w14:paraId="4FBE1BAD">
            <w:pPr>
              <w:pStyle w:val="131"/>
              <w:keepNext w:val="0"/>
              <w:keepLines w:val="0"/>
              <w:pageBreakBefore w:val="0"/>
              <w:widowControl/>
              <w:numPr>
                <w:ilvl w:val="0"/>
                <w:numId w:val="2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color w:val="auto"/>
                <w:kern w:val="2"/>
                <w:sz w:val="24"/>
                <w:szCs w:val="24"/>
                <w:shd w:val="clear" w:color="auto" w:fill="auto"/>
                <w:lang w:val="en-US" w:eastAsia="zh-CN"/>
              </w:rPr>
            </w:pPr>
            <w:r>
              <w:rPr>
                <w:rFonts w:hint="eastAsia" w:ascii="仿宋" w:hAnsi="仿宋" w:eastAsia="仿宋" w:cs="仿宋"/>
                <w:b w:val="0"/>
                <w:bCs/>
                <w:color w:val="auto"/>
                <w:kern w:val="2"/>
                <w:sz w:val="24"/>
                <w:szCs w:val="24"/>
                <w:shd w:val="clear" w:color="auto" w:fill="auto"/>
                <w:lang w:val="en-US" w:eastAsia="zh-CN"/>
              </w:rPr>
              <w:t>售后服务体系全面，具有完整的用户培训计划，针对本项目特点有完全应对的售后服务承诺，得4分；</w:t>
            </w:r>
          </w:p>
          <w:p w14:paraId="454A6BB4">
            <w:pPr>
              <w:pStyle w:val="131"/>
              <w:keepNext w:val="0"/>
              <w:keepLines w:val="0"/>
              <w:pageBreakBefore w:val="0"/>
              <w:widowControl/>
              <w:numPr>
                <w:ilvl w:val="0"/>
                <w:numId w:val="2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color w:val="auto"/>
                <w:kern w:val="2"/>
                <w:sz w:val="24"/>
                <w:szCs w:val="24"/>
                <w:shd w:val="clear" w:color="auto" w:fill="auto"/>
                <w:lang w:val="en-US" w:eastAsia="zh-CN"/>
              </w:rPr>
            </w:pPr>
            <w:r>
              <w:rPr>
                <w:rFonts w:hint="eastAsia" w:ascii="仿宋" w:hAnsi="仿宋" w:eastAsia="仿宋" w:cs="仿宋"/>
                <w:b w:val="0"/>
                <w:bCs/>
                <w:color w:val="auto"/>
                <w:kern w:val="2"/>
                <w:sz w:val="24"/>
                <w:szCs w:val="24"/>
                <w:shd w:val="clear" w:color="auto" w:fill="auto"/>
                <w:lang w:val="en-US" w:eastAsia="zh-CN"/>
              </w:rPr>
              <w:t>售后服务体系比较全面，具有比较完整的用户培训计划，针对本项目特点有应对的售后服务承诺，得2分；</w:t>
            </w:r>
          </w:p>
          <w:p w14:paraId="57AC126F">
            <w:pPr>
              <w:pStyle w:val="131"/>
              <w:keepNext w:val="0"/>
              <w:keepLines w:val="0"/>
              <w:pageBreakBefore w:val="0"/>
              <w:widowControl/>
              <w:numPr>
                <w:ilvl w:val="0"/>
                <w:numId w:val="2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kern w:val="2"/>
                <w:sz w:val="24"/>
                <w:szCs w:val="24"/>
                <w:shd w:val="clear" w:color="auto" w:fill="auto"/>
                <w:lang w:val="en-US" w:eastAsia="zh-CN"/>
              </w:rPr>
              <w:t>售后服务体系不全面，没有完整的用户培训计划，针对本项目特点无应对的售后服务承诺，不得分；</w:t>
            </w:r>
          </w:p>
        </w:tc>
      </w:tr>
      <w:tr w14:paraId="22E1AA3B">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933" w:type="dxa"/>
            <w:vMerge w:val="continue"/>
            <w:tcBorders>
              <w:tl2br w:val="nil"/>
              <w:tr2bl w:val="nil"/>
            </w:tcBorders>
            <w:vAlign w:val="center"/>
          </w:tcPr>
          <w:p w14:paraId="06B02631">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vAlign w:val="center"/>
          </w:tcPr>
          <w:p w14:paraId="703BBC08">
            <w:pPr>
              <w:spacing w:line="400" w:lineRule="exact"/>
              <w:jc w:val="center"/>
              <w:rPr>
                <w:rFonts w:hint="eastAsia" w:ascii="仿宋" w:hAnsi="仿宋" w:eastAsia="仿宋" w:cs="仿宋"/>
                <w:strike/>
                <w:dstrike w:val="0"/>
                <w:color w:val="auto"/>
                <w:sz w:val="24"/>
                <w:szCs w:val="24"/>
                <w:shd w:val="clear" w:color="auto" w:fill="auto"/>
              </w:rPr>
            </w:pPr>
            <w:r>
              <w:rPr>
                <w:rFonts w:hint="eastAsia" w:ascii="仿宋" w:hAnsi="仿宋" w:eastAsia="仿宋" w:cs="仿宋"/>
                <w:color w:val="auto"/>
                <w:sz w:val="24"/>
                <w:szCs w:val="24"/>
              </w:rPr>
              <w:t>实施方案</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7552" w:type="dxa"/>
            <w:tcBorders>
              <w:tl2br w:val="nil"/>
              <w:tr2bl w:val="nil"/>
            </w:tcBorders>
            <w:vAlign w:val="center"/>
          </w:tcPr>
          <w:p w14:paraId="4442EC6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供应商根据本项目具体特点及实际需求提供项目实施方案。</w:t>
            </w:r>
          </w:p>
          <w:p w14:paraId="45B2876B">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方案包含具体流程、运行过程说明；设备安装调试方案，进度安排；质量保证措施、风险防范措施。</w:t>
            </w:r>
          </w:p>
          <w:p w14:paraId="533011BA">
            <w:pPr>
              <w:rPr>
                <w:rFonts w:hint="default" w:ascii="仿宋" w:hAnsi="仿宋" w:eastAsia="仿宋" w:cs="仿宋"/>
                <w:b w:val="0"/>
                <w:strike/>
                <w:dstrike w:val="0"/>
                <w:color w:val="auto"/>
                <w:kern w:val="2"/>
                <w:sz w:val="24"/>
                <w:szCs w:val="24"/>
                <w:shd w:val="clear" w:color="auto" w:fill="auto"/>
                <w:lang w:val="en-US" w:eastAsia="zh-CN"/>
              </w:rPr>
            </w:pPr>
            <w:r>
              <w:rPr>
                <w:rFonts w:hint="eastAsia" w:ascii="仿宋" w:hAnsi="仿宋" w:eastAsia="仿宋" w:cs="仿宋"/>
                <w:color w:val="auto"/>
                <w:sz w:val="24"/>
                <w:szCs w:val="24"/>
                <w:lang w:val="en-US" w:eastAsia="zh-CN"/>
              </w:rPr>
              <w:t>方案说明全面详细具体，得6分；方案说明基本全面具体，得3分；方案说明不够全面具体，得1分。</w:t>
            </w:r>
          </w:p>
        </w:tc>
      </w:tr>
      <w:tr w14:paraId="13DDF5D5">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933" w:type="dxa"/>
            <w:vMerge w:val="restart"/>
            <w:tcBorders>
              <w:tl2br w:val="nil"/>
              <w:tr2bl w:val="nil"/>
            </w:tcBorders>
            <w:vAlign w:val="center"/>
          </w:tcPr>
          <w:p w14:paraId="1F3E312D">
            <w:pPr>
              <w:spacing w:line="400" w:lineRule="exact"/>
              <w:rPr>
                <w:rFonts w:hint="eastAsia" w:ascii="仿宋" w:hAnsi="仿宋" w:eastAsia="仿宋" w:cs="仿宋"/>
                <w:color w:val="auto"/>
                <w:sz w:val="24"/>
                <w:szCs w:val="24"/>
                <w:shd w:val="clear" w:color="auto" w:fill="auto"/>
              </w:rPr>
            </w:pPr>
          </w:p>
          <w:p w14:paraId="7FAE1AAA">
            <w:pPr>
              <w:spacing w:line="400" w:lineRule="exact"/>
              <w:jc w:val="center"/>
              <w:rPr>
                <w:rFonts w:hint="eastAsia" w:ascii="仿宋" w:hAnsi="仿宋" w:eastAsia="仿宋" w:cs="仿宋"/>
                <w:color w:val="auto"/>
                <w:sz w:val="24"/>
                <w:szCs w:val="24"/>
                <w:shd w:val="clear" w:color="auto" w:fill="auto"/>
              </w:rPr>
            </w:pPr>
          </w:p>
          <w:p w14:paraId="0DBA69FE">
            <w:pPr>
              <w:spacing w:line="400" w:lineRule="exact"/>
              <w:ind w:firstLine="240" w:firstLineChars="100"/>
              <w:jc w:val="both"/>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技术</w:t>
            </w:r>
          </w:p>
          <w:p w14:paraId="4A29E094">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部分</w:t>
            </w:r>
          </w:p>
          <w:p w14:paraId="6D364BD3">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评审</w:t>
            </w:r>
          </w:p>
          <w:p w14:paraId="4E2E38A1">
            <w:pPr>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val="en-US" w:eastAsia="zh-CN"/>
              </w:rPr>
              <w:t>58</w:t>
            </w:r>
            <w:r>
              <w:rPr>
                <w:rFonts w:hint="eastAsia" w:ascii="仿宋" w:hAnsi="仿宋" w:eastAsia="仿宋" w:cs="仿宋"/>
                <w:color w:val="auto"/>
                <w:sz w:val="24"/>
                <w:szCs w:val="24"/>
                <w:shd w:val="clear" w:color="auto" w:fill="auto"/>
              </w:rPr>
              <w:t>分）</w:t>
            </w:r>
          </w:p>
        </w:tc>
        <w:tc>
          <w:tcPr>
            <w:tcW w:w="1487" w:type="dxa"/>
            <w:tcBorders>
              <w:tl2br w:val="nil"/>
              <w:tr2bl w:val="nil"/>
            </w:tcBorders>
            <w:shd w:val="clear" w:color="auto" w:fill="auto"/>
            <w:vAlign w:val="center"/>
          </w:tcPr>
          <w:p w14:paraId="7332A6FC">
            <w:pPr>
              <w:spacing w:line="400" w:lineRule="exact"/>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rPr>
              <w:t>技术标响应情况</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25</w:t>
            </w:r>
            <w:r>
              <w:rPr>
                <w:rFonts w:hint="eastAsia" w:ascii="仿宋" w:hAnsi="仿宋" w:eastAsia="仿宋" w:cs="仿宋"/>
                <w:color w:val="auto"/>
                <w:sz w:val="24"/>
                <w:lang w:eastAsia="zh-CN"/>
              </w:rPr>
              <w:t>）</w:t>
            </w:r>
          </w:p>
        </w:tc>
        <w:tc>
          <w:tcPr>
            <w:tcW w:w="7552" w:type="dxa"/>
            <w:tcBorders>
              <w:tl2br w:val="nil"/>
              <w:tr2bl w:val="nil"/>
            </w:tcBorders>
            <w:shd w:val="clear" w:color="auto" w:fill="auto"/>
            <w:vAlign w:val="center"/>
          </w:tcPr>
          <w:p w14:paraId="500C05BE">
            <w:pPr>
              <w:pStyle w:val="133"/>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根据所投产品的配置与性能指标响应程度打分完全满足招标要求的得 </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w:t>
            </w:r>
            <w:r>
              <w:rPr>
                <w:rFonts w:hint="eastAsia" w:ascii="仿宋" w:hAnsi="仿宋" w:eastAsia="仿宋" w:cs="仿宋"/>
                <w:b/>
                <w:bCs/>
                <w:color w:val="auto"/>
                <w:sz w:val="24"/>
                <w:szCs w:val="24"/>
              </w:rPr>
              <w:t>（所有条款都需提供相应的证明材料：如设备检测报告或设备生产许可证、售后服务认证证书或制造商证明文件等证明材料，不提供证明材料此项不得分）</w:t>
            </w:r>
          </w:p>
          <w:p w14:paraId="169A81AD">
            <w:pPr>
              <w:pStyle w:val="53"/>
              <w:pageBreakBefore w:val="0"/>
              <w:numPr>
                <w:ilvl w:val="0"/>
                <w:numId w:val="29"/>
              </w:numPr>
              <w:kinsoku/>
              <w:overflowPunct/>
              <w:topLinePunct/>
              <w:bidi w:val="0"/>
              <w:spacing w:before="78"/>
              <w:jc w:val="both"/>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一般</w:t>
            </w:r>
            <w:r>
              <w:rPr>
                <w:rFonts w:hint="eastAsia" w:ascii="仿宋" w:hAnsi="仿宋" w:eastAsia="仿宋" w:cs="仿宋"/>
                <w:color w:val="auto"/>
                <w:sz w:val="24"/>
              </w:rPr>
              <w:t>技术参数每有一项负偏离扣</w:t>
            </w:r>
            <w:r>
              <w:rPr>
                <w:rFonts w:hint="eastAsia" w:ascii="仿宋" w:hAnsi="仿宋" w:eastAsia="仿宋" w:cs="仿宋"/>
                <w:color w:val="auto"/>
                <w:sz w:val="24"/>
                <w:lang w:val="en-US" w:eastAsia="zh-CN"/>
              </w:rPr>
              <w:t>2</w:t>
            </w:r>
            <w:r>
              <w:rPr>
                <w:rFonts w:hint="eastAsia" w:ascii="仿宋" w:hAnsi="仿宋" w:eastAsia="仿宋" w:cs="仿宋"/>
                <w:color w:val="auto"/>
                <w:sz w:val="24"/>
              </w:rPr>
              <w:t>分，扣完为止。</w:t>
            </w:r>
          </w:p>
          <w:p w14:paraId="06D6F774">
            <w:pPr>
              <w:pStyle w:val="53"/>
              <w:pageBreakBefore w:val="0"/>
              <w:numPr>
                <w:ilvl w:val="0"/>
                <w:numId w:val="29"/>
              </w:numPr>
              <w:kinsoku/>
              <w:overflowPunct/>
              <w:topLinePunct/>
              <w:bidi w:val="0"/>
              <w:spacing w:before="78"/>
              <w:jc w:val="both"/>
              <w:outlineLvl w:val="9"/>
              <w:rPr>
                <w:rFonts w:hint="eastAsia" w:ascii="仿宋" w:hAnsi="仿宋" w:eastAsia="仿宋" w:cs="仿宋"/>
                <w:color w:val="auto"/>
                <w:sz w:val="24"/>
                <w:lang w:val="en-US" w:eastAsia="zh-CN"/>
              </w:rPr>
            </w:pPr>
            <w:r>
              <w:rPr>
                <w:rFonts w:hint="eastAsia" w:ascii="仿宋" w:hAnsi="仿宋" w:eastAsia="仿宋" w:cs="仿宋"/>
                <w:b/>
                <w:bCs/>
                <w:color w:val="auto"/>
                <w:kern w:val="2"/>
                <w:sz w:val="24"/>
                <w:szCs w:val="24"/>
                <w:highlight w:val="none"/>
                <w:shd w:val="clear" w:color="auto" w:fill="auto"/>
                <w:lang w:val="en-US" w:eastAsia="zh-CN"/>
              </w:rPr>
              <w:t>“*”</w:t>
            </w:r>
            <w:r>
              <w:rPr>
                <w:rFonts w:hint="eastAsia" w:ascii="仿宋" w:hAnsi="仿宋" w:eastAsia="仿宋" w:cs="仿宋"/>
                <w:b w:val="0"/>
                <w:bCs w:val="0"/>
                <w:color w:val="auto"/>
                <w:sz w:val="24"/>
                <w:szCs w:val="24"/>
                <w:highlight w:val="none"/>
                <w:lang w:eastAsia="zh-CN"/>
              </w:rPr>
              <w:t>号为</w:t>
            </w:r>
            <w:r>
              <w:rPr>
                <w:rFonts w:hint="eastAsia" w:ascii="仿宋" w:hAnsi="仿宋" w:eastAsia="仿宋" w:cs="仿宋"/>
                <w:b w:val="0"/>
                <w:bCs w:val="0"/>
                <w:color w:val="auto"/>
                <w:sz w:val="24"/>
                <w:szCs w:val="24"/>
                <w:highlight w:val="none"/>
                <w:lang w:val="en-US" w:eastAsia="zh-CN"/>
              </w:rPr>
              <w:t>实质性响应参数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每有一项负偏离</w:t>
            </w:r>
            <w:r>
              <w:rPr>
                <w:rFonts w:hint="eastAsia" w:ascii="仿宋" w:hAnsi="仿宋" w:eastAsia="仿宋" w:cs="仿宋"/>
                <w:b w:val="0"/>
                <w:bCs w:val="0"/>
                <w:color w:val="auto"/>
                <w:sz w:val="24"/>
                <w:szCs w:val="24"/>
                <w:highlight w:val="none"/>
                <w:lang w:eastAsia="zh-CN"/>
              </w:rPr>
              <w:t>项扣</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分，</w:t>
            </w:r>
            <w:r>
              <w:rPr>
                <w:rFonts w:hint="eastAsia" w:ascii="仿宋" w:hAnsi="仿宋" w:eastAsia="仿宋" w:cs="仿宋"/>
                <w:b w:val="0"/>
                <w:bCs w:val="0"/>
                <w:color w:val="auto"/>
                <w:sz w:val="24"/>
                <w:szCs w:val="24"/>
                <w:highlight w:val="none"/>
                <w:lang w:val="en-US" w:eastAsia="zh-CN"/>
              </w:rPr>
              <w:t>超过3项未提供做废标处理</w:t>
            </w:r>
            <w:r>
              <w:rPr>
                <w:rFonts w:hint="eastAsia" w:ascii="仿宋" w:hAnsi="仿宋" w:eastAsia="仿宋" w:cs="仿宋"/>
                <w:b w:val="0"/>
                <w:bCs w:val="0"/>
                <w:color w:val="auto"/>
                <w:sz w:val="24"/>
                <w:szCs w:val="24"/>
                <w:highlight w:val="none"/>
                <w:lang w:eastAsia="zh-CN"/>
              </w:rPr>
              <w:t>）</w:t>
            </w:r>
          </w:p>
        </w:tc>
      </w:tr>
      <w:tr w14:paraId="5DBC3BB1">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933" w:type="dxa"/>
            <w:vMerge w:val="continue"/>
            <w:tcBorders>
              <w:tl2br w:val="nil"/>
              <w:tr2bl w:val="nil"/>
            </w:tcBorders>
            <w:vAlign w:val="center"/>
          </w:tcPr>
          <w:p w14:paraId="08A26A0A">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shd w:val="clear" w:color="auto" w:fill="auto"/>
            <w:vAlign w:val="center"/>
          </w:tcPr>
          <w:p w14:paraId="7568CCE8">
            <w:pPr>
              <w:spacing w:line="240" w:lineRule="auto"/>
              <w:jc w:val="center"/>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运输AGV</w:t>
            </w:r>
          </w:p>
          <w:p w14:paraId="4E839CD1">
            <w:pPr>
              <w:spacing w:line="400" w:lineRule="exact"/>
              <w:jc w:val="center"/>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(6</w:t>
            </w:r>
            <w:r>
              <w:rPr>
                <w:rFonts w:hint="eastAsia" w:ascii="仿宋" w:hAnsi="仿宋" w:eastAsia="仿宋" w:cs="仿宋"/>
                <w:color w:val="auto"/>
                <w:sz w:val="24"/>
                <w:szCs w:val="24"/>
                <w:shd w:val="clear" w:color="auto" w:fill="auto"/>
              </w:rPr>
              <w:t>分</w:t>
            </w:r>
            <w:r>
              <w:rPr>
                <w:rFonts w:hint="eastAsia" w:ascii="仿宋" w:hAnsi="仿宋" w:eastAsia="仿宋" w:cs="仿宋"/>
                <w:color w:val="auto"/>
                <w:sz w:val="24"/>
                <w:szCs w:val="24"/>
                <w:shd w:val="clear" w:color="auto" w:fill="auto"/>
                <w:lang w:val="en-US" w:eastAsia="zh-CN"/>
              </w:rPr>
              <w:t>)</w:t>
            </w:r>
          </w:p>
        </w:tc>
        <w:tc>
          <w:tcPr>
            <w:tcW w:w="7552" w:type="dxa"/>
            <w:tcBorders>
              <w:tl2br w:val="nil"/>
              <w:tr2bl w:val="nil"/>
            </w:tcBorders>
            <w:shd w:val="clear" w:color="auto" w:fill="auto"/>
            <w:vAlign w:val="center"/>
          </w:tcPr>
          <w:p w14:paraId="631EF05C">
            <w:pPr>
              <w:pStyle w:val="131"/>
              <w:keepNext w:val="0"/>
              <w:keepLines w:val="0"/>
              <w:pageBreakBefore w:val="0"/>
              <w:widowControl/>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提供运输AGV的三维渲染图、技术参数、结构特点说明；</w:t>
            </w:r>
          </w:p>
          <w:p w14:paraId="03AE4813">
            <w:pPr>
              <w:pStyle w:val="131"/>
              <w:keepNext w:val="0"/>
              <w:keepLines w:val="0"/>
              <w:pageBreakBefore w:val="0"/>
              <w:widowControl/>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w:t>
            </w:r>
            <w:r>
              <w:rPr>
                <w:rFonts w:hint="eastAsia" w:ascii="仿宋" w:hAnsi="仿宋" w:eastAsia="仿宋" w:cs="仿宋"/>
                <w:b w:val="0"/>
                <w:bCs/>
                <w:color w:val="auto"/>
                <w:sz w:val="24"/>
                <w:szCs w:val="24"/>
                <w:lang w:val="en-US" w:eastAsia="zh-CN"/>
              </w:rPr>
              <w:t>人工上下料、</w:t>
            </w:r>
            <w:r>
              <w:rPr>
                <w:rFonts w:hint="eastAsia" w:ascii="仿宋" w:hAnsi="仿宋" w:eastAsia="仿宋" w:cs="仿宋"/>
                <w:b w:val="0"/>
                <w:bCs w:val="0"/>
                <w:color w:val="auto"/>
                <w:kern w:val="2"/>
                <w:sz w:val="24"/>
                <w:szCs w:val="24"/>
                <w:highlight w:val="none"/>
                <w:shd w:val="clear" w:color="auto" w:fill="auto"/>
                <w:lang w:val="en-US" w:eastAsia="zh-CN"/>
              </w:rPr>
              <w:t>操作简单、符合传统习惯；无操作障碍、作业效率高的详细说明；</w:t>
            </w:r>
          </w:p>
          <w:p w14:paraId="7C82E7D0">
            <w:pPr>
              <w:pStyle w:val="131"/>
              <w:keepNext w:val="0"/>
              <w:keepLines w:val="0"/>
              <w:pageBreakBefore w:val="0"/>
              <w:widowControl/>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提供运输过程确保安全性的详细说明；</w:t>
            </w:r>
          </w:p>
          <w:p w14:paraId="66AF6410">
            <w:pPr>
              <w:pStyle w:val="131"/>
              <w:keepNext w:val="0"/>
              <w:keepLines w:val="0"/>
              <w:pageBreakBefore w:val="0"/>
              <w:widowControl/>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提供结构与外形尺寸与现场条件匹配性的详细说明。</w:t>
            </w:r>
          </w:p>
          <w:p w14:paraId="6FE8C54B">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根据供应商提供的以上4项内容，对本项目需求理解透彻，运输AGV技术完整全面，科学合理，可行性高，针对性强，专业服务经验丰富，内容无错误或无缺陷的得6分；</w:t>
            </w:r>
          </w:p>
          <w:p w14:paraId="1754BBFE">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每有一项缺项或漏项扣1.5分，每项内容有一处缺陷扣 0.5分，扣完为止。（缺陷是指： 前后内容不一致、存在凭空编造、前后逻辑错误、涉及的规范及标准错误、项目名称或实施地点区域错误、内容简略或与本项目无关等任意一种情形等） </w:t>
            </w:r>
          </w:p>
          <w:p w14:paraId="1918BE7F">
            <w:pPr>
              <w:pStyle w:val="53"/>
              <w:pageBreakBefore w:val="0"/>
              <w:kinsoku/>
              <w:overflowPunct/>
              <w:topLinePunct/>
              <w:bidi w:val="0"/>
              <w:spacing w:before="78"/>
              <w:jc w:val="both"/>
              <w:outlineLvl w:val="9"/>
              <w:rPr>
                <w:rFonts w:hint="default"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lang w:val="en-US" w:eastAsia="zh-CN" w:bidi="ar-SA"/>
              </w:rPr>
              <w:t>未提供方案或提供的方案与本项目无关的不得分。</w:t>
            </w:r>
          </w:p>
        </w:tc>
      </w:tr>
      <w:tr w14:paraId="5526F663">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933" w:type="dxa"/>
            <w:vMerge w:val="continue"/>
            <w:tcBorders>
              <w:tl2br w:val="nil"/>
              <w:tr2bl w:val="nil"/>
            </w:tcBorders>
            <w:vAlign w:val="center"/>
          </w:tcPr>
          <w:p w14:paraId="5DDD6C18">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vAlign w:val="center"/>
          </w:tcPr>
          <w:p w14:paraId="20A6D151">
            <w:pPr>
              <w:spacing w:line="400" w:lineRule="exact"/>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中转AGV</w:t>
            </w:r>
          </w:p>
          <w:p w14:paraId="6A7A9653">
            <w:pPr>
              <w:pStyle w:val="35"/>
              <w:jc w:val="center"/>
              <w:rPr>
                <w:rFonts w:hint="default"/>
                <w:color w:val="auto"/>
                <w:lang w:val="en-US" w:eastAsia="zh-CN"/>
              </w:rPr>
            </w:pPr>
            <w:r>
              <w:rPr>
                <w:rFonts w:hint="eastAsia" w:ascii="仿宋" w:hAnsi="仿宋" w:eastAsia="仿宋" w:cs="仿宋"/>
                <w:color w:val="auto"/>
                <w:sz w:val="24"/>
                <w:szCs w:val="24"/>
                <w:shd w:val="clear" w:color="auto" w:fill="auto"/>
                <w:lang w:val="en-US" w:eastAsia="zh-CN"/>
              </w:rPr>
              <w:t>(12</w:t>
            </w:r>
            <w:r>
              <w:rPr>
                <w:rFonts w:hint="eastAsia" w:ascii="仿宋" w:hAnsi="仿宋" w:eastAsia="仿宋" w:cs="仿宋"/>
                <w:color w:val="auto"/>
                <w:sz w:val="24"/>
                <w:szCs w:val="24"/>
                <w:shd w:val="clear" w:color="auto" w:fill="auto"/>
              </w:rPr>
              <w:t>分</w:t>
            </w:r>
            <w:r>
              <w:rPr>
                <w:rFonts w:hint="eastAsia" w:ascii="仿宋" w:hAnsi="仿宋" w:eastAsia="仿宋" w:cs="仿宋"/>
                <w:color w:val="auto"/>
                <w:sz w:val="24"/>
                <w:szCs w:val="24"/>
                <w:shd w:val="clear" w:color="auto" w:fill="auto"/>
                <w:lang w:val="en-US" w:eastAsia="zh-CN"/>
              </w:rPr>
              <w:t>)</w:t>
            </w:r>
          </w:p>
        </w:tc>
        <w:tc>
          <w:tcPr>
            <w:tcW w:w="7552" w:type="dxa"/>
            <w:tcBorders>
              <w:tl2br w:val="nil"/>
              <w:tr2bl w:val="nil"/>
            </w:tcBorders>
            <w:vAlign w:val="center"/>
          </w:tcPr>
          <w:p w14:paraId="09F1CF71">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提供中转AGV的三维渲染图、技术参数、结构特点说明；</w:t>
            </w:r>
          </w:p>
          <w:p w14:paraId="424EFCAC">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提供不同棉样克重条件下</w:t>
            </w:r>
            <w:r>
              <w:rPr>
                <w:rFonts w:hint="eastAsia" w:ascii="仿宋" w:hAnsi="仿宋" w:eastAsia="仿宋" w:cs="仿宋"/>
                <w:b w:val="0"/>
                <w:bCs w:val="0"/>
                <w:color w:val="auto"/>
                <w:sz w:val="24"/>
                <w:szCs w:val="24"/>
                <w:lang w:val="en-US" w:eastAsia="zh-CN"/>
              </w:rPr>
              <w:t>压缩储纳箱装载数量的匹配性说明；</w:t>
            </w:r>
          </w:p>
          <w:p w14:paraId="6069F951">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color w:val="auto"/>
                <w:sz w:val="24"/>
                <w:szCs w:val="24"/>
                <w:lang w:val="en-US" w:eastAsia="zh-CN"/>
              </w:rPr>
              <w:t>提供人工上下料，操作简单；无操作障碍、作业效率高</w:t>
            </w:r>
            <w:r>
              <w:rPr>
                <w:rFonts w:hint="eastAsia" w:ascii="仿宋" w:hAnsi="仿宋" w:eastAsia="仿宋" w:cs="仿宋"/>
                <w:b w:val="0"/>
                <w:bCs/>
                <w:color w:val="auto"/>
                <w:kern w:val="2"/>
                <w:sz w:val="24"/>
                <w:szCs w:val="24"/>
                <w:highlight w:val="none"/>
                <w:shd w:val="clear" w:color="auto" w:fill="auto"/>
                <w:lang w:val="en-US" w:eastAsia="zh-CN"/>
              </w:rPr>
              <w:t>详细说明</w:t>
            </w:r>
            <w:r>
              <w:rPr>
                <w:rFonts w:hint="eastAsia" w:ascii="仿宋" w:hAnsi="仿宋" w:eastAsia="仿宋" w:cs="仿宋"/>
                <w:b w:val="0"/>
                <w:bCs w:val="0"/>
                <w:color w:val="auto"/>
                <w:kern w:val="2"/>
                <w:sz w:val="24"/>
                <w:szCs w:val="24"/>
                <w:highlight w:val="none"/>
                <w:shd w:val="clear" w:color="auto" w:fill="auto"/>
                <w:lang w:val="en-US" w:eastAsia="zh-CN"/>
              </w:rPr>
              <w:t>；</w:t>
            </w:r>
          </w:p>
          <w:p w14:paraId="1E57744C">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提供运输过程确保安全性的详细说明；</w:t>
            </w:r>
          </w:p>
          <w:p w14:paraId="4B5856D5">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提供确保运送作业可靠性的详细说明；</w:t>
            </w:r>
          </w:p>
          <w:p w14:paraId="40FEFDB1">
            <w:pPr>
              <w:pStyle w:val="131"/>
              <w:keepNext w:val="0"/>
              <w:keepLines w:val="0"/>
              <w:pageBreakBefore w:val="0"/>
              <w:widowControl/>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提供与留样库升降AGV自动对接，交接存储箱的详细过程说明。</w:t>
            </w:r>
          </w:p>
          <w:p w14:paraId="32684DE2">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根据供应商提供的以上6项内容，对本项目需求理解透彻，中转AGV技术完整全面，科学合理，可行性高，针对性强，专业服务经验丰富，内容无错误或无缺陷的得12分；</w:t>
            </w:r>
          </w:p>
          <w:p w14:paraId="663585CC">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每有一项缺项或漏项扣2分，每项内容有一处缺陷扣 1分，扣完为止。（缺陷是指： 前后内容不一致、存在凭空编造、前后逻辑错误、涉及的规范及标准错误、项目名称或实施地点区域错误、内容简略或与本项目无关等任意一种情形等） </w:t>
            </w:r>
          </w:p>
          <w:p w14:paraId="5F59F45B">
            <w:pPr>
              <w:pStyle w:val="131"/>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lang w:val="en-US" w:eastAsia="zh-CN" w:bidi="ar-SA"/>
              </w:rPr>
              <w:t>未提供方案或提供的方案与本项目无关的不得分。</w:t>
            </w:r>
          </w:p>
        </w:tc>
      </w:tr>
      <w:tr w14:paraId="116C7A02">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933" w:type="dxa"/>
            <w:vMerge w:val="continue"/>
            <w:tcBorders>
              <w:tl2br w:val="nil"/>
              <w:tr2bl w:val="nil"/>
            </w:tcBorders>
            <w:vAlign w:val="center"/>
          </w:tcPr>
          <w:p w14:paraId="7326ABBD">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shd w:val="clear" w:color="auto" w:fill="auto"/>
            <w:vAlign w:val="center"/>
          </w:tcPr>
          <w:p w14:paraId="74BBAEA7">
            <w:pPr>
              <w:spacing w:line="400" w:lineRule="exact"/>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AGV调度</w:t>
            </w:r>
          </w:p>
          <w:p w14:paraId="3E5EC71E">
            <w:pPr>
              <w:spacing w:line="400" w:lineRule="exact"/>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管理系统</w:t>
            </w:r>
          </w:p>
          <w:p w14:paraId="52B548E7">
            <w:pPr>
              <w:spacing w:line="400" w:lineRule="exact"/>
              <w:jc w:val="center"/>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（6分）</w:t>
            </w:r>
          </w:p>
        </w:tc>
        <w:tc>
          <w:tcPr>
            <w:tcW w:w="7552" w:type="dxa"/>
            <w:tcBorders>
              <w:tl2br w:val="nil"/>
              <w:tr2bl w:val="nil"/>
            </w:tcBorders>
            <w:shd w:val="clear" w:color="auto" w:fill="auto"/>
            <w:vAlign w:val="center"/>
          </w:tcPr>
          <w:p w14:paraId="4614D7E6">
            <w:pPr>
              <w:pStyle w:val="131"/>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结合本项目需求或棉花公检实验室自动化智能化要求进行说明，包括但不限于</w:t>
            </w:r>
          </w:p>
          <w:p w14:paraId="2C4631F3">
            <w:pPr>
              <w:pStyle w:val="131"/>
              <w:keepNext w:val="0"/>
              <w:keepLines w:val="0"/>
              <w:pageBreakBefore w:val="0"/>
              <w:widowControl/>
              <w:numPr>
                <w:ilvl w:val="0"/>
                <w:numId w:val="32"/>
              </w:numPr>
              <w:kinsoku/>
              <w:wordWrap/>
              <w:overflowPunct/>
              <w:topLinePunct w:val="0"/>
              <w:autoSpaceDE/>
              <w:autoSpaceDN/>
              <w:bidi w:val="0"/>
              <w:adjustRightInd/>
              <w:snapToGrid/>
              <w:spacing w:line="360" w:lineRule="exact"/>
              <w:textAlignment w:val="auto"/>
              <w:rPr>
                <w:rFonts w:hint="eastAsia"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AGV调度管理系统架构图；</w:t>
            </w:r>
          </w:p>
          <w:p w14:paraId="328077B4">
            <w:pPr>
              <w:pStyle w:val="131"/>
              <w:keepNext w:val="0"/>
              <w:keepLines w:val="0"/>
              <w:pageBreakBefore w:val="0"/>
              <w:widowControl/>
              <w:numPr>
                <w:ilvl w:val="0"/>
                <w:numId w:val="32"/>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AGV调度管理的主要功能；</w:t>
            </w:r>
          </w:p>
          <w:p w14:paraId="0A28811B">
            <w:pPr>
              <w:pStyle w:val="131"/>
              <w:keepNext w:val="0"/>
              <w:keepLines w:val="0"/>
              <w:pageBreakBefore w:val="0"/>
              <w:widowControl/>
              <w:numPr>
                <w:ilvl w:val="0"/>
                <w:numId w:val="32"/>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与上位集成控制系统对接；</w:t>
            </w:r>
          </w:p>
          <w:p w14:paraId="7EB9A43F">
            <w:pPr>
              <w:pStyle w:val="131"/>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default"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4）与第三方执行设备的对接等。</w:t>
            </w:r>
          </w:p>
          <w:p w14:paraId="4B12F596">
            <w:pPr>
              <w:pStyle w:val="131"/>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仿宋"/>
                <w:b w:val="0"/>
                <w:color w:val="auto"/>
                <w:kern w:val="2"/>
                <w:sz w:val="24"/>
                <w:szCs w:val="24"/>
                <w:shd w:val="clear" w:color="auto" w:fill="auto"/>
                <w:lang w:val="en-US" w:eastAsia="zh-CN"/>
              </w:rPr>
            </w:pPr>
            <w:r>
              <w:rPr>
                <w:rFonts w:hint="eastAsia" w:ascii="仿宋" w:hAnsi="仿宋" w:eastAsia="仿宋" w:cs="仿宋"/>
                <w:b w:val="0"/>
                <w:color w:val="auto"/>
                <w:kern w:val="2"/>
                <w:sz w:val="24"/>
                <w:szCs w:val="24"/>
                <w:shd w:val="clear" w:color="auto" w:fill="auto"/>
                <w:lang w:val="en-US" w:eastAsia="zh-CN"/>
              </w:rPr>
              <w:t>以上各项内容全面完整，能与本项目需求或棉花实验室自动化智能化要求紧密结合，得6分；</w:t>
            </w:r>
          </w:p>
          <w:p w14:paraId="4FB1FFF4">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有一项缺项或漏项扣1.5分，每项内容有一处缺陷扣0.5分，扣完为止。（缺陷是指： 前后内容不一致、存在凭空编造、前后逻辑错误、涉及的规范及标准错误、项目名称或实施地点区域错误、内容简略或与本项目无关等任意一种情形等） </w:t>
            </w:r>
          </w:p>
          <w:p w14:paraId="203809EF">
            <w:pPr>
              <w:pStyle w:val="131"/>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仿宋"/>
                <w:b w:val="0"/>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lang w:val="en-US" w:eastAsia="zh-CN" w:bidi="ar-SA"/>
              </w:rPr>
              <w:t>未提供方案或提供的方案与本项目无关的不得分。</w:t>
            </w:r>
          </w:p>
        </w:tc>
      </w:tr>
      <w:tr w14:paraId="3046A2AF">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933" w:type="dxa"/>
            <w:vMerge w:val="continue"/>
            <w:tcBorders>
              <w:tl2br w:val="nil"/>
              <w:tr2bl w:val="nil"/>
            </w:tcBorders>
            <w:vAlign w:val="center"/>
          </w:tcPr>
          <w:p w14:paraId="22DA5DF1">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vAlign w:val="center"/>
          </w:tcPr>
          <w:p w14:paraId="16ADE7AB">
            <w:pPr>
              <w:spacing w:line="400" w:lineRule="exact"/>
              <w:jc w:val="center"/>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货架利旧与</w:t>
            </w:r>
          </w:p>
          <w:p w14:paraId="4C4F0347">
            <w:pPr>
              <w:spacing w:line="400" w:lineRule="exact"/>
              <w:jc w:val="center"/>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留样存取</w:t>
            </w:r>
          </w:p>
          <w:p w14:paraId="17B3972C">
            <w:pPr>
              <w:pStyle w:val="35"/>
              <w:jc w:val="center"/>
              <w:rPr>
                <w:rFonts w:hint="default"/>
                <w:b w:val="0"/>
                <w:bCs w:val="0"/>
                <w:color w:val="auto"/>
                <w:lang w:val="en-US" w:eastAsia="zh-CN"/>
              </w:rPr>
            </w:pPr>
            <w:r>
              <w:rPr>
                <w:rFonts w:hint="eastAsia" w:ascii="仿宋" w:hAnsi="仿宋" w:eastAsia="仿宋" w:cs="仿宋"/>
                <w:b w:val="0"/>
                <w:bCs w:val="0"/>
                <w:color w:val="auto"/>
                <w:sz w:val="24"/>
                <w:szCs w:val="24"/>
                <w:shd w:val="clear" w:color="auto" w:fill="auto"/>
                <w:lang w:val="en-US" w:eastAsia="zh-CN"/>
              </w:rPr>
              <w:t>（4分）</w:t>
            </w:r>
          </w:p>
        </w:tc>
        <w:tc>
          <w:tcPr>
            <w:tcW w:w="7552" w:type="dxa"/>
            <w:tcBorders>
              <w:tl2br w:val="nil"/>
              <w:tr2bl w:val="nil"/>
            </w:tcBorders>
            <w:vAlign w:val="center"/>
          </w:tcPr>
          <w:p w14:paraId="3438CCBD">
            <w:pPr>
              <w:pStyle w:val="131"/>
              <w:keepNext w:val="0"/>
              <w:keepLines w:val="0"/>
              <w:pageBreakBefore w:val="0"/>
              <w:widowControl/>
              <w:numPr>
                <w:ilvl w:val="0"/>
                <w:numId w:val="3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b w:val="0"/>
                <w:color w:val="auto"/>
                <w:kern w:val="2"/>
                <w:sz w:val="24"/>
                <w:szCs w:val="24"/>
                <w:highlight w:val="none"/>
                <w:shd w:val="clear" w:color="auto" w:fill="auto"/>
                <w:lang w:val="en-US" w:eastAsia="zh-CN"/>
              </w:rPr>
              <w:t>提供货架利旧安装的平面示意图、立面示意图；</w:t>
            </w:r>
          </w:p>
          <w:p w14:paraId="4760B5A0">
            <w:pPr>
              <w:pStyle w:val="131"/>
              <w:keepNext w:val="0"/>
              <w:keepLines w:val="0"/>
              <w:pageBreakBefore w:val="0"/>
              <w:widowControl/>
              <w:numPr>
                <w:ilvl w:val="0"/>
                <w:numId w:val="3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b w:val="0"/>
                <w:color w:val="auto"/>
                <w:kern w:val="2"/>
                <w:sz w:val="24"/>
                <w:szCs w:val="24"/>
                <w:highlight w:val="none"/>
                <w:shd w:val="clear" w:color="auto" w:fill="auto"/>
                <w:lang w:val="en-US" w:eastAsia="zh-CN"/>
              </w:rPr>
              <w:t>提供棉样高效压缩储纳箱在留样库的存取方案说明。</w:t>
            </w:r>
          </w:p>
          <w:p w14:paraId="455C3295">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根据供应商提供的以上2项内容，对本项目需求理解透彻，说明完整全面，科学合理，可行性高，针对性强，专业服务经验丰富，内容无错误或无缺陷的得4分；</w:t>
            </w:r>
          </w:p>
          <w:p w14:paraId="25CCC8F2">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每有一项缺项或漏项扣 2分，每项内容有一处缺陷扣 1 分，扣完为止。（缺陷是指： 前后内容不一致、存在凭空编造、前后逻辑错误、涉及的规范及标准错误、项目名称或实施地点区域错误、内容简略或与本项目无关等任意一种情形等） </w:t>
            </w:r>
          </w:p>
          <w:p w14:paraId="40C78164">
            <w:pPr>
              <w:pStyle w:val="131"/>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仿宋"/>
                <w:b w:val="0"/>
                <w:color w:val="auto"/>
                <w:kern w:val="2"/>
                <w:sz w:val="24"/>
                <w:szCs w:val="24"/>
                <w:highlight w:val="none"/>
                <w:shd w:val="clear" w:color="auto" w:fill="auto"/>
                <w:lang w:val="en-US" w:eastAsia="zh-CN"/>
              </w:rPr>
            </w:pPr>
            <w:r>
              <w:rPr>
                <w:rFonts w:hint="eastAsia" w:ascii="仿宋" w:hAnsi="仿宋" w:eastAsia="仿宋" w:cs="仿宋"/>
                <w:color w:val="auto"/>
                <w:kern w:val="2"/>
                <w:sz w:val="24"/>
                <w:szCs w:val="24"/>
                <w:lang w:val="en-US" w:eastAsia="zh-CN" w:bidi="ar-SA"/>
              </w:rPr>
              <w:t>未提供方案或提供的方案与本项目无关的不得分。</w:t>
            </w:r>
          </w:p>
        </w:tc>
      </w:tr>
      <w:tr w14:paraId="2FBD5CF4">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933" w:type="dxa"/>
            <w:vMerge w:val="continue"/>
            <w:tcBorders>
              <w:tl2br w:val="nil"/>
              <w:tr2bl w:val="nil"/>
            </w:tcBorders>
            <w:vAlign w:val="center"/>
          </w:tcPr>
          <w:p w14:paraId="361685AE">
            <w:pPr>
              <w:spacing w:line="400" w:lineRule="exact"/>
              <w:jc w:val="center"/>
              <w:rPr>
                <w:rFonts w:hint="eastAsia" w:ascii="仿宋" w:hAnsi="仿宋" w:eastAsia="仿宋" w:cs="仿宋"/>
                <w:color w:val="auto"/>
                <w:sz w:val="24"/>
                <w:szCs w:val="24"/>
                <w:shd w:val="clear" w:color="auto" w:fill="auto"/>
              </w:rPr>
            </w:pPr>
          </w:p>
        </w:tc>
        <w:tc>
          <w:tcPr>
            <w:tcW w:w="1487" w:type="dxa"/>
            <w:tcBorders>
              <w:tl2br w:val="nil"/>
              <w:tr2bl w:val="nil"/>
            </w:tcBorders>
            <w:vAlign w:val="center"/>
          </w:tcPr>
          <w:p w14:paraId="6FC9A97B">
            <w:pPr>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网络及</w:t>
            </w:r>
          </w:p>
          <w:p w14:paraId="0B3DBF6D">
            <w:pPr>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导航设施</w:t>
            </w:r>
          </w:p>
          <w:p w14:paraId="510F5CF4">
            <w:pPr>
              <w:pStyle w:val="35"/>
              <w:jc w:val="center"/>
              <w:rPr>
                <w:rFonts w:hint="eastAsia"/>
                <w:b w:val="0"/>
                <w:bCs w:val="0"/>
                <w:color w:val="auto"/>
                <w:lang w:val="en-US" w:eastAsia="zh-CN"/>
              </w:rPr>
            </w:pPr>
            <w:r>
              <w:rPr>
                <w:rFonts w:hint="eastAsia" w:ascii="仿宋" w:hAnsi="仿宋" w:eastAsia="仿宋" w:cs="仿宋"/>
                <w:b w:val="0"/>
                <w:bCs w:val="0"/>
                <w:color w:val="auto"/>
                <w:sz w:val="24"/>
                <w:szCs w:val="24"/>
                <w:lang w:val="en-US" w:eastAsia="zh-CN"/>
              </w:rPr>
              <w:t>（5分）</w:t>
            </w:r>
          </w:p>
          <w:p w14:paraId="699BEAE4">
            <w:pPr>
              <w:pStyle w:val="35"/>
              <w:jc w:val="center"/>
              <w:rPr>
                <w:rFonts w:hint="eastAsia"/>
                <w:b w:val="0"/>
                <w:bCs w:val="0"/>
                <w:color w:val="auto"/>
                <w:lang w:val="en-US" w:eastAsia="zh-CN"/>
              </w:rPr>
            </w:pPr>
          </w:p>
        </w:tc>
        <w:tc>
          <w:tcPr>
            <w:tcW w:w="7552" w:type="dxa"/>
            <w:tcBorders>
              <w:tl2br w:val="nil"/>
              <w:tr2bl w:val="nil"/>
            </w:tcBorders>
            <w:vAlign w:val="center"/>
          </w:tcPr>
          <w:p w14:paraId="300D33FF">
            <w:pPr>
              <w:pStyle w:val="131"/>
              <w:keepNext w:val="0"/>
              <w:keepLines w:val="0"/>
              <w:pageBreakBefore w:val="0"/>
              <w:widowControl/>
              <w:numPr>
                <w:ilvl w:val="0"/>
                <w:numId w:val="3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kern w:val="2"/>
                <w:sz w:val="24"/>
                <w:szCs w:val="24"/>
                <w:highlight w:val="none"/>
                <w:shd w:val="clear" w:color="auto" w:fill="auto"/>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提供本项目网络及导航设施的详细布置方案说明；</w:t>
            </w:r>
          </w:p>
          <w:p w14:paraId="2AC98C2B">
            <w:pPr>
              <w:pStyle w:val="131"/>
              <w:keepNext w:val="0"/>
              <w:keepLines w:val="0"/>
              <w:pageBreakBefore w:val="0"/>
              <w:widowControl/>
              <w:numPr>
                <w:ilvl w:val="0"/>
                <w:numId w:val="3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2"/>
                <w:sz w:val="24"/>
                <w:szCs w:val="24"/>
                <w:highlight w:val="none"/>
                <w:shd w:val="clear" w:color="auto" w:fill="auto"/>
                <w:lang w:val="en-US" w:eastAsia="zh-CN"/>
              </w:rPr>
              <w:t>提供</w:t>
            </w:r>
            <w:r>
              <w:rPr>
                <w:rFonts w:hint="eastAsia" w:ascii="仿宋" w:hAnsi="仿宋" w:eastAsia="仿宋" w:cs="仿宋"/>
                <w:b w:val="0"/>
                <w:bCs w:val="0"/>
                <w:color w:val="auto"/>
                <w:sz w:val="24"/>
                <w:szCs w:val="24"/>
                <w:lang w:val="en-US" w:eastAsia="zh-CN"/>
              </w:rPr>
              <w:t>通信网络设施、导航设施现场环境条件适应性的详细说明和相关证明材料。</w:t>
            </w:r>
          </w:p>
          <w:p w14:paraId="59F36786">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根据供应商提供的以上2项内容，对本项目需求理解透彻，说明完整全面，科学合理，可行性高，针对性强，专业服务经验丰富，内容无错误或无缺陷的得5分；</w:t>
            </w:r>
          </w:p>
          <w:p w14:paraId="6F34CEB0">
            <w:pPr>
              <w:pStyle w:val="53"/>
              <w:pageBreakBefore w:val="0"/>
              <w:kinsoku/>
              <w:overflowPunct/>
              <w:topLinePunct/>
              <w:bidi w:val="0"/>
              <w:spacing w:before="78"/>
              <w:jc w:val="both"/>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每有一项缺项或漏项扣 2.5分，每项内容有一处缺陷扣 1 分，扣完为止。（缺陷是指： 前后内容不一致、存在凭空编造、前后逻辑错误、涉及的规范及标准错误、项目名称或实施地点区域错误、内容简略或与本项目无关等任意一种情形等） </w:t>
            </w:r>
          </w:p>
          <w:p w14:paraId="7A12A296">
            <w:pPr>
              <w:pStyle w:val="131"/>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color w:val="auto"/>
                <w:kern w:val="2"/>
                <w:sz w:val="24"/>
                <w:szCs w:val="24"/>
                <w:lang w:val="en-US" w:eastAsia="zh-CN" w:bidi="ar-SA"/>
              </w:rPr>
              <w:t>未提供方案或提供的方案与本项目无关的不得分。</w:t>
            </w:r>
          </w:p>
        </w:tc>
      </w:tr>
      <w:tr w14:paraId="0A9D2850">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420" w:type="dxa"/>
            <w:gridSpan w:val="2"/>
            <w:tcBorders>
              <w:tl2br w:val="nil"/>
              <w:tr2bl w:val="nil"/>
            </w:tcBorders>
            <w:vAlign w:val="center"/>
          </w:tcPr>
          <w:p w14:paraId="34116613">
            <w:pPr>
              <w:pStyle w:val="131"/>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合计</w:t>
            </w:r>
          </w:p>
        </w:tc>
        <w:tc>
          <w:tcPr>
            <w:tcW w:w="7552" w:type="dxa"/>
            <w:tcBorders>
              <w:tl2br w:val="nil"/>
              <w:tr2bl w:val="nil"/>
            </w:tcBorders>
            <w:vAlign w:val="center"/>
          </w:tcPr>
          <w:p w14:paraId="01D92C67">
            <w:pPr>
              <w:pStyle w:val="131"/>
              <w:spacing w:line="400" w:lineRule="exact"/>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100分</w:t>
            </w:r>
          </w:p>
        </w:tc>
      </w:tr>
      <w:tr w14:paraId="626B5E27">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jc w:val="center"/>
        </w:trPr>
        <w:tc>
          <w:tcPr>
            <w:tcW w:w="9972" w:type="dxa"/>
            <w:gridSpan w:val="3"/>
            <w:tcBorders>
              <w:tl2br w:val="nil"/>
              <w:tr2bl w:val="nil"/>
            </w:tcBorders>
            <w:vAlign w:val="center"/>
          </w:tcPr>
          <w:p w14:paraId="00CBB70D">
            <w:pPr>
              <w:spacing w:line="400" w:lineRule="exact"/>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color w:val="auto"/>
                <w:sz w:val="24"/>
              </w:rPr>
              <w:t>(</w:t>
            </w:r>
            <w:r>
              <w:rPr>
                <w:rFonts w:hint="eastAsia" w:ascii="仿宋" w:hAnsi="仿宋" w:eastAsia="仿宋" w:cs="仿宋"/>
                <w:b/>
                <w:color w:val="auto"/>
                <w:sz w:val="24"/>
                <w:lang w:val="zh-CN"/>
              </w:rPr>
              <w:t>价格评分仅限于有效投标人。</w:t>
            </w:r>
            <w:r>
              <w:rPr>
                <w:rFonts w:hint="eastAsia" w:ascii="仿宋" w:hAnsi="仿宋" w:eastAsia="仿宋" w:cs="仿宋"/>
                <w:b/>
                <w:color w:val="auto"/>
                <w:sz w:val="24"/>
              </w:rPr>
              <w:t>)</w:t>
            </w:r>
          </w:p>
        </w:tc>
      </w:tr>
    </w:tbl>
    <w:p w14:paraId="6BE340BA">
      <w:pPr>
        <w:rPr>
          <w:rFonts w:hint="eastAsia" w:ascii="仿宋" w:hAnsi="仿宋" w:eastAsia="仿宋" w:cs="仿宋"/>
          <w:color w:val="auto"/>
          <w:sz w:val="24"/>
          <w:szCs w:val="24"/>
          <w:shd w:val="clear" w:color="auto" w:fill="auto"/>
          <w:lang w:val="en-US" w:eastAsia="zh-CN"/>
        </w:rPr>
      </w:pPr>
    </w:p>
    <w:p w14:paraId="32E2F7F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说明：</w:t>
      </w:r>
    </w:p>
    <w:p w14:paraId="0EB3692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879BAE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3E108C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shd w:val="clear" w:color="auto" w:fill="auto"/>
        </w:rPr>
        <w:t>3、在任何评标环节中，需评标委员会就某项评审结论做出表决的，由评标委员会全体成员按照少数服从多数的原则，以记名投票方式表决。</w:t>
      </w:r>
    </w:p>
    <w:p w14:paraId="565F2296">
      <w:pPr>
        <w:spacing w:line="400" w:lineRule="exact"/>
        <w:rPr>
          <w:rFonts w:hint="eastAsia" w:ascii="仿宋" w:hAnsi="仿宋" w:eastAsia="仿宋" w:cs="仿宋"/>
          <w:b/>
          <w:bCs/>
          <w:color w:val="auto"/>
          <w:sz w:val="24"/>
        </w:rPr>
      </w:pPr>
    </w:p>
    <w:p w14:paraId="2410163F">
      <w:pPr>
        <w:spacing w:line="240" w:lineRule="atLeast"/>
        <w:rPr>
          <w:rFonts w:hint="eastAsia" w:ascii="仿宋" w:hAnsi="仿宋" w:eastAsia="仿宋" w:cs="仿宋"/>
          <w:b/>
          <w:color w:val="auto"/>
          <w:sz w:val="36"/>
          <w:szCs w:val="36"/>
          <w:lang w:eastAsia="zh-CN"/>
        </w:rPr>
      </w:pPr>
    </w:p>
    <w:p w14:paraId="708DE82A">
      <w:pPr>
        <w:spacing w:line="240" w:lineRule="atLeast"/>
        <w:rPr>
          <w:rFonts w:hint="eastAsia" w:ascii="仿宋" w:hAnsi="仿宋" w:eastAsia="仿宋" w:cs="仿宋"/>
          <w:b/>
          <w:color w:val="auto"/>
          <w:sz w:val="36"/>
          <w:szCs w:val="36"/>
          <w:lang w:eastAsia="zh-CN"/>
        </w:rPr>
      </w:pPr>
    </w:p>
    <w:p w14:paraId="0EE85B4D">
      <w:pPr>
        <w:spacing w:line="240" w:lineRule="atLeast"/>
        <w:rPr>
          <w:rFonts w:hint="eastAsia" w:ascii="仿宋" w:hAnsi="仿宋" w:eastAsia="仿宋" w:cs="仿宋"/>
          <w:b/>
          <w:color w:val="auto"/>
          <w:sz w:val="36"/>
          <w:szCs w:val="36"/>
          <w:lang w:eastAsia="zh-CN"/>
        </w:rPr>
      </w:pPr>
    </w:p>
    <w:p w14:paraId="1C7A24A4">
      <w:pPr>
        <w:spacing w:line="240" w:lineRule="atLeast"/>
        <w:rPr>
          <w:rFonts w:hint="eastAsia" w:ascii="仿宋" w:hAnsi="仿宋" w:eastAsia="仿宋" w:cs="仿宋"/>
          <w:b/>
          <w:color w:val="auto"/>
          <w:sz w:val="36"/>
          <w:szCs w:val="36"/>
          <w:lang w:eastAsia="zh-CN"/>
        </w:rPr>
      </w:pPr>
    </w:p>
    <w:p w14:paraId="6B80B3E4">
      <w:pPr>
        <w:spacing w:line="240" w:lineRule="atLeast"/>
        <w:rPr>
          <w:rFonts w:hint="eastAsia" w:ascii="仿宋" w:hAnsi="仿宋" w:eastAsia="仿宋" w:cs="仿宋"/>
          <w:b/>
          <w:color w:val="auto"/>
          <w:sz w:val="36"/>
          <w:szCs w:val="36"/>
          <w:lang w:eastAsia="zh-CN"/>
        </w:rPr>
      </w:pPr>
    </w:p>
    <w:p w14:paraId="2FF18931">
      <w:pPr>
        <w:spacing w:line="240" w:lineRule="atLeast"/>
        <w:jc w:val="center"/>
        <w:rPr>
          <w:rFonts w:hint="eastAsia" w:ascii="仿宋" w:hAnsi="仿宋" w:eastAsia="仿宋" w:cs="仿宋"/>
          <w:b/>
          <w:color w:val="auto"/>
          <w:sz w:val="36"/>
          <w:szCs w:val="36"/>
          <w:lang w:eastAsia="zh-CN"/>
        </w:rPr>
      </w:pPr>
    </w:p>
    <w:p w14:paraId="71439BC0">
      <w:pPr>
        <w:pStyle w:val="35"/>
        <w:rPr>
          <w:rFonts w:hint="eastAsia"/>
          <w:color w:val="auto"/>
          <w:lang w:eastAsia="zh-CN"/>
        </w:rPr>
      </w:pPr>
    </w:p>
    <w:p w14:paraId="6E6C3FCC">
      <w:pPr>
        <w:spacing w:line="240" w:lineRule="atLeast"/>
        <w:jc w:val="center"/>
        <w:rPr>
          <w:rFonts w:hint="eastAsia" w:ascii="仿宋" w:hAnsi="仿宋" w:eastAsia="仿宋" w:cs="仿宋"/>
          <w:b/>
          <w:color w:val="auto"/>
          <w:sz w:val="30"/>
          <w:szCs w:val="30"/>
        </w:rPr>
      </w:pPr>
      <w:r>
        <w:rPr>
          <w:rFonts w:hint="eastAsia" w:ascii="仿宋" w:hAnsi="仿宋" w:eastAsia="仿宋" w:cs="仿宋"/>
          <w:b/>
          <w:color w:val="auto"/>
          <w:sz w:val="36"/>
          <w:szCs w:val="36"/>
          <w:lang w:eastAsia="zh-CN"/>
        </w:rPr>
        <w:t>喀什地区纤维检验所棉花公检实验室AGV自动转运调度系统采购项目</w:t>
      </w:r>
    </w:p>
    <w:p w14:paraId="79B0A64E">
      <w:pPr>
        <w:spacing w:line="240" w:lineRule="atLeast"/>
        <w:ind w:firstLine="3614" w:firstLineChars="1200"/>
        <w:rPr>
          <w:rFonts w:hint="eastAsia" w:ascii="仿宋" w:hAnsi="仿宋" w:eastAsia="仿宋" w:cs="仿宋"/>
          <w:b/>
          <w:color w:val="auto"/>
          <w:sz w:val="30"/>
          <w:szCs w:val="30"/>
        </w:rPr>
      </w:pPr>
    </w:p>
    <w:p w14:paraId="30E12BB3">
      <w:pPr>
        <w:spacing w:line="240" w:lineRule="atLeast"/>
        <w:ind w:firstLine="3614" w:firstLineChars="1200"/>
        <w:rPr>
          <w:rFonts w:ascii="仿宋" w:hAnsi="仿宋" w:eastAsia="仿宋" w:cs="仿宋"/>
          <w:b/>
          <w:color w:val="auto"/>
          <w:sz w:val="30"/>
          <w:szCs w:val="30"/>
        </w:rPr>
      </w:pPr>
      <w:r>
        <w:rPr>
          <w:rFonts w:hint="eastAsia" w:ascii="仿宋" w:hAnsi="仿宋" w:eastAsia="仿宋" w:cs="仿宋"/>
          <w:b/>
          <w:color w:val="auto"/>
          <w:sz w:val="30"/>
          <w:szCs w:val="30"/>
        </w:rPr>
        <w:t>招标文件</w:t>
      </w:r>
    </w:p>
    <w:p w14:paraId="429A8A3E">
      <w:pPr>
        <w:spacing w:line="240" w:lineRule="atLeast"/>
        <w:rPr>
          <w:rFonts w:ascii="仿宋" w:hAnsi="仿宋" w:eastAsia="仿宋" w:cs="仿宋"/>
          <w:b/>
          <w:color w:val="auto"/>
          <w:sz w:val="30"/>
          <w:szCs w:val="30"/>
        </w:rPr>
      </w:pPr>
    </w:p>
    <w:p w14:paraId="775A0A21">
      <w:pPr>
        <w:spacing w:line="240" w:lineRule="atLeast"/>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（项目编号：ZCD(GK)[2025]-03</w:t>
      </w:r>
      <w:r>
        <w:rPr>
          <w:rFonts w:hint="eastAsia" w:ascii="仿宋" w:hAnsi="仿宋" w:eastAsia="仿宋" w:cs="仿宋"/>
          <w:b/>
          <w:color w:val="auto"/>
          <w:sz w:val="30"/>
          <w:szCs w:val="30"/>
          <w:lang w:val="en-US" w:eastAsia="zh-CN"/>
        </w:rPr>
        <w:t>0</w:t>
      </w:r>
      <w:r>
        <w:rPr>
          <w:rFonts w:hint="eastAsia" w:ascii="仿宋" w:hAnsi="仿宋" w:eastAsia="仿宋" w:cs="仿宋"/>
          <w:b/>
          <w:color w:val="auto"/>
          <w:sz w:val="30"/>
          <w:szCs w:val="30"/>
        </w:rPr>
        <w:t>）</w:t>
      </w:r>
    </w:p>
    <w:p w14:paraId="39853C64">
      <w:pPr>
        <w:spacing w:line="240" w:lineRule="atLeast"/>
        <w:ind w:left="1080" w:leftChars="257" w:hanging="540"/>
        <w:rPr>
          <w:rFonts w:ascii="仿宋" w:hAnsi="仿宋" w:eastAsia="仿宋" w:cs="仿宋"/>
          <w:b/>
          <w:color w:val="auto"/>
          <w:sz w:val="28"/>
        </w:rPr>
      </w:pPr>
      <w:bookmarkStart w:id="796" w:name="_GoBack"/>
      <w:bookmarkEnd w:id="796"/>
    </w:p>
    <w:p w14:paraId="2B2EFB22">
      <w:pPr>
        <w:spacing w:line="240" w:lineRule="atLeast"/>
        <w:ind w:left="1080" w:leftChars="257" w:hanging="540"/>
        <w:jc w:val="center"/>
        <w:rPr>
          <w:rFonts w:ascii="仿宋" w:hAnsi="仿宋" w:eastAsia="仿宋" w:cs="仿宋"/>
          <w:b/>
          <w:color w:val="auto"/>
          <w:sz w:val="32"/>
          <w:szCs w:val="32"/>
        </w:rPr>
      </w:pPr>
    </w:p>
    <w:p w14:paraId="3006CF04">
      <w:pPr>
        <w:spacing w:line="240" w:lineRule="atLeast"/>
        <w:ind w:left="1080" w:leftChars="257" w:hanging="540"/>
        <w:rPr>
          <w:rFonts w:ascii="仿宋" w:hAnsi="仿宋" w:eastAsia="仿宋" w:cs="仿宋"/>
          <w:b/>
          <w:color w:val="auto"/>
          <w:sz w:val="28"/>
        </w:rPr>
      </w:pPr>
    </w:p>
    <w:p w14:paraId="1F6137E8">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第三册</w:t>
      </w:r>
    </w:p>
    <w:p w14:paraId="0B1B3977">
      <w:pPr>
        <w:spacing w:line="240" w:lineRule="atLeast"/>
        <w:ind w:left="1080" w:leftChars="257" w:hanging="540"/>
        <w:jc w:val="center"/>
        <w:rPr>
          <w:rFonts w:ascii="仿宋" w:hAnsi="仿宋" w:eastAsia="仿宋" w:cs="仿宋"/>
          <w:b/>
          <w:color w:val="auto"/>
          <w:sz w:val="52"/>
        </w:rPr>
      </w:pPr>
    </w:p>
    <w:p w14:paraId="1D3F3533">
      <w:pPr>
        <w:spacing w:line="240" w:lineRule="atLeast"/>
        <w:ind w:left="1080" w:leftChars="257" w:hanging="540"/>
        <w:jc w:val="center"/>
        <w:rPr>
          <w:rFonts w:ascii="仿宋" w:hAnsi="仿宋" w:eastAsia="仿宋" w:cs="仿宋"/>
          <w:b/>
          <w:color w:val="auto"/>
          <w:sz w:val="52"/>
        </w:rPr>
      </w:pPr>
    </w:p>
    <w:p w14:paraId="03804771">
      <w:pPr>
        <w:spacing w:line="240" w:lineRule="atLeast"/>
        <w:ind w:left="1080" w:leftChars="257" w:hanging="540"/>
        <w:jc w:val="center"/>
        <w:rPr>
          <w:rFonts w:ascii="仿宋" w:hAnsi="仿宋" w:eastAsia="仿宋" w:cs="仿宋"/>
          <w:b/>
          <w:color w:val="auto"/>
          <w:sz w:val="52"/>
        </w:rPr>
      </w:pPr>
    </w:p>
    <w:p w14:paraId="5D5C739D">
      <w:pPr>
        <w:spacing w:line="240" w:lineRule="atLeast"/>
        <w:ind w:left="1080" w:leftChars="257" w:hanging="540"/>
        <w:jc w:val="center"/>
        <w:rPr>
          <w:rFonts w:ascii="仿宋" w:hAnsi="仿宋" w:eastAsia="仿宋" w:cs="仿宋"/>
          <w:b/>
          <w:color w:val="auto"/>
          <w:sz w:val="52"/>
        </w:rPr>
      </w:pPr>
    </w:p>
    <w:p w14:paraId="57821B26">
      <w:pPr>
        <w:pStyle w:val="34"/>
        <w:rPr>
          <w:rFonts w:ascii="仿宋" w:hAnsi="仿宋" w:eastAsia="仿宋" w:cs="仿宋"/>
          <w:b/>
          <w:color w:val="auto"/>
          <w:sz w:val="52"/>
        </w:rPr>
      </w:pPr>
    </w:p>
    <w:p w14:paraId="5FFCE814">
      <w:pPr>
        <w:pStyle w:val="34"/>
        <w:rPr>
          <w:rFonts w:ascii="仿宋" w:hAnsi="仿宋" w:eastAsia="仿宋" w:cs="仿宋"/>
          <w:b/>
          <w:color w:val="auto"/>
          <w:sz w:val="52"/>
        </w:rPr>
      </w:pPr>
    </w:p>
    <w:p w14:paraId="78D0A690">
      <w:pPr>
        <w:pStyle w:val="34"/>
        <w:rPr>
          <w:rFonts w:ascii="仿宋" w:hAnsi="仿宋" w:eastAsia="仿宋" w:cs="仿宋"/>
          <w:b/>
          <w:color w:val="auto"/>
          <w:sz w:val="52"/>
        </w:rPr>
      </w:pPr>
    </w:p>
    <w:p w14:paraId="07B0E876">
      <w:pPr>
        <w:pStyle w:val="34"/>
        <w:rPr>
          <w:rFonts w:ascii="仿宋" w:hAnsi="仿宋" w:eastAsia="仿宋" w:cs="仿宋"/>
          <w:b/>
          <w:color w:val="auto"/>
          <w:sz w:val="52"/>
        </w:rPr>
      </w:pPr>
    </w:p>
    <w:bookmarkEnd w:id="750"/>
    <w:p w14:paraId="6BCF96AB">
      <w:pPr>
        <w:pStyle w:val="3"/>
        <w:numPr>
          <w:ilvl w:val="0"/>
          <w:numId w:val="0"/>
        </w:numPr>
        <w:tabs>
          <w:tab w:val="left" w:pos="0"/>
        </w:tabs>
        <w:spacing w:before="0" w:after="0" w:line="240" w:lineRule="atLeast"/>
        <w:ind w:left="2940" w:leftChars="0"/>
        <w:jc w:val="both"/>
        <w:outlineLvl w:val="0"/>
        <w:rPr>
          <w:rFonts w:hint="eastAsia" w:ascii="仿宋" w:hAnsi="仿宋" w:eastAsia="仿宋" w:cs="仿宋"/>
          <w:b/>
          <w:bCs w:val="0"/>
          <w:color w:val="auto"/>
          <w:kern w:val="44"/>
          <w:sz w:val="24"/>
          <w:szCs w:val="24"/>
          <w:lang w:val="en-US" w:eastAsia="zh-CN" w:bidi="ar-SA"/>
        </w:rPr>
      </w:pPr>
      <w:bookmarkStart w:id="759" w:name="_Toc15796"/>
      <w:bookmarkStart w:id="760" w:name="_Toc4796"/>
      <w:bookmarkStart w:id="761" w:name="_Toc6865"/>
      <w:bookmarkStart w:id="762" w:name="_Toc4388"/>
      <w:bookmarkStart w:id="763" w:name="_Toc515647833"/>
      <w:bookmarkStart w:id="764" w:name="_Toc45641513"/>
      <w:bookmarkStart w:id="765" w:name="_Toc12012"/>
      <w:bookmarkStart w:id="766" w:name="_Toc18877"/>
      <w:r>
        <w:rPr>
          <w:rFonts w:hint="eastAsia" w:ascii="仿宋" w:hAnsi="仿宋" w:eastAsia="仿宋" w:cs="仿宋"/>
          <w:color w:val="auto"/>
          <w:sz w:val="30"/>
          <w:szCs w:val="30"/>
          <w:lang w:eastAsia="zh-CN"/>
        </w:rPr>
        <w:t>第七章</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政府采购合同</w:t>
      </w:r>
      <w:bookmarkEnd w:id="759"/>
      <w:bookmarkEnd w:id="760"/>
      <w:bookmarkEnd w:id="761"/>
      <w:bookmarkEnd w:id="762"/>
      <w:bookmarkEnd w:id="763"/>
      <w:bookmarkEnd w:id="764"/>
      <w:bookmarkEnd w:id="765"/>
      <w:bookmarkEnd w:id="766"/>
      <w:bookmarkStart w:id="767" w:name="_Hlt487972895"/>
      <w:bookmarkEnd w:id="767"/>
      <w:bookmarkStart w:id="768" w:name="_Toc16594"/>
      <w:bookmarkStart w:id="769" w:name="_Toc10887"/>
    </w:p>
    <w:p w14:paraId="14AA7AD9">
      <w:pPr>
        <w:spacing w:line="240" w:lineRule="atLeast"/>
        <w:rPr>
          <w:rFonts w:hint="eastAsia" w:ascii="仿宋" w:hAnsi="仿宋" w:eastAsia="仿宋" w:cs="仿宋"/>
          <w:b/>
          <w:bCs w:val="0"/>
          <w:color w:val="auto"/>
          <w:kern w:val="44"/>
          <w:sz w:val="24"/>
          <w:szCs w:val="24"/>
          <w:lang w:val="en-US" w:eastAsia="zh-CN" w:bidi="ar-SA"/>
        </w:rPr>
      </w:pPr>
    </w:p>
    <w:bookmarkEnd w:id="768"/>
    <w:bookmarkEnd w:id="769"/>
    <w:p w14:paraId="2FBF3050">
      <w:pPr>
        <w:pStyle w:val="11"/>
        <w:spacing w:after="0"/>
        <w:jc w:val="center"/>
        <w:rPr>
          <w:rFonts w:ascii="宋体" w:hAnsi="宋体" w:cs="宋体"/>
          <w:b/>
          <w:bCs/>
          <w:color w:val="auto"/>
          <w:spacing w:val="-20"/>
          <w:kern w:val="44"/>
          <w:sz w:val="48"/>
          <w:szCs w:val="48"/>
        </w:rPr>
      </w:pPr>
      <w:bookmarkStart w:id="770" w:name="_Toc3995"/>
    </w:p>
    <w:p w14:paraId="4186C6F5">
      <w:pPr>
        <w:pStyle w:val="11"/>
        <w:spacing w:after="0"/>
        <w:jc w:val="both"/>
        <w:rPr>
          <w:rFonts w:ascii="宋体" w:hAnsi="宋体" w:cs="宋体"/>
          <w:b/>
          <w:bCs/>
          <w:color w:val="auto"/>
          <w:spacing w:val="-20"/>
          <w:kern w:val="44"/>
          <w:sz w:val="48"/>
          <w:szCs w:val="48"/>
        </w:rPr>
      </w:pPr>
    </w:p>
    <w:p w14:paraId="485C4742">
      <w:pPr>
        <w:pStyle w:val="11"/>
        <w:spacing w:after="0"/>
        <w:jc w:val="center"/>
        <w:outlineLvl w:val="1"/>
        <w:rPr>
          <w:rFonts w:hint="eastAsia" w:ascii="宋体" w:hAnsi="宋体" w:cs="宋体"/>
          <w:b/>
          <w:bCs/>
          <w:color w:val="auto"/>
          <w:spacing w:val="-20"/>
          <w:kern w:val="44"/>
          <w:sz w:val="48"/>
          <w:szCs w:val="48"/>
        </w:rPr>
      </w:pPr>
      <w:bookmarkStart w:id="771" w:name="_Toc22139"/>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bookmarkEnd w:id="771"/>
    </w:p>
    <w:p w14:paraId="12F2BC0D">
      <w:pPr>
        <w:pStyle w:val="11"/>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4D85423B">
      <w:pPr>
        <w:rPr>
          <w:rFonts w:ascii="宋体" w:hAnsi="宋体" w:cs="宋体"/>
          <w:b/>
          <w:bCs/>
          <w:color w:val="auto"/>
          <w:spacing w:val="-20"/>
          <w:kern w:val="44"/>
          <w:sz w:val="40"/>
          <w:szCs w:val="40"/>
        </w:rPr>
      </w:pPr>
    </w:p>
    <w:p w14:paraId="4657F2AD">
      <w:pPr>
        <w:rPr>
          <w:rFonts w:ascii="宋体" w:hAnsi="宋体" w:cs="宋体"/>
          <w:b/>
          <w:bCs/>
          <w:color w:val="auto"/>
          <w:spacing w:val="-20"/>
          <w:kern w:val="44"/>
          <w:sz w:val="40"/>
          <w:szCs w:val="40"/>
        </w:rPr>
      </w:pPr>
    </w:p>
    <w:p w14:paraId="121CAB2D">
      <w:pPr>
        <w:rPr>
          <w:rFonts w:ascii="宋体" w:hAnsi="宋体" w:cs="宋体"/>
          <w:b/>
          <w:bCs/>
          <w:color w:val="auto"/>
          <w:spacing w:val="-20"/>
          <w:kern w:val="44"/>
          <w:sz w:val="40"/>
          <w:szCs w:val="40"/>
        </w:rPr>
      </w:pPr>
    </w:p>
    <w:p w14:paraId="66B3DB6D">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7FF300E">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1579BD5">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3994401C">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7126D792">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9E3B6C7">
      <w:pPr>
        <w:rPr>
          <w:color w:val="auto"/>
        </w:rPr>
      </w:pPr>
    </w:p>
    <w:p w14:paraId="0B883BFB">
      <w:pPr>
        <w:rPr>
          <w:rFonts w:eastAsia="黑体"/>
          <w:color w:val="auto"/>
          <w:sz w:val="44"/>
          <w:szCs w:val="44"/>
        </w:rPr>
      </w:pPr>
      <w:r>
        <w:rPr>
          <w:rFonts w:eastAsia="黑体"/>
          <w:color w:val="auto"/>
          <w:sz w:val="44"/>
          <w:szCs w:val="44"/>
        </w:rPr>
        <w:br w:type="page"/>
      </w:r>
    </w:p>
    <w:p w14:paraId="210C4117">
      <w:pPr>
        <w:rPr>
          <w:rFonts w:eastAsia="黑体"/>
          <w:color w:val="auto"/>
          <w:sz w:val="44"/>
          <w:szCs w:val="44"/>
        </w:rPr>
      </w:pPr>
    </w:p>
    <w:p w14:paraId="48771E55">
      <w:pPr>
        <w:rPr>
          <w:rFonts w:eastAsia="黑体"/>
          <w:color w:val="auto"/>
          <w:sz w:val="44"/>
          <w:szCs w:val="44"/>
        </w:rPr>
      </w:pPr>
    </w:p>
    <w:p w14:paraId="4890E271">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E278586">
      <w:pPr>
        <w:ind w:firstLine="640" w:firstLineChars="200"/>
        <w:rPr>
          <w:rFonts w:hint="eastAsia" w:ascii="仿宋_GB2312" w:hAnsi="仿宋_GB2312" w:eastAsia="仿宋_GB2312" w:cs="仿宋_GB2312"/>
          <w:color w:val="auto"/>
          <w:sz w:val="32"/>
          <w:szCs w:val="32"/>
          <w:lang w:val="en-US" w:eastAsia="zh-CN"/>
        </w:rPr>
      </w:pPr>
    </w:p>
    <w:p w14:paraId="3BFC8FE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1995D3B9">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5F9FD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F561AE3">
      <w:pPr>
        <w:ind w:firstLine="880" w:firstLineChars="200"/>
        <w:jc w:val="both"/>
        <w:rPr>
          <w:rFonts w:eastAsia="黑体"/>
          <w:color w:val="auto"/>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70"/>
    <w:p w14:paraId="304C88A7">
      <w:pPr>
        <w:pStyle w:val="4"/>
        <w:adjustRightInd w:val="0"/>
        <w:snapToGrid w:val="0"/>
        <w:spacing w:beforeLines="0" w:line="400" w:lineRule="exact"/>
        <w:jc w:val="center"/>
        <w:outlineLvl w:val="9"/>
        <w:rPr>
          <w:rFonts w:hint="eastAsia" w:ascii="黑体" w:hAnsi="黑体" w:eastAsia="黑体"/>
          <w:color w:val="auto"/>
          <w:sz w:val="28"/>
          <w:szCs w:val="28"/>
        </w:rPr>
      </w:pPr>
      <w:bookmarkStart w:id="772" w:name="_Toc22209"/>
    </w:p>
    <w:p w14:paraId="34793CC2">
      <w:pPr>
        <w:pStyle w:val="4"/>
        <w:adjustRightInd w:val="0"/>
        <w:snapToGrid w:val="0"/>
        <w:spacing w:beforeLines="0" w:line="400" w:lineRule="exact"/>
        <w:jc w:val="center"/>
        <w:rPr>
          <w:rFonts w:hint="eastAsia" w:ascii="黑体" w:hAnsi="华文中宋" w:eastAsia="黑体"/>
          <w:b w:val="0"/>
          <w:bCs w:val="0"/>
          <w:color w:val="auto"/>
          <w:sz w:val="28"/>
          <w:szCs w:val="28"/>
        </w:rPr>
      </w:pPr>
      <w:bookmarkStart w:id="773" w:name="_Toc1077"/>
      <w:bookmarkStart w:id="774" w:name="_Toc3651"/>
      <w:bookmarkStart w:id="775" w:name="_Toc16522"/>
      <w:bookmarkStart w:id="776" w:name="_Toc5619"/>
      <w:bookmarkStart w:id="777" w:name="_Toc27946"/>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772"/>
      <w:bookmarkEnd w:id="773"/>
      <w:bookmarkEnd w:id="774"/>
      <w:bookmarkEnd w:id="775"/>
      <w:bookmarkEnd w:id="776"/>
      <w:bookmarkEnd w:id="777"/>
    </w:p>
    <w:p w14:paraId="16DAF842">
      <w:pPr>
        <w:pStyle w:val="4"/>
        <w:adjustRightInd w:val="0"/>
        <w:snapToGrid w:val="0"/>
        <w:spacing w:beforeLines="0" w:line="400" w:lineRule="exact"/>
        <w:jc w:val="center"/>
        <w:outlineLvl w:val="9"/>
        <w:rPr>
          <w:rFonts w:hint="eastAsia" w:ascii="黑体" w:hAnsi="华文中宋" w:eastAsia="黑体"/>
          <w:b w:val="0"/>
          <w:bCs w:val="0"/>
          <w:color w:val="auto"/>
          <w:sz w:val="28"/>
          <w:szCs w:val="28"/>
        </w:rPr>
      </w:pPr>
    </w:p>
    <w:p w14:paraId="2B75D062">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2E5A124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C62F4F8">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260ED90">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814BC9B">
      <w:pPr>
        <w:spacing w:beforeLines="0" w:line="400" w:lineRule="exact"/>
        <w:rPr>
          <w:rFonts w:hint="default" w:eastAsia="宋体"/>
          <w:color w:val="auto"/>
          <w:lang w:val="en-US" w:eastAsia="zh-CN"/>
        </w:rPr>
      </w:pPr>
    </w:p>
    <w:p w14:paraId="6261A4FD">
      <w:pPr>
        <w:pStyle w:val="13"/>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2FD0BD60">
      <w:pPr>
        <w:numPr>
          <w:ilvl w:val="0"/>
          <w:numId w:val="35"/>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B18A06E">
      <w:pPr>
        <w:pStyle w:val="13"/>
        <w:numPr>
          <w:ilvl w:val="0"/>
          <w:numId w:val="36"/>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0AEEA87">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47EF963">
      <w:pPr>
        <w:pStyle w:val="13"/>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542D552">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2FFFC056">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38A53CF9">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45150A7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FA6C6D4">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13ED16D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1A10495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B07C5BB">
      <w:pPr>
        <w:pStyle w:val="37"/>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1C1980C1">
      <w:pPr>
        <w:pStyle w:val="37"/>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1E3A83C3">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01C9A67">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0B3C91D9">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5A727D">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23A77C58">
      <w:pPr>
        <w:pStyle w:val="3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76D58B75">
      <w:pPr>
        <w:pStyle w:val="3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6D2F0D56">
      <w:pPr>
        <w:pStyle w:val="37"/>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34EB3C5E">
      <w:pPr>
        <w:pStyle w:val="37"/>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6CC7E480">
      <w:pPr>
        <w:pStyle w:val="37"/>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56114E6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0CAE8A02">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29674F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BABAAE0">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A30117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F0E0D72">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6A0DFDE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D53249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734E1291">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4E33F2E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0D0244F9">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117FB33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1122C8B">
      <w:pPr>
        <w:pStyle w:val="37"/>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BD1E40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E0C733C">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33F578F">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3FF15868">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429E972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211BDF5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5ADF91D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1066BFE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77C7D4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0E2B757A">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B08213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4AEC1881">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6B0B66C5">
      <w:pPr>
        <w:pStyle w:val="37"/>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6A211137">
      <w:pPr>
        <w:pStyle w:val="37"/>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63F074E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E0362A9">
      <w:pPr>
        <w:pStyle w:val="37"/>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8B68B5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2D365C6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7FD9DC63">
      <w:pPr>
        <w:numPr>
          <w:ilvl w:val="0"/>
          <w:numId w:val="3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705483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9ED24C3">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4C8EE20">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2F9A30FC">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187D61A">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16562B56">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0542AF40">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41B4E866">
      <w:pPr>
        <w:pStyle w:val="54"/>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238D8C71">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6550DCF2">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3E8354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7FA9F4BB">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D62A07F">
      <w:pPr>
        <w:numPr>
          <w:ilvl w:val="0"/>
          <w:numId w:val="35"/>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03509FA5">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5477B30">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170D0801">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ECE6B70">
      <w:pPr>
        <w:pStyle w:val="37"/>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67201971">
      <w:pPr>
        <w:pStyle w:val="37"/>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540455C8">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C3AE971">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3C7F317F">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6A7276E7">
      <w:pPr>
        <w:numPr>
          <w:ilvl w:val="0"/>
          <w:numId w:val="35"/>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0F50824">
      <w:pPr>
        <w:numPr>
          <w:ilvl w:val="0"/>
          <w:numId w:val="37"/>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617AFBA3">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C38C269">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EF5B815">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1D3A4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87F307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7BE153F">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D8CF858">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0BCE008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7CB20963">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FBE298">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3E3D364C">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36746248">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3C4E10FE">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57036B12">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30FE7F31">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2592CE3">
      <w:pPr>
        <w:pStyle w:val="37"/>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16893F85">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7A50AC7B">
      <w:pPr>
        <w:numPr>
          <w:ilvl w:val="0"/>
          <w:numId w:val="35"/>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743D20E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E76BDA6">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2DF75F4">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1F0D02D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7493881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5C83F8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6416ED5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85C0AB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7B0897F1">
      <w:pPr>
        <w:pStyle w:val="37"/>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1DCDCC0E">
      <w:pPr>
        <w:numPr>
          <w:ilvl w:val="0"/>
          <w:numId w:val="35"/>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EED75D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63543B97">
      <w:pPr>
        <w:numPr>
          <w:ilvl w:val="0"/>
          <w:numId w:val="35"/>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4B0595D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62AB20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5D86C5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C484BF">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38C577C0">
      <w:pPr>
        <w:pStyle w:val="54"/>
        <w:spacing w:beforeLines="0" w:line="400" w:lineRule="exact"/>
        <w:rPr>
          <w:color w:val="auto"/>
        </w:rPr>
      </w:pPr>
    </w:p>
    <w:p w14:paraId="46B63EB1">
      <w:pPr>
        <w:pStyle w:val="4"/>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6CCE4D9A">
      <w:pPr>
        <w:rPr>
          <w:rFonts w:hint="eastAsia"/>
          <w:color w:val="auto"/>
        </w:rPr>
      </w:pPr>
      <w:r>
        <w:rPr>
          <w:rFonts w:hint="eastAsia"/>
          <w:color w:val="auto"/>
        </w:rPr>
        <w:br w:type="page"/>
      </w:r>
    </w:p>
    <w:p w14:paraId="167CAB69">
      <w:pPr>
        <w:pStyle w:val="54"/>
        <w:rPr>
          <w:rFonts w:hint="eastAsia"/>
          <w:color w:val="auto"/>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404"/>
        <w:gridCol w:w="1972"/>
        <w:gridCol w:w="2110"/>
      </w:tblGrid>
      <w:tr w14:paraId="47C57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048A16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5A038391">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5C2899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2147D9">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862648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2BA31F">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259" w:type="pct"/>
            <w:tcBorders>
              <w:top w:val="single" w:color="auto" w:sz="2" w:space="0"/>
              <w:left w:val="single" w:color="auto" w:sz="2" w:space="0"/>
              <w:bottom w:val="single" w:color="auto" w:sz="2" w:space="0"/>
            </w:tcBorders>
            <w:vAlign w:val="center"/>
          </w:tcPr>
          <w:p w14:paraId="494A2817">
            <w:pPr>
              <w:adjustRightInd w:val="0"/>
              <w:snapToGrid w:val="0"/>
              <w:spacing w:line="300" w:lineRule="exact"/>
              <w:jc w:val="center"/>
              <w:rPr>
                <w:color w:val="auto"/>
                <w:spacing w:val="20"/>
                <w:szCs w:val="21"/>
              </w:rPr>
            </w:pPr>
          </w:p>
        </w:tc>
      </w:tr>
      <w:tr w14:paraId="477880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F4B076D">
            <w:pPr>
              <w:adjustRightInd w:val="0"/>
              <w:snapToGrid w:val="0"/>
              <w:spacing w:line="300" w:lineRule="exact"/>
              <w:jc w:val="center"/>
              <w:rPr>
                <w:color w:val="auto"/>
                <w:szCs w:val="21"/>
              </w:rPr>
            </w:pPr>
            <w:r>
              <w:rPr>
                <w:color w:val="auto"/>
                <w:szCs w:val="21"/>
              </w:rPr>
              <w:t>法定代表人</w:t>
            </w:r>
          </w:p>
          <w:p w14:paraId="0694B90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2BFDFE8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F0781A6">
            <w:pPr>
              <w:adjustRightInd w:val="0"/>
              <w:snapToGrid w:val="0"/>
              <w:spacing w:line="300" w:lineRule="exact"/>
              <w:jc w:val="center"/>
              <w:rPr>
                <w:color w:val="auto"/>
                <w:szCs w:val="21"/>
              </w:rPr>
            </w:pPr>
            <w:r>
              <w:rPr>
                <w:color w:val="auto"/>
                <w:szCs w:val="21"/>
              </w:rPr>
              <w:t>法定代表人</w:t>
            </w:r>
          </w:p>
          <w:p w14:paraId="42908B5D">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CF0CB44">
            <w:pPr>
              <w:adjustRightInd w:val="0"/>
              <w:snapToGrid w:val="0"/>
              <w:spacing w:line="300" w:lineRule="exact"/>
              <w:jc w:val="center"/>
              <w:rPr>
                <w:color w:val="auto"/>
                <w:szCs w:val="21"/>
              </w:rPr>
            </w:pPr>
          </w:p>
        </w:tc>
      </w:tr>
      <w:tr w14:paraId="7175B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02F2758">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7C8CAAD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56BC1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A36AB86">
            <w:pPr>
              <w:adjustRightInd w:val="0"/>
              <w:snapToGrid w:val="0"/>
              <w:spacing w:line="300" w:lineRule="exact"/>
              <w:jc w:val="center"/>
              <w:rPr>
                <w:color w:val="auto"/>
                <w:spacing w:val="20"/>
                <w:szCs w:val="21"/>
              </w:rPr>
            </w:pPr>
          </w:p>
        </w:tc>
      </w:tr>
      <w:tr w14:paraId="313214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262AC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1FAB2D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D96BB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62B5517D">
            <w:pPr>
              <w:adjustRightInd w:val="0"/>
              <w:snapToGrid w:val="0"/>
              <w:spacing w:line="300" w:lineRule="exact"/>
              <w:jc w:val="center"/>
              <w:rPr>
                <w:color w:val="auto"/>
                <w:spacing w:val="20"/>
                <w:szCs w:val="21"/>
              </w:rPr>
            </w:pPr>
          </w:p>
        </w:tc>
      </w:tr>
      <w:tr w14:paraId="72743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901907">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29A4D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D4D7F3">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766FED77">
            <w:pPr>
              <w:adjustRightInd w:val="0"/>
              <w:snapToGrid w:val="0"/>
              <w:spacing w:line="300" w:lineRule="exact"/>
              <w:jc w:val="center"/>
              <w:rPr>
                <w:color w:val="auto"/>
                <w:spacing w:val="20"/>
                <w:szCs w:val="21"/>
              </w:rPr>
            </w:pPr>
          </w:p>
        </w:tc>
      </w:tr>
      <w:tr w14:paraId="272CB6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230B9D">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426916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85E83C">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16391086">
            <w:pPr>
              <w:adjustRightInd w:val="0"/>
              <w:snapToGrid w:val="0"/>
              <w:spacing w:line="300" w:lineRule="exact"/>
              <w:jc w:val="center"/>
              <w:rPr>
                <w:color w:val="auto"/>
                <w:spacing w:val="20"/>
                <w:szCs w:val="21"/>
              </w:rPr>
            </w:pPr>
          </w:p>
        </w:tc>
      </w:tr>
      <w:tr w14:paraId="39704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E76B9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2729F5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105DF9">
            <w:pPr>
              <w:adjustRightInd w:val="0"/>
              <w:snapToGrid w:val="0"/>
              <w:spacing w:line="300" w:lineRule="exact"/>
              <w:jc w:val="center"/>
              <w:rPr>
                <w:color w:val="auto"/>
                <w:szCs w:val="21"/>
              </w:rPr>
            </w:pPr>
            <w:r>
              <w:rPr>
                <w:rFonts w:hint="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2E86EEE">
            <w:pPr>
              <w:adjustRightInd w:val="0"/>
              <w:snapToGrid w:val="0"/>
              <w:spacing w:line="300" w:lineRule="exact"/>
              <w:jc w:val="center"/>
              <w:rPr>
                <w:color w:val="auto"/>
                <w:spacing w:val="20"/>
                <w:szCs w:val="21"/>
              </w:rPr>
            </w:pPr>
          </w:p>
        </w:tc>
      </w:tr>
      <w:tr w14:paraId="2BBE1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A9CFAC">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2537E1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744633">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14A1EDFF">
            <w:pPr>
              <w:adjustRightInd w:val="0"/>
              <w:snapToGrid w:val="0"/>
              <w:spacing w:line="300" w:lineRule="exact"/>
              <w:jc w:val="center"/>
              <w:rPr>
                <w:color w:val="auto"/>
                <w:spacing w:val="20"/>
                <w:szCs w:val="21"/>
              </w:rPr>
            </w:pPr>
          </w:p>
        </w:tc>
      </w:tr>
      <w:tr w14:paraId="7B225C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56E660">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4658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89CF68">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1667CF65">
            <w:pPr>
              <w:adjustRightInd w:val="0"/>
              <w:snapToGrid w:val="0"/>
              <w:spacing w:line="300" w:lineRule="exact"/>
              <w:jc w:val="center"/>
              <w:rPr>
                <w:color w:val="auto"/>
                <w:spacing w:val="20"/>
                <w:szCs w:val="21"/>
              </w:rPr>
            </w:pPr>
          </w:p>
        </w:tc>
      </w:tr>
      <w:tr w14:paraId="4B6DA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78056F">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AEED81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0E0F41">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0225D09A">
            <w:pPr>
              <w:adjustRightInd w:val="0"/>
              <w:snapToGrid w:val="0"/>
              <w:spacing w:line="300" w:lineRule="exact"/>
              <w:jc w:val="center"/>
              <w:rPr>
                <w:color w:val="auto"/>
                <w:spacing w:val="20"/>
                <w:szCs w:val="21"/>
              </w:rPr>
            </w:pPr>
          </w:p>
        </w:tc>
      </w:tr>
      <w:tr w14:paraId="791C1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9FE6A7">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463007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FF96B9">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20A13AE0">
            <w:pPr>
              <w:adjustRightInd w:val="0"/>
              <w:snapToGrid w:val="0"/>
              <w:spacing w:line="300" w:lineRule="exact"/>
              <w:jc w:val="center"/>
              <w:rPr>
                <w:color w:val="auto"/>
                <w:spacing w:val="20"/>
                <w:szCs w:val="21"/>
              </w:rPr>
            </w:pPr>
          </w:p>
        </w:tc>
      </w:tr>
      <w:tr w14:paraId="70A22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4F3803">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2F1EB4B">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AD3950">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27D0209D">
            <w:pPr>
              <w:adjustRightInd w:val="0"/>
              <w:snapToGrid w:val="0"/>
              <w:spacing w:line="300" w:lineRule="exact"/>
              <w:jc w:val="center"/>
              <w:rPr>
                <w:color w:val="auto"/>
                <w:spacing w:val="20"/>
                <w:szCs w:val="21"/>
              </w:rPr>
            </w:pPr>
          </w:p>
        </w:tc>
      </w:tr>
      <w:tr w14:paraId="2A30A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1C14A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F8E6F3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DC5A77">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204EBAE3">
            <w:pPr>
              <w:adjustRightInd w:val="0"/>
              <w:snapToGrid w:val="0"/>
              <w:spacing w:line="300" w:lineRule="exact"/>
              <w:jc w:val="center"/>
              <w:rPr>
                <w:color w:val="auto"/>
                <w:spacing w:val="20"/>
                <w:szCs w:val="21"/>
              </w:rPr>
            </w:pPr>
          </w:p>
        </w:tc>
      </w:tr>
      <w:tr w14:paraId="40821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7049358">
            <w:pPr>
              <w:pStyle w:val="13"/>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28D81DB0">
      <w:pPr>
        <w:pStyle w:val="4"/>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778" w:name="_Toc27624"/>
      <w:bookmarkStart w:id="779" w:name="_Toc26514"/>
      <w:bookmarkStart w:id="780" w:name="_Toc15931"/>
      <w:bookmarkStart w:id="781" w:name="_Toc8146"/>
      <w:bookmarkStart w:id="782" w:name="_Toc20689"/>
      <w:bookmarkStart w:id="783" w:name="_Toc17153"/>
      <w:r>
        <w:rPr>
          <w:rFonts w:hint="eastAsia" w:ascii="黑体" w:hAnsi="黑体" w:eastAsia="黑体"/>
          <w:b w:val="0"/>
          <w:bCs w:val="0"/>
          <w:color w:val="auto"/>
          <w:sz w:val="28"/>
          <w:szCs w:val="28"/>
        </w:rPr>
        <w:t>第二节 政府采购合同通用条款</w:t>
      </w:r>
      <w:bookmarkEnd w:id="778"/>
      <w:bookmarkEnd w:id="779"/>
      <w:bookmarkEnd w:id="780"/>
      <w:bookmarkEnd w:id="781"/>
      <w:bookmarkEnd w:id="782"/>
      <w:bookmarkEnd w:id="783"/>
    </w:p>
    <w:p w14:paraId="0D55F969">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4FDDE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5AB91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76DA0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44564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065403B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3B7F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B39006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2766E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BFEB7A6">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F02745F">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4B1E90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AB65BF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456B4F7">
      <w:pPr>
        <w:numPr>
          <w:ilvl w:val="0"/>
          <w:numId w:val="3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D5161A9">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D267CA8">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667C6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74BB68C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EE5B3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81E3F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1CCD03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21405FF">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F3461B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4F477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A9051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1BA74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E4C64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174D0719">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163C52A3">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2A741DE">
      <w:pPr>
        <w:numPr>
          <w:ilvl w:val="0"/>
          <w:numId w:val="3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DC3C2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837174E">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E0D04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6B016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847C5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901BF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19DC23A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F93854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0BD140F2">
      <w:pPr>
        <w:pStyle w:val="37"/>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52887A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66EBDF21">
      <w:pPr>
        <w:pStyle w:val="1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B35C61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5CCA709">
      <w:pPr>
        <w:pStyle w:val="1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0887D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F6E3D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0A6F8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387B8E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10196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94AB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w:t>
      </w:r>
      <w:r>
        <w:rPr>
          <w:rFonts w:hint="eastAsia" w:ascii="宋体" w:hAnsi="宋体"/>
          <w:color w:val="auto"/>
          <w:szCs w:val="21"/>
          <w:highlight w:val="none"/>
          <w:lang w:eastAsia="zh-CN"/>
        </w:rPr>
        <w:t>无偿</w:t>
      </w:r>
      <w:r>
        <w:rPr>
          <w:rFonts w:hint="eastAsia" w:ascii="宋体" w:hAnsi="宋体"/>
          <w:color w:val="auto"/>
          <w:szCs w:val="21"/>
          <w:highlight w:val="none"/>
        </w:rPr>
        <w:t>维修或更换有缺陷的货物或部件。</w:t>
      </w:r>
    </w:p>
    <w:p w14:paraId="7CF7ED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31A238D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B35282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1EEE1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41704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49A0F3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8E67FD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53F63D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784"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784"/>
      <w:r>
        <w:rPr>
          <w:rFonts w:hint="eastAsia" w:ascii="宋体" w:hAnsi="宋体"/>
          <w:color w:val="auto"/>
          <w:szCs w:val="21"/>
          <w:highlight w:val="none"/>
        </w:rPr>
        <w:t>。</w:t>
      </w:r>
    </w:p>
    <w:p w14:paraId="6A6447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E1964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0154941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B0C62E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15E2DE">
      <w:pPr>
        <w:pStyle w:val="4"/>
        <w:spacing w:line="400" w:lineRule="exact"/>
        <w:ind w:firstLine="420" w:firstLineChars="200"/>
        <w:rPr>
          <w:rFonts w:hint="eastAsia" w:eastAsia="宋体"/>
          <w:color w:val="auto"/>
          <w:highlight w:val="none"/>
          <w:lang w:eastAsia="zh-CN"/>
        </w:rPr>
      </w:pPr>
      <w:bookmarkStart w:id="785" w:name="_Toc30219"/>
      <w:bookmarkStart w:id="786" w:name="_Toc27443"/>
      <w:bookmarkStart w:id="787" w:name="_Toc7252"/>
      <w:bookmarkStart w:id="788" w:name="_Toc29753"/>
      <w:bookmarkStart w:id="789" w:name="_Toc13644"/>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785"/>
      <w:bookmarkEnd w:id="786"/>
      <w:bookmarkEnd w:id="787"/>
      <w:bookmarkEnd w:id="788"/>
      <w:bookmarkEnd w:id="789"/>
    </w:p>
    <w:p w14:paraId="5818238E">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F0EF2D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D9AEA3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104B4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532671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7543D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A07E5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67BB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08FD8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CDBF48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108E9C6">
      <w:pPr>
        <w:pStyle w:val="37"/>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2521B7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8E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D298F2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4CB752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03BB7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42CE0E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3F35F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811E4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230BB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D262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D9E5E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E1998EF">
      <w:pPr>
        <w:numPr>
          <w:ilvl w:val="0"/>
          <w:numId w:val="4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A65A99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E75B3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A5E6A6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1C2EE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3558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20FA20">
      <w:pPr>
        <w:pStyle w:val="37"/>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4761D072">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B67D2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1F4E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8CA8FA8">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1B56A5E9">
      <w:pPr>
        <w:pStyle w:val="3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D2FA413">
      <w:pPr>
        <w:pStyle w:val="37"/>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43FB1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87B7E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EF9A7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3A604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3D5BB9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62304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15BE6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E2F9A2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C07957">
      <w:pPr>
        <w:pStyle w:val="37"/>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26E2977D">
      <w:pPr>
        <w:pStyle w:val="37"/>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232E6B4C">
      <w:pPr>
        <w:pStyle w:val="37"/>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B50874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0D501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29094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06BFB60">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FCE611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97BD415">
      <w:pPr>
        <w:pStyle w:val="37"/>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CA79CD1">
      <w:pPr>
        <w:pStyle w:val="37"/>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4C03ECF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60A606E">
      <w:pPr>
        <w:pStyle w:val="37"/>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68EC854">
      <w:pPr>
        <w:pStyle w:val="37"/>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6E20224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173278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70425A8">
      <w:pPr>
        <w:numPr>
          <w:ilvl w:val="0"/>
          <w:numId w:val="4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0EE38C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AF9DF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790" w:name="_Toc20313"/>
    </w:p>
    <w:p w14:paraId="75817D5A">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73EF9174">
      <w:pPr>
        <w:pStyle w:val="4"/>
        <w:adjustRightInd w:val="0"/>
        <w:snapToGrid w:val="0"/>
        <w:jc w:val="center"/>
        <w:rPr>
          <w:rFonts w:ascii="黑体" w:hAnsi="华文中宋" w:eastAsia="黑体"/>
          <w:b w:val="0"/>
          <w:bCs w:val="0"/>
          <w:color w:val="auto"/>
          <w:sz w:val="28"/>
          <w:szCs w:val="28"/>
        </w:rPr>
      </w:pPr>
      <w:bookmarkStart w:id="791" w:name="_Toc18802"/>
      <w:bookmarkStart w:id="792" w:name="_Toc20300"/>
      <w:bookmarkStart w:id="793" w:name="_Toc27484"/>
      <w:bookmarkStart w:id="794" w:name="_Toc23245"/>
      <w:bookmarkStart w:id="795" w:name="_Toc31900"/>
      <w:r>
        <w:rPr>
          <w:rFonts w:hint="eastAsia" w:ascii="黑体" w:hAnsi="华文中宋" w:eastAsia="黑体"/>
          <w:b w:val="0"/>
          <w:bCs w:val="0"/>
          <w:color w:val="auto"/>
          <w:sz w:val="28"/>
          <w:szCs w:val="28"/>
        </w:rPr>
        <w:t>第三节 政府采购合同专用条款</w:t>
      </w:r>
      <w:bookmarkEnd w:id="790"/>
      <w:bookmarkEnd w:id="791"/>
      <w:bookmarkEnd w:id="792"/>
      <w:bookmarkEnd w:id="793"/>
      <w:bookmarkEnd w:id="794"/>
      <w:bookmarkEnd w:id="795"/>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9C0E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9D397">
            <w:pPr>
              <w:adjustRightInd w:val="0"/>
              <w:snapToGrid w:val="0"/>
              <w:jc w:val="center"/>
              <w:rPr>
                <w:rFonts w:ascii="宋体" w:hAnsi="宋体"/>
                <w:color w:val="auto"/>
                <w:szCs w:val="21"/>
              </w:rPr>
            </w:pPr>
            <w:r>
              <w:rPr>
                <w:rFonts w:hint="eastAsia" w:ascii="宋体" w:hAnsi="宋体"/>
                <w:color w:val="auto"/>
                <w:szCs w:val="21"/>
              </w:rPr>
              <w:t>第二节</w:t>
            </w:r>
          </w:p>
          <w:p w14:paraId="7AD6A6B2">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71BD5836">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13828540">
            <w:pPr>
              <w:adjustRightInd w:val="0"/>
              <w:snapToGrid w:val="0"/>
              <w:jc w:val="left"/>
              <w:rPr>
                <w:rFonts w:ascii="宋体" w:hAnsi="宋体"/>
                <w:color w:val="auto"/>
                <w:szCs w:val="21"/>
              </w:rPr>
            </w:pPr>
          </w:p>
        </w:tc>
      </w:tr>
      <w:tr w14:paraId="46B6E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90467C6">
            <w:pPr>
              <w:adjustRightInd w:val="0"/>
              <w:snapToGrid w:val="0"/>
              <w:jc w:val="center"/>
              <w:rPr>
                <w:rFonts w:ascii="宋体" w:hAnsi="宋体"/>
                <w:color w:val="auto"/>
                <w:szCs w:val="21"/>
              </w:rPr>
            </w:pPr>
            <w:r>
              <w:rPr>
                <w:rFonts w:hint="eastAsia" w:ascii="宋体" w:hAnsi="宋体"/>
                <w:color w:val="auto"/>
                <w:szCs w:val="21"/>
              </w:rPr>
              <w:t>第二节</w:t>
            </w:r>
          </w:p>
          <w:p w14:paraId="21725204">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2A210F35">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0BF50A28">
            <w:pPr>
              <w:adjustRightInd w:val="0"/>
              <w:snapToGrid w:val="0"/>
              <w:jc w:val="left"/>
              <w:rPr>
                <w:rFonts w:ascii="宋体" w:hAnsi="宋体" w:eastAsia="宋体" w:cs="Times New Roman"/>
                <w:color w:val="auto"/>
                <w:kern w:val="2"/>
                <w:sz w:val="21"/>
                <w:szCs w:val="21"/>
                <w:lang w:val="en-US" w:eastAsia="zh-CN" w:bidi="ar-SA"/>
              </w:rPr>
            </w:pPr>
          </w:p>
        </w:tc>
      </w:tr>
      <w:tr w14:paraId="524F9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F8241D">
            <w:pPr>
              <w:adjustRightInd w:val="0"/>
              <w:snapToGrid w:val="0"/>
              <w:jc w:val="center"/>
              <w:rPr>
                <w:rFonts w:ascii="宋体" w:hAnsi="宋体"/>
                <w:color w:val="auto"/>
                <w:szCs w:val="21"/>
              </w:rPr>
            </w:pPr>
            <w:r>
              <w:rPr>
                <w:rFonts w:hint="eastAsia" w:ascii="宋体" w:hAnsi="宋体"/>
                <w:color w:val="auto"/>
                <w:szCs w:val="21"/>
              </w:rPr>
              <w:t>第二节</w:t>
            </w:r>
          </w:p>
          <w:p w14:paraId="3A32D87B">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1CA37FF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63BADCA2">
            <w:pPr>
              <w:adjustRightInd w:val="0"/>
              <w:snapToGrid w:val="0"/>
              <w:jc w:val="left"/>
              <w:rPr>
                <w:rFonts w:ascii="宋体" w:hAnsi="宋体" w:eastAsia="宋体" w:cs="Times New Roman"/>
                <w:color w:val="auto"/>
                <w:kern w:val="2"/>
                <w:sz w:val="21"/>
                <w:szCs w:val="21"/>
                <w:lang w:val="en-US" w:eastAsia="zh-CN" w:bidi="ar-SA"/>
              </w:rPr>
            </w:pPr>
          </w:p>
        </w:tc>
      </w:tr>
      <w:tr w14:paraId="133B1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287247">
            <w:pPr>
              <w:adjustRightInd w:val="0"/>
              <w:snapToGrid w:val="0"/>
              <w:jc w:val="center"/>
              <w:rPr>
                <w:rFonts w:ascii="宋体" w:hAnsi="宋体"/>
                <w:color w:val="auto"/>
                <w:szCs w:val="21"/>
              </w:rPr>
            </w:pPr>
            <w:r>
              <w:rPr>
                <w:rFonts w:hint="eastAsia" w:ascii="宋体" w:hAnsi="宋体"/>
                <w:color w:val="auto"/>
                <w:szCs w:val="21"/>
              </w:rPr>
              <w:t>第二节</w:t>
            </w:r>
          </w:p>
          <w:p w14:paraId="7E20952F">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598DC0B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3C10C1E8">
            <w:pPr>
              <w:adjustRightInd w:val="0"/>
              <w:snapToGrid w:val="0"/>
              <w:jc w:val="left"/>
              <w:rPr>
                <w:rFonts w:ascii="宋体" w:hAnsi="宋体" w:eastAsia="宋体" w:cs="Times New Roman"/>
                <w:color w:val="auto"/>
                <w:kern w:val="2"/>
                <w:sz w:val="21"/>
                <w:szCs w:val="21"/>
                <w:lang w:val="en-US" w:eastAsia="zh-CN" w:bidi="ar-SA"/>
              </w:rPr>
            </w:pPr>
          </w:p>
        </w:tc>
      </w:tr>
      <w:tr w14:paraId="11BA2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9FCCE">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41FA0EAD">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7957B46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92926F2">
            <w:pPr>
              <w:adjustRightInd w:val="0"/>
              <w:snapToGrid w:val="0"/>
              <w:jc w:val="left"/>
              <w:rPr>
                <w:rFonts w:ascii="宋体" w:hAnsi="宋体" w:eastAsia="宋体" w:cs="Times New Roman"/>
                <w:color w:val="auto"/>
                <w:kern w:val="2"/>
                <w:sz w:val="21"/>
                <w:szCs w:val="21"/>
                <w:lang w:val="en-US" w:eastAsia="zh-CN" w:bidi="ar-SA"/>
              </w:rPr>
            </w:pPr>
          </w:p>
        </w:tc>
      </w:tr>
      <w:tr w14:paraId="0DB26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95D587">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E772982">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28F0EBA9">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0514DC4C">
            <w:pPr>
              <w:adjustRightInd w:val="0"/>
              <w:snapToGrid w:val="0"/>
              <w:jc w:val="left"/>
              <w:rPr>
                <w:rFonts w:ascii="宋体" w:hAnsi="宋体" w:eastAsia="宋体" w:cs="Times New Roman"/>
                <w:color w:val="auto"/>
                <w:kern w:val="2"/>
                <w:sz w:val="21"/>
                <w:szCs w:val="21"/>
                <w:lang w:val="en-US" w:eastAsia="zh-CN" w:bidi="ar-SA"/>
              </w:rPr>
            </w:pPr>
          </w:p>
        </w:tc>
      </w:tr>
      <w:tr w14:paraId="61551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599038B">
            <w:pPr>
              <w:adjustRightInd w:val="0"/>
              <w:snapToGrid w:val="0"/>
              <w:jc w:val="center"/>
              <w:rPr>
                <w:rFonts w:ascii="宋体" w:hAnsi="宋体"/>
                <w:color w:val="auto"/>
                <w:szCs w:val="21"/>
              </w:rPr>
            </w:pPr>
            <w:r>
              <w:rPr>
                <w:rFonts w:hint="eastAsia" w:ascii="宋体" w:hAnsi="宋体"/>
                <w:color w:val="auto"/>
                <w:szCs w:val="21"/>
              </w:rPr>
              <w:t>第二节</w:t>
            </w:r>
          </w:p>
          <w:p w14:paraId="275E6A69">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65278812">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37DD99A0">
            <w:pPr>
              <w:rPr>
                <w:color w:val="auto"/>
              </w:rPr>
            </w:pPr>
          </w:p>
        </w:tc>
      </w:tr>
      <w:tr w14:paraId="016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71B4364">
            <w:pPr>
              <w:adjustRightInd w:val="0"/>
              <w:snapToGrid w:val="0"/>
              <w:jc w:val="center"/>
              <w:rPr>
                <w:rFonts w:hint="eastAsia" w:ascii="宋体" w:hAnsi="宋体"/>
                <w:color w:val="auto"/>
                <w:szCs w:val="21"/>
              </w:rPr>
            </w:pPr>
          </w:p>
        </w:tc>
        <w:tc>
          <w:tcPr>
            <w:tcW w:w="1742" w:type="dxa"/>
            <w:vAlign w:val="center"/>
          </w:tcPr>
          <w:p w14:paraId="13C90C8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2E291EC5">
            <w:pPr>
              <w:rPr>
                <w:rFonts w:hint="eastAsia"/>
                <w:color w:val="auto"/>
              </w:rPr>
            </w:pPr>
          </w:p>
        </w:tc>
      </w:tr>
      <w:tr w14:paraId="5DE36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6605D1A">
            <w:pPr>
              <w:adjustRightInd w:val="0"/>
              <w:snapToGrid w:val="0"/>
              <w:jc w:val="center"/>
              <w:rPr>
                <w:rFonts w:ascii="宋体" w:hAnsi="宋体"/>
                <w:color w:val="auto"/>
                <w:szCs w:val="21"/>
              </w:rPr>
            </w:pPr>
            <w:r>
              <w:rPr>
                <w:rFonts w:hint="eastAsia" w:ascii="宋体" w:hAnsi="宋体"/>
                <w:color w:val="auto"/>
                <w:szCs w:val="21"/>
              </w:rPr>
              <w:t>第二节</w:t>
            </w:r>
          </w:p>
          <w:p w14:paraId="4DE729F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41084B6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D04150F">
            <w:pPr>
              <w:rPr>
                <w:rFonts w:hint="eastAsia"/>
                <w:color w:val="auto"/>
              </w:rPr>
            </w:pPr>
          </w:p>
        </w:tc>
      </w:tr>
      <w:tr w14:paraId="25805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1B8A23">
            <w:pPr>
              <w:adjustRightInd w:val="0"/>
              <w:snapToGrid w:val="0"/>
              <w:jc w:val="center"/>
              <w:rPr>
                <w:rFonts w:ascii="宋体" w:hAnsi="宋体"/>
                <w:color w:val="auto"/>
                <w:szCs w:val="21"/>
              </w:rPr>
            </w:pPr>
            <w:r>
              <w:rPr>
                <w:rFonts w:hint="eastAsia" w:ascii="宋体" w:hAnsi="宋体"/>
                <w:color w:val="auto"/>
                <w:szCs w:val="21"/>
              </w:rPr>
              <w:t>第二节</w:t>
            </w:r>
          </w:p>
          <w:p w14:paraId="203A6E2C">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CC9C18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179A8376">
            <w:pPr>
              <w:rPr>
                <w:rFonts w:hint="eastAsia"/>
                <w:color w:val="auto"/>
              </w:rPr>
            </w:pPr>
          </w:p>
        </w:tc>
      </w:tr>
      <w:tr w14:paraId="16382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863239">
            <w:pPr>
              <w:adjustRightInd w:val="0"/>
              <w:snapToGrid w:val="0"/>
              <w:jc w:val="center"/>
              <w:rPr>
                <w:rFonts w:ascii="宋体" w:hAnsi="宋体"/>
                <w:color w:val="auto"/>
                <w:szCs w:val="21"/>
              </w:rPr>
            </w:pPr>
            <w:r>
              <w:rPr>
                <w:rFonts w:hint="eastAsia" w:ascii="宋体" w:hAnsi="宋体"/>
                <w:color w:val="auto"/>
                <w:szCs w:val="21"/>
              </w:rPr>
              <w:t>第二节</w:t>
            </w:r>
          </w:p>
          <w:p w14:paraId="3F9D5BB1">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550A7384">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36D4DB3D">
            <w:pPr>
              <w:autoSpaceDE w:val="0"/>
              <w:autoSpaceDN w:val="0"/>
              <w:adjustRightInd w:val="0"/>
              <w:snapToGrid w:val="0"/>
              <w:ind w:firstLine="420" w:firstLineChars="200"/>
              <w:jc w:val="left"/>
              <w:rPr>
                <w:rFonts w:ascii="宋体" w:hAnsi="宋体"/>
                <w:color w:val="auto"/>
                <w:szCs w:val="21"/>
              </w:rPr>
            </w:pPr>
          </w:p>
        </w:tc>
      </w:tr>
      <w:tr w14:paraId="0254E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C7598">
            <w:pPr>
              <w:adjustRightInd w:val="0"/>
              <w:snapToGrid w:val="0"/>
              <w:jc w:val="center"/>
              <w:rPr>
                <w:rFonts w:ascii="宋体" w:hAnsi="宋体"/>
                <w:color w:val="auto"/>
                <w:szCs w:val="21"/>
              </w:rPr>
            </w:pPr>
            <w:r>
              <w:rPr>
                <w:rFonts w:hint="eastAsia" w:ascii="宋体" w:hAnsi="宋体"/>
                <w:color w:val="auto"/>
                <w:szCs w:val="21"/>
              </w:rPr>
              <w:t>第二节</w:t>
            </w:r>
          </w:p>
          <w:p w14:paraId="184C67CA">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1DA180E7">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464E8809">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10F89B03">
            <w:pPr>
              <w:adjustRightInd w:val="0"/>
              <w:snapToGrid w:val="0"/>
              <w:jc w:val="left"/>
              <w:rPr>
                <w:rFonts w:ascii="宋体" w:hAnsi="宋体"/>
                <w:color w:val="auto"/>
                <w:szCs w:val="21"/>
              </w:rPr>
            </w:pPr>
          </w:p>
        </w:tc>
      </w:tr>
      <w:tr w14:paraId="36E7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1773A3">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31E01260">
            <w:pPr>
              <w:pStyle w:val="37"/>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1CEAB89">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70090C12">
            <w:pPr>
              <w:adjustRightInd w:val="0"/>
              <w:snapToGrid w:val="0"/>
              <w:jc w:val="left"/>
              <w:rPr>
                <w:rFonts w:ascii="宋体" w:hAnsi="宋体"/>
                <w:color w:val="auto"/>
                <w:szCs w:val="21"/>
              </w:rPr>
            </w:pPr>
          </w:p>
        </w:tc>
      </w:tr>
      <w:tr w14:paraId="6C6D0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BC3DDE">
            <w:pPr>
              <w:adjustRightInd w:val="0"/>
              <w:snapToGrid w:val="0"/>
              <w:jc w:val="center"/>
              <w:rPr>
                <w:rFonts w:ascii="宋体" w:hAnsi="宋体"/>
                <w:color w:val="auto"/>
                <w:szCs w:val="21"/>
              </w:rPr>
            </w:pPr>
            <w:r>
              <w:rPr>
                <w:rFonts w:hint="eastAsia" w:ascii="宋体" w:hAnsi="宋体"/>
                <w:color w:val="auto"/>
                <w:szCs w:val="21"/>
              </w:rPr>
              <w:t>第二节</w:t>
            </w:r>
          </w:p>
          <w:p w14:paraId="382ACC5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020876C">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5F970BAD">
            <w:pPr>
              <w:adjustRightInd w:val="0"/>
              <w:snapToGrid w:val="0"/>
              <w:jc w:val="left"/>
              <w:rPr>
                <w:rFonts w:ascii="宋体" w:hAnsi="宋体"/>
                <w:color w:val="auto"/>
                <w:szCs w:val="21"/>
              </w:rPr>
            </w:pPr>
          </w:p>
        </w:tc>
      </w:tr>
      <w:tr w14:paraId="086AD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FE8191">
            <w:pPr>
              <w:adjustRightInd w:val="0"/>
              <w:snapToGrid w:val="0"/>
              <w:jc w:val="center"/>
              <w:rPr>
                <w:rFonts w:hint="eastAsia" w:ascii="宋体" w:hAnsi="宋体"/>
                <w:color w:val="auto"/>
                <w:szCs w:val="21"/>
              </w:rPr>
            </w:pPr>
            <w:r>
              <w:rPr>
                <w:rFonts w:hint="eastAsia" w:ascii="宋体" w:hAnsi="宋体"/>
                <w:color w:val="auto"/>
                <w:szCs w:val="21"/>
              </w:rPr>
              <w:t>第二节</w:t>
            </w:r>
          </w:p>
          <w:p w14:paraId="4743BFB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323DFAC7">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7EFA5847">
            <w:pPr>
              <w:adjustRightInd w:val="0"/>
              <w:snapToGrid w:val="0"/>
              <w:jc w:val="left"/>
              <w:rPr>
                <w:rFonts w:ascii="宋体" w:hAnsi="宋体"/>
                <w:color w:val="auto"/>
                <w:szCs w:val="21"/>
              </w:rPr>
            </w:pPr>
          </w:p>
        </w:tc>
      </w:tr>
      <w:tr w14:paraId="39BF7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315FDA">
            <w:pPr>
              <w:adjustRightInd w:val="0"/>
              <w:snapToGrid w:val="0"/>
              <w:jc w:val="center"/>
              <w:rPr>
                <w:rFonts w:hint="eastAsia" w:ascii="宋体" w:hAnsi="宋体"/>
                <w:color w:val="auto"/>
                <w:szCs w:val="21"/>
              </w:rPr>
            </w:pPr>
            <w:r>
              <w:rPr>
                <w:rFonts w:hint="eastAsia" w:ascii="宋体" w:hAnsi="宋体"/>
                <w:color w:val="auto"/>
                <w:szCs w:val="21"/>
              </w:rPr>
              <w:t>第二节</w:t>
            </w:r>
          </w:p>
          <w:p w14:paraId="1796CE40">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2355F2AB">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107B1A12">
            <w:pPr>
              <w:adjustRightInd w:val="0"/>
              <w:snapToGrid w:val="0"/>
              <w:jc w:val="left"/>
              <w:rPr>
                <w:rFonts w:ascii="宋体" w:hAnsi="宋体"/>
                <w:color w:val="auto"/>
                <w:szCs w:val="21"/>
              </w:rPr>
            </w:pPr>
          </w:p>
        </w:tc>
      </w:tr>
      <w:tr w14:paraId="7EF05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BD66D03">
            <w:pPr>
              <w:adjustRightInd w:val="0"/>
              <w:snapToGrid w:val="0"/>
              <w:jc w:val="center"/>
              <w:rPr>
                <w:rFonts w:ascii="宋体" w:hAnsi="宋体"/>
                <w:color w:val="auto"/>
                <w:szCs w:val="21"/>
              </w:rPr>
            </w:pPr>
            <w:r>
              <w:rPr>
                <w:rFonts w:hint="eastAsia" w:ascii="宋体" w:hAnsi="宋体"/>
                <w:color w:val="auto"/>
                <w:szCs w:val="21"/>
              </w:rPr>
              <w:t>第二节</w:t>
            </w:r>
          </w:p>
          <w:p w14:paraId="216292B6">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BF11FF1">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6005D359">
            <w:pPr>
              <w:adjustRightInd w:val="0"/>
              <w:snapToGrid w:val="0"/>
              <w:jc w:val="left"/>
              <w:rPr>
                <w:rFonts w:ascii="宋体" w:hAnsi="宋体"/>
                <w:color w:val="auto"/>
                <w:szCs w:val="21"/>
              </w:rPr>
            </w:pPr>
          </w:p>
        </w:tc>
      </w:tr>
      <w:tr w14:paraId="1E83D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6159923">
            <w:pPr>
              <w:adjustRightInd w:val="0"/>
              <w:snapToGrid w:val="0"/>
              <w:jc w:val="center"/>
              <w:rPr>
                <w:rFonts w:ascii="宋体" w:hAnsi="宋体"/>
                <w:color w:val="auto"/>
                <w:szCs w:val="21"/>
              </w:rPr>
            </w:pPr>
            <w:r>
              <w:rPr>
                <w:rFonts w:hint="eastAsia" w:ascii="宋体" w:hAnsi="宋体"/>
                <w:color w:val="auto"/>
                <w:szCs w:val="21"/>
              </w:rPr>
              <w:t>第二节</w:t>
            </w:r>
          </w:p>
          <w:p w14:paraId="30868E57">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26C2BA4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444548F7">
            <w:pPr>
              <w:adjustRightInd w:val="0"/>
              <w:snapToGrid w:val="0"/>
              <w:jc w:val="left"/>
              <w:rPr>
                <w:rFonts w:ascii="宋体" w:hAnsi="宋体"/>
                <w:color w:val="auto"/>
                <w:szCs w:val="21"/>
              </w:rPr>
            </w:pPr>
          </w:p>
        </w:tc>
      </w:tr>
      <w:tr w14:paraId="55F37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A6132">
            <w:pPr>
              <w:adjustRightInd w:val="0"/>
              <w:snapToGrid w:val="0"/>
              <w:jc w:val="center"/>
              <w:rPr>
                <w:rFonts w:ascii="宋体" w:hAnsi="宋体"/>
                <w:color w:val="auto"/>
                <w:szCs w:val="21"/>
              </w:rPr>
            </w:pPr>
            <w:r>
              <w:rPr>
                <w:rFonts w:hint="eastAsia" w:ascii="宋体" w:hAnsi="宋体"/>
                <w:color w:val="auto"/>
                <w:szCs w:val="21"/>
              </w:rPr>
              <w:t>第二节</w:t>
            </w:r>
          </w:p>
          <w:p w14:paraId="1F251984">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B8BAA44">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01E3148">
            <w:pPr>
              <w:adjustRightInd w:val="0"/>
              <w:snapToGrid w:val="0"/>
              <w:jc w:val="left"/>
              <w:rPr>
                <w:rFonts w:ascii="宋体" w:hAnsi="宋体"/>
                <w:color w:val="auto"/>
                <w:szCs w:val="21"/>
              </w:rPr>
            </w:pPr>
          </w:p>
        </w:tc>
      </w:tr>
      <w:tr w14:paraId="23A29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18084">
            <w:pPr>
              <w:adjustRightInd w:val="0"/>
              <w:snapToGrid w:val="0"/>
              <w:jc w:val="center"/>
              <w:rPr>
                <w:rFonts w:ascii="宋体" w:hAnsi="宋体"/>
                <w:color w:val="auto"/>
                <w:szCs w:val="21"/>
              </w:rPr>
            </w:pPr>
            <w:r>
              <w:rPr>
                <w:rFonts w:hint="eastAsia" w:ascii="宋体" w:hAnsi="宋体"/>
                <w:color w:val="auto"/>
                <w:szCs w:val="21"/>
              </w:rPr>
              <w:t>第二节</w:t>
            </w:r>
          </w:p>
          <w:p w14:paraId="56FE93F1">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52B5B41">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21EE17EA">
            <w:pPr>
              <w:adjustRightInd w:val="0"/>
              <w:snapToGrid w:val="0"/>
              <w:jc w:val="left"/>
              <w:rPr>
                <w:rFonts w:ascii="宋体" w:hAnsi="宋体"/>
                <w:color w:val="auto"/>
                <w:szCs w:val="21"/>
              </w:rPr>
            </w:pPr>
          </w:p>
        </w:tc>
      </w:tr>
      <w:tr w14:paraId="2EE3F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CFF2CD">
            <w:pPr>
              <w:adjustRightInd w:val="0"/>
              <w:snapToGrid w:val="0"/>
              <w:jc w:val="center"/>
              <w:rPr>
                <w:rFonts w:ascii="宋体" w:hAnsi="宋体"/>
                <w:color w:val="auto"/>
                <w:szCs w:val="21"/>
              </w:rPr>
            </w:pPr>
            <w:r>
              <w:rPr>
                <w:rFonts w:hint="eastAsia" w:ascii="宋体" w:hAnsi="宋体"/>
                <w:color w:val="auto"/>
                <w:szCs w:val="21"/>
              </w:rPr>
              <w:t>第二节</w:t>
            </w:r>
          </w:p>
          <w:p w14:paraId="4626B618">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3DF2D15B">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1E05442F">
            <w:pPr>
              <w:adjustRightInd w:val="0"/>
              <w:snapToGrid w:val="0"/>
              <w:jc w:val="left"/>
              <w:rPr>
                <w:rFonts w:ascii="宋体" w:hAnsi="宋体"/>
                <w:color w:val="auto"/>
                <w:szCs w:val="21"/>
                <w:u w:val="single"/>
              </w:rPr>
            </w:pPr>
          </w:p>
        </w:tc>
      </w:tr>
      <w:tr w14:paraId="170F0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EEB411">
            <w:pPr>
              <w:adjustRightInd w:val="0"/>
              <w:snapToGrid w:val="0"/>
              <w:jc w:val="center"/>
              <w:rPr>
                <w:rFonts w:ascii="宋体" w:hAnsi="宋体"/>
                <w:color w:val="auto"/>
                <w:szCs w:val="21"/>
              </w:rPr>
            </w:pPr>
            <w:r>
              <w:rPr>
                <w:rFonts w:hint="eastAsia" w:ascii="宋体" w:hAnsi="宋体"/>
                <w:color w:val="auto"/>
                <w:szCs w:val="21"/>
              </w:rPr>
              <w:t>第二节</w:t>
            </w:r>
          </w:p>
          <w:p w14:paraId="581B05A2">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C5433B5">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1BB94246">
            <w:pPr>
              <w:adjustRightInd w:val="0"/>
              <w:snapToGrid w:val="0"/>
              <w:jc w:val="left"/>
              <w:rPr>
                <w:rFonts w:ascii="宋体" w:hAnsi="宋体"/>
                <w:color w:val="auto"/>
                <w:szCs w:val="21"/>
                <w:u w:val="single"/>
              </w:rPr>
            </w:pPr>
          </w:p>
        </w:tc>
      </w:tr>
      <w:tr w14:paraId="228CA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16AD9D8">
            <w:pPr>
              <w:adjustRightInd w:val="0"/>
              <w:snapToGrid w:val="0"/>
              <w:jc w:val="center"/>
              <w:rPr>
                <w:rFonts w:ascii="宋体" w:hAnsi="宋体"/>
                <w:color w:val="auto"/>
                <w:szCs w:val="21"/>
              </w:rPr>
            </w:pPr>
            <w:r>
              <w:rPr>
                <w:rFonts w:hint="eastAsia" w:ascii="宋体" w:hAnsi="宋体"/>
                <w:color w:val="auto"/>
                <w:szCs w:val="21"/>
              </w:rPr>
              <w:t>第二节</w:t>
            </w:r>
          </w:p>
          <w:p w14:paraId="68E55079">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A562589">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3F628FC">
            <w:pPr>
              <w:adjustRightInd w:val="0"/>
              <w:snapToGrid w:val="0"/>
              <w:jc w:val="left"/>
              <w:rPr>
                <w:rFonts w:ascii="宋体" w:hAnsi="宋体"/>
                <w:color w:val="auto"/>
                <w:szCs w:val="21"/>
                <w:u w:val="single"/>
              </w:rPr>
            </w:pPr>
          </w:p>
        </w:tc>
      </w:tr>
      <w:tr w14:paraId="75BD1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B6862EE">
            <w:pPr>
              <w:adjustRightInd w:val="0"/>
              <w:snapToGrid w:val="0"/>
              <w:jc w:val="center"/>
              <w:rPr>
                <w:rFonts w:ascii="宋体" w:hAnsi="宋体"/>
                <w:color w:val="auto"/>
                <w:szCs w:val="21"/>
              </w:rPr>
            </w:pPr>
            <w:r>
              <w:rPr>
                <w:rFonts w:hint="eastAsia" w:ascii="宋体" w:hAnsi="宋体"/>
                <w:color w:val="auto"/>
                <w:szCs w:val="21"/>
              </w:rPr>
              <w:t>第二节</w:t>
            </w:r>
          </w:p>
          <w:p w14:paraId="612C68BF">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E7F03E3">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6CFDEE4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17D7EA4F">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5B8B635B">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60B5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8C2AB6">
            <w:pPr>
              <w:adjustRightInd w:val="0"/>
              <w:snapToGrid w:val="0"/>
              <w:jc w:val="center"/>
              <w:rPr>
                <w:rFonts w:ascii="宋体" w:hAnsi="宋体"/>
                <w:color w:val="auto"/>
                <w:szCs w:val="21"/>
              </w:rPr>
            </w:pPr>
            <w:r>
              <w:rPr>
                <w:rFonts w:hint="eastAsia" w:ascii="宋体" w:hAnsi="宋体"/>
                <w:color w:val="auto"/>
                <w:szCs w:val="21"/>
              </w:rPr>
              <w:t>第二节</w:t>
            </w:r>
          </w:p>
          <w:p w14:paraId="36078BFF">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2121262C">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29846C69">
            <w:pPr>
              <w:adjustRightInd w:val="0"/>
              <w:snapToGrid w:val="0"/>
              <w:jc w:val="left"/>
              <w:rPr>
                <w:rFonts w:hint="default" w:ascii="宋体" w:hAnsi="宋体" w:eastAsia="宋体"/>
                <w:color w:val="auto"/>
                <w:szCs w:val="21"/>
                <w:lang w:val="en-US" w:eastAsia="zh-CN"/>
              </w:rPr>
            </w:pPr>
          </w:p>
        </w:tc>
      </w:tr>
    </w:tbl>
    <w:p w14:paraId="22CB192D">
      <w:pPr>
        <w:rPr>
          <w:color w:val="auto"/>
        </w:rPr>
      </w:pPr>
    </w:p>
    <w:p w14:paraId="4EC83353">
      <w:pPr>
        <w:rPr>
          <w:color w:val="auto"/>
        </w:rPr>
      </w:pPr>
    </w:p>
    <w:p w14:paraId="38D8B06E">
      <w:pPr>
        <w:ind w:firstLine="361" w:firstLineChars="150"/>
        <w:rPr>
          <w:rFonts w:hint="eastAsia" w:ascii="仿宋" w:hAnsi="仿宋" w:eastAsia="仿宋" w:cs="仿宋"/>
          <w:b/>
          <w:bCs w:val="0"/>
          <w:color w:val="auto"/>
          <w:sz w:val="24"/>
          <w:szCs w:val="24"/>
          <w:highlight w:val="none"/>
        </w:rPr>
      </w:pPr>
    </w:p>
    <w:sectPr>
      <w:headerReference r:id="rId13" w:type="default"/>
      <w:footerReference r:id="rId1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 w:name="Adobe 仿宋 Std R">
    <w:altName w:val="仿宋"/>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1D52">
    <w:pPr>
      <w:pStyle w:val="16"/>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3034D1">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A3034D1">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92EF">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496F9B">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11496F9B">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p w14:paraId="0F9A2AE7">
    <w:pPr>
      <w:pStyle w:val="1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9BC7">
    <w:pPr>
      <w:pStyle w:val="11"/>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3698875</wp:posOffset>
              </wp:positionH>
              <wp:positionV relativeFrom="page">
                <wp:posOffset>9928860</wp:posOffset>
              </wp:positionV>
              <wp:extent cx="164465" cy="139700"/>
              <wp:effectExtent l="0" t="0" r="0" b="0"/>
              <wp:wrapNone/>
              <wp:docPr id="29" name="文本框 11"/>
              <wp:cNvGraphicFramePr/>
              <a:graphic xmlns:a="http://schemas.openxmlformats.org/drawingml/2006/main">
                <a:graphicData uri="http://schemas.microsoft.com/office/word/2010/wordprocessingShape">
                  <wps:wsp>
                    <wps:cNvSpPr txBox="1"/>
                    <wps:spPr>
                      <a:xfrm>
                        <a:off x="0" y="0"/>
                        <a:ext cx="164465" cy="139700"/>
                      </a:xfrm>
                      <a:prstGeom prst="rect">
                        <a:avLst/>
                      </a:prstGeom>
                      <a:noFill/>
                      <a:ln>
                        <a:noFill/>
                      </a:ln>
                    </wps:spPr>
                    <wps:txbx>
                      <w:txbxContent>
                        <w:p w14:paraId="060B89BA">
                          <w:pPr>
                            <w:spacing w:before="0" w:line="220" w:lineRule="exact"/>
                            <w:ind w:left="40" w:right="0" w:firstLine="0"/>
                            <w:jc w:val="left"/>
                            <w:rPr>
                              <w:sz w:val="18"/>
                            </w:rPr>
                          </w:pPr>
                          <w:r>
                            <w:fldChar w:fldCharType="begin"/>
                          </w:r>
                          <w:r>
                            <w:rPr>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25pt;margin-top:781.8pt;height:11pt;width:12.95pt;mso-position-horizontal-relative:page;mso-position-vertical-relative:page;z-index:-251652096;mso-width-relative:page;mso-height-relative:page;" filled="f" stroked="f" coordsize="21600,21600" o:gfxdata="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Cii2gAAAA0BAAAPAAAAAAAAAAEAIAAAACIAAABkcnMvZG93bnJldi54bWxQ&#10;SwECFAAUAAAACACHTuJAQ7gmf7wBAABzAwAADgAAAAAAAAABACAAAAApAQAAZHJzL2Uyb0RvYy54&#10;bWxQSwUGAAAAAAYABgBZAQAAVwUAAAAA&#10;">
              <v:fill on="f" focussize="0,0"/>
              <v:stroke on="f"/>
              <v:imagedata o:title=""/>
              <o:lock v:ext="edit" aspectratio="f"/>
              <v:textbox inset="0mm,0mm,0mm,0mm">
                <w:txbxContent>
                  <w:p w14:paraId="060B89BA">
                    <w:pPr>
                      <w:spacing w:before="0" w:line="220" w:lineRule="exact"/>
                      <w:ind w:left="40" w:right="0" w:firstLine="0"/>
                      <w:jc w:val="left"/>
                      <w:rPr>
                        <w:sz w:val="18"/>
                      </w:rPr>
                    </w:pPr>
                    <w:r>
                      <w:fldChar w:fldCharType="begin"/>
                    </w:r>
                    <w:r>
                      <w:rPr>
                        <w:sz w:val="18"/>
                      </w:rPr>
                      <w:instrText xml:space="preserve"> PAGE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4131">
    <w:pPr>
      <w:pStyle w:val="16"/>
      <w:framePr w:wrap="around" w:vAnchor="text" w:hAnchor="margin" w:xAlign="center" w:y="1"/>
      <w:rPr>
        <w:rStyle w:val="31"/>
      </w:rPr>
    </w:pPr>
    <w:r>
      <w:fldChar w:fldCharType="begin"/>
    </w:r>
    <w:r>
      <w:rPr>
        <w:rStyle w:val="31"/>
      </w:rPr>
      <w:instrText xml:space="preserve">PAGE  </w:instrText>
    </w:r>
    <w:r>
      <w:fldChar w:fldCharType="end"/>
    </w:r>
  </w:p>
  <w:p w14:paraId="3C5B9DB1">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90C5">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8092">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951E4A">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10951E4A">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p w14:paraId="43DBFC03">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0B7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69BB">
    <w:pPr>
      <w:pStyle w:val="1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AB2B">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88B">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ECE1">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DE4">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0BCB5"/>
    <w:multiLevelType w:val="singleLevel"/>
    <w:tmpl w:val="8050BCB5"/>
    <w:lvl w:ilvl="0" w:tentative="0">
      <w:start w:val="1"/>
      <w:numFmt w:val="decimal"/>
      <w:lvlText w:val="%1)"/>
      <w:lvlJc w:val="left"/>
      <w:pPr>
        <w:ind w:left="425" w:hanging="425"/>
      </w:pPr>
      <w:rPr>
        <w:rFonts w:hint="default"/>
      </w:rPr>
    </w:lvl>
  </w:abstractNum>
  <w:abstractNum w:abstractNumId="1">
    <w:nsid w:val="88A52D3E"/>
    <w:multiLevelType w:val="singleLevel"/>
    <w:tmpl w:val="88A52D3E"/>
    <w:lvl w:ilvl="0" w:tentative="0">
      <w:start w:val="1"/>
      <w:numFmt w:val="decimal"/>
      <w:lvlText w:val="(%1)"/>
      <w:lvlJc w:val="left"/>
      <w:pPr>
        <w:ind w:left="425" w:hanging="425"/>
      </w:pPr>
      <w:rPr>
        <w:rFonts w:hint="default"/>
      </w:rPr>
    </w:lvl>
  </w:abstractNum>
  <w:abstractNum w:abstractNumId="2">
    <w:nsid w:val="88D43345"/>
    <w:multiLevelType w:val="singleLevel"/>
    <w:tmpl w:val="88D43345"/>
    <w:lvl w:ilvl="0" w:tentative="0">
      <w:start w:val="1"/>
      <w:numFmt w:val="chineseCounting"/>
      <w:suff w:val="nothing"/>
      <w:lvlText w:val="（%1）"/>
      <w:lvlJc w:val="left"/>
      <w:pPr>
        <w:ind w:left="210" w:firstLine="420"/>
      </w:pPr>
      <w:rPr>
        <w:rFonts w:hint="eastAsia"/>
      </w:rPr>
    </w:lvl>
  </w:abstractNum>
  <w:abstractNum w:abstractNumId="3">
    <w:nsid w:val="98A3D626"/>
    <w:multiLevelType w:val="singleLevel"/>
    <w:tmpl w:val="98A3D626"/>
    <w:lvl w:ilvl="0" w:tentative="0">
      <w:start w:val="1"/>
      <w:numFmt w:val="decimal"/>
      <w:lvlText w:val="%1)"/>
      <w:lvlJc w:val="left"/>
      <w:pPr>
        <w:ind w:left="425" w:hanging="425"/>
      </w:pPr>
      <w:rPr>
        <w:rFonts w:hint="default"/>
      </w:rPr>
    </w:lvl>
  </w:abstractNum>
  <w:abstractNum w:abstractNumId="4">
    <w:nsid w:val="9A006675"/>
    <w:multiLevelType w:val="singleLevel"/>
    <w:tmpl w:val="9A006675"/>
    <w:lvl w:ilvl="0" w:tentative="0">
      <w:start w:val="1"/>
      <w:numFmt w:val="decimalEnclosedCircleChinese"/>
      <w:suff w:val="nothing"/>
      <w:lvlText w:val="%1　"/>
      <w:lvlJc w:val="left"/>
      <w:pPr>
        <w:ind w:left="0" w:firstLine="400"/>
      </w:pPr>
      <w:rPr>
        <w:rFonts w:hint="eastAsia"/>
      </w:rPr>
    </w:lvl>
  </w:abstractNum>
  <w:abstractNum w:abstractNumId="5">
    <w:nsid w:val="A24FA560"/>
    <w:multiLevelType w:val="singleLevel"/>
    <w:tmpl w:val="A24FA560"/>
    <w:lvl w:ilvl="0" w:tentative="0">
      <w:start w:val="1"/>
      <w:numFmt w:val="decimal"/>
      <w:lvlText w:val="%1."/>
      <w:lvlJc w:val="left"/>
      <w:pPr>
        <w:ind w:left="425" w:hanging="425"/>
      </w:pPr>
      <w:rPr>
        <w:rFonts w:hint="default"/>
      </w:rPr>
    </w:lvl>
  </w:abstractNum>
  <w:abstractNum w:abstractNumId="6">
    <w:nsid w:val="A677E709"/>
    <w:multiLevelType w:val="singleLevel"/>
    <w:tmpl w:val="A677E709"/>
    <w:lvl w:ilvl="0" w:tentative="0">
      <w:start w:val="1"/>
      <w:numFmt w:val="decimal"/>
      <w:lvlText w:val="(%1)"/>
      <w:lvlJc w:val="left"/>
      <w:pPr>
        <w:ind w:left="425" w:hanging="425"/>
      </w:pPr>
      <w:rPr>
        <w:rFonts w:hint="default"/>
      </w:rPr>
    </w:lvl>
  </w:abstractNum>
  <w:abstractNum w:abstractNumId="7">
    <w:nsid w:val="AE44E9F2"/>
    <w:multiLevelType w:val="singleLevel"/>
    <w:tmpl w:val="AE44E9F2"/>
    <w:lvl w:ilvl="0" w:tentative="0">
      <w:start w:val="1"/>
      <w:numFmt w:val="decimal"/>
      <w:lvlText w:val="%1)"/>
      <w:lvlJc w:val="left"/>
      <w:pPr>
        <w:ind w:left="425" w:hanging="425"/>
      </w:pPr>
      <w:rPr>
        <w:rFonts w:hint="default"/>
      </w:rPr>
    </w:lvl>
  </w:abstractNum>
  <w:abstractNum w:abstractNumId="8">
    <w:nsid w:val="B2922DDA"/>
    <w:multiLevelType w:val="singleLevel"/>
    <w:tmpl w:val="B2922DDA"/>
    <w:lvl w:ilvl="0" w:tentative="0">
      <w:start w:val="1"/>
      <w:numFmt w:val="decimal"/>
      <w:suff w:val="space"/>
      <w:lvlText w:val="%1)"/>
      <w:lvlJc w:val="left"/>
    </w:lvl>
  </w:abstractNum>
  <w:abstractNum w:abstractNumId="9">
    <w:nsid w:val="BF6BC116"/>
    <w:multiLevelType w:val="singleLevel"/>
    <w:tmpl w:val="BF6BC116"/>
    <w:lvl w:ilvl="0" w:tentative="0">
      <w:start w:val="16"/>
      <w:numFmt w:val="decimal"/>
      <w:suff w:val="space"/>
      <w:lvlText w:val="%1."/>
      <w:lvlJc w:val="left"/>
    </w:lvl>
  </w:abstractNum>
  <w:abstractNum w:abstractNumId="10">
    <w:nsid w:val="C65FE6D8"/>
    <w:multiLevelType w:val="singleLevel"/>
    <w:tmpl w:val="C65FE6D8"/>
    <w:lvl w:ilvl="0" w:tentative="0">
      <w:start w:val="1"/>
      <w:numFmt w:val="chineseCounting"/>
      <w:suff w:val="nothing"/>
      <w:lvlText w:val="%1、"/>
      <w:lvlJc w:val="left"/>
      <w:pPr>
        <w:ind w:left="0" w:firstLine="420"/>
      </w:pPr>
      <w:rPr>
        <w:rFonts w:hint="eastAsia"/>
      </w:rPr>
    </w:lvl>
  </w:abstractNum>
  <w:abstractNum w:abstractNumId="11">
    <w:nsid w:val="CFE7C3F8"/>
    <w:multiLevelType w:val="singleLevel"/>
    <w:tmpl w:val="CFE7C3F8"/>
    <w:lvl w:ilvl="0" w:tentative="0">
      <w:start w:val="1"/>
      <w:numFmt w:val="decimal"/>
      <w:suff w:val="nothing"/>
      <w:lvlText w:val="（%1）"/>
      <w:lvlJc w:val="left"/>
    </w:lvl>
  </w:abstractNum>
  <w:abstractNum w:abstractNumId="12">
    <w:nsid w:val="D1BF2829"/>
    <w:multiLevelType w:val="singleLevel"/>
    <w:tmpl w:val="D1BF2829"/>
    <w:lvl w:ilvl="0" w:tentative="0">
      <w:start w:val="1"/>
      <w:numFmt w:val="decimal"/>
      <w:suff w:val="nothing"/>
      <w:lvlText w:val="（%1）"/>
      <w:lvlJc w:val="left"/>
    </w:lvl>
  </w:abstractNum>
  <w:abstractNum w:abstractNumId="13">
    <w:nsid w:val="D48A4687"/>
    <w:multiLevelType w:val="singleLevel"/>
    <w:tmpl w:val="D48A4687"/>
    <w:lvl w:ilvl="0" w:tentative="0">
      <w:start w:val="1"/>
      <w:numFmt w:val="decimalEnclosedCircleChinese"/>
      <w:suff w:val="nothing"/>
      <w:lvlText w:val="%1　"/>
      <w:lvlJc w:val="left"/>
      <w:pPr>
        <w:ind w:left="0" w:firstLine="400"/>
      </w:pPr>
      <w:rPr>
        <w:rFonts w:hint="eastAsia"/>
      </w:rPr>
    </w:lvl>
  </w:abstractNum>
  <w:abstractNum w:abstractNumId="14">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5">
    <w:nsid w:val="D67593C9"/>
    <w:multiLevelType w:val="singleLevel"/>
    <w:tmpl w:val="D67593C9"/>
    <w:lvl w:ilvl="0" w:tentative="0">
      <w:start w:val="1"/>
      <w:numFmt w:val="decimal"/>
      <w:lvlText w:val="%1)"/>
      <w:lvlJc w:val="left"/>
      <w:pPr>
        <w:ind w:left="425" w:hanging="425"/>
      </w:pPr>
      <w:rPr>
        <w:rFonts w:hint="default"/>
      </w:rPr>
    </w:lvl>
  </w:abstractNum>
  <w:abstractNum w:abstractNumId="16">
    <w:nsid w:val="DCB08325"/>
    <w:multiLevelType w:val="singleLevel"/>
    <w:tmpl w:val="DCB08325"/>
    <w:lvl w:ilvl="0" w:tentative="0">
      <w:start w:val="1"/>
      <w:numFmt w:val="decimal"/>
      <w:suff w:val="nothing"/>
      <w:lvlText w:val="%1．"/>
      <w:lvlJc w:val="left"/>
      <w:pPr>
        <w:ind w:left="0" w:firstLine="400"/>
      </w:pPr>
      <w:rPr>
        <w:rFonts w:hint="default"/>
      </w:rPr>
    </w:lvl>
  </w:abstractNum>
  <w:abstractNum w:abstractNumId="17">
    <w:nsid w:val="DDECD3BC"/>
    <w:multiLevelType w:val="singleLevel"/>
    <w:tmpl w:val="DDECD3BC"/>
    <w:lvl w:ilvl="0" w:tentative="0">
      <w:start w:val="6"/>
      <w:numFmt w:val="decimal"/>
      <w:suff w:val="space"/>
      <w:lvlText w:val="%1."/>
      <w:lvlJc w:val="left"/>
    </w:lvl>
  </w:abstractNum>
  <w:abstractNum w:abstractNumId="18">
    <w:nsid w:val="DE759F4B"/>
    <w:multiLevelType w:val="singleLevel"/>
    <w:tmpl w:val="DE759F4B"/>
    <w:lvl w:ilvl="0" w:tentative="0">
      <w:start w:val="2"/>
      <w:numFmt w:val="decimal"/>
      <w:suff w:val="space"/>
      <w:lvlText w:val="%1."/>
      <w:lvlJc w:val="left"/>
    </w:lvl>
  </w:abstractNum>
  <w:abstractNum w:abstractNumId="19">
    <w:nsid w:val="DEABE1DB"/>
    <w:multiLevelType w:val="singleLevel"/>
    <w:tmpl w:val="DEABE1DB"/>
    <w:lvl w:ilvl="0" w:tentative="0">
      <w:start w:val="23"/>
      <w:numFmt w:val="decimal"/>
      <w:suff w:val="space"/>
      <w:lvlText w:val="%1."/>
      <w:lvlJc w:val="left"/>
    </w:lvl>
  </w:abstractNum>
  <w:abstractNum w:abstractNumId="20">
    <w:nsid w:val="F22F73E6"/>
    <w:multiLevelType w:val="singleLevel"/>
    <w:tmpl w:val="F22F73E6"/>
    <w:lvl w:ilvl="0" w:tentative="0">
      <w:start w:val="1"/>
      <w:numFmt w:val="decimal"/>
      <w:lvlText w:val="%1)"/>
      <w:lvlJc w:val="left"/>
      <w:pPr>
        <w:ind w:left="425" w:hanging="425"/>
      </w:pPr>
      <w:rPr>
        <w:rFonts w:hint="default"/>
      </w:rPr>
    </w:lvl>
  </w:abstractNum>
  <w:abstractNum w:abstractNumId="21">
    <w:nsid w:val="F4BACCE3"/>
    <w:multiLevelType w:val="singleLevel"/>
    <w:tmpl w:val="F4BACCE3"/>
    <w:lvl w:ilvl="0" w:tentative="0">
      <w:start w:val="1"/>
      <w:numFmt w:val="decimal"/>
      <w:lvlText w:val="%1."/>
      <w:lvlJc w:val="left"/>
      <w:pPr>
        <w:tabs>
          <w:tab w:val="left" w:pos="312"/>
        </w:tabs>
      </w:pPr>
    </w:lvl>
  </w:abstractNum>
  <w:abstractNum w:abstractNumId="22">
    <w:nsid w:val="FFEFC674"/>
    <w:multiLevelType w:val="singleLevel"/>
    <w:tmpl w:val="FFEFC674"/>
    <w:lvl w:ilvl="0" w:tentative="0">
      <w:start w:val="1"/>
      <w:numFmt w:val="decimal"/>
      <w:suff w:val="nothing"/>
      <w:lvlText w:val="（%1）"/>
      <w:lvlJc w:val="left"/>
    </w:lvl>
  </w:abstractNum>
  <w:abstractNum w:abstractNumId="23">
    <w:nsid w:val="FFEFF19A"/>
    <w:multiLevelType w:val="singleLevel"/>
    <w:tmpl w:val="FFEFF19A"/>
    <w:lvl w:ilvl="0" w:tentative="0">
      <w:start w:val="1"/>
      <w:numFmt w:val="decimal"/>
      <w:lvlText w:val="%1)"/>
      <w:lvlJc w:val="left"/>
      <w:pPr>
        <w:ind w:left="425" w:hanging="425"/>
      </w:pPr>
      <w:rPr>
        <w:rFonts w:hint="default"/>
      </w:rPr>
    </w:lvl>
  </w:abstractNum>
  <w:abstractNum w:abstractNumId="24">
    <w:nsid w:val="0245D7FF"/>
    <w:multiLevelType w:val="singleLevel"/>
    <w:tmpl w:val="0245D7FF"/>
    <w:lvl w:ilvl="0" w:tentative="0">
      <w:start w:val="1"/>
      <w:numFmt w:val="decimal"/>
      <w:suff w:val="nothing"/>
      <w:lvlText w:val="%1．"/>
      <w:lvlJc w:val="left"/>
      <w:pPr>
        <w:ind w:left="0" w:firstLine="400"/>
      </w:pPr>
      <w:rPr>
        <w:rFonts w:hint="default"/>
      </w:rPr>
    </w:lvl>
  </w:abstractNum>
  <w:abstractNum w:abstractNumId="25">
    <w:nsid w:val="0286DE11"/>
    <w:multiLevelType w:val="singleLevel"/>
    <w:tmpl w:val="0286DE11"/>
    <w:lvl w:ilvl="0" w:tentative="0">
      <w:start w:val="1"/>
      <w:numFmt w:val="decimal"/>
      <w:lvlText w:val="%1)"/>
      <w:lvlJc w:val="left"/>
      <w:pPr>
        <w:ind w:left="425" w:hanging="425"/>
      </w:pPr>
      <w:rPr>
        <w:rFonts w:hint="default"/>
      </w:rPr>
    </w:lvl>
  </w:abstractNum>
  <w:abstractNum w:abstractNumId="26">
    <w:nsid w:val="098FFD82"/>
    <w:multiLevelType w:val="singleLevel"/>
    <w:tmpl w:val="098FFD82"/>
    <w:lvl w:ilvl="0" w:tentative="0">
      <w:start w:val="1"/>
      <w:numFmt w:val="decimal"/>
      <w:suff w:val="nothing"/>
      <w:lvlText w:val="%1）"/>
      <w:lvlJc w:val="left"/>
    </w:lvl>
  </w:abstractNum>
  <w:abstractNum w:abstractNumId="27">
    <w:nsid w:val="15327D02"/>
    <w:multiLevelType w:val="singleLevel"/>
    <w:tmpl w:val="15327D02"/>
    <w:lvl w:ilvl="0" w:tentative="0">
      <w:start w:val="1"/>
      <w:numFmt w:val="decimal"/>
      <w:lvlText w:val="(%1)"/>
      <w:lvlJc w:val="left"/>
      <w:pPr>
        <w:ind w:left="425" w:hanging="425"/>
      </w:pPr>
      <w:rPr>
        <w:rFonts w:hint="default"/>
      </w:rPr>
    </w:lvl>
  </w:abstractNum>
  <w:abstractNum w:abstractNumId="28">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0">
    <w:nsid w:val="28B67608"/>
    <w:multiLevelType w:val="multilevel"/>
    <w:tmpl w:val="28B67608"/>
    <w:lvl w:ilvl="0" w:tentative="0">
      <w:start w:val="6"/>
      <w:numFmt w:val="decimal"/>
      <w:pStyle w:val="43"/>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1">
    <w:nsid w:val="3C9172A2"/>
    <w:multiLevelType w:val="singleLevel"/>
    <w:tmpl w:val="3C9172A2"/>
    <w:lvl w:ilvl="0" w:tentative="0">
      <w:start w:val="1"/>
      <w:numFmt w:val="decimalEnclosedCircleChinese"/>
      <w:suff w:val="nothing"/>
      <w:lvlText w:val="%1　"/>
      <w:lvlJc w:val="left"/>
      <w:pPr>
        <w:ind w:left="0" w:firstLine="400"/>
      </w:pPr>
      <w:rPr>
        <w:rFonts w:hint="eastAsia"/>
      </w:rPr>
    </w:lvl>
  </w:abstractNum>
  <w:abstractNum w:abstractNumId="32">
    <w:nsid w:val="3DDED605"/>
    <w:multiLevelType w:val="singleLevel"/>
    <w:tmpl w:val="3DDED605"/>
    <w:lvl w:ilvl="0" w:tentative="0">
      <w:start w:val="1"/>
      <w:numFmt w:val="decimal"/>
      <w:lvlText w:val="(%1)"/>
      <w:lvlJc w:val="left"/>
      <w:pPr>
        <w:ind w:left="425" w:hanging="425"/>
      </w:pPr>
      <w:rPr>
        <w:rFonts w:hint="default"/>
      </w:rPr>
    </w:lvl>
  </w:abstractNum>
  <w:abstractNum w:abstractNumId="33">
    <w:nsid w:val="42B05721"/>
    <w:multiLevelType w:val="singleLevel"/>
    <w:tmpl w:val="42B05721"/>
    <w:lvl w:ilvl="0" w:tentative="0">
      <w:start w:val="1"/>
      <w:numFmt w:val="decimalEnclosedCircleChinese"/>
      <w:suff w:val="nothing"/>
      <w:lvlText w:val="%1　"/>
      <w:lvlJc w:val="left"/>
      <w:pPr>
        <w:ind w:left="0" w:firstLine="400"/>
      </w:pPr>
      <w:rPr>
        <w:rFonts w:hint="eastAsia"/>
      </w:rPr>
    </w:lvl>
  </w:abstractNum>
  <w:abstractNum w:abstractNumId="34">
    <w:nsid w:val="44E04DCD"/>
    <w:multiLevelType w:val="singleLevel"/>
    <w:tmpl w:val="44E04DCD"/>
    <w:lvl w:ilvl="0" w:tentative="0">
      <w:start w:val="1"/>
      <w:numFmt w:val="decimal"/>
      <w:suff w:val="nothing"/>
      <w:lvlText w:val="%1．"/>
      <w:lvlJc w:val="left"/>
      <w:pPr>
        <w:ind w:left="0" w:firstLine="400"/>
      </w:pPr>
      <w:rPr>
        <w:rFonts w:hint="default"/>
      </w:rPr>
    </w:lvl>
  </w:abstractNum>
  <w:abstractNum w:abstractNumId="35">
    <w:nsid w:val="453B47FC"/>
    <w:multiLevelType w:val="singleLevel"/>
    <w:tmpl w:val="453B47FC"/>
    <w:lvl w:ilvl="0" w:tentative="0">
      <w:start w:val="1"/>
      <w:numFmt w:val="decimal"/>
      <w:lvlText w:val="%1)"/>
      <w:lvlJc w:val="left"/>
      <w:pPr>
        <w:ind w:left="425" w:hanging="425"/>
      </w:pPr>
      <w:rPr>
        <w:rFonts w:hint="default"/>
      </w:rPr>
    </w:lvl>
  </w:abstractNum>
  <w:abstractNum w:abstractNumId="36">
    <w:nsid w:val="4A8A3A6C"/>
    <w:multiLevelType w:val="singleLevel"/>
    <w:tmpl w:val="4A8A3A6C"/>
    <w:lvl w:ilvl="0" w:tentative="0">
      <w:start w:val="1"/>
      <w:numFmt w:val="decimal"/>
      <w:lvlText w:val="%1)"/>
      <w:lvlJc w:val="left"/>
      <w:pPr>
        <w:ind w:left="425" w:hanging="425"/>
      </w:pPr>
      <w:rPr>
        <w:rFonts w:hint="default"/>
      </w:rPr>
    </w:lvl>
  </w:abstractNum>
  <w:abstractNum w:abstractNumId="37">
    <w:nsid w:val="4F980F2F"/>
    <w:multiLevelType w:val="singleLevel"/>
    <w:tmpl w:val="4F980F2F"/>
    <w:lvl w:ilvl="0" w:tentative="0">
      <w:start w:val="1"/>
      <w:numFmt w:val="decimal"/>
      <w:suff w:val="nothing"/>
      <w:lvlText w:val="%1、"/>
      <w:lvlJc w:val="left"/>
    </w:lvl>
  </w:abstractNum>
  <w:abstractNum w:abstractNumId="3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9">
    <w:nsid w:val="7A0F6431"/>
    <w:multiLevelType w:val="singleLevel"/>
    <w:tmpl w:val="7A0F6431"/>
    <w:lvl w:ilvl="0" w:tentative="0">
      <w:start w:val="1"/>
      <w:numFmt w:val="decimal"/>
      <w:suff w:val="space"/>
      <w:lvlText w:val="%1."/>
      <w:lvlJc w:val="left"/>
    </w:lvl>
  </w:abstractNum>
  <w:abstractNum w:abstractNumId="40">
    <w:nsid w:val="7C20D759"/>
    <w:multiLevelType w:val="singleLevel"/>
    <w:tmpl w:val="7C20D759"/>
    <w:lvl w:ilvl="0" w:tentative="0">
      <w:start w:val="1"/>
      <w:numFmt w:val="decimal"/>
      <w:lvlText w:val="%1)"/>
      <w:lvlJc w:val="left"/>
      <w:pPr>
        <w:ind w:left="425" w:hanging="425"/>
      </w:pPr>
      <w:rPr>
        <w:rFonts w:hint="default"/>
      </w:rPr>
    </w:lvl>
  </w:abstractNum>
  <w:num w:numId="1">
    <w:abstractNumId w:val="30"/>
  </w:num>
  <w:num w:numId="2">
    <w:abstractNumId w:val="29"/>
  </w:num>
  <w:num w:numId="3">
    <w:abstractNumId w:val="38"/>
  </w:num>
  <w:num w:numId="4">
    <w:abstractNumId w:val="14"/>
  </w:num>
  <w:num w:numId="5">
    <w:abstractNumId w:val="28"/>
  </w:num>
  <w:num w:numId="6">
    <w:abstractNumId w:val="12"/>
  </w:num>
  <w:num w:numId="7">
    <w:abstractNumId w:val="10"/>
  </w:num>
  <w:num w:numId="8">
    <w:abstractNumId w:val="2"/>
  </w:num>
  <w:num w:numId="9">
    <w:abstractNumId w:val="24"/>
  </w:num>
  <w:num w:numId="10">
    <w:abstractNumId w:val="1"/>
  </w:num>
  <w:num w:numId="11">
    <w:abstractNumId w:val="27"/>
  </w:num>
  <w:num w:numId="12">
    <w:abstractNumId w:val="32"/>
  </w:num>
  <w:num w:numId="13">
    <w:abstractNumId w:val="6"/>
  </w:num>
  <w:num w:numId="14">
    <w:abstractNumId w:val="13"/>
  </w:num>
  <w:num w:numId="15">
    <w:abstractNumId w:val="4"/>
  </w:num>
  <w:num w:numId="16">
    <w:abstractNumId w:val="33"/>
  </w:num>
  <w:num w:numId="17">
    <w:abstractNumId w:val="31"/>
  </w:num>
  <w:num w:numId="18">
    <w:abstractNumId w:val="34"/>
  </w:num>
  <w:num w:numId="19">
    <w:abstractNumId w:val="16"/>
  </w:num>
  <w:num w:numId="20">
    <w:abstractNumId w:val="5"/>
  </w:num>
  <w:num w:numId="21">
    <w:abstractNumId w:val="20"/>
  </w:num>
  <w:num w:numId="22">
    <w:abstractNumId w:val="7"/>
  </w:num>
  <w:num w:numId="23">
    <w:abstractNumId w:val="8"/>
  </w:num>
  <w:num w:numId="24">
    <w:abstractNumId w:val="0"/>
  </w:num>
  <w:num w:numId="25">
    <w:abstractNumId w:val="23"/>
  </w:num>
  <w:num w:numId="26">
    <w:abstractNumId w:val="37"/>
  </w:num>
  <w:num w:numId="27">
    <w:abstractNumId w:val="40"/>
  </w:num>
  <w:num w:numId="28">
    <w:abstractNumId w:val="15"/>
  </w:num>
  <w:num w:numId="29">
    <w:abstractNumId w:val="21"/>
  </w:num>
  <w:num w:numId="30">
    <w:abstractNumId w:val="35"/>
  </w:num>
  <w:num w:numId="31">
    <w:abstractNumId w:val="25"/>
  </w:num>
  <w:num w:numId="32">
    <w:abstractNumId w:val="26"/>
  </w:num>
  <w:num w:numId="33">
    <w:abstractNumId w:val="36"/>
  </w:num>
  <w:num w:numId="34">
    <w:abstractNumId w:val="3"/>
  </w:num>
  <w:num w:numId="35">
    <w:abstractNumId w:val="39"/>
  </w:num>
  <w:num w:numId="36">
    <w:abstractNumId w:val="11"/>
  </w:num>
  <w:num w:numId="37">
    <w:abstractNumId w:val="22"/>
  </w:num>
  <w:num w:numId="38">
    <w:abstractNumId w:val="18"/>
  </w:num>
  <w:num w:numId="39">
    <w:abstractNumId w:val="17"/>
  </w:num>
  <w:num w:numId="40">
    <w:abstractNumId w:val="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2U3ZTk3ODA2ODlhYjk0Njc3NjMzMTk5OTQxNTkifQ=="/>
  </w:docVars>
  <w:rsids>
    <w:rsidRoot w:val="2C933522"/>
    <w:rsid w:val="00002059"/>
    <w:rsid w:val="00082A8B"/>
    <w:rsid w:val="001878BE"/>
    <w:rsid w:val="001D3F79"/>
    <w:rsid w:val="00714308"/>
    <w:rsid w:val="007676B6"/>
    <w:rsid w:val="007D50D6"/>
    <w:rsid w:val="00DD1B26"/>
    <w:rsid w:val="00DF57E8"/>
    <w:rsid w:val="00EF03D0"/>
    <w:rsid w:val="011B0E70"/>
    <w:rsid w:val="014E4A3C"/>
    <w:rsid w:val="015E2579"/>
    <w:rsid w:val="01902C97"/>
    <w:rsid w:val="0196601E"/>
    <w:rsid w:val="019A1F99"/>
    <w:rsid w:val="01CF0FE4"/>
    <w:rsid w:val="020E50A7"/>
    <w:rsid w:val="020E6FF9"/>
    <w:rsid w:val="02182ED7"/>
    <w:rsid w:val="021B4775"/>
    <w:rsid w:val="02317AF5"/>
    <w:rsid w:val="02700575"/>
    <w:rsid w:val="02DE3713"/>
    <w:rsid w:val="02E26622"/>
    <w:rsid w:val="02FE6EE1"/>
    <w:rsid w:val="039165F3"/>
    <w:rsid w:val="03C52466"/>
    <w:rsid w:val="03D6740D"/>
    <w:rsid w:val="042A19A1"/>
    <w:rsid w:val="04361426"/>
    <w:rsid w:val="0469270B"/>
    <w:rsid w:val="04B62533"/>
    <w:rsid w:val="051C683A"/>
    <w:rsid w:val="0543371C"/>
    <w:rsid w:val="056401E1"/>
    <w:rsid w:val="05AA370E"/>
    <w:rsid w:val="060B52E5"/>
    <w:rsid w:val="06631006"/>
    <w:rsid w:val="06723067"/>
    <w:rsid w:val="067B1C86"/>
    <w:rsid w:val="069D788C"/>
    <w:rsid w:val="06C21663"/>
    <w:rsid w:val="07210888"/>
    <w:rsid w:val="073A1D48"/>
    <w:rsid w:val="0766311D"/>
    <w:rsid w:val="08512C9F"/>
    <w:rsid w:val="0897777F"/>
    <w:rsid w:val="08B02269"/>
    <w:rsid w:val="08C71A73"/>
    <w:rsid w:val="08E12F64"/>
    <w:rsid w:val="08E54928"/>
    <w:rsid w:val="09813AC8"/>
    <w:rsid w:val="09A514F4"/>
    <w:rsid w:val="09F85FFA"/>
    <w:rsid w:val="0A03446D"/>
    <w:rsid w:val="0A340D1A"/>
    <w:rsid w:val="0A580D43"/>
    <w:rsid w:val="0A656ED5"/>
    <w:rsid w:val="0A8235E3"/>
    <w:rsid w:val="0A8F5D00"/>
    <w:rsid w:val="0AA10890"/>
    <w:rsid w:val="0AD57BB7"/>
    <w:rsid w:val="0AE45257"/>
    <w:rsid w:val="0B8A6088"/>
    <w:rsid w:val="0BC639A4"/>
    <w:rsid w:val="0BDF400D"/>
    <w:rsid w:val="0C5D50FA"/>
    <w:rsid w:val="0C634D20"/>
    <w:rsid w:val="0CA863FF"/>
    <w:rsid w:val="0CF160CC"/>
    <w:rsid w:val="0D0E73B0"/>
    <w:rsid w:val="0D573CF2"/>
    <w:rsid w:val="0D907DC5"/>
    <w:rsid w:val="0DBD4932"/>
    <w:rsid w:val="0DCB52A1"/>
    <w:rsid w:val="0DED5218"/>
    <w:rsid w:val="0E027146"/>
    <w:rsid w:val="0E176739"/>
    <w:rsid w:val="0E346F73"/>
    <w:rsid w:val="0F281063"/>
    <w:rsid w:val="0F307AB2"/>
    <w:rsid w:val="0F4F5A5E"/>
    <w:rsid w:val="0F704352"/>
    <w:rsid w:val="0F7C1FEF"/>
    <w:rsid w:val="0F9A44F0"/>
    <w:rsid w:val="0FF33BAD"/>
    <w:rsid w:val="10505F32"/>
    <w:rsid w:val="10727C56"/>
    <w:rsid w:val="10853E2D"/>
    <w:rsid w:val="10B95885"/>
    <w:rsid w:val="10CA7A92"/>
    <w:rsid w:val="111037F9"/>
    <w:rsid w:val="11265A5A"/>
    <w:rsid w:val="118934A9"/>
    <w:rsid w:val="11F844EC"/>
    <w:rsid w:val="120B0362"/>
    <w:rsid w:val="12367D10"/>
    <w:rsid w:val="1255685F"/>
    <w:rsid w:val="129C545E"/>
    <w:rsid w:val="12A367ED"/>
    <w:rsid w:val="12F7002F"/>
    <w:rsid w:val="12F8142F"/>
    <w:rsid w:val="12FC140E"/>
    <w:rsid w:val="13024F2E"/>
    <w:rsid w:val="132E05A6"/>
    <w:rsid w:val="134615C7"/>
    <w:rsid w:val="134E49AB"/>
    <w:rsid w:val="134F6A80"/>
    <w:rsid w:val="13E220A6"/>
    <w:rsid w:val="13E43EE2"/>
    <w:rsid w:val="140074D9"/>
    <w:rsid w:val="14C12D51"/>
    <w:rsid w:val="14CB202B"/>
    <w:rsid w:val="14D64A90"/>
    <w:rsid w:val="14EF3F6B"/>
    <w:rsid w:val="15026687"/>
    <w:rsid w:val="151B6B0E"/>
    <w:rsid w:val="15667FD9"/>
    <w:rsid w:val="159F5815"/>
    <w:rsid w:val="15AA6909"/>
    <w:rsid w:val="16365D5E"/>
    <w:rsid w:val="16387998"/>
    <w:rsid w:val="164107F7"/>
    <w:rsid w:val="16A668AC"/>
    <w:rsid w:val="16D8777F"/>
    <w:rsid w:val="16FB68EE"/>
    <w:rsid w:val="173A2C7D"/>
    <w:rsid w:val="17767E89"/>
    <w:rsid w:val="179A02B7"/>
    <w:rsid w:val="17A56B63"/>
    <w:rsid w:val="18A530EC"/>
    <w:rsid w:val="18D55022"/>
    <w:rsid w:val="18F90351"/>
    <w:rsid w:val="19010472"/>
    <w:rsid w:val="19102702"/>
    <w:rsid w:val="19263CD4"/>
    <w:rsid w:val="19C0641E"/>
    <w:rsid w:val="19E80CC6"/>
    <w:rsid w:val="19FC45C1"/>
    <w:rsid w:val="1A002A60"/>
    <w:rsid w:val="1A442EFE"/>
    <w:rsid w:val="1A610C87"/>
    <w:rsid w:val="1A7F0ADD"/>
    <w:rsid w:val="1A8218D4"/>
    <w:rsid w:val="1A91517D"/>
    <w:rsid w:val="1AD9142E"/>
    <w:rsid w:val="1B040045"/>
    <w:rsid w:val="1B5930CF"/>
    <w:rsid w:val="1B5C6CDD"/>
    <w:rsid w:val="1B6A60FA"/>
    <w:rsid w:val="1B80211B"/>
    <w:rsid w:val="1B8E7680"/>
    <w:rsid w:val="1BDE1AA5"/>
    <w:rsid w:val="1BEA7757"/>
    <w:rsid w:val="1BFA5565"/>
    <w:rsid w:val="1C370C42"/>
    <w:rsid w:val="1C3F0264"/>
    <w:rsid w:val="1C570F74"/>
    <w:rsid w:val="1C7F3E27"/>
    <w:rsid w:val="1C962F1E"/>
    <w:rsid w:val="1CAC5DC4"/>
    <w:rsid w:val="1D2A5EB1"/>
    <w:rsid w:val="1D4569A5"/>
    <w:rsid w:val="1D736EE1"/>
    <w:rsid w:val="1D8C0725"/>
    <w:rsid w:val="1DD517EB"/>
    <w:rsid w:val="1E1B192D"/>
    <w:rsid w:val="1E6F02CA"/>
    <w:rsid w:val="1E824F7B"/>
    <w:rsid w:val="1EC734D5"/>
    <w:rsid w:val="1EFA1543"/>
    <w:rsid w:val="1F34010B"/>
    <w:rsid w:val="1F505109"/>
    <w:rsid w:val="1F6B32B7"/>
    <w:rsid w:val="1F6F32DB"/>
    <w:rsid w:val="1F755332"/>
    <w:rsid w:val="1FD2456F"/>
    <w:rsid w:val="1FF00B97"/>
    <w:rsid w:val="200F54C2"/>
    <w:rsid w:val="204A4FB9"/>
    <w:rsid w:val="207D68CF"/>
    <w:rsid w:val="208531C6"/>
    <w:rsid w:val="20CB2CBF"/>
    <w:rsid w:val="20E64474"/>
    <w:rsid w:val="212D20A3"/>
    <w:rsid w:val="21560131"/>
    <w:rsid w:val="215A4C8F"/>
    <w:rsid w:val="215D04AF"/>
    <w:rsid w:val="21647C7E"/>
    <w:rsid w:val="21762BB1"/>
    <w:rsid w:val="21952B1C"/>
    <w:rsid w:val="21DB2C79"/>
    <w:rsid w:val="221E044D"/>
    <w:rsid w:val="22B00842"/>
    <w:rsid w:val="22B5579A"/>
    <w:rsid w:val="239006C7"/>
    <w:rsid w:val="23EB1DA2"/>
    <w:rsid w:val="24092228"/>
    <w:rsid w:val="242A1B11"/>
    <w:rsid w:val="243F1929"/>
    <w:rsid w:val="2460388F"/>
    <w:rsid w:val="251C6FF3"/>
    <w:rsid w:val="25210D89"/>
    <w:rsid w:val="2525194F"/>
    <w:rsid w:val="252621B4"/>
    <w:rsid w:val="253258F8"/>
    <w:rsid w:val="254A2AF8"/>
    <w:rsid w:val="25733DFD"/>
    <w:rsid w:val="258A0656"/>
    <w:rsid w:val="25902155"/>
    <w:rsid w:val="25D86356"/>
    <w:rsid w:val="264C7006"/>
    <w:rsid w:val="26595B34"/>
    <w:rsid w:val="26A30EAA"/>
    <w:rsid w:val="26B231C0"/>
    <w:rsid w:val="270513CC"/>
    <w:rsid w:val="271B68B7"/>
    <w:rsid w:val="271B7A6B"/>
    <w:rsid w:val="276E0D20"/>
    <w:rsid w:val="276E6F72"/>
    <w:rsid w:val="277C13E1"/>
    <w:rsid w:val="28237D5C"/>
    <w:rsid w:val="28407551"/>
    <w:rsid w:val="2883341B"/>
    <w:rsid w:val="28D118E2"/>
    <w:rsid w:val="290011CF"/>
    <w:rsid w:val="29030A45"/>
    <w:rsid w:val="29534671"/>
    <w:rsid w:val="29913339"/>
    <w:rsid w:val="29977588"/>
    <w:rsid w:val="29AD5C8E"/>
    <w:rsid w:val="29D05BAC"/>
    <w:rsid w:val="29D65BCB"/>
    <w:rsid w:val="2A4B52C2"/>
    <w:rsid w:val="2A5B6361"/>
    <w:rsid w:val="2A6733B7"/>
    <w:rsid w:val="2ABD7353"/>
    <w:rsid w:val="2B093857"/>
    <w:rsid w:val="2B0971E3"/>
    <w:rsid w:val="2B116592"/>
    <w:rsid w:val="2B4B2CBB"/>
    <w:rsid w:val="2C132208"/>
    <w:rsid w:val="2C2045B2"/>
    <w:rsid w:val="2C7414FE"/>
    <w:rsid w:val="2C8C7462"/>
    <w:rsid w:val="2C933522"/>
    <w:rsid w:val="2CC12F64"/>
    <w:rsid w:val="2CF63B5C"/>
    <w:rsid w:val="2CFC1060"/>
    <w:rsid w:val="2CFE55F8"/>
    <w:rsid w:val="2DE25FC3"/>
    <w:rsid w:val="2E04418C"/>
    <w:rsid w:val="2E094BF9"/>
    <w:rsid w:val="2E145FBA"/>
    <w:rsid w:val="2E374326"/>
    <w:rsid w:val="2E7711EA"/>
    <w:rsid w:val="2EB55486"/>
    <w:rsid w:val="2EB6202D"/>
    <w:rsid w:val="2FC75471"/>
    <w:rsid w:val="2FF32A5B"/>
    <w:rsid w:val="302525DF"/>
    <w:rsid w:val="302663BE"/>
    <w:rsid w:val="30A94FE2"/>
    <w:rsid w:val="30EB33E1"/>
    <w:rsid w:val="3137759A"/>
    <w:rsid w:val="314C59F7"/>
    <w:rsid w:val="31615D1F"/>
    <w:rsid w:val="31687BA1"/>
    <w:rsid w:val="319800A1"/>
    <w:rsid w:val="31CB13C9"/>
    <w:rsid w:val="31CE71C7"/>
    <w:rsid w:val="31D063EE"/>
    <w:rsid w:val="31D2634F"/>
    <w:rsid w:val="31F545CB"/>
    <w:rsid w:val="3221161D"/>
    <w:rsid w:val="324F5BF1"/>
    <w:rsid w:val="333F7A14"/>
    <w:rsid w:val="3364747B"/>
    <w:rsid w:val="338A5246"/>
    <w:rsid w:val="338F1133"/>
    <w:rsid w:val="3415775E"/>
    <w:rsid w:val="348C0A37"/>
    <w:rsid w:val="34AD4CF7"/>
    <w:rsid w:val="34BE6A9C"/>
    <w:rsid w:val="34DD5414"/>
    <w:rsid w:val="34F76259"/>
    <w:rsid w:val="350727B3"/>
    <w:rsid w:val="35165311"/>
    <w:rsid w:val="351C000D"/>
    <w:rsid w:val="35505F08"/>
    <w:rsid w:val="355552CD"/>
    <w:rsid w:val="35EF5721"/>
    <w:rsid w:val="360C210B"/>
    <w:rsid w:val="362E2039"/>
    <w:rsid w:val="36453C1E"/>
    <w:rsid w:val="367B0D63"/>
    <w:rsid w:val="36C070BE"/>
    <w:rsid w:val="36DE1E77"/>
    <w:rsid w:val="36FD165D"/>
    <w:rsid w:val="370B045C"/>
    <w:rsid w:val="3727621C"/>
    <w:rsid w:val="37282D41"/>
    <w:rsid w:val="373553B6"/>
    <w:rsid w:val="37751A06"/>
    <w:rsid w:val="37C60704"/>
    <w:rsid w:val="382674F0"/>
    <w:rsid w:val="384D672F"/>
    <w:rsid w:val="38726196"/>
    <w:rsid w:val="38F665CA"/>
    <w:rsid w:val="393646FD"/>
    <w:rsid w:val="393F251C"/>
    <w:rsid w:val="3942200C"/>
    <w:rsid w:val="39716797"/>
    <w:rsid w:val="3A63048C"/>
    <w:rsid w:val="3A8C79E3"/>
    <w:rsid w:val="3AAF36D1"/>
    <w:rsid w:val="3B0A0908"/>
    <w:rsid w:val="3B660234"/>
    <w:rsid w:val="3B77514C"/>
    <w:rsid w:val="3B955D0F"/>
    <w:rsid w:val="3B9A6AAB"/>
    <w:rsid w:val="3BB21D13"/>
    <w:rsid w:val="3C371BD0"/>
    <w:rsid w:val="3C390FFD"/>
    <w:rsid w:val="3C414133"/>
    <w:rsid w:val="3C4464BE"/>
    <w:rsid w:val="3C815219"/>
    <w:rsid w:val="3CB35321"/>
    <w:rsid w:val="3CE425E9"/>
    <w:rsid w:val="3CF32E57"/>
    <w:rsid w:val="3D0A7A32"/>
    <w:rsid w:val="3D3B56F0"/>
    <w:rsid w:val="3DA90172"/>
    <w:rsid w:val="3DB72FC9"/>
    <w:rsid w:val="3DC50166"/>
    <w:rsid w:val="3DD07BE6"/>
    <w:rsid w:val="3DE26767"/>
    <w:rsid w:val="3E3C6BB7"/>
    <w:rsid w:val="3E436220"/>
    <w:rsid w:val="3E6413FB"/>
    <w:rsid w:val="3E965385"/>
    <w:rsid w:val="3ECD05CA"/>
    <w:rsid w:val="3F0A35CC"/>
    <w:rsid w:val="3F1C3749"/>
    <w:rsid w:val="3F8844F1"/>
    <w:rsid w:val="4016770D"/>
    <w:rsid w:val="40316936"/>
    <w:rsid w:val="40BC59B9"/>
    <w:rsid w:val="40C81E0C"/>
    <w:rsid w:val="4105734F"/>
    <w:rsid w:val="41526B64"/>
    <w:rsid w:val="418C651A"/>
    <w:rsid w:val="419C173A"/>
    <w:rsid w:val="41A13601"/>
    <w:rsid w:val="41DD6D76"/>
    <w:rsid w:val="41DE0B9E"/>
    <w:rsid w:val="4227255A"/>
    <w:rsid w:val="42392697"/>
    <w:rsid w:val="424C6BA1"/>
    <w:rsid w:val="427B4EFC"/>
    <w:rsid w:val="427D4E5F"/>
    <w:rsid w:val="42AF088B"/>
    <w:rsid w:val="430F469F"/>
    <w:rsid w:val="43162E70"/>
    <w:rsid w:val="43291B47"/>
    <w:rsid w:val="43D304D3"/>
    <w:rsid w:val="441939A3"/>
    <w:rsid w:val="44C06E34"/>
    <w:rsid w:val="450C05A0"/>
    <w:rsid w:val="45392515"/>
    <w:rsid w:val="4572470C"/>
    <w:rsid w:val="45776A60"/>
    <w:rsid w:val="45F60406"/>
    <w:rsid w:val="46192347"/>
    <w:rsid w:val="46397782"/>
    <w:rsid w:val="46772AB9"/>
    <w:rsid w:val="46D41322"/>
    <w:rsid w:val="47445DBF"/>
    <w:rsid w:val="47E80223"/>
    <w:rsid w:val="47FE17F4"/>
    <w:rsid w:val="48027536"/>
    <w:rsid w:val="486C49B0"/>
    <w:rsid w:val="48853CC3"/>
    <w:rsid w:val="489F24E0"/>
    <w:rsid w:val="492C4A45"/>
    <w:rsid w:val="4931445C"/>
    <w:rsid w:val="49325BF9"/>
    <w:rsid w:val="4944350D"/>
    <w:rsid w:val="49935F6C"/>
    <w:rsid w:val="49B73F43"/>
    <w:rsid w:val="4A1221A1"/>
    <w:rsid w:val="4A205A52"/>
    <w:rsid w:val="4AA9475F"/>
    <w:rsid w:val="4B001033"/>
    <w:rsid w:val="4B201A81"/>
    <w:rsid w:val="4B5005B9"/>
    <w:rsid w:val="4B657231"/>
    <w:rsid w:val="4BC55753"/>
    <w:rsid w:val="4BE47BC4"/>
    <w:rsid w:val="4BE8779B"/>
    <w:rsid w:val="4C0D46FC"/>
    <w:rsid w:val="4C746529"/>
    <w:rsid w:val="4C846F2F"/>
    <w:rsid w:val="4C947039"/>
    <w:rsid w:val="4CC4300C"/>
    <w:rsid w:val="4CE27161"/>
    <w:rsid w:val="4CFD7040"/>
    <w:rsid w:val="4D016134"/>
    <w:rsid w:val="4D302E27"/>
    <w:rsid w:val="4D386F94"/>
    <w:rsid w:val="4D3B7030"/>
    <w:rsid w:val="4D8F6A5F"/>
    <w:rsid w:val="4DA846DC"/>
    <w:rsid w:val="4DE97496"/>
    <w:rsid w:val="4E0B12CD"/>
    <w:rsid w:val="4E1C29D4"/>
    <w:rsid w:val="4E1F4122"/>
    <w:rsid w:val="4EAD21BB"/>
    <w:rsid w:val="4F440434"/>
    <w:rsid w:val="4F79643E"/>
    <w:rsid w:val="4F9A0054"/>
    <w:rsid w:val="4F9A44F8"/>
    <w:rsid w:val="4FB54E8E"/>
    <w:rsid w:val="4FB8686B"/>
    <w:rsid w:val="4FC2295D"/>
    <w:rsid w:val="50D62AB5"/>
    <w:rsid w:val="50E21D53"/>
    <w:rsid w:val="510F6820"/>
    <w:rsid w:val="51597A9B"/>
    <w:rsid w:val="519648E2"/>
    <w:rsid w:val="519C4390"/>
    <w:rsid w:val="51BA678C"/>
    <w:rsid w:val="522B1156"/>
    <w:rsid w:val="5244295C"/>
    <w:rsid w:val="53382C1D"/>
    <w:rsid w:val="534C3D5B"/>
    <w:rsid w:val="537701DC"/>
    <w:rsid w:val="53780A78"/>
    <w:rsid w:val="5382152B"/>
    <w:rsid w:val="53AD0E81"/>
    <w:rsid w:val="53C5027C"/>
    <w:rsid w:val="53CB0643"/>
    <w:rsid w:val="540A55EB"/>
    <w:rsid w:val="54496F3F"/>
    <w:rsid w:val="546E7D01"/>
    <w:rsid w:val="54791934"/>
    <w:rsid w:val="54B67483"/>
    <w:rsid w:val="54B94D45"/>
    <w:rsid w:val="550531AB"/>
    <w:rsid w:val="553922DB"/>
    <w:rsid w:val="555E631A"/>
    <w:rsid w:val="557A09CA"/>
    <w:rsid w:val="55A739B0"/>
    <w:rsid w:val="55AB2971"/>
    <w:rsid w:val="55E27377"/>
    <w:rsid w:val="55FC1429"/>
    <w:rsid w:val="5621502B"/>
    <w:rsid w:val="5625757D"/>
    <w:rsid w:val="563A277E"/>
    <w:rsid w:val="565C3026"/>
    <w:rsid w:val="56D402F0"/>
    <w:rsid w:val="56D4640C"/>
    <w:rsid w:val="577E46FF"/>
    <w:rsid w:val="57962018"/>
    <w:rsid w:val="57C2639A"/>
    <w:rsid w:val="57F14ED1"/>
    <w:rsid w:val="580D6500"/>
    <w:rsid w:val="581602F3"/>
    <w:rsid w:val="58256AC5"/>
    <w:rsid w:val="585F770B"/>
    <w:rsid w:val="58975F50"/>
    <w:rsid w:val="58C909D0"/>
    <w:rsid w:val="58FA1476"/>
    <w:rsid w:val="59185DF5"/>
    <w:rsid w:val="591E4056"/>
    <w:rsid w:val="597A4752"/>
    <w:rsid w:val="59955048"/>
    <w:rsid w:val="599823A5"/>
    <w:rsid w:val="59F11964"/>
    <w:rsid w:val="5A3776D0"/>
    <w:rsid w:val="5A696ABE"/>
    <w:rsid w:val="5A946975"/>
    <w:rsid w:val="5ACE0AAD"/>
    <w:rsid w:val="5AE825BC"/>
    <w:rsid w:val="5AF90236"/>
    <w:rsid w:val="5B00406E"/>
    <w:rsid w:val="5B757E56"/>
    <w:rsid w:val="5B9256A4"/>
    <w:rsid w:val="5B9F6741"/>
    <w:rsid w:val="5BBE156E"/>
    <w:rsid w:val="5BC16969"/>
    <w:rsid w:val="5BE45758"/>
    <w:rsid w:val="5BFB6D6B"/>
    <w:rsid w:val="5C2C18DD"/>
    <w:rsid w:val="5C504B0A"/>
    <w:rsid w:val="5CA34E66"/>
    <w:rsid w:val="5CB14C2F"/>
    <w:rsid w:val="5CBC789A"/>
    <w:rsid w:val="5CC3582F"/>
    <w:rsid w:val="5CFC234E"/>
    <w:rsid w:val="5D0D7C80"/>
    <w:rsid w:val="5D8B36D2"/>
    <w:rsid w:val="5D8D6869"/>
    <w:rsid w:val="5D92589D"/>
    <w:rsid w:val="5DE21E1A"/>
    <w:rsid w:val="5DED7EE9"/>
    <w:rsid w:val="5E05027D"/>
    <w:rsid w:val="5E316028"/>
    <w:rsid w:val="5E4D0988"/>
    <w:rsid w:val="5E783C56"/>
    <w:rsid w:val="5ECD55C5"/>
    <w:rsid w:val="5F2D2C93"/>
    <w:rsid w:val="5F5269FC"/>
    <w:rsid w:val="5F7226A8"/>
    <w:rsid w:val="5F8C6BAA"/>
    <w:rsid w:val="5FBB029F"/>
    <w:rsid w:val="5FCD7A6B"/>
    <w:rsid w:val="604E67EF"/>
    <w:rsid w:val="60877AD2"/>
    <w:rsid w:val="608A7C71"/>
    <w:rsid w:val="60911000"/>
    <w:rsid w:val="609861E6"/>
    <w:rsid w:val="609B2805"/>
    <w:rsid w:val="60F477EB"/>
    <w:rsid w:val="61150D16"/>
    <w:rsid w:val="61CB6793"/>
    <w:rsid w:val="61CD0807"/>
    <w:rsid w:val="621375D9"/>
    <w:rsid w:val="624D1D2B"/>
    <w:rsid w:val="62B4763D"/>
    <w:rsid w:val="62EC076F"/>
    <w:rsid w:val="637349EC"/>
    <w:rsid w:val="63747EAF"/>
    <w:rsid w:val="637569B7"/>
    <w:rsid w:val="63837D21"/>
    <w:rsid w:val="638B3A05"/>
    <w:rsid w:val="63DE7319"/>
    <w:rsid w:val="63F934FE"/>
    <w:rsid w:val="642E36D2"/>
    <w:rsid w:val="642E7D17"/>
    <w:rsid w:val="64432DBD"/>
    <w:rsid w:val="64632CB3"/>
    <w:rsid w:val="646A4041"/>
    <w:rsid w:val="64B52219"/>
    <w:rsid w:val="64DA680A"/>
    <w:rsid w:val="65293EFC"/>
    <w:rsid w:val="65A33BE0"/>
    <w:rsid w:val="65BD7CD5"/>
    <w:rsid w:val="65D51170"/>
    <w:rsid w:val="65EF7814"/>
    <w:rsid w:val="662850F3"/>
    <w:rsid w:val="665C62E7"/>
    <w:rsid w:val="665D2A06"/>
    <w:rsid w:val="666F3B91"/>
    <w:rsid w:val="66890758"/>
    <w:rsid w:val="66A34498"/>
    <w:rsid w:val="67650123"/>
    <w:rsid w:val="676E25BA"/>
    <w:rsid w:val="67C41CBB"/>
    <w:rsid w:val="67ED35F3"/>
    <w:rsid w:val="68614103"/>
    <w:rsid w:val="68E7762E"/>
    <w:rsid w:val="695B6E36"/>
    <w:rsid w:val="69622FE7"/>
    <w:rsid w:val="69D02B99"/>
    <w:rsid w:val="6A5512F0"/>
    <w:rsid w:val="6AC801AA"/>
    <w:rsid w:val="6BC1735E"/>
    <w:rsid w:val="6BED251A"/>
    <w:rsid w:val="6C2C6080"/>
    <w:rsid w:val="6CA67BE1"/>
    <w:rsid w:val="6CCD7863"/>
    <w:rsid w:val="6D550310"/>
    <w:rsid w:val="6D61738A"/>
    <w:rsid w:val="6D632886"/>
    <w:rsid w:val="6D657A9C"/>
    <w:rsid w:val="6D967C55"/>
    <w:rsid w:val="6DB93944"/>
    <w:rsid w:val="6DF30E33"/>
    <w:rsid w:val="6E2420BF"/>
    <w:rsid w:val="6E8421A4"/>
    <w:rsid w:val="6E8D748E"/>
    <w:rsid w:val="6ED76777"/>
    <w:rsid w:val="6ED95817"/>
    <w:rsid w:val="6EDE576D"/>
    <w:rsid w:val="6EE0181B"/>
    <w:rsid w:val="6F113F6C"/>
    <w:rsid w:val="6F4B0F13"/>
    <w:rsid w:val="6F871F4B"/>
    <w:rsid w:val="6FA56C73"/>
    <w:rsid w:val="6FC8265D"/>
    <w:rsid w:val="70092D5A"/>
    <w:rsid w:val="701E709C"/>
    <w:rsid w:val="70594B77"/>
    <w:rsid w:val="7077744D"/>
    <w:rsid w:val="70902438"/>
    <w:rsid w:val="70BC3E77"/>
    <w:rsid w:val="70F4664D"/>
    <w:rsid w:val="70FA1B4A"/>
    <w:rsid w:val="712A60F4"/>
    <w:rsid w:val="71381023"/>
    <w:rsid w:val="713B2DE7"/>
    <w:rsid w:val="715D3F59"/>
    <w:rsid w:val="71722787"/>
    <w:rsid w:val="71A07478"/>
    <w:rsid w:val="720C498A"/>
    <w:rsid w:val="726A2006"/>
    <w:rsid w:val="727D3192"/>
    <w:rsid w:val="72876232"/>
    <w:rsid w:val="73362F54"/>
    <w:rsid w:val="73517F3A"/>
    <w:rsid w:val="738E5C96"/>
    <w:rsid w:val="739F3A2D"/>
    <w:rsid w:val="73BA4A84"/>
    <w:rsid w:val="73D44824"/>
    <w:rsid w:val="73D86B17"/>
    <w:rsid w:val="73E62936"/>
    <w:rsid w:val="74235FBB"/>
    <w:rsid w:val="742902D3"/>
    <w:rsid w:val="74561EEC"/>
    <w:rsid w:val="74711BF5"/>
    <w:rsid w:val="74D8649D"/>
    <w:rsid w:val="74F92353"/>
    <w:rsid w:val="75662603"/>
    <w:rsid w:val="75E3090D"/>
    <w:rsid w:val="7625402B"/>
    <w:rsid w:val="764167EE"/>
    <w:rsid w:val="7645046A"/>
    <w:rsid w:val="766053D7"/>
    <w:rsid w:val="769D02A6"/>
    <w:rsid w:val="76C058BC"/>
    <w:rsid w:val="76D24474"/>
    <w:rsid w:val="77090845"/>
    <w:rsid w:val="771103C5"/>
    <w:rsid w:val="771C067A"/>
    <w:rsid w:val="773E0BBB"/>
    <w:rsid w:val="77707769"/>
    <w:rsid w:val="77DE093C"/>
    <w:rsid w:val="78FD6DDA"/>
    <w:rsid w:val="792151BF"/>
    <w:rsid w:val="79353607"/>
    <w:rsid w:val="79397081"/>
    <w:rsid w:val="794D6C70"/>
    <w:rsid w:val="7A013A8B"/>
    <w:rsid w:val="7A06378C"/>
    <w:rsid w:val="7A5C3069"/>
    <w:rsid w:val="7A6C0955"/>
    <w:rsid w:val="7AD93877"/>
    <w:rsid w:val="7AF83CFD"/>
    <w:rsid w:val="7B423C63"/>
    <w:rsid w:val="7B4E2533"/>
    <w:rsid w:val="7B594BE3"/>
    <w:rsid w:val="7B711D02"/>
    <w:rsid w:val="7B9A460D"/>
    <w:rsid w:val="7BB87930"/>
    <w:rsid w:val="7BC10593"/>
    <w:rsid w:val="7BC431C3"/>
    <w:rsid w:val="7BC947C3"/>
    <w:rsid w:val="7BCE18D8"/>
    <w:rsid w:val="7BD76009"/>
    <w:rsid w:val="7BF62452"/>
    <w:rsid w:val="7CF87193"/>
    <w:rsid w:val="7D3F3166"/>
    <w:rsid w:val="7D9C12B8"/>
    <w:rsid w:val="7DB859C6"/>
    <w:rsid w:val="7DE844FD"/>
    <w:rsid w:val="7E5A6A7D"/>
    <w:rsid w:val="7E5C32AA"/>
    <w:rsid w:val="7E897471"/>
    <w:rsid w:val="7EA91D5C"/>
    <w:rsid w:val="7F2B3D5D"/>
    <w:rsid w:val="7F355A2C"/>
    <w:rsid w:val="7F4D0390"/>
    <w:rsid w:val="7F78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1"/>
    <w:next w:val="2"/>
    <w:qFormat/>
    <w:uiPriority w:val="0"/>
    <w:pPr>
      <w:keepNext/>
      <w:keepLines/>
      <w:autoSpaceDE w:val="0"/>
      <w:autoSpaceDN w:val="0"/>
      <w:adjustRightInd w:val="0"/>
      <w:spacing w:before="360" w:after="120"/>
      <w:outlineLvl w:val="2"/>
    </w:pPr>
    <w:rPr>
      <w:b/>
      <w:kern w:val="0"/>
      <w:szCs w:val="20"/>
      <w:u w:val="single"/>
    </w:rPr>
  </w:style>
  <w:style w:type="paragraph" w:styleId="6">
    <w:name w:val="heading 4"/>
    <w:basedOn w:val="1"/>
    <w:next w:val="1"/>
    <w:autoRedefine/>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index 8"/>
    <w:basedOn w:val="1"/>
    <w:next w:val="1"/>
    <w:qFormat/>
    <w:uiPriority w:val="0"/>
    <w:pPr>
      <w:ind w:left="3920" w:leftChars="1400"/>
    </w:pPr>
  </w:style>
  <w:style w:type="paragraph" w:styleId="8">
    <w:name w:val="toa heading"/>
    <w:basedOn w:val="1"/>
    <w:next w:val="1"/>
    <w:autoRedefine/>
    <w:qFormat/>
    <w:uiPriority w:val="0"/>
    <w:pPr>
      <w:widowControl/>
      <w:spacing w:before="120"/>
      <w:ind w:firstLine="3584"/>
    </w:pPr>
  </w:style>
  <w:style w:type="paragraph" w:styleId="9">
    <w:name w:val="annotation text"/>
    <w:basedOn w:val="1"/>
    <w:qFormat/>
    <w:uiPriority w:val="99"/>
    <w:pPr>
      <w:jc w:val="left"/>
    </w:pPr>
  </w:style>
  <w:style w:type="paragraph" w:styleId="10">
    <w:name w:val="index 6"/>
    <w:basedOn w:val="1"/>
    <w:next w:val="1"/>
    <w:autoRedefine/>
    <w:qFormat/>
    <w:uiPriority w:val="99"/>
    <w:pPr>
      <w:ind w:left="2100"/>
    </w:pPr>
  </w:style>
  <w:style w:type="paragraph" w:styleId="11">
    <w:name w:val="Body Text"/>
    <w:basedOn w:val="1"/>
    <w:next w:val="12"/>
    <w:autoRedefine/>
    <w:qFormat/>
    <w:uiPriority w:val="0"/>
    <w:pPr>
      <w:tabs>
        <w:tab w:val="left" w:pos="567"/>
      </w:tabs>
      <w:spacing w:before="120" w:line="22" w:lineRule="atLeast"/>
    </w:pPr>
    <w:rPr>
      <w:rFonts w:ascii="宋体" w:hAnsi="宋体"/>
      <w:sz w:val="24"/>
    </w:rPr>
  </w:style>
  <w:style w:type="paragraph" w:styleId="12">
    <w:name w:val="Body Text First Indent"/>
    <w:basedOn w:val="11"/>
    <w:next w:val="1"/>
    <w:qFormat/>
    <w:uiPriority w:val="0"/>
    <w:pPr>
      <w:spacing w:line="360" w:lineRule="auto"/>
      <w:ind w:firstLine="200" w:firstLineChars="200"/>
    </w:pPr>
    <w:rPr>
      <w:rFonts w:ascii="仿宋_GB2312" w:hAnsi="Times New Roman" w:eastAsia="仿宋_GB2312"/>
      <w:sz w:val="30"/>
      <w:szCs w:val="30"/>
    </w:rPr>
  </w:style>
  <w:style w:type="paragraph" w:styleId="13">
    <w:name w:val="Body Text Indent"/>
    <w:basedOn w:val="1"/>
    <w:next w:val="6"/>
    <w:autoRedefine/>
    <w:qFormat/>
    <w:uiPriority w:val="0"/>
    <w:pPr>
      <w:spacing w:line="360" w:lineRule="auto"/>
      <w:ind w:firstLine="570"/>
    </w:pPr>
    <w:rPr>
      <w:sz w:val="24"/>
    </w:r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autoRedefine/>
    <w:qFormat/>
    <w:uiPriority w:val="0"/>
    <w:rPr>
      <w:rFonts w:ascii="宋体" w:hAnsi="Courier New"/>
      <w:szCs w:val="20"/>
    </w:rPr>
  </w:style>
  <w:style w:type="paragraph" w:styleId="16">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footnote text"/>
    <w:basedOn w:val="1"/>
    <w:qFormat/>
    <w:uiPriority w:val="0"/>
    <w:pPr>
      <w:snapToGrid w:val="0"/>
      <w:jc w:val="left"/>
    </w:pPr>
    <w:rPr>
      <w:sz w:val="18"/>
    </w:rPr>
  </w:style>
  <w:style w:type="paragraph" w:styleId="21">
    <w:name w:val="toc 2"/>
    <w:basedOn w:val="1"/>
    <w:next w:val="1"/>
    <w:qFormat/>
    <w:uiPriority w:val="39"/>
    <w:pPr>
      <w:ind w:left="420" w:leftChars="200"/>
    </w:pPr>
  </w:style>
  <w:style w:type="paragraph" w:styleId="22">
    <w:name w:val="Body Text 2"/>
    <w:basedOn w:val="1"/>
    <w:qFormat/>
    <w:uiPriority w:val="0"/>
    <w:pPr>
      <w:adjustRightInd w:val="0"/>
      <w:snapToGrid w:val="0"/>
      <w:spacing w:line="480" w:lineRule="atLeast"/>
    </w:pPr>
    <w:rPr>
      <w:rFonts w:ascii="宋体" w:hAnsi="宋体"/>
      <w:sz w:val="28"/>
    </w:rPr>
  </w:style>
  <w:style w:type="paragraph" w:styleId="23">
    <w:name w:val="Normal (Web)"/>
    <w:basedOn w:val="1"/>
    <w:next w:val="24"/>
    <w:qFormat/>
    <w:uiPriority w:val="0"/>
    <w:pPr>
      <w:widowControl/>
      <w:spacing w:before="100" w:beforeAutospacing="1" w:after="100" w:afterAutospacing="1"/>
      <w:jc w:val="left"/>
    </w:pPr>
    <w:rPr>
      <w:rFonts w:ascii="宋体" w:hAnsi="宋体" w:cs="宋体"/>
      <w:kern w:val="0"/>
      <w:sz w:val="24"/>
    </w:rPr>
  </w:style>
  <w:style w:type="paragraph" w:customStyle="1" w:styleId="2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5">
    <w:name w:val="Title"/>
    <w:basedOn w:val="1"/>
    <w:next w:val="1"/>
    <w:autoRedefine/>
    <w:qFormat/>
    <w:uiPriority w:val="0"/>
    <w:pPr>
      <w:spacing w:before="240" w:after="60"/>
      <w:jc w:val="center"/>
      <w:outlineLvl w:val="0"/>
    </w:pPr>
    <w:rPr>
      <w:rFonts w:ascii="Arial" w:hAnsi="Arial" w:cs="Arial"/>
      <w:b/>
      <w:bCs/>
      <w:sz w:val="32"/>
      <w:szCs w:val="32"/>
    </w:rPr>
  </w:style>
  <w:style w:type="paragraph" w:styleId="26">
    <w:name w:val="Body Text First Indent 2"/>
    <w:basedOn w:val="13"/>
    <w:next w:val="12"/>
    <w:unhideWhenUsed/>
    <w:qFormat/>
    <w:uiPriority w:val="99"/>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character" w:styleId="33">
    <w:name w:val="HTML Sample"/>
    <w:basedOn w:val="29"/>
    <w:qFormat/>
    <w:uiPriority w:val="0"/>
    <w:rPr>
      <w:rFonts w:ascii="Courier New" w:hAnsi="Courier New"/>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Default"/>
    <w:next w:val="1"/>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6">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列出段落"/>
    <w:basedOn w:val="1"/>
    <w:autoRedefine/>
    <w:qFormat/>
    <w:uiPriority w:val="34"/>
    <w:pPr>
      <w:widowControl/>
      <w:ind w:left="720"/>
      <w:jc w:val="left"/>
    </w:pPr>
    <w:rPr>
      <w:kern w:val="0"/>
      <w:sz w:val="24"/>
      <w:szCs w:val="24"/>
    </w:rPr>
  </w:style>
  <w:style w:type="paragraph" w:styleId="39">
    <w:name w:val="List Paragraph"/>
    <w:basedOn w:val="1"/>
    <w:autoRedefine/>
    <w:qFormat/>
    <w:uiPriority w:val="0"/>
    <w:pPr>
      <w:spacing w:line="360" w:lineRule="auto"/>
      <w:ind w:firstLine="420" w:firstLineChars="200"/>
      <w:jc w:val="left"/>
    </w:pPr>
    <w:rPr>
      <w:rFonts w:ascii="宋体" w:hAnsi="宋体" w:eastAsiaTheme="minorEastAsia" w:cstheme="minorBidi"/>
      <w:sz w:val="24"/>
    </w:rPr>
  </w:style>
  <w:style w:type="paragraph" w:customStyle="1" w:styleId="4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1">
    <w:name w:val="索引 11"/>
    <w:basedOn w:val="1"/>
    <w:next w:val="1"/>
    <w:autoRedefine/>
    <w:qFormat/>
    <w:uiPriority w:val="0"/>
    <w:pPr>
      <w:spacing w:line="360" w:lineRule="auto"/>
    </w:pPr>
    <w:rPr>
      <w:rFonts w:ascii="仿宋_GB2312" w:eastAsia="仿宋_GB2312"/>
      <w:sz w:val="24"/>
      <w:szCs w:val="20"/>
    </w:rPr>
  </w:style>
  <w:style w:type="paragraph" w:customStyle="1" w:styleId="42">
    <w:name w:val="纯文本1"/>
    <w:basedOn w:val="1"/>
    <w:autoRedefine/>
    <w:qFormat/>
    <w:uiPriority w:val="0"/>
    <w:rPr>
      <w:rFonts w:ascii="宋体" w:hAnsi="Courier New"/>
      <w:kern w:val="0"/>
      <w:sz w:val="20"/>
      <w:szCs w:val="20"/>
    </w:rPr>
  </w:style>
  <w:style w:type="paragraph" w:customStyle="1" w:styleId="43">
    <w:name w:val="标题 1_0"/>
    <w:basedOn w:val="1"/>
    <w:next w:val="1"/>
    <w:link w:val="45"/>
    <w:autoRedefine/>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44">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45">
    <w:name w:val="标题 1 Char"/>
    <w:link w:val="43"/>
    <w:autoRedefine/>
    <w:qFormat/>
    <w:uiPriority w:val="0"/>
    <w:rPr>
      <w:rFonts w:ascii="仿宋_GB2312" w:hAnsi="宋体" w:eastAsia="仿宋_GB2312" w:cstheme="minorBidi"/>
      <w:b/>
      <w:kern w:val="2"/>
      <w:sz w:val="24"/>
      <w:szCs w:val="24"/>
    </w:rPr>
  </w:style>
  <w:style w:type="paragraph" w:customStyle="1" w:styleId="4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NormalCharacter"/>
    <w:autoRedefine/>
    <w:semiHidden/>
    <w:qFormat/>
    <w:uiPriority w:val="0"/>
  </w:style>
  <w:style w:type="paragraph" w:styleId="4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页脚2"/>
    <w:basedOn w:val="1"/>
    <w:autoRedefine/>
    <w:qFormat/>
    <w:uiPriority w:val="0"/>
    <w:pPr>
      <w:widowControl/>
      <w:pBdr>
        <w:top w:val="single" w:color="auto" w:sz="6" w:space="0"/>
      </w:pBdr>
      <w:jc w:val="right"/>
      <w:textAlignment w:val="center"/>
    </w:pPr>
    <w:rPr>
      <w:rFonts w:ascii="宋体" w:hAnsi="宋体"/>
      <w:kern w:val="0"/>
      <w:sz w:val="18"/>
      <w:szCs w:val="18"/>
    </w:rPr>
  </w:style>
  <w:style w:type="paragraph" w:customStyle="1" w:styleId="50">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character" w:customStyle="1" w:styleId="51">
    <w:name w:val="font31"/>
    <w:basedOn w:val="29"/>
    <w:autoRedefine/>
    <w:qFormat/>
    <w:uiPriority w:val="0"/>
    <w:rPr>
      <w:rFonts w:hint="eastAsia" w:ascii="宋体" w:hAnsi="宋体" w:eastAsia="宋体" w:cs="宋体"/>
      <w:color w:val="000000"/>
      <w:sz w:val="28"/>
      <w:szCs w:val="28"/>
      <w:u w:val="none"/>
    </w:rPr>
  </w:style>
  <w:style w:type="character" w:customStyle="1" w:styleId="52">
    <w:name w:val="font41"/>
    <w:basedOn w:val="29"/>
    <w:autoRedefine/>
    <w:qFormat/>
    <w:uiPriority w:val="0"/>
    <w:rPr>
      <w:rFonts w:hint="eastAsia" w:ascii="宋体" w:hAnsi="宋体" w:eastAsia="宋体" w:cs="宋体"/>
      <w:color w:val="000000"/>
      <w:sz w:val="28"/>
      <w:szCs w:val="28"/>
      <w:u w:val="none"/>
    </w:rPr>
  </w:style>
  <w:style w:type="paragraph" w:customStyle="1" w:styleId="53">
    <w:name w:val="Table Paragraph"/>
    <w:basedOn w:val="1"/>
    <w:autoRedefine/>
    <w:qFormat/>
    <w:uiPriority w:val="1"/>
    <w:pPr>
      <w:spacing w:before="85"/>
      <w:jc w:val="center"/>
    </w:pPr>
    <w:rPr>
      <w:rFonts w:ascii="宋体" w:hAnsi="宋体" w:eastAsia="宋体" w:cs="宋体"/>
      <w:lang w:val="zh-CN" w:eastAsia="zh-CN" w:bidi="zh-CN"/>
    </w:rPr>
  </w:style>
  <w:style w:type="paragraph" w:customStyle="1" w:styleId="54">
    <w:name w:val="列出段落1"/>
    <w:basedOn w:val="1"/>
    <w:autoRedefine/>
    <w:qFormat/>
    <w:uiPriority w:val="0"/>
    <w:pPr>
      <w:ind w:firstLine="420" w:firstLineChars="200"/>
    </w:pPr>
    <w:rPr>
      <w:szCs w:val="21"/>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正"/>
    <w:basedOn w:val="58"/>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8">
    <w:name w:val="正文_1"/>
    <w:basedOn w:val="59"/>
    <w:next w:val="69"/>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59">
    <w:name w:val="正文_2"/>
    <w:basedOn w:val="60"/>
    <w:qFormat/>
    <w:uiPriority w:val="0"/>
    <w:pPr>
      <w:widowControl w:val="0"/>
      <w:jc w:val="both"/>
    </w:pPr>
    <w:rPr>
      <w:kern w:val="2"/>
      <w:sz w:val="21"/>
      <w:szCs w:val="24"/>
      <w:lang w:val="en-US" w:eastAsia="zh-CN" w:bidi="ar-SA"/>
    </w:rPr>
  </w:style>
  <w:style w:type="paragraph" w:customStyle="1" w:styleId="60">
    <w:name w:val="正文_3"/>
    <w:basedOn w:val="61"/>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4"/>
    <w:basedOn w:val="62"/>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
    <w:basedOn w:val="63"/>
    <w:next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next w:val="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列表_1"/>
    <w:basedOn w:val="61"/>
    <w:autoRedefine/>
    <w:qFormat/>
    <w:uiPriority w:val="0"/>
    <w:pPr>
      <w:adjustRightInd w:val="0"/>
      <w:jc w:val="center"/>
      <w:textAlignment w:val="baseline"/>
    </w:pPr>
    <w:rPr>
      <w:rFonts w:ascii="宋体" w:hAnsi="宋体"/>
      <w:sz w:val="24"/>
      <w:szCs w:val="20"/>
    </w:rPr>
  </w:style>
  <w:style w:type="paragraph" w:customStyle="1" w:styleId="65">
    <w:name w:val="正文首行缩进_1"/>
    <w:basedOn w:val="66"/>
    <w:autoRedefine/>
    <w:qFormat/>
    <w:uiPriority w:val="0"/>
    <w:pPr>
      <w:ind w:firstLine="420" w:firstLineChars="100"/>
    </w:pPr>
    <w:rPr>
      <w:rFonts w:ascii="宋体"/>
    </w:rPr>
  </w:style>
  <w:style w:type="paragraph" w:customStyle="1" w:styleId="66">
    <w:name w:val="正文文本_2"/>
    <w:basedOn w:val="67"/>
    <w:autoRedefine/>
    <w:qFormat/>
    <w:uiPriority w:val="0"/>
    <w:pPr>
      <w:spacing w:after="120"/>
    </w:pPr>
    <w:rPr>
      <w:kern w:val="0"/>
      <w:sz w:val="20"/>
    </w:rPr>
  </w:style>
  <w:style w:type="paragraph" w:customStyle="1" w:styleId="67">
    <w:name w:val="正文_7_1"/>
    <w:next w:val="6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首行缩进"/>
    <w:basedOn w:val="1"/>
    <w:autoRedefine/>
    <w:qFormat/>
    <w:uiPriority w:val="0"/>
    <w:pPr>
      <w:ind w:firstLine="480" w:firstLineChars="200"/>
    </w:pPr>
    <w:rPr>
      <w:lang w:val="zh-CN"/>
    </w:rPr>
  </w:style>
  <w:style w:type="paragraph" w:customStyle="1" w:styleId="69">
    <w:name w:val="列表_0"/>
    <w:basedOn w:val="58"/>
    <w:autoRedefine/>
    <w:semiHidden/>
    <w:qFormat/>
    <w:locked/>
    <w:uiPriority w:val="0"/>
    <w:pPr>
      <w:ind w:left="200" w:hanging="200" w:hangingChars="200"/>
    </w:pPr>
  </w:style>
  <w:style w:type="paragraph" w:customStyle="1" w:styleId="70">
    <w:name w:val="正文_2_0"/>
    <w:basedOn w:val="71"/>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2_1"/>
    <w:basedOn w:val="72"/>
    <w:next w:val="105"/>
    <w:qFormat/>
    <w:uiPriority w:val="0"/>
    <w:pPr>
      <w:widowControl w:val="0"/>
      <w:jc w:val="both"/>
    </w:pPr>
    <w:rPr>
      <w:kern w:val="2"/>
      <w:sz w:val="21"/>
      <w:szCs w:val="24"/>
      <w:lang w:val="en-US" w:eastAsia="zh-CN" w:bidi="ar-SA"/>
    </w:rPr>
  </w:style>
  <w:style w:type="paragraph" w:customStyle="1" w:styleId="72">
    <w:name w:val="正文_3_0"/>
    <w:basedOn w:val="73"/>
    <w:next w:val="76"/>
    <w:qFormat/>
    <w:uiPriority w:val="99"/>
    <w:pPr>
      <w:widowControl w:val="0"/>
      <w:jc w:val="both"/>
    </w:pPr>
    <w:rPr>
      <w:rFonts w:ascii="Calibri" w:hAnsi="Calibri" w:eastAsia="仿宋_GB2312" w:cs="Times New Roman"/>
      <w:kern w:val="2"/>
      <w:sz w:val="28"/>
      <w:szCs w:val="24"/>
      <w:lang w:val="en-US" w:eastAsia="zh-CN" w:bidi="ar-SA"/>
    </w:rPr>
  </w:style>
  <w:style w:type="paragraph" w:customStyle="1" w:styleId="73">
    <w:name w:val="Normal_0_0"/>
    <w:next w:val="74"/>
    <w:qFormat/>
    <w:uiPriority w:val="0"/>
    <w:pPr>
      <w:widowControl w:val="0"/>
      <w:jc w:val="both"/>
    </w:pPr>
    <w:rPr>
      <w:rFonts w:ascii="Times New Roman" w:hAnsi="Times New Roman" w:eastAsia="Times New Roman" w:cs="Times New Roman"/>
      <w:lang w:val="en-US" w:eastAsia="zh-CN" w:bidi="ar-SA"/>
    </w:rPr>
  </w:style>
  <w:style w:type="paragraph" w:customStyle="1" w:styleId="74">
    <w:name w:val="Body Text_0"/>
    <w:basedOn w:val="75"/>
    <w:qFormat/>
    <w:uiPriority w:val="0"/>
    <w:pPr>
      <w:spacing w:after="120"/>
    </w:pPr>
    <w:rPr>
      <w:rFonts w:ascii="Calibri" w:hAnsi="Calibri"/>
    </w:rPr>
  </w:style>
  <w:style w:type="paragraph" w:customStyle="1" w:styleId="75">
    <w:name w:val="Normal_1"/>
    <w:next w:val="74"/>
    <w:qFormat/>
    <w:uiPriority w:val="0"/>
    <w:rPr>
      <w:rFonts w:ascii="黑体" w:hAnsi="黑体" w:eastAsia="黑体" w:cs="Times New Roman"/>
      <w:b/>
      <w:sz w:val="32"/>
      <w:szCs w:val="24"/>
      <w:lang w:bidi="ar-SA"/>
    </w:rPr>
  </w:style>
  <w:style w:type="paragraph" w:customStyle="1" w:styleId="76">
    <w:name w:val="正文缩进_0_0_1"/>
    <w:basedOn w:val="77"/>
    <w:unhideWhenUsed/>
    <w:qFormat/>
    <w:uiPriority w:val="0"/>
    <w:pPr>
      <w:ind w:firstLine="420" w:firstLineChars="200"/>
    </w:pPr>
    <w:rPr>
      <w:rFonts w:ascii="Calibri" w:hAnsi="Calibri"/>
      <w:szCs w:val="22"/>
    </w:rPr>
  </w:style>
  <w:style w:type="paragraph" w:customStyle="1" w:styleId="77">
    <w:name w:val="正文_0_1_1"/>
    <w:basedOn w:val="78"/>
    <w:next w:val="103"/>
    <w:qFormat/>
    <w:uiPriority w:val="0"/>
    <w:pPr>
      <w:widowControl w:val="0"/>
      <w:jc w:val="both"/>
    </w:pPr>
    <w:rPr>
      <w:rFonts w:ascii="Calibri" w:hAnsi="Calibri" w:eastAsia="Calibri"/>
      <w:kern w:val="2"/>
      <w:sz w:val="21"/>
      <w:szCs w:val="22"/>
      <w:lang w:val="en-US" w:eastAsia="zh-CN" w:bidi="ar-SA"/>
    </w:rPr>
  </w:style>
  <w:style w:type="paragraph" w:customStyle="1" w:styleId="78">
    <w:name w:val="正文_3_1"/>
    <w:basedOn w:val="79"/>
    <w:next w:val="80"/>
    <w:qFormat/>
    <w:uiPriority w:val="0"/>
    <w:pPr>
      <w:widowControl w:val="0"/>
      <w:jc w:val="both"/>
    </w:pPr>
    <w:rPr>
      <w:rFonts w:ascii="Calibri" w:hAnsi="Calibri"/>
      <w:kern w:val="2"/>
      <w:sz w:val="21"/>
      <w:szCs w:val="22"/>
      <w:lang w:val="en-US" w:eastAsia="zh-CN" w:bidi="ar-SA"/>
    </w:rPr>
  </w:style>
  <w:style w:type="paragraph" w:customStyle="1" w:styleId="79">
    <w:name w:val="Normal_0_1"/>
    <w:qFormat/>
    <w:uiPriority w:val="0"/>
    <w:rPr>
      <w:rFonts w:ascii="黑体" w:hAnsi="黑体" w:eastAsia="黑体" w:cs="Times New Roman"/>
      <w:b/>
      <w:sz w:val="32"/>
      <w:szCs w:val="24"/>
      <w:lang w:bidi="ar-SA"/>
    </w:rPr>
  </w:style>
  <w:style w:type="paragraph" w:customStyle="1" w:styleId="80">
    <w:name w:val="正文缩进_0_0_0"/>
    <w:basedOn w:val="81"/>
    <w:unhideWhenUsed/>
    <w:qFormat/>
    <w:uiPriority w:val="0"/>
    <w:pPr>
      <w:ind w:firstLine="420" w:firstLineChars="200"/>
    </w:pPr>
    <w:rPr>
      <w:rFonts w:ascii="Calibri" w:hAnsi="Calibri"/>
      <w:szCs w:val="22"/>
    </w:rPr>
  </w:style>
  <w:style w:type="paragraph" w:customStyle="1" w:styleId="81">
    <w:name w:val="正文_0_1_0"/>
    <w:basedOn w:val="82"/>
    <w:next w:val="100"/>
    <w:qFormat/>
    <w:uiPriority w:val="0"/>
    <w:rPr>
      <w:rFonts w:ascii="Times New Roman" w:hAnsi="Times New Roman"/>
      <w:szCs w:val="21"/>
    </w:rPr>
  </w:style>
  <w:style w:type="paragraph" w:customStyle="1" w:styleId="82">
    <w:name w:val="正文_1_1"/>
    <w:basedOn w:val="83"/>
    <w:next w:val="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_0"/>
    <w:basedOn w:val="59"/>
    <w:next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首行缩进1"/>
    <w:basedOn w:val="85"/>
    <w:autoRedefine/>
    <w:unhideWhenUsed/>
    <w:qFormat/>
    <w:uiPriority w:val="99"/>
    <w:pPr>
      <w:ind w:firstLine="420" w:firstLineChars="100"/>
    </w:pPr>
    <w:rPr>
      <w:szCs w:val="22"/>
    </w:rPr>
  </w:style>
  <w:style w:type="paragraph" w:customStyle="1" w:styleId="85">
    <w:name w:val="正文文本_0_0"/>
    <w:basedOn w:val="86"/>
    <w:qFormat/>
    <w:uiPriority w:val="0"/>
    <w:pPr>
      <w:spacing w:after="120"/>
    </w:pPr>
    <w:rPr>
      <w:kern w:val="0"/>
      <w:sz w:val="20"/>
    </w:rPr>
  </w:style>
  <w:style w:type="paragraph" w:customStyle="1" w:styleId="86">
    <w:name w:val="正文_1_0_0_0"/>
    <w:basedOn w:val="87"/>
    <w:next w:val="9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2_0_0_0"/>
    <w:basedOn w:val="88"/>
    <w:next w:val="9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2_0_0"/>
    <w:basedOn w:val="89"/>
    <w:next w:val="93"/>
    <w:autoRedefine/>
    <w:qFormat/>
    <w:uiPriority w:val="0"/>
    <w:rPr>
      <w:rFonts w:ascii="Times New Roman" w:hAnsi="Times New Roman"/>
      <w:szCs w:val="21"/>
    </w:rPr>
  </w:style>
  <w:style w:type="paragraph" w:customStyle="1" w:styleId="89">
    <w:name w:val="正文_3_0_0"/>
    <w:basedOn w:val="90"/>
    <w:next w:val="91"/>
    <w:autoRedefine/>
    <w:qFormat/>
    <w:uiPriority w:val="0"/>
    <w:rPr>
      <w:rFonts w:ascii="Times New Roman" w:hAnsi="Times New Roman" w:eastAsia="Calibri" w:cs="Times New Roman"/>
      <w:szCs w:val="21"/>
    </w:rPr>
  </w:style>
  <w:style w:type="paragraph" w:customStyle="1" w:styleId="90">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文本_1_0_0"/>
    <w:basedOn w:val="92"/>
    <w:qFormat/>
    <w:uiPriority w:val="0"/>
    <w:pPr>
      <w:spacing w:after="120"/>
    </w:pPr>
  </w:style>
  <w:style w:type="paragraph" w:customStyle="1" w:styleId="92">
    <w:name w:val="正文_2_0_0_0_0"/>
    <w:next w:val="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1_0_0"/>
    <w:basedOn w:val="78"/>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94">
    <w:name w:val="引文目录标题_0_0_0"/>
    <w:basedOn w:val="95"/>
    <w:next w:val="95"/>
    <w:qFormat/>
    <w:uiPriority w:val="0"/>
    <w:pPr>
      <w:widowControl w:val="0"/>
      <w:adjustRightInd/>
      <w:snapToGrid/>
      <w:spacing w:before="120" w:after="0"/>
      <w:jc w:val="both"/>
    </w:pPr>
    <w:rPr>
      <w:rFonts w:ascii="Cambria" w:hAnsi="Cambria"/>
      <w:sz w:val="28"/>
    </w:rPr>
  </w:style>
  <w:style w:type="paragraph" w:customStyle="1" w:styleId="95">
    <w:name w:val="正文_4_0"/>
    <w:next w:val="9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_2_0"/>
    <w:basedOn w:val="95"/>
    <w:unhideWhenUsed/>
    <w:qFormat/>
    <w:uiPriority w:val="0"/>
    <w:pPr>
      <w:spacing w:after="120"/>
    </w:pPr>
  </w:style>
  <w:style w:type="paragraph" w:customStyle="1" w:styleId="97">
    <w:name w:val="脚注文本_0_0_0"/>
    <w:basedOn w:val="86"/>
    <w:next w:val="98"/>
    <w:semiHidden/>
    <w:qFormat/>
    <w:uiPriority w:val="0"/>
    <w:pPr>
      <w:snapToGrid w:val="0"/>
      <w:jc w:val="left"/>
    </w:pPr>
    <w:rPr>
      <w:rFonts w:ascii="Calibri" w:hAnsi="Calibri" w:cs="宋体"/>
      <w:sz w:val="18"/>
      <w:szCs w:val="18"/>
    </w:rPr>
  </w:style>
  <w:style w:type="paragraph" w:customStyle="1" w:styleId="98">
    <w:name w:val="正文_2_0_1"/>
    <w:basedOn w:val="99"/>
    <w:next w:val="9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2_1_0"/>
    <w:basedOn w:val="72"/>
    <w:qFormat/>
    <w:uiPriority w:val="0"/>
    <w:pPr>
      <w:widowControl w:val="0"/>
      <w:jc w:val="both"/>
    </w:pPr>
    <w:rPr>
      <w:rFonts w:ascii="等线" w:hAnsi="等线" w:eastAsia="等线"/>
      <w:kern w:val="2"/>
      <w:sz w:val="21"/>
      <w:szCs w:val="22"/>
      <w:lang w:val="en-US" w:eastAsia="zh-CN" w:bidi="ar-SA"/>
    </w:rPr>
  </w:style>
  <w:style w:type="paragraph" w:customStyle="1" w:styleId="100">
    <w:name w:val="脚注文本_0"/>
    <w:basedOn w:val="101"/>
    <w:next w:val="59"/>
    <w:autoRedefine/>
    <w:semiHidden/>
    <w:qFormat/>
    <w:uiPriority w:val="0"/>
    <w:rPr>
      <w:rFonts w:ascii="Calibri" w:hAnsi="Calibri"/>
    </w:rPr>
  </w:style>
  <w:style w:type="paragraph" w:customStyle="1" w:styleId="101">
    <w:name w:val="正文_0_2"/>
    <w:next w:val="10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2">
    <w:name w:val="页脚_0_0"/>
    <w:basedOn w:val="101"/>
    <w:autoRedefine/>
    <w:unhideWhenUsed/>
    <w:qFormat/>
    <w:uiPriority w:val="99"/>
    <w:pPr>
      <w:tabs>
        <w:tab w:val="center" w:pos="4153"/>
        <w:tab w:val="right" w:pos="8306"/>
      </w:tabs>
      <w:snapToGrid w:val="0"/>
      <w:jc w:val="left"/>
    </w:pPr>
    <w:rPr>
      <w:sz w:val="18"/>
      <w:szCs w:val="18"/>
    </w:rPr>
  </w:style>
  <w:style w:type="paragraph" w:customStyle="1" w:styleId="103">
    <w:name w:val="脚注文本1"/>
    <w:basedOn w:val="83"/>
    <w:next w:val="104"/>
    <w:autoRedefine/>
    <w:unhideWhenUsed/>
    <w:qFormat/>
    <w:uiPriority w:val="0"/>
    <w:pPr>
      <w:snapToGrid w:val="0"/>
      <w:jc w:val="left"/>
    </w:pPr>
    <w:rPr>
      <w:rFonts w:eastAsia="宋体"/>
      <w:kern w:val="0"/>
      <w:sz w:val="18"/>
      <w:szCs w:val="18"/>
    </w:rPr>
  </w:style>
  <w:style w:type="paragraph" w:customStyle="1" w:styleId="104">
    <w:name w:val="索引 51"/>
    <w:basedOn w:val="83"/>
    <w:next w:val="83"/>
    <w:unhideWhenUsed/>
    <w:qFormat/>
    <w:uiPriority w:val="99"/>
    <w:pPr>
      <w:ind w:left="1680"/>
    </w:pPr>
  </w:style>
  <w:style w:type="paragraph" w:customStyle="1" w:styleId="105">
    <w:name w:val="No Spacing_0"/>
    <w:basedOn w:val="62"/>
    <w:autoRedefine/>
    <w:qFormat/>
    <w:uiPriority w:val="1"/>
  </w:style>
  <w:style w:type="paragraph" w:customStyle="1" w:styleId="106">
    <w:name w:val="正文1_0"/>
    <w:basedOn w:val="60"/>
    <w:autoRedefine/>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107">
    <w:name w:val="Normal_0"/>
    <w:basedOn w:val="108"/>
    <w:next w:val="110"/>
    <w:qFormat/>
    <w:uiPriority w:val="0"/>
    <w:rPr>
      <w:rFonts w:ascii="黑体" w:hAnsi="黑体" w:eastAsia="黑体"/>
      <w:b/>
      <w:sz w:val="32"/>
      <w:szCs w:val="24"/>
      <w:lang w:bidi="ar-SA"/>
    </w:rPr>
  </w:style>
  <w:style w:type="paragraph" w:customStyle="1" w:styleId="108">
    <w:name w:val="Normal"/>
    <w:basedOn w:val="62"/>
    <w:next w:val="109"/>
    <w:autoRedefine/>
    <w:qFormat/>
    <w:uiPriority w:val="0"/>
    <w:rPr>
      <w:rFonts w:eastAsia="Times New Roman"/>
      <w:sz w:val="24"/>
      <w:szCs w:val="24"/>
      <w:lang w:bidi="ar-SA"/>
    </w:rPr>
  </w:style>
  <w:style w:type="paragraph" w:customStyle="1" w:styleId="109">
    <w:name w:val="Normal Indent"/>
    <w:basedOn w:val="108"/>
    <w:autoRedefine/>
    <w:unhideWhenUsed/>
    <w:qFormat/>
    <w:uiPriority w:val="0"/>
    <w:pPr>
      <w:ind w:firstLine="420" w:firstLineChars="200"/>
    </w:pPr>
    <w:rPr>
      <w:rFonts w:ascii="Calibri" w:hAnsi="Calibri"/>
      <w:szCs w:val="22"/>
    </w:rPr>
  </w:style>
  <w:style w:type="paragraph" w:customStyle="1" w:styleId="110">
    <w:name w:val="TOA Heading"/>
    <w:basedOn w:val="107"/>
    <w:next w:val="107"/>
    <w:autoRedefine/>
    <w:qFormat/>
    <w:uiPriority w:val="0"/>
    <w:pPr>
      <w:widowControl w:val="0"/>
      <w:adjustRightInd/>
      <w:snapToGrid/>
      <w:spacing w:before="120" w:after="0"/>
      <w:jc w:val="both"/>
    </w:pPr>
    <w:rPr>
      <w:rFonts w:ascii="Cambria" w:hAnsi="Cambria"/>
      <w:sz w:val="28"/>
    </w:rPr>
  </w:style>
  <w:style w:type="paragraph" w:customStyle="1" w:styleId="111">
    <w:name w:val="正文_0_1"/>
    <w:basedOn w:val="58"/>
    <w:next w:val="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页脚_0"/>
    <w:basedOn w:val="58"/>
    <w:autoRedefine/>
    <w:unhideWhenUsed/>
    <w:qFormat/>
    <w:uiPriority w:val="99"/>
    <w:pPr>
      <w:tabs>
        <w:tab w:val="center" w:pos="4153"/>
        <w:tab w:val="right" w:pos="8306"/>
      </w:tabs>
      <w:snapToGrid w:val="0"/>
      <w:jc w:val="left"/>
    </w:pPr>
    <w:rPr>
      <w:sz w:val="18"/>
      <w:szCs w:val="18"/>
    </w:rPr>
  </w:style>
  <w:style w:type="paragraph" w:customStyle="1" w:styleId="113">
    <w:name w:val="段_0"/>
    <w:next w:val="62"/>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14">
    <w:name w:val="正文文本_0"/>
    <w:basedOn w:val="59"/>
    <w:autoRedefine/>
    <w:qFormat/>
    <w:uiPriority w:val="0"/>
    <w:pPr>
      <w:spacing w:after="120"/>
    </w:pPr>
    <w:rPr>
      <w:kern w:val="0"/>
      <w:sz w:val="20"/>
    </w:rPr>
  </w:style>
  <w:style w:type="paragraph" w:customStyle="1" w:styleId="11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6">
    <w:name w:val="Table Normal"/>
    <w:semiHidden/>
    <w:unhideWhenUsed/>
    <w:qFormat/>
    <w:uiPriority w:val="0"/>
    <w:tblPr>
      <w:tblCellMar>
        <w:top w:w="0" w:type="dxa"/>
        <w:left w:w="0" w:type="dxa"/>
        <w:bottom w:w="0" w:type="dxa"/>
        <w:right w:w="0" w:type="dxa"/>
      </w:tblCellMar>
    </w:tblPr>
  </w:style>
  <w:style w:type="paragraph" w:customStyle="1" w:styleId="117">
    <w:name w:val="Table Text"/>
    <w:basedOn w:val="1"/>
    <w:semiHidden/>
    <w:qFormat/>
    <w:uiPriority w:val="0"/>
    <w:rPr>
      <w:rFonts w:ascii="Arial" w:hAnsi="Arial" w:eastAsia="Arial" w:cs="Arial"/>
      <w:sz w:val="21"/>
      <w:szCs w:val="21"/>
      <w:lang w:val="en-US" w:eastAsia="en-US" w:bidi="ar-SA"/>
    </w:rPr>
  </w:style>
  <w:style w:type="paragraph" w:customStyle="1" w:styleId="118">
    <w:name w:val="样式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19">
    <w:name w:val="样式 30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0">
    <w:name w:val="样式 3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1">
    <w:name w:val="样式 2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2">
    <w:name w:val="样式 5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3">
    <w:name w:val="样式 2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4">
    <w:name w:val="样式 41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5">
    <w:name w:val="样式 6 小四"/>
    <w:qFormat/>
    <w:uiPriority w:val="0"/>
    <w:pPr>
      <w:widowControl w:val="0"/>
      <w:spacing w:after="120"/>
      <w:jc w:val="both"/>
    </w:pPr>
    <w:rPr>
      <w:rFonts w:ascii="Times New Roman" w:hAnsi="Times New Roman" w:eastAsia="宋体" w:cs="Times New Roman"/>
      <w:kern w:val="0"/>
      <w:sz w:val="24"/>
      <w:szCs w:val="20"/>
      <w:lang w:val="en-US" w:eastAsia="zh-CN" w:bidi="ar-SA"/>
    </w:rPr>
  </w:style>
  <w:style w:type="paragraph" w:customStyle="1" w:styleId="126">
    <w:name w:val="样式 38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7">
    <w:name w:val="样式 2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样式 39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29">
    <w:name w:val="样式 40 11 磅"/>
    <w:qFormat/>
    <w:uiPriority w:val="0"/>
    <w:pPr>
      <w:widowControl w:val="0"/>
      <w:spacing w:after="160" w:line="278" w:lineRule="auto"/>
    </w:pPr>
    <w:rPr>
      <w:rFonts w:ascii="等线" w:hAnsi="Times New Roman" w:eastAsia="等线" w:cs="Arial"/>
      <w:kern w:val="2"/>
      <w:sz w:val="22"/>
      <w:szCs w:val="24"/>
      <w:lang w:val="en-US" w:eastAsia="zh-CN" w:bidi="ar-SA"/>
    </w:rPr>
  </w:style>
  <w:style w:type="paragraph" w:customStyle="1" w:styleId="130">
    <w:name w:val="Normal_3"/>
    <w:autoRedefine/>
    <w:qFormat/>
    <w:uiPriority w:val="0"/>
    <w:rPr>
      <w:rFonts w:ascii="黑体" w:hAnsi="黑体" w:eastAsia="黑体" w:cs="Times New Roman"/>
      <w:b/>
      <w:sz w:val="32"/>
      <w:szCs w:val="24"/>
      <w:lang w:val="en-US" w:eastAsia="zh-CN" w:bidi="ar-SA"/>
    </w:rPr>
  </w:style>
  <w:style w:type="paragraph" w:customStyle="1" w:styleId="131">
    <w:name w:val="Normal_2"/>
    <w:autoRedefine/>
    <w:qFormat/>
    <w:uiPriority w:val="0"/>
    <w:rPr>
      <w:rFonts w:ascii="黑体" w:hAnsi="黑体" w:eastAsia="黑体" w:cs="Times New Roman"/>
      <w:b/>
      <w:sz w:val="32"/>
      <w:szCs w:val="24"/>
      <w:lang w:val="en-US" w:eastAsia="zh-CN" w:bidi="ar-SA"/>
    </w:rPr>
  </w:style>
  <w:style w:type="paragraph" w:customStyle="1" w:styleId="132">
    <w:name w:val="正文2"/>
    <w:basedOn w:val="133"/>
    <w:next w:val="134"/>
    <w:autoRedefine/>
    <w:qFormat/>
    <w:uiPriority w:val="0"/>
  </w:style>
  <w:style w:type="paragraph" w:customStyle="1" w:styleId="133">
    <w:name w:val="正文_0"/>
    <w:basedOn w:val="58"/>
    <w:next w:val="8"/>
    <w:autoRedefine/>
    <w:qFormat/>
    <w:uiPriority w:val="0"/>
    <w:rPr>
      <w:rFonts w:ascii="Calibri" w:hAnsi="Calibri"/>
      <w:szCs w:val="22"/>
    </w:rPr>
  </w:style>
  <w:style w:type="paragraph" w:customStyle="1" w:styleId="134">
    <w:name w:val="正文文本2"/>
    <w:basedOn w:val="132"/>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12381</Words>
  <Characters>13116</Characters>
  <Lines>399</Lines>
  <Paragraphs>112</Paragraphs>
  <TotalTime>24</TotalTime>
  <ScaleCrop>false</ScaleCrop>
  <LinksUpToDate>false</LinksUpToDate>
  <CharactersWithSpaces>13810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紫嫣</cp:lastModifiedBy>
  <cp:lastPrinted>2024-09-05T05:38:00Z</cp:lastPrinted>
  <dcterms:modified xsi:type="dcterms:W3CDTF">2025-06-27T11:56:38Z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F5F03459310B4C19B34E928DB4DC9AE9_13</vt:lpwstr>
  </property>
  <property fmtid="{D5CDD505-2E9C-101B-9397-08002B2CF9AE}" pid="4" name="KSOTemplateDocerSaveRecord">
    <vt:lpwstr>eyJoZGlkIjoiY2FlNTNmZDNmMTE1NWEyYzgwZWY3YWNlNTExMThiZjIiLCJ1c2VySWQiOiI1MDc0Mzk4OTMifQ==</vt:lpwstr>
  </property>
</Properties>
</file>