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ECE9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cs="宋体"/>
          <w:b/>
          <w:bCs w:val="0"/>
          <w:color w:val="auto"/>
          <w:kern w:val="0"/>
          <w:sz w:val="40"/>
          <w:szCs w:val="40"/>
          <w:lang w:val="en-US" w:eastAsia="zh-CN"/>
        </w:rPr>
      </w:pPr>
      <w:r>
        <w:rPr>
          <w:rFonts w:hint="eastAsia" w:ascii="宋体" w:hAnsi="宋体" w:cs="宋体"/>
          <w:b/>
          <w:bCs w:val="0"/>
          <w:color w:val="auto"/>
          <w:kern w:val="0"/>
          <w:sz w:val="40"/>
          <w:szCs w:val="40"/>
          <w:lang w:val="en-US" w:eastAsia="zh-CN"/>
        </w:rPr>
        <w:t>疏勒县疾病预防控制中心（卫生监督所）综合楼（实验室）维修改造项目</w:t>
      </w:r>
    </w:p>
    <w:p w14:paraId="66F9BD8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val="0"/>
          <w:color w:val="auto"/>
          <w:kern w:val="0"/>
          <w:sz w:val="36"/>
          <w:szCs w:val="36"/>
          <w:lang w:val="en-US" w:eastAsia="zh-CN"/>
        </w:rPr>
      </w:pPr>
      <w:r>
        <w:rPr>
          <w:rFonts w:hint="eastAsia" w:ascii="宋体" w:hAnsi="宋体" w:cs="宋体"/>
          <w:b/>
          <w:bCs w:val="0"/>
          <w:color w:val="auto"/>
          <w:kern w:val="0"/>
          <w:sz w:val="36"/>
          <w:szCs w:val="36"/>
          <w:lang w:val="en-US" w:eastAsia="zh-CN"/>
        </w:rPr>
        <w:t>竞争性磋商文件</w:t>
      </w:r>
    </w:p>
    <w:p w14:paraId="1CCB1A99">
      <w:pPr>
        <w:spacing w:line="360" w:lineRule="auto"/>
        <w:ind w:right="17"/>
        <w:jc w:val="center"/>
        <w:rPr>
          <w:rFonts w:hint="eastAsia" w:ascii="宋体" w:hAnsi="宋体" w:eastAsia="宋体" w:cs="宋体"/>
          <w:b/>
          <w:spacing w:val="60"/>
          <w:sz w:val="28"/>
          <w:szCs w:val="28"/>
        </w:rPr>
      </w:pPr>
    </w:p>
    <w:p w14:paraId="4F78CB1D">
      <w:pPr>
        <w:spacing w:line="360" w:lineRule="auto"/>
        <w:jc w:val="center"/>
        <w:rPr>
          <w:rFonts w:hint="eastAsia" w:ascii="宋体" w:hAnsi="宋体" w:eastAsia="宋体" w:cs="宋体"/>
          <w:sz w:val="32"/>
          <w:szCs w:val="32"/>
        </w:rPr>
      </w:pPr>
      <w:r>
        <w:rPr>
          <w:rFonts w:hint="eastAsia" w:ascii="宋体" w:hAnsi="宋体" w:eastAsia="宋体" w:cs="宋体"/>
          <w:b/>
          <w:bCs/>
          <w:sz w:val="32"/>
          <w:szCs w:val="32"/>
        </w:rPr>
        <w:t>项目编号：</w:t>
      </w:r>
      <w:r>
        <w:rPr>
          <w:rFonts w:hint="eastAsia" w:ascii="宋体" w:hAnsi="宋体" w:cs="宋体"/>
          <w:b/>
          <w:bCs/>
          <w:sz w:val="32"/>
          <w:szCs w:val="32"/>
          <w:lang w:eastAsia="zh-CN"/>
        </w:rPr>
        <w:t>XJGQ</w:t>
      </w:r>
      <w:r>
        <w:rPr>
          <w:rFonts w:hint="eastAsia" w:ascii="宋体" w:hAnsi="宋体" w:cs="宋体"/>
          <w:b/>
          <w:bCs/>
          <w:sz w:val="32"/>
          <w:szCs w:val="32"/>
          <w:lang w:val="en-US" w:eastAsia="zh-CN"/>
        </w:rPr>
        <w:t>SLX</w:t>
      </w:r>
      <w:r>
        <w:rPr>
          <w:rFonts w:hint="eastAsia" w:ascii="宋体" w:hAnsi="宋体" w:cs="宋体"/>
          <w:b/>
          <w:bCs/>
          <w:sz w:val="32"/>
          <w:szCs w:val="32"/>
          <w:lang w:eastAsia="zh-CN"/>
        </w:rPr>
        <w:t>(CS)2025-01号</w:t>
      </w:r>
    </w:p>
    <w:p w14:paraId="3E9EF466">
      <w:pPr>
        <w:spacing w:line="360" w:lineRule="auto"/>
        <w:jc w:val="center"/>
        <w:rPr>
          <w:rFonts w:hint="eastAsia" w:ascii="宋体" w:hAnsi="宋体" w:eastAsia="宋体" w:cs="宋体"/>
          <w:sz w:val="32"/>
          <w:szCs w:val="32"/>
        </w:rPr>
      </w:pPr>
    </w:p>
    <w:p w14:paraId="51B3721C">
      <w:pPr>
        <w:keepNext w:val="0"/>
        <w:keepLines w:val="0"/>
        <w:pageBreakBefore w:val="0"/>
        <w:widowControl w:val="0"/>
        <w:kinsoku/>
        <w:wordWrap/>
        <w:overflowPunct/>
        <w:topLinePunct w:val="0"/>
        <w:autoSpaceDE/>
        <w:autoSpaceDN/>
        <w:bidi w:val="0"/>
        <w:adjustRightInd/>
        <w:snapToGrid/>
        <w:spacing w:line="480" w:lineRule="auto"/>
        <w:ind w:left="840" w:leftChars="400" w:firstLine="0" w:firstLineChars="0"/>
        <w:jc w:val="left"/>
        <w:textAlignment w:val="auto"/>
        <w:rPr>
          <w:rFonts w:hint="eastAsia" w:ascii="宋体" w:hAnsi="宋体" w:cs="宋体"/>
          <w:b/>
          <w:bCs w:val="0"/>
          <w:color w:val="auto"/>
          <w:kern w:val="0"/>
          <w:sz w:val="28"/>
          <w:szCs w:val="28"/>
          <w:lang w:val="en-US" w:eastAsia="zh-CN"/>
        </w:rPr>
      </w:pPr>
      <w:r>
        <w:rPr>
          <w:rFonts w:hint="eastAsia" w:ascii="宋体" w:hAnsi="宋体" w:cs="宋体"/>
          <w:b/>
          <w:bCs w:val="0"/>
          <w:color w:val="auto"/>
          <w:kern w:val="0"/>
          <w:sz w:val="28"/>
          <w:szCs w:val="28"/>
          <w:lang w:val="en-US" w:eastAsia="zh-CN"/>
        </w:rPr>
        <w:t>采 购 人：疏勒县疾病预防控制中心　（盖章）</w:t>
      </w:r>
    </w:p>
    <w:p w14:paraId="79E8A3A7">
      <w:pPr>
        <w:keepNext w:val="0"/>
        <w:keepLines w:val="0"/>
        <w:pageBreakBefore w:val="0"/>
        <w:widowControl w:val="0"/>
        <w:kinsoku/>
        <w:wordWrap/>
        <w:overflowPunct/>
        <w:topLinePunct w:val="0"/>
        <w:autoSpaceDE/>
        <w:autoSpaceDN/>
        <w:bidi w:val="0"/>
        <w:adjustRightInd/>
        <w:snapToGrid/>
        <w:spacing w:line="480" w:lineRule="auto"/>
        <w:ind w:left="840" w:leftChars="400" w:firstLine="0" w:firstLineChars="0"/>
        <w:jc w:val="left"/>
        <w:textAlignment w:val="auto"/>
        <w:rPr>
          <w:rFonts w:hint="eastAsia" w:ascii="宋体" w:hAnsi="宋体" w:cs="宋体"/>
          <w:b/>
          <w:bCs w:val="0"/>
          <w:color w:val="auto"/>
          <w:kern w:val="0"/>
          <w:sz w:val="28"/>
          <w:szCs w:val="28"/>
          <w:highlight w:val="none"/>
          <w:lang w:val="en-US" w:eastAsia="zh-CN"/>
        </w:rPr>
      </w:pPr>
      <w:r>
        <w:rPr>
          <w:rFonts w:hint="eastAsia" w:ascii="宋体" w:hAnsi="宋体" w:cs="宋体"/>
          <w:b/>
          <w:bCs w:val="0"/>
          <w:color w:val="auto"/>
          <w:kern w:val="0"/>
          <w:sz w:val="28"/>
          <w:szCs w:val="28"/>
          <w:lang w:val="en-US" w:eastAsia="zh-CN"/>
        </w:rPr>
        <w:t>联 系 人:</w:t>
      </w:r>
      <w:r>
        <w:rPr>
          <w:rFonts w:hint="eastAsia" w:ascii="宋体" w:hAnsi="宋体" w:cs="宋体"/>
          <w:b/>
          <w:bCs w:val="0"/>
          <w:color w:val="auto"/>
          <w:kern w:val="0"/>
          <w:sz w:val="28"/>
          <w:szCs w:val="28"/>
          <w:highlight w:val="none"/>
          <w:lang w:val="en-US" w:eastAsia="zh-CN"/>
        </w:rPr>
        <w:t xml:space="preserve"> 麦吾兰江·阿不来提 </w:t>
      </w:r>
    </w:p>
    <w:p w14:paraId="4090C9BD">
      <w:pPr>
        <w:keepNext w:val="0"/>
        <w:keepLines w:val="0"/>
        <w:pageBreakBefore w:val="0"/>
        <w:widowControl w:val="0"/>
        <w:kinsoku/>
        <w:wordWrap/>
        <w:overflowPunct/>
        <w:topLinePunct w:val="0"/>
        <w:autoSpaceDE/>
        <w:autoSpaceDN/>
        <w:bidi w:val="0"/>
        <w:adjustRightInd/>
        <w:snapToGrid/>
        <w:spacing w:line="480" w:lineRule="auto"/>
        <w:ind w:left="840" w:leftChars="400" w:firstLine="0" w:firstLineChars="0"/>
        <w:jc w:val="left"/>
        <w:textAlignment w:val="auto"/>
        <w:rPr>
          <w:rFonts w:hint="default" w:ascii="宋体" w:hAnsi="宋体" w:cs="宋体"/>
          <w:b/>
          <w:bCs w:val="0"/>
          <w:color w:val="auto"/>
          <w:kern w:val="0"/>
          <w:sz w:val="28"/>
          <w:szCs w:val="28"/>
          <w:highlight w:val="none"/>
          <w:lang w:val="en-US" w:eastAsia="zh-CN"/>
        </w:rPr>
      </w:pPr>
      <w:r>
        <w:rPr>
          <w:rFonts w:hint="eastAsia" w:ascii="宋体" w:hAnsi="宋体" w:cs="宋体"/>
          <w:b/>
          <w:bCs w:val="0"/>
          <w:color w:val="auto"/>
          <w:kern w:val="0"/>
          <w:sz w:val="28"/>
          <w:szCs w:val="28"/>
          <w:highlight w:val="none"/>
          <w:lang w:val="en-US" w:eastAsia="zh-CN"/>
        </w:rPr>
        <w:t>电    话：17619084111</w:t>
      </w:r>
    </w:p>
    <w:p w14:paraId="515A28EB">
      <w:pPr>
        <w:keepNext w:val="0"/>
        <w:keepLines w:val="0"/>
        <w:pageBreakBefore w:val="0"/>
        <w:widowControl w:val="0"/>
        <w:kinsoku/>
        <w:wordWrap/>
        <w:overflowPunct/>
        <w:topLinePunct w:val="0"/>
        <w:autoSpaceDE/>
        <w:autoSpaceDN/>
        <w:bidi w:val="0"/>
        <w:adjustRightInd/>
        <w:snapToGrid/>
        <w:spacing w:line="480" w:lineRule="auto"/>
        <w:ind w:left="840" w:leftChars="400" w:firstLine="0" w:firstLineChars="0"/>
        <w:jc w:val="left"/>
        <w:textAlignment w:val="auto"/>
        <w:rPr>
          <w:rFonts w:hint="eastAsia" w:ascii="宋体" w:hAnsi="宋体" w:cs="宋体"/>
          <w:b/>
          <w:bCs w:val="0"/>
          <w:color w:val="auto"/>
          <w:kern w:val="0"/>
          <w:sz w:val="28"/>
          <w:szCs w:val="28"/>
          <w:lang w:val="en-US" w:eastAsia="zh-CN"/>
        </w:rPr>
      </w:pPr>
    </w:p>
    <w:p w14:paraId="120B67AD">
      <w:pPr>
        <w:keepNext w:val="0"/>
        <w:keepLines w:val="0"/>
        <w:pageBreakBefore w:val="0"/>
        <w:widowControl w:val="0"/>
        <w:kinsoku/>
        <w:wordWrap/>
        <w:overflowPunct/>
        <w:topLinePunct w:val="0"/>
        <w:autoSpaceDE/>
        <w:autoSpaceDN/>
        <w:bidi w:val="0"/>
        <w:adjustRightInd/>
        <w:snapToGrid/>
        <w:spacing w:line="480" w:lineRule="auto"/>
        <w:ind w:left="840" w:leftChars="400" w:firstLine="708" w:firstLineChars="253"/>
        <w:textAlignment w:val="auto"/>
        <w:rPr>
          <w:rFonts w:hint="eastAsia" w:ascii="宋体" w:hAnsi="宋体" w:eastAsia="宋体" w:cs="宋体"/>
          <w:b/>
          <w:bCs w:val="0"/>
          <w:sz w:val="28"/>
          <w:szCs w:val="28"/>
        </w:rPr>
      </w:pPr>
      <w:r>
        <w:rPr>
          <w:rFonts w:hint="eastAsia" w:ascii="宋体" w:hAnsi="宋体" w:eastAsia="宋体" w:cs="宋体"/>
          <w:b/>
          <w:bCs w:val="0"/>
          <w:sz w:val="28"/>
          <w:szCs w:val="28"/>
        </w:rPr>
        <mc:AlternateContent>
          <mc:Choice Requires="wps">
            <w:drawing>
              <wp:anchor distT="0" distB="0" distL="114300" distR="114300" simplePos="0" relativeHeight="251661312" behindDoc="0" locked="0" layoutInCell="1" allowOverlap="1">
                <wp:simplePos x="0" y="0"/>
                <wp:positionH relativeFrom="column">
                  <wp:posOffset>381000</wp:posOffset>
                </wp:positionH>
                <wp:positionV relativeFrom="paragraph">
                  <wp:posOffset>-7620</wp:posOffset>
                </wp:positionV>
                <wp:extent cx="50006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000625" cy="0"/>
                        </a:xfrm>
                        <a:prstGeom prst="line">
                          <a:avLst/>
                        </a:prstGeom>
                        <a:ln w="12700" cap="flat" cmpd="sng">
                          <a:solidFill>
                            <a:srgbClr val="000000"/>
                          </a:solidFill>
                          <a:prstDash val="sysDot"/>
                          <a:headEnd type="none" w="med" len="med"/>
                          <a:tailEnd type="none" w="med" len="med"/>
                        </a:ln>
                        <a:effectLst/>
                      </wps:spPr>
                      <wps:bodyPr upright="1"/>
                    </wps:wsp>
                  </a:graphicData>
                </a:graphic>
              </wp:anchor>
            </w:drawing>
          </mc:Choice>
          <mc:Fallback>
            <w:pict>
              <v:line id="_x0000_s1026" o:spid="_x0000_s1026" o:spt="20" style="position:absolute;left:0pt;margin-left:30pt;margin-top:-0.6pt;height:0pt;width:393.75pt;z-index:251661312;mso-width-relative:page;mso-height-relative:page;" filled="f" stroked="t" coordsize="21600,21600" o:gfxdata="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WRTXWAAAACAEAAA8AAAAAAAAAAQAgAAAAIgAAAGRycy9kb3ducmV2Lnht&#10;bFBLAQIUABQAAAAIAIdO4kB9Eddh+wEAAPQDAAAOAAAAAAAAAAEAIAAAACUBAABkcnMvZTJvRG9j&#10;LnhtbFBLBQYAAAAABgAGAFkBAACSBQAAAAA=&#10;">
                <v:fill on="f" focussize="0,0"/>
                <v:stroke weight="1pt" color="#000000" joinstyle="round" dashstyle="1 1"/>
                <v:imagedata o:title=""/>
                <o:lock v:ext="edit" aspectratio="f"/>
              </v:line>
            </w:pict>
          </mc:Fallback>
        </mc:AlternateContent>
      </w:r>
    </w:p>
    <w:p w14:paraId="395C6180">
      <w:pPr>
        <w:keepNext w:val="0"/>
        <w:keepLines w:val="0"/>
        <w:pageBreakBefore w:val="0"/>
        <w:widowControl w:val="0"/>
        <w:kinsoku/>
        <w:wordWrap/>
        <w:overflowPunct/>
        <w:topLinePunct w:val="0"/>
        <w:autoSpaceDE/>
        <w:autoSpaceDN/>
        <w:bidi w:val="0"/>
        <w:adjustRightInd/>
        <w:snapToGrid/>
        <w:spacing w:line="480" w:lineRule="auto"/>
        <w:ind w:left="840" w:leftChars="400" w:firstLine="0" w:firstLineChars="0"/>
        <w:jc w:val="left"/>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招标代理机构：</w:t>
      </w:r>
      <w:r>
        <w:rPr>
          <w:rFonts w:hint="eastAsia" w:ascii="宋体" w:hAnsi="宋体" w:cs="宋体"/>
          <w:b/>
          <w:bCs w:val="0"/>
          <w:sz w:val="28"/>
          <w:szCs w:val="28"/>
          <w:lang w:eastAsia="zh-CN"/>
        </w:rPr>
        <w:t>新疆亘勤工程管理咨询有限公司</w:t>
      </w:r>
      <w:r>
        <w:rPr>
          <w:rFonts w:hint="eastAsia" w:ascii="宋体" w:hAnsi="宋体" w:eastAsia="宋体" w:cs="宋体"/>
          <w:b/>
          <w:bCs w:val="0"/>
          <w:sz w:val="28"/>
          <w:szCs w:val="28"/>
        </w:rPr>
        <w:t>（盖章）</w:t>
      </w:r>
    </w:p>
    <w:p w14:paraId="019BF365">
      <w:pPr>
        <w:keepNext w:val="0"/>
        <w:keepLines w:val="0"/>
        <w:pageBreakBefore w:val="0"/>
        <w:widowControl w:val="0"/>
        <w:kinsoku/>
        <w:wordWrap/>
        <w:overflowPunct/>
        <w:topLinePunct w:val="0"/>
        <w:autoSpaceDE/>
        <w:autoSpaceDN/>
        <w:bidi w:val="0"/>
        <w:adjustRightInd/>
        <w:snapToGrid/>
        <w:spacing w:line="480" w:lineRule="auto"/>
        <w:ind w:left="840" w:leftChars="400" w:firstLine="0" w:firstLineChars="0"/>
        <w:jc w:val="left"/>
        <w:textAlignment w:val="auto"/>
        <w:rPr>
          <w:rFonts w:hint="eastAsia"/>
          <w:b/>
          <w:bCs w:val="0"/>
          <w:sz w:val="21"/>
          <w:szCs w:val="24"/>
        </w:rPr>
      </w:pPr>
      <w:r>
        <w:rPr>
          <w:rFonts w:hint="eastAsia" w:ascii="宋体" w:hAnsi="宋体" w:cs="宋体"/>
          <w:b/>
          <w:bCs w:val="0"/>
          <w:kern w:val="2"/>
          <w:sz w:val="28"/>
          <w:szCs w:val="28"/>
          <w:lang w:val="en-US" w:eastAsia="zh-CN" w:bidi="ar-SA"/>
        </w:rPr>
        <w:t>招标代理</w:t>
      </w:r>
      <w:r>
        <w:rPr>
          <w:rFonts w:hint="eastAsia" w:ascii="宋体" w:hAnsi="宋体" w:eastAsia="宋体" w:cs="宋体"/>
          <w:b/>
          <w:bCs w:val="0"/>
          <w:kern w:val="2"/>
          <w:sz w:val="28"/>
          <w:szCs w:val="28"/>
          <w:lang w:val="en-US" w:eastAsia="zh-CN" w:bidi="ar-SA"/>
        </w:rPr>
        <w:t>地址</w:t>
      </w:r>
      <w:r>
        <w:rPr>
          <w:rFonts w:hint="eastAsia" w:ascii="宋体" w:hAnsi="宋体" w:cs="宋体"/>
          <w:b/>
          <w:bCs w:val="0"/>
          <w:kern w:val="2"/>
          <w:sz w:val="28"/>
          <w:szCs w:val="28"/>
          <w:lang w:val="en-US" w:eastAsia="zh-CN" w:bidi="ar-SA"/>
        </w:rPr>
        <w:t>： 喀什市深喀大道永昌大厦 5-3 室</w:t>
      </w:r>
    </w:p>
    <w:p w14:paraId="2F6ACFAD">
      <w:pPr>
        <w:keepNext w:val="0"/>
        <w:keepLines w:val="0"/>
        <w:pageBreakBefore w:val="0"/>
        <w:widowControl w:val="0"/>
        <w:kinsoku/>
        <w:wordWrap/>
        <w:overflowPunct/>
        <w:topLinePunct w:val="0"/>
        <w:autoSpaceDE/>
        <w:autoSpaceDN/>
        <w:bidi w:val="0"/>
        <w:adjustRightInd/>
        <w:snapToGrid/>
        <w:spacing w:line="480" w:lineRule="auto"/>
        <w:ind w:left="840" w:leftChars="400" w:firstLine="0" w:firstLineChars="0"/>
        <w:jc w:val="left"/>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rPr>
        <w:t>联</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系</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人：</w:t>
      </w:r>
      <w:r>
        <w:rPr>
          <w:rFonts w:hint="eastAsia" w:ascii="宋体" w:hAnsi="宋体" w:cs="宋体"/>
          <w:b/>
          <w:bCs w:val="0"/>
          <w:sz w:val="28"/>
          <w:szCs w:val="28"/>
          <w:lang w:eastAsia="zh-CN"/>
        </w:rPr>
        <w:t>袁媛</w:t>
      </w:r>
    </w:p>
    <w:p w14:paraId="4470CF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auto"/>
        <w:ind w:left="840" w:leftChars="400" w:firstLine="0" w:firstLineChars="0"/>
        <w:jc w:val="left"/>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rPr>
        <w:t>电</w:t>
      </w: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rPr>
        <w:t>话：</w:t>
      </w:r>
      <w:r>
        <w:rPr>
          <w:rFonts w:hint="eastAsia" w:ascii="宋体" w:hAnsi="宋体" w:cs="宋体"/>
          <w:b/>
          <w:bCs w:val="0"/>
          <w:sz w:val="28"/>
          <w:szCs w:val="28"/>
          <w:lang w:eastAsia="zh-CN"/>
        </w:rPr>
        <w:t>13565665678</w:t>
      </w:r>
    </w:p>
    <w:p w14:paraId="515966FA">
      <w:pPr>
        <w:ind w:firstLine="457" w:firstLineChars="208"/>
        <w:rPr>
          <w:rFonts w:hint="eastAsia" w:ascii="宋体" w:hAnsi="宋体" w:eastAsia="宋体" w:cs="宋体"/>
          <w:b/>
          <w:spacing w:val="20"/>
          <w:sz w:val="18"/>
          <w:szCs w:val="28"/>
        </w:rPr>
      </w:pPr>
    </w:p>
    <w:p w14:paraId="64E0E40B">
      <w:pPr>
        <w:jc w:val="center"/>
        <w:rPr>
          <w:rFonts w:hint="eastAsia" w:ascii="宋体" w:hAnsi="宋体" w:eastAsia="宋体" w:cs="宋体"/>
          <w:b/>
          <w:spacing w:val="20"/>
          <w:sz w:val="30"/>
          <w:szCs w:val="28"/>
        </w:rPr>
      </w:pPr>
    </w:p>
    <w:p w14:paraId="79CBBDE4">
      <w:pPr>
        <w:jc w:val="center"/>
        <w:rPr>
          <w:rFonts w:hint="eastAsia" w:ascii="宋体" w:hAnsi="宋体" w:eastAsia="宋体" w:cs="宋体"/>
          <w:b/>
          <w:spacing w:val="20"/>
          <w:sz w:val="30"/>
          <w:szCs w:val="28"/>
        </w:rPr>
      </w:pPr>
      <w:r>
        <w:rPr>
          <w:rFonts w:hint="eastAsia" w:ascii="宋体" w:hAnsi="宋体" w:eastAsia="宋体" w:cs="宋体"/>
          <w:b/>
          <w:spacing w:val="20"/>
          <w:sz w:val="30"/>
          <w:szCs w:val="28"/>
        </w:rPr>
        <w:t>二</w:t>
      </w:r>
      <w:r>
        <w:rPr>
          <w:rFonts w:hint="eastAsia" w:ascii="宋体" w:hAnsi="宋体" w:cs="宋体"/>
          <w:b/>
          <w:spacing w:val="20"/>
          <w:sz w:val="30"/>
          <w:szCs w:val="28"/>
          <w:lang w:val="en-US" w:eastAsia="zh-CN"/>
        </w:rPr>
        <w:t>O</w:t>
      </w:r>
      <w:r>
        <w:rPr>
          <w:rFonts w:hint="eastAsia" w:ascii="宋体" w:hAnsi="宋体" w:eastAsia="宋体" w:cs="宋体"/>
          <w:b/>
          <w:spacing w:val="20"/>
          <w:sz w:val="30"/>
          <w:szCs w:val="28"/>
        </w:rPr>
        <w:t>二</w:t>
      </w:r>
      <w:r>
        <w:rPr>
          <w:rFonts w:hint="eastAsia" w:ascii="宋体" w:hAnsi="宋体" w:cs="宋体"/>
          <w:b/>
          <w:spacing w:val="20"/>
          <w:sz w:val="30"/>
          <w:szCs w:val="28"/>
          <w:lang w:val="en-US" w:eastAsia="zh-CN"/>
        </w:rPr>
        <w:t>五</w:t>
      </w:r>
      <w:r>
        <w:rPr>
          <w:rFonts w:hint="eastAsia" w:ascii="宋体" w:hAnsi="宋体" w:eastAsia="宋体" w:cs="宋体"/>
          <w:b/>
          <w:spacing w:val="20"/>
          <w:sz w:val="30"/>
          <w:szCs w:val="28"/>
        </w:rPr>
        <w:t>年</w:t>
      </w:r>
      <w:r>
        <w:rPr>
          <w:rFonts w:hint="eastAsia" w:ascii="宋体" w:hAnsi="宋体" w:cs="宋体"/>
          <w:b/>
          <w:spacing w:val="20"/>
          <w:sz w:val="30"/>
          <w:szCs w:val="28"/>
          <w:lang w:val="en-US" w:eastAsia="zh-CN"/>
        </w:rPr>
        <w:t>七</w:t>
      </w:r>
      <w:r>
        <w:rPr>
          <w:rFonts w:hint="eastAsia" w:ascii="宋体" w:hAnsi="宋体" w:eastAsia="宋体" w:cs="宋体"/>
          <w:b/>
          <w:spacing w:val="20"/>
          <w:sz w:val="30"/>
          <w:szCs w:val="28"/>
        </w:rPr>
        <w:t>月</w:t>
      </w:r>
    </w:p>
    <w:p w14:paraId="5DAB4032">
      <w:pPr>
        <w:spacing w:line="240" w:lineRule="atLeast"/>
        <w:jc w:val="both"/>
        <w:rPr>
          <w:rFonts w:hint="eastAsia" w:asciiTheme="minorEastAsia" w:hAnsiTheme="minorEastAsia" w:eastAsiaTheme="minorEastAsia" w:cstheme="minorEastAsia"/>
          <w:b/>
          <w:sz w:val="44"/>
          <w:szCs w:val="44"/>
          <w:lang w:eastAsia="zh-CN"/>
        </w:rPr>
      </w:pPr>
    </w:p>
    <w:p w14:paraId="68650D90">
      <w:pPr>
        <w:spacing w:line="240" w:lineRule="atLeast"/>
        <w:jc w:val="center"/>
        <w:rPr>
          <w:rFonts w:hint="eastAsia" w:asciiTheme="minorEastAsia" w:hAnsiTheme="minorEastAsia" w:eastAsiaTheme="minorEastAsia" w:cstheme="minorEastAsia"/>
          <w:b/>
          <w:sz w:val="44"/>
          <w:szCs w:val="44"/>
          <w:lang w:eastAsia="zh-CN"/>
        </w:rPr>
      </w:pPr>
    </w:p>
    <w:p w14:paraId="7C7C8A7A">
      <w:pPr>
        <w:spacing w:line="240" w:lineRule="atLeast"/>
        <w:jc w:val="center"/>
        <w:rPr>
          <w:rFonts w:hint="eastAsia" w:asciiTheme="minorEastAsia" w:hAnsiTheme="minorEastAsia" w:eastAsiaTheme="minorEastAsia" w:cstheme="minorEastAsia"/>
          <w:b/>
          <w:sz w:val="44"/>
          <w:szCs w:val="44"/>
          <w:lang w:eastAsia="zh-CN"/>
        </w:rPr>
      </w:pPr>
    </w:p>
    <w:p w14:paraId="1144EEF2">
      <w:pPr>
        <w:spacing w:line="240" w:lineRule="atLeast"/>
        <w:jc w:val="center"/>
        <w:rPr>
          <w:rFonts w:hint="eastAsia" w:asciiTheme="minorEastAsia" w:hAnsiTheme="minorEastAsia" w:eastAsiaTheme="minorEastAsia" w:cstheme="minorEastAsia"/>
          <w:b/>
          <w:sz w:val="44"/>
          <w:szCs w:val="44"/>
          <w:lang w:eastAsia="zh-CN"/>
        </w:rPr>
      </w:pPr>
    </w:p>
    <w:p w14:paraId="74ADF70B">
      <w:pPr>
        <w:spacing w:line="240" w:lineRule="atLeast"/>
        <w:jc w:val="center"/>
        <w:rPr>
          <w:rFonts w:hint="eastAsia" w:asciiTheme="minorEastAsia" w:hAnsiTheme="minorEastAsia" w:eastAsiaTheme="minorEastAsia" w:cstheme="minorEastAsia"/>
          <w:b/>
          <w:sz w:val="44"/>
          <w:szCs w:val="44"/>
          <w:lang w:eastAsia="zh-CN"/>
        </w:rPr>
      </w:pPr>
    </w:p>
    <w:p w14:paraId="7A74586C">
      <w:pPr>
        <w:spacing w:line="240" w:lineRule="atLeast"/>
        <w:jc w:val="center"/>
        <w:rPr>
          <w:rFonts w:hint="eastAsia" w:asciiTheme="minorEastAsia" w:hAnsiTheme="minorEastAsia" w:eastAsiaTheme="minorEastAsia" w:cstheme="minorEastAsia"/>
          <w:b/>
          <w:sz w:val="44"/>
          <w:szCs w:val="44"/>
          <w:lang w:eastAsia="zh-CN"/>
        </w:rPr>
      </w:pPr>
    </w:p>
    <w:p w14:paraId="676734A6">
      <w:pPr>
        <w:spacing w:line="240" w:lineRule="atLeast"/>
        <w:jc w:val="center"/>
        <w:rPr>
          <w:rFonts w:hint="eastAsia" w:asciiTheme="minorEastAsia" w:hAnsiTheme="minorEastAsia" w:eastAsiaTheme="minorEastAsia" w:cstheme="minorEastAsia"/>
          <w:b/>
          <w:sz w:val="44"/>
          <w:szCs w:val="44"/>
          <w:lang w:eastAsia="zh-CN"/>
        </w:rPr>
      </w:pPr>
    </w:p>
    <w:p w14:paraId="1F538784">
      <w:pPr>
        <w:spacing w:line="240" w:lineRule="atLeast"/>
        <w:jc w:val="center"/>
        <w:rPr>
          <w:rFonts w:hint="eastAsia" w:asciiTheme="minorEastAsia" w:hAnsiTheme="minorEastAsia" w:eastAsiaTheme="minorEastAsia" w:cstheme="minorEastAsia"/>
          <w:b/>
          <w:sz w:val="44"/>
          <w:szCs w:val="44"/>
          <w:lang w:eastAsia="zh-CN"/>
        </w:rPr>
      </w:pPr>
    </w:p>
    <w:p w14:paraId="4CADA5E2">
      <w:pPr>
        <w:spacing w:line="240" w:lineRule="atLeast"/>
        <w:jc w:val="center"/>
        <w:rPr>
          <w:rFonts w:hint="eastAsia" w:asciiTheme="minorEastAsia" w:hAnsiTheme="minorEastAsia" w:eastAsiaTheme="minorEastAsia" w:cstheme="minorEastAsia"/>
          <w:b/>
          <w:sz w:val="44"/>
          <w:szCs w:val="44"/>
          <w:lang w:eastAsia="zh-CN"/>
        </w:rPr>
      </w:pPr>
    </w:p>
    <w:p w14:paraId="76931EA7">
      <w:pPr>
        <w:spacing w:line="240" w:lineRule="atLeast"/>
        <w:jc w:val="center"/>
        <w:rPr>
          <w:rFonts w:hint="eastAsia" w:asciiTheme="minorEastAsia" w:hAnsiTheme="minorEastAsia" w:eastAsiaTheme="minorEastAsia" w:cstheme="minorEastAsia"/>
          <w:b/>
          <w:sz w:val="44"/>
          <w:szCs w:val="44"/>
          <w:lang w:eastAsia="zh-CN"/>
        </w:rPr>
      </w:pPr>
    </w:p>
    <w:p w14:paraId="79D3E063">
      <w:pPr>
        <w:spacing w:line="240" w:lineRule="atLeast"/>
        <w:jc w:val="center"/>
        <w:rPr>
          <w:rFonts w:hint="eastAsia" w:asciiTheme="minorEastAsia" w:hAnsiTheme="minorEastAsia" w:eastAsiaTheme="minorEastAsia" w:cstheme="minorEastAsia"/>
          <w:b/>
          <w:sz w:val="44"/>
          <w:szCs w:val="44"/>
          <w:lang w:eastAsia="zh-CN"/>
        </w:rPr>
      </w:pPr>
    </w:p>
    <w:p w14:paraId="744AF33B">
      <w:pPr>
        <w:spacing w:line="240" w:lineRule="atLeast"/>
        <w:jc w:val="center"/>
        <w:rPr>
          <w:rFonts w:hint="eastAsia" w:asciiTheme="minorEastAsia" w:hAnsiTheme="minorEastAsia" w:eastAsiaTheme="minorEastAsia" w:cstheme="minorEastAsia"/>
          <w:b/>
          <w:sz w:val="44"/>
          <w:szCs w:val="44"/>
          <w:lang w:eastAsia="zh-CN"/>
        </w:rPr>
      </w:pPr>
    </w:p>
    <w:p w14:paraId="28610E01">
      <w:pPr>
        <w:spacing w:line="240" w:lineRule="atLeast"/>
        <w:jc w:val="center"/>
        <w:rPr>
          <w:rFonts w:hint="eastAsia" w:asciiTheme="minorEastAsia" w:hAnsiTheme="minorEastAsia" w:eastAsiaTheme="minorEastAsia" w:cstheme="minorEastAsia"/>
          <w:b/>
          <w:sz w:val="44"/>
          <w:szCs w:val="44"/>
          <w:lang w:eastAsia="zh-CN"/>
        </w:rPr>
      </w:pPr>
    </w:p>
    <w:p w14:paraId="1A7BBF64">
      <w:pPr>
        <w:spacing w:line="240" w:lineRule="atLeast"/>
        <w:jc w:val="center"/>
        <w:rPr>
          <w:rFonts w:hint="eastAsia" w:asciiTheme="minorEastAsia" w:hAnsiTheme="minorEastAsia" w:eastAsiaTheme="minorEastAsia" w:cstheme="minorEastAsia"/>
          <w:b/>
          <w:sz w:val="44"/>
          <w:szCs w:val="44"/>
          <w:lang w:eastAsia="zh-CN"/>
        </w:rPr>
      </w:pPr>
    </w:p>
    <w:p w14:paraId="75DCF065">
      <w:pPr>
        <w:spacing w:line="240" w:lineRule="atLeast"/>
        <w:jc w:val="center"/>
        <w:rPr>
          <w:rFonts w:hint="eastAsia" w:asciiTheme="minorEastAsia" w:hAnsiTheme="minorEastAsia" w:eastAsiaTheme="minorEastAsia" w:cstheme="minorEastAsia"/>
          <w:b/>
          <w:sz w:val="44"/>
          <w:szCs w:val="44"/>
          <w:lang w:eastAsia="zh-CN"/>
        </w:rPr>
      </w:pPr>
    </w:p>
    <w:p w14:paraId="35CDD764">
      <w:pPr>
        <w:spacing w:line="240" w:lineRule="atLeast"/>
        <w:jc w:val="center"/>
        <w:rPr>
          <w:rFonts w:hint="eastAsia" w:asciiTheme="minorEastAsia" w:hAnsiTheme="minorEastAsia" w:eastAsiaTheme="minorEastAsia" w:cstheme="minorEastAsia"/>
          <w:b/>
          <w:sz w:val="44"/>
          <w:szCs w:val="44"/>
          <w:lang w:eastAsia="zh-CN"/>
        </w:rPr>
      </w:pPr>
    </w:p>
    <w:p w14:paraId="40132414">
      <w:pPr>
        <w:spacing w:line="240" w:lineRule="atLeast"/>
        <w:jc w:val="center"/>
        <w:rPr>
          <w:rFonts w:hint="eastAsia" w:asciiTheme="minorEastAsia" w:hAnsiTheme="minorEastAsia" w:eastAsiaTheme="minorEastAsia" w:cstheme="minorEastAsia"/>
          <w:b/>
          <w:sz w:val="44"/>
          <w:szCs w:val="44"/>
          <w:lang w:eastAsia="zh-CN"/>
        </w:rPr>
      </w:pPr>
    </w:p>
    <w:p w14:paraId="2ABC7AA1">
      <w:pPr>
        <w:spacing w:line="240" w:lineRule="atLeast"/>
        <w:jc w:val="center"/>
        <w:rPr>
          <w:rFonts w:hint="eastAsia" w:asciiTheme="minorEastAsia" w:hAnsiTheme="minorEastAsia" w:eastAsiaTheme="minorEastAsia" w:cstheme="minorEastAsia"/>
          <w:b/>
          <w:sz w:val="44"/>
          <w:szCs w:val="44"/>
          <w:lang w:eastAsia="zh-CN"/>
        </w:rPr>
      </w:pPr>
    </w:p>
    <w:p w14:paraId="2E708E27">
      <w:pPr>
        <w:spacing w:line="240" w:lineRule="atLeast"/>
        <w:jc w:val="center"/>
        <w:rPr>
          <w:rFonts w:hint="eastAsia" w:asciiTheme="minorEastAsia" w:hAnsiTheme="minorEastAsia" w:eastAsiaTheme="minorEastAsia" w:cstheme="minorEastAsia"/>
          <w:b/>
          <w:sz w:val="44"/>
          <w:szCs w:val="44"/>
          <w:lang w:eastAsia="zh-CN"/>
        </w:rPr>
      </w:pPr>
    </w:p>
    <w:p w14:paraId="79E7385B">
      <w:pPr>
        <w:spacing w:line="240" w:lineRule="atLeast"/>
        <w:jc w:val="center"/>
        <w:rPr>
          <w:rFonts w:hint="eastAsia" w:asciiTheme="minorEastAsia" w:hAnsiTheme="minorEastAsia" w:eastAsiaTheme="minorEastAsia" w:cstheme="minorEastAsia"/>
          <w:b/>
          <w:sz w:val="44"/>
          <w:szCs w:val="44"/>
          <w:lang w:eastAsia="zh-CN"/>
        </w:rPr>
      </w:pPr>
    </w:p>
    <w:p w14:paraId="5DFC89FB">
      <w:pPr>
        <w:spacing w:line="240" w:lineRule="atLeast"/>
        <w:outlineLvl w:val="1"/>
        <w:rPr>
          <w:rFonts w:hint="eastAsia" w:asciiTheme="minorEastAsia" w:hAnsiTheme="minorEastAsia" w:eastAsiaTheme="minorEastAsia" w:cstheme="minorEastAsia"/>
          <w:bCs/>
          <w:sz w:val="32"/>
          <w:szCs w:val="32"/>
        </w:rPr>
        <w:sectPr>
          <w:footerReference r:id="rId5" w:type="first"/>
          <w:headerReference r:id="rId3" w:type="default"/>
          <w:footerReference r:id="rId4" w:type="default"/>
          <w:pgSz w:w="11906" w:h="16838"/>
          <w:pgMar w:top="1440" w:right="1797" w:bottom="1440" w:left="1797" w:header="454" w:footer="992" w:gutter="0"/>
          <w:pgNumType w:fmt="decimal" w:start="1"/>
          <w:cols w:space="720" w:num="1"/>
          <w:docGrid w:type="linesAndChars" w:linePitch="312" w:charSpace="0"/>
        </w:sectPr>
      </w:pPr>
    </w:p>
    <w:p w14:paraId="37928060">
      <w:pPr>
        <w:pStyle w:val="55"/>
        <w:rPr>
          <w:rFonts w:hint="eastAsia"/>
        </w:rPr>
      </w:pPr>
    </w:p>
    <w:p w14:paraId="028249FB">
      <w:pPr>
        <w:pStyle w:val="27"/>
        <w:rPr>
          <w:rFonts w:hint="eastAsia" w:asciiTheme="minorEastAsia" w:hAnsiTheme="minorEastAsia" w:eastAsiaTheme="minorEastAsia" w:cstheme="minorEastAsia"/>
          <w:bCs/>
          <w:sz w:val="28"/>
        </w:rPr>
      </w:pPr>
    </w:p>
    <w:p w14:paraId="0882E52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val="0"/>
          <w:color w:val="auto"/>
          <w:kern w:val="0"/>
          <w:sz w:val="40"/>
          <w:szCs w:val="40"/>
          <w:lang w:val="en-US" w:eastAsia="zh-CN"/>
        </w:rPr>
      </w:pPr>
      <w:r>
        <w:rPr>
          <w:rFonts w:hint="eastAsia" w:ascii="宋体" w:hAnsi="宋体" w:cs="宋体"/>
          <w:b/>
          <w:bCs w:val="0"/>
          <w:color w:val="auto"/>
          <w:kern w:val="0"/>
          <w:sz w:val="40"/>
          <w:szCs w:val="40"/>
          <w:lang w:val="en-US" w:eastAsia="zh-CN"/>
        </w:rPr>
        <w:t>疏勒县疾病预防控制中心（卫生监督所）综合楼（实验室）维修改造项目</w:t>
      </w:r>
    </w:p>
    <w:p w14:paraId="62D2E010">
      <w:pPr>
        <w:pStyle w:val="8"/>
        <w:rPr>
          <w:rFonts w:hint="eastAsia" w:asciiTheme="minorEastAsia" w:hAnsiTheme="minorEastAsia" w:eastAsiaTheme="minorEastAsia" w:cstheme="minorEastAsia"/>
          <w:bCs/>
          <w:sz w:val="48"/>
          <w:szCs w:val="48"/>
        </w:rPr>
      </w:pPr>
    </w:p>
    <w:p w14:paraId="5F4173B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val="0"/>
          <w:color w:val="auto"/>
          <w:kern w:val="0"/>
          <w:sz w:val="36"/>
          <w:szCs w:val="36"/>
          <w:lang w:val="en-US" w:eastAsia="zh-CN"/>
        </w:rPr>
      </w:pPr>
      <w:bookmarkStart w:id="0" w:name="_Toc20053"/>
      <w:r>
        <w:rPr>
          <w:rFonts w:hint="eastAsia" w:ascii="宋体" w:hAnsi="宋体" w:cs="宋体"/>
          <w:b/>
          <w:bCs w:val="0"/>
          <w:color w:val="auto"/>
          <w:kern w:val="0"/>
          <w:sz w:val="36"/>
          <w:szCs w:val="36"/>
          <w:lang w:val="en-US" w:eastAsia="zh-CN"/>
        </w:rPr>
        <w:t>项目编号：</w:t>
      </w:r>
      <w:bookmarkEnd w:id="0"/>
      <w:r>
        <w:rPr>
          <w:rFonts w:hint="eastAsia" w:ascii="宋体" w:hAnsi="宋体" w:cs="宋体"/>
          <w:b/>
          <w:bCs w:val="0"/>
          <w:color w:val="auto"/>
          <w:kern w:val="0"/>
          <w:sz w:val="36"/>
          <w:szCs w:val="36"/>
          <w:lang w:val="en-US" w:eastAsia="zh-CN"/>
        </w:rPr>
        <w:t>XJGQSLX(CS)2025-01号</w:t>
      </w:r>
    </w:p>
    <w:p w14:paraId="189B12A8">
      <w:pPr>
        <w:spacing w:line="240" w:lineRule="atLeast"/>
        <w:ind w:left="1079" w:leftChars="257" w:hanging="540"/>
        <w:jc w:val="center"/>
        <w:outlineLvl w:val="0"/>
        <w:rPr>
          <w:rFonts w:hint="eastAsia"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 xml:space="preserve"> </w:t>
      </w:r>
    </w:p>
    <w:p w14:paraId="17FFD742">
      <w:pPr>
        <w:spacing w:line="240" w:lineRule="atLeast"/>
        <w:ind w:left="1079" w:leftChars="257" w:hanging="540"/>
        <w:jc w:val="center"/>
        <w:outlineLvl w:val="0"/>
        <w:rPr>
          <w:rFonts w:hint="eastAsia" w:asciiTheme="minorEastAsia" w:hAnsiTheme="minorEastAsia" w:eastAsiaTheme="minorEastAsia" w:cstheme="minorEastAsia"/>
          <w:bCs/>
          <w:sz w:val="48"/>
          <w:szCs w:val="48"/>
        </w:rPr>
      </w:pPr>
    </w:p>
    <w:p w14:paraId="4B08FDD6">
      <w:pPr>
        <w:pStyle w:val="8"/>
        <w:ind w:left="0" w:leftChars="0" w:firstLine="0" w:firstLineChars="0"/>
        <w:rPr>
          <w:rFonts w:hint="eastAsia" w:asciiTheme="minorEastAsia" w:hAnsiTheme="minorEastAsia" w:eastAsiaTheme="minorEastAsia" w:cstheme="minorEastAsia"/>
          <w:bCs/>
          <w:sz w:val="48"/>
          <w:szCs w:val="48"/>
        </w:rPr>
      </w:pPr>
    </w:p>
    <w:p w14:paraId="7F8DFF2E">
      <w:pPr>
        <w:spacing w:line="240" w:lineRule="atLeast"/>
        <w:ind w:left="1079" w:leftChars="257" w:hanging="540"/>
        <w:jc w:val="center"/>
        <w:outlineLvl w:val="0"/>
        <w:rPr>
          <w:rFonts w:hint="eastAsia" w:asciiTheme="minorEastAsia" w:hAnsiTheme="minorEastAsia" w:eastAsiaTheme="minorEastAsia" w:cstheme="minorEastAsia"/>
          <w:bCs/>
          <w:sz w:val="48"/>
          <w:szCs w:val="48"/>
        </w:rPr>
      </w:pPr>
    </w:p>
    <w:p w14:paraId="11EA2B4C">
      <w:pPr>
        <w:pStyle w:val="3"/>
        <w:rPr>
          <w:rFonts w:hint="eastAsia" w:asciiTheme="minorEastAsia" w:hAnsiTheme="minorEastAsia" w:eastAsiaTheme="minorEastAsia" w:cstheme="minorEastAsia"/>
        </w:rPr>
      </w:pPr>
    </w:p>
    <w:p w14:paraId="4BD19EF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val="0"/>
          <w:color w:val="auto"/>
          <w:kern w:val="0"/>
          <w:sz w:val="40"/>
          <w:szCs w:val="40"/>
          <w:lang w:val="en-US" w:eastAsia="zh-CN"/>
        </w:rPr>
      </w:pPr>
      <w:bookmarkStart w:id="1" w:name="_Toc32722"/>
      <w:r>
        <w:rPr>
          <w:rFonts w:hint="eastAsia" w:ascii="宋体" w:hAnsi="宋体" w:cs="宋体"/>
          <w:b/>
          <w:bCs w:val="0"/>
          <w:color w:val="auto"/>
          <w:kern w:val="0"/>
          <w:sz w:val="40"/>
          <w:szCs w:val="40"/>
          <w:lang w:val="en-US" w:eastAsia="zh-CN"/>
        </w:rPr>
        <w:t>竞争性磋商文件</w:t>
      </w:r>
      <w:bookmarkEnd w:id="1"/>
      <w:r>
        <w:rPr>
          <w:rFonts w:hint="eastAsia" w:ascii="宋体" w:hAnsi="宋体" w:cs="宋体"/>
          <w:b/>
          <w:bCs w:val="0"/>
          <w:color w:val="auto"/>
          <w:kern w:val="0"/>
          <w:sz w:val="40"/>
          <w:szCs w:val="40"/>
          <w:lang w:val="en-US" w:eastAsia="zh-CN"/>
        </w:rPr>
        <w:t xml:space="preserve"> </w:t>
      </w:r>
    </w:p>
    <w:p w14:paraId="410367E9">
      <w:pPr>
        <w:spacing w:line="240" w:lineRule="atLeast"/>
        <w:ind w:left="1079" w:leftChars="257" w:hanging="540"/>
        <w:jc w:val="center"/>
        <w:rPr>
          <w:rFonts w:hint="eastAsia" w:asciiTheme="minorEastAsia" w:hAnsiTheme="minorEastAsia" w:eastAsiaTheme="minorEastAsia" w:cstheme="minorEastAsia"/>
          <w:b/>
          <w:sz w:val="32"/>
          <w:szCs w:val="32"/>
        </w:rPr>
      </w:pPr>
    </w:p>
    <w:p w14:paraId="1FC7F14B">
      <w:pPr>
        <w:pStyle w:val="3"/>
        <w:rPr>
          <w:rFonts w:hint="eastAsia" w:asciiTheme="minorEastAsia" w:hAnsiTheme="minorEastAsia" w:eastAsiaTheme="minorEastAsia" w:cstheme="minorEastAsia"/>
          <w:b/>
          <w:sz w:val="32"/>
          <w:szCs w:val="32"/>
        </w:rPr>
      </w:pPr>
    </w:p>
    <w:p w14:paraId="11F5C16F">
      <w:pPr>
        <w:spacing w:line="240" w:lineRule="atLeast"/>
        <w:rPr>
          <w:rFonts w:hint="eastAsia" w:asciiTheme="minorEastAsia" w:hAnsiTheme="minorEastAsia" w:eastAsiaTheme="minorEastAsia" w:cstheme="minorEastAsia"/>
          <w:b/>
          <w:sz w:val="28"/>
        </w:rPr>
      </w:pPr>
    </w:p>
    <w:p w14:paraId="0317DB7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val="0"/>
          <w:color w:val="auto"/>
          <w:kern w:val="0"/>
          <w:sz w:val="36"/>
          <w:szCs w:val="36"/>
          <w:lang w:val="en-US" w:eastAsia="zh-CN"/>
        </w:rPr>
      </w:pPr>
      <w:bookmarkStart w:id="2" w:name="_Toc9229"/>
      <w:r>
        <w:rPr>
          <w:rFonts w:hint="eastAsia" w:ascii="宋体" w:hAnsi="宋体" w:cs="宋体"/>
          <w:b/>
          <w:bCs w:val="0"/>
          <w:color w:val="auto"/>
          <w:kern w:val="0"/>
          <w:sz w:val="36"/>
          <w:szCs w:val="36"/>
          <w:lang w:val="en-US" w:eastAsia="zh-CN"/>
        </w:rPr>
        <w:t>第一册</w:t>
      </w:r>
      <w:bookmarkEnd w:id="2"/>
    </w:p>
    <w:p w14:paraId="5C0481E4">
      <w:pPr>
        <w:autoSpaceDE w:val="0"/>
        <w:autoSpaceDN w:val="0"/>
        <w:spacing w:line="600" w:lineRule="exact"/>
        <w:ind w:firstLine="840" w:firstLineChars="300"/>
        <w:rPr>
          <w:rFonts w:hint="eastAsia" w:asciiTheme="minorEastAsia" w:hAnsiTheme="minorEastAsia" w:eastAsiaTheme="minorEastAsia" w:cstheme="minorEastAsia"/>
          <w:b/>
          <w:bCs/>
          <w:color w:val="000000"/>
          <w:kern w:val="0"/>
          <w:sz w:val="28"/>
          <w:szCs w:val="28"/>
          <w:lang w:bidi="ar"/>
        </w:rPr>
      </w:pPr>
    </w:p>
    <w:p w14:paraId="6C6DC47E">
      <w:pPr>
        <w:autoSpaceDE w:val="0"/>
        <w:autoSpaceDN w:val="0"/>
        <w:spacing w:line="600" w:lineRule="exact"/>
        <w:ind w:firstLine="840" w:firstLineChars="300"/>
        <w:rPr>
          <w:rFonts w:hint="eastAsia" w:asciiTheme="minorEastAsia" w:hAnsiTheme="minorEastAsia" w:eastAsiaTheme="minorEastAsia" w:cstheme="minorEastAsia"/>
          <w:b/>
          <w:bCs/>
          <w:color w:val="000000"/>
          <w:kern w:val="0"/>
          <w:sz w:val="28"/>
          <w:szCs w:val="28"/>
          <w:lang w:bidi="ar"/>
        </w:rPr>
      </w:pPr>
    </w:p>
    <w:p w14:paraId="02D7C5B0">
      <w:pPr>
        <w:pStyle w:val="27"/>
        <w:spacing w:line="600" w:lineRule="exact"/>
        <w:ind w:firstLine="3080" w:firstLineChars="1100"/>
        <w:outlineLvl w:val="1"/>
        <w:rPr>
          <w:rFonts w:hint="eastAsia" w:asciiTheme="minorEastAsia" w:hAnsiTheme="minorEastAsia" w:eastAsiaTheme="minorEastAsia" w:cstheme="minorEastAsia"/>
          <w:b/>
          <w:bCs/>
          <w:color w:val="000000"/>
          <w:kern w:val="0"/>
          <w:sz w:val="28"/>
          <w:szCs w:val="28"/>
          <w:lang w:bidi="ar"/>
        </w:rPr>
      </w:pPr>
    </w:p>
    <w:p w14:paraId="3A291475">
      <w:pPr>
        <w:pStyle w:val="27"/>
        <w:spacing w:line="600" w:lineRule="exact"/>
        <w:ind w:firstLine="3080" w:firstLineChars="1100"/>
        <w:outlineLvl w:val="1"/>
        <w:rPr>
          <w:rFonts w:hint="eastAsia" w:asciiTheme="minorEastAsia" w:hAnsiTheme="minorEastAsia" w:eastAsiaTheme="minorEastAsia" w:cstheme="minorEastAsia"/>
          <w:kern w:val="0"/>
          <w:szCs w:val="21"/>
        </w:rPr>
        <w:sectPr>
          <w:footerReference r:id="rId6" w:type="default"/>
          <w:pgSz w:w="11906" w:h="16838"/>
          <w:pgMar w:top="1440" w:right="1797" w:bottom="1440" w:left="1797" w:header="454" w:footer="992" w:gutter="0"/>
          <w:pgNumType w:fmt="decimal" w:start="1"/>
          <w:cols w:space="720" w:num="1"/>
          <w:docGrid w:type="linesAndChars" w:linePitch="312" w:charSpace="0"/>
        </w:sectPr>
      </w:pPr>
      <w:r>
        <w:rPr>
          <w:rFonts w:hint="eastAsia" w:asciiTheme="minorEastAsia" w:hAnsiTheme="minorEastAsia" w:eastAsiaTheme="minorEastAsia" w:cstheme="minorEastAsia"/>
          <w:b/>
          <w:bCs/>
          <w:color w:val="000000"/>
          <w:kern w:val="0"/>
          <w:sz w:val="28"/>
          <w:szCs w:val="28"/>
          <w:lang w:bidi="ar"/>
        </w:rPr>
        <w:t xml:space="preserve">              </w:t>
      </w:r>
    </w:p>
    <w:p w14:paraId="4CC60774">
      <w:pPr>
        <w:jc w:val="center"/>
        <w:outlineLvl w:val="1"/>
        <w:rPr>
          <w:rFonts w:hint="eastAsia" w:asciiTheme="minorEastAsia" w:hAnsiTheme="minorEastAsia" w:eastAsiaTheme="minorEastAsia" w:cstheme="minorEastAsia"/>
          <w:sz w:val="24"/>
        </w:rPr>
      </w:pPr>
      <w:bookmarkStart w:id="3" w:name="_Toc9141"/>
      <w:bookmarkStart w:id="4" w:name="_Toc9228"/>
      <w:bookmarkStart w:id="5" w:name="_Toc216582804"/>
      <w:r>
        <w:rPr>
          <w:rFonts w:hint="eastAsia" w:asciiTheme="minorEastAsia" w:hAnsiTheme="minorEastAsia" w:eastAsiaTheme="minorEastAsia" w:cstheme="minorEastAsia"/>
          <w:sz w:val="24"/>
        </w:rPr>
        <w:t>目</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录</w:t>
      </w:r>
      <w:bookmarkEnd w:id="3"/>
    </w:p>
    <w:p w14:paraId="162CE6BA">
      <w:pPr>
        <w:pStyle w:val="23"/>
        <w:tabs>
          <w:tab w:val="right" w:leader="dot" w:pos="9746"/>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TOC \o "1-2" \h \u </w:instrText>
      </w:r>
      <w:r>
        <w:rPr>
          <w:rFonts w:hint="eastAsia" w:asciiTheme="minorEastAsia" w:hAnsiTheme="minorEastAsia" w:eastAsiaTheme="minorEastAsia" w:cstheme="minorEastAsia"/>
          <w:sz w:val="24"/>
        </w:rPr>
        <w:fldChar w:fldCharType="separate"/>
      </w:r>
    </w:p>
    <w:p w14:paraId="67A2FB7F">
      <w:pPr>
        <w:pStyle w:val="23"/>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_Toc9229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48"/>
        </w:rPr>
        <w:t>第</w:t>
      </w:r>
      <w:r>
        <w:rPr>
          <w:rFonts w:hint="eastAsia" w:asciiTheme="minorEastAsia" w:hAnsiTheme="minorEastAsia" w:eastAsiaTheme="minorEastAsia" w:cstheme="minorEastAsia"/>
          <w:szCs w:val="48"/>
          <w:lang w:val="en-US" w:eastAsia="zh-CN"/>
        </w:rPr>
        <w:t>一</w:t>
      </w:r>
      <w:r>
        <w:rPr>
          <w:rFonts w:hint="eastAsia" w:asciiTheme="minorEastAsia" w:hAnsiTheme="minorEastAsia" w:eastAsiaTheme="minorEastAsia" w:cstheme="minorEastAsia"/>
          <w:szCs w:val="48"/>
        </w:rPr>
        <w:t>册</w:t>
      </w:r>
      <w:r>
        <w:tab/>
      </w:r>
      <w:r>
        <w:fldChar w:fldCharType="begin"/>
      </w:r>
      <w:r>
        <w:instrText xml:space="preserve"> PAGEREF _Toc9229 \h </w:instrText>
      </w:r>
      <w:r>
        <w:fldChar w:fldCharType="separate"/>
      </w:r>
      <w:r>
        <w:t>1</w:t>
      </w:r>
      <w:r>
        <w:fldChar w:fldCharType="end"/>
      </w:r>
      <w:r>
        <w:rPr>
          <w:rFonts w:hint="eastAsia" w:asciiTheme="minorEastAsia" w:hAnsiTheme="minorEastAsia" w:eastAsiaTheme="minorEastAsia" w:cstheme="minorEastAsia"/>
        </w:rPr>
        <w:fldChar w:fldCharType="end"/>
      </w:r>
    </w:p>
    <w:p w14:paraId="5EA4DD06">
      <w:pPr>
        <w:pStyle w:val="30"/>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_Toc9141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目</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录</w:t>
      </w:r>
      <w:r>
        <w:tab/>
      </w:r>
      <w:r>
        <w:fldChar w:fldCharType="begin"/>
      </w:r>
      <w:r>
        <w:instrText xml:space="preserve"> PAGEREF _Toc9141 \h </w:instrText>
      </w:r>
      <w:r>
        <w:fldChar w:fldCharType="separate"/>
      </w:r>
      <w:r>
        <w:t>1</w:t>
      </w:r>
      <w:r>
        <w:fldChar w:fldCharType="end"/>
      </w:r>
      <w:r>
        <w:rPr>
          <w:rFonts w:hint="eastAsia" w:asciiTheme="minorEastAsia" w:hAnsiTheme="minorEastAsia" w:eastAsiaTheme="minorEastAsia" w:cstheme="minorEastAsia"/>
        </w:rPr>
        <w:fldChar w:fldCharType="end"/>
      </w:r>
    </w:p>
    <w:p w14:paraId="18043522">
      <w:pPr>
        <w:pStyle w:val="30"/>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_Toc23655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一   总  则</w:t>
      </w:r>
      <w:r>
        <w:tab/>
      </w:r>
      <w:r>
        <w:fldChar w:fldCharType="begin"/>
      </w:r>
      <w:r>
        <w:instrText xml:space="preserve"> PAGEREF _Toc23655 \h </w:instrText>
      </w:r>
      <w:r>
        <w:fldChar w:fldCharType="separate"/>
      </w:r>
      <w:r>
        <w:t>2</w:t>
      </w:r>
      <w:r>
        <w:fldChar w:fldCharType="end"/>
      </w:r>
      <w:r>
        <w:rPr>
          <w:rFonts w:hint="eastAsia" w:asciiTheme="minorEastAsia" w:hAnsiTheme="minorEastAsia" w:eastAsiaTheme="minorEastAsia" w:cstheme="minorEastAsia"/>
        </w:rPr>
        <w:fldChar w:fldCharType="end"/>
      </w:r>
    </w:p>
    <w:p w14:paraId="19708480">
      <w:pPr>
        <w:pStyle w:val="30"/>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_Toc21828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二   磋商文件</w:t>
      </w:r>
      <w:r>
        <w:tab/>
      </w:r>
      <w:r>
        <w:fldChar w:fldCharType="begin"/>
      </w:r>
      <w:r>
        <w:instrText xml:space="preserve"> PAGEREF _Toc21828 \h </w:instrText>
      </w:r>
      <w:r>
        <w:fldChar w:fldCharType="separate"/>
      </w:r>
      <w:r>
        <w:t>3</w:t>
      </w:r>
      <w:r>
        <w:fldChar w:fldCharType="end"/>
      </w:r>
      <w:r>
        <w:rPr>
          <w:rFonts w:hint="eastAsia" w:asciiTheme="minorEastAsia" w:hAnsiTheme="minorEastAsia" w:eastAsiaTheme="minorEastAsia" w:cstheme="minorEastAsia"/>
        </w:rPr>
        <w:fldChar w:fldCharType="end"/>
      </w:r>
    </w:p>
    <w:p w14:paraId="1268909A">
      <w:pPr>
        <w:pStyle w:val="30"/>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_Toc25602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三   响应文件的编制</w:t>
      </w:r>
      <w:r>
        <w:tab/>
      </w:r>
      <w:r>
        <w:fldChar w:fldCharType="begin"/>
      </w:r>
      <w:r>
        <w:instrText xml:space="preserve"> PAGEREF _Toc25602 \h </w:instrText>
      </w:r>
      <w:r>
        <w:fldChar w:fldCharType="separate"/>
      </w:r>
      <w:r>
        <w:t>4</w:t>
      </w:r>
      <w:r>
        <w:fldChar w:fldCharType="end"/>
      </w:r>
      <w:r>
        <w:rPr>
          <w:rFonts w:hint="eastAsia" w:asciiTheme="minorEastAsia" w:hAnsiTheme="minorEastAsia" w:eastAsiaTheme="minorEastAsia" w:cstheme="minorEastAsia"/>
        </w:rPr>
        <w:fldChar w:fldCharType="end"/>
      </w:r>
    </w:p>
    <w:p w14:paraId="5C64801C">
      <w:pPr>
        <w:pStyle w:val="30"/>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_Toc25905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四   响应文件的递交</w:t>
      </w:r>
      <w:r>
        <w:tab/>
      </w:r>
      <w:r>
        <w:fldChar w:fldCharType="begin"/>
      </w:r>
      <w:r>
        <w:instrText xml:space="preserve"> PAGEREF _Toc25905 \h </w:instrText>
      </w:r>
      <w:r>
        <w:fldChar w:fldCharType="separate"/>
      </w:r>
      <w:r>
        <w:t>6</w:t>
      </w:r>
      <w:r>
        <w:fldChar w:fldCharType="end"/>
      </w:r>
      <w:r>
        <w:rPr>
          <w:rFonts w:hint="eastAsia" w:asciiTheme="minorEastAsia" w:hAnsiTheme="minorEastAsia" w:eastAsiaTheme="minorEastAsia" w:cstheme="minorEastAsia"/>
        </w:rPr>
        <w:fldChar w:fldCharType="end"/>
      </w:r>
    </w:p>
    <w:p w14:paraId="74B3B651">
      <w:pPr>
        <w:pStyle w:val="30"/>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_Toc19737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五   磋商开启及评审</w:t>
      </w:r>
      <w:r>
        <w:tab/>
      </w:r>
      <w:r>
        <w:fldChar w:fldCharType="begin"/>
      </w:r>
      <w:r>
        <w:instrText xml:space="preserve"> PAGEREF _Toc19737 \h </w:instrText>
      </w:r>
      <w:r>
        <w:fldChar w:fldCharType="separate"/>
      </w:r>
      <w:r>
        <w:t>8</w:t>
      </w:r>
      <w:r>
        <w:fldChar w:fldCharType="end"/>
      </w:r>
      <w:r>
        <w:rPr>
          <w:rFonts w:hint="eastAsia" w:asciiTheme="minorEastAsia" w:hAnsiTheme="minorEastAsia" w:eastAsiaTheme="minorEastAsia" w:cstheme="minorEastAsia"/>
        </w:rPr>
        <w:fldChar w:fldCharType="end"/>
      </w:r>
    </w:p>
    <w:p w14:paraId="57D76CD7">
      <w:pPr>
        <w:pStyle w:val="30"/>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_Toc24051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六   确定成交</w:t>
      </w:r>
      <w:r>
        <w:tab/>
      </w:r>
      <w:r>
        <w:fldChar w:fldCharType="begin"/>
      </w:r>
      <w:r>
        <w:instrText xml:space="preserve"> PAGEREF _Toc24051 \h </w:instrText>
      </w:r>
      <w:r>
        <w:fldChar w:fldCharType="separate"/>
      </w:r>
      <w:r>
        <w:t>11</w:t>
      </w:r>
      <w:r>
        <w:fldChar w:fldCharType="end"/>
      </w:r>
      <w:r>
        <w:rPr>
          <w:rFonts w:hint="eastAsia" w:asciiTheme="minorEastAsia" w:hAnsiTheme="minorEastAsia" w:eastAsiaTheme="minorEastAsia" w:cstheme="minorEastAsia"/>
        </w:rPr>
        <w:fldChar w:fldCharType="end"/>
      </w:r>
    </w:p>
    <w:p w14:paraId="300AC3D3">
      <w:pPr>
        <w:pStyle w:val="30"/>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_Toc25722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一、质疑</w:t>
      </w:r>
      <w:r>
        <w:rPr>
          <w:rFonts w:hint="eastAsia" w:asciiTheme="minorEastAsia" w:hAnsiTheme="minorEastAsia" w:eastAsiaTheme="minorEastAsia" w:cstheme="minorEastAsia"/>
          <w:bCs/>
          <w:lang w:eastAsia="zh-CN"/>
        </w:rPr>
        <w:t>供应商</w:t>
      </w:r>
      <w:r>
        <w:rPr>
          <w:rFonts w:hint="eastAsia" w:asciiTheme="minorEastAsia" w:hAnsiTheme="minorEastAsia" w:eastAsiaTheme="minorEastAsia" w:cstheme="minorEastAsia"/>
          <w:bCs/>
        </w:rPr>
        <w:t>基本信息</w:t>
      </w:r>
      <w:r>
        <w:tab/>
      </w:r>
      <w:r>
        <w:fldChar w:fldCharType="begin"/>
      </w:r>
      <w:r>
        <w:instrText xml:space="preserve"> PAGEREF _Toc25722 \h </w:instrText>
      </w:r>
      <w:r>
        <w:fldChar w:fldCharType="separate"/>
      </w:r>
      <w:r>
        <w:t>15</w:t>
      </w:r>
      <w:r>
        <w:fldChar w:fldCharType="end"/>
      </w:r>
      <w:r>
        <w:rPr>
          <w:rFonts w:hint="eastAsia" w:asciiTheme="minorEastAsia" w:hAnsiTheme="minorEastAsia" w:eastAsiaTheme="minorEastAsia" w:cstheme="minorEastAsia"/>
        </w:rPr>
        <w:fldChar w:fldCharType="end"/>
      </w:r>
    </w:p>
    <w:p w14:paraId="304AD4D0">
      <w:pPr>
        <w:pStyle w:val="30"/>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_Toc26962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二、质疑项目基本情况</w:t>
      </w:r>
      <w:r>
        <w:tab/>
      </w:r>
      <w:r>
        <w:fldChar w:fldCharType="begin"/>
      </w:r>
      <w:r>
        <w:instrText xml:space="preserve"> PAGEREF _Toc26962 \h </w:instrText>
      </w:r>
      <w:r>
        <w:fldChar w:fldCharType="separate"/>
      </w:r>
      <w:r>
        <w:t>15</w:t>
      </w:r>
      <w:r>
        <w:fldChar w:fldCharType="end"/>
      </w:r>
      <w:r>
        <w:rPr>
          <w:rFonts w:hint="eastAsia" w:asciiTheme="minorEastAsia" w:hAnsiTheme="minorEastAsia" w:eastAsiaTheme="minorEastAsia" w:cstheme="minorEastAsia"/>
        </w:rPr>
        <w:fldChar w:fldCharType="end"/>
      </w:r>
    </w:p>
    <w:p w14:paraId="138502B7">
      <w:pPr>
        <w:pStyle w:val="30"/>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_Toc19825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三、质疑事项具体内容</w:t>
      </w:r>
      <w:r>
        <w:tab/>
      </w:r>
      <w:r>
        <w:fldChar w:fldCharType="begin"/>
      </w:r>
      <w:r>
        <w:instrText xml:space="preserve"> PAGEREF _Toc19825 \h </w:instrText>
      </w:r>
      <w:r>
        <w:fldChar w:fldCharType="separate"/>
      </w:r>
      <w:r>
        <w:t>15</w:t>
      </w:r>
      <w:r>
        <w:fldChar w:fldCharType="end"/>
      </w:r>
      <w:r>
        <w:rPr>
          <w:rFonts w:hint="eastAsia" w:asciiTheme="minorEastAsia" w:hAnsiTheme="minorEastAsia" w:eastAsiaTheme="minorEastAsia" w:cstheme="minorEastAsia"/>
        </w:rPr>
        <w:fldChar w:fldCharType="end"/>
      </w:r>
    </w:p>
    <w:p w14:paraId="6E5C75BA">
      <w:pPr>
        <w:pStyle w:val="30"/>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_Toc30923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四、与质疑事项相关的质疑请求</w:t>
      </w:r>
      <w:r>
        <w:tab/>
      </w:r>
      <w:r>
        <w:fldChar w:fldCharType="begin"/>
      </w:r>
      <w:r>
        <w:instrText xml:space="preserve"> PAGEREF _Toc30923 \h </w:instrText>
      </w:r>
      <w:r>
        <w:fldChar w:fldCharType="separate"/>
      </w:r>
      <w:r>
        <w:t>15</w:t>
      </w:r>
      <w:r>
        <w:fldChar w:fldCharType="end"/>
      </w:r>
      <w:r>
        <w:rPr>
          <w:rFonts w:hint="eastAsia" w:asciiTheme="minorEastAsia" w:hAnsiTheme="minorEastAsia" w:eastAsiaTheme="minorEastAsia" w:cstheme="minorEastAsia"/>
        </w:rPr>
        <w:fldChar w:fldCharType="end"/>
      </w:r>
    </w:p>
    <w:p w14:paraId="527EE49B">
      <w:pPr>
        <w:pStyle w:val="30"/>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_Toc30410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一、保证责任的情形及保证金额</w:t>
      </w:r>
      <w:r>
        <w:tab/>
      </w:r>
      <w:r>
        <w:fldChar w:fldCharType="begin"/>
      </w:r>
      <w:r>
        <w:instrText xml:space="preserve"> PAGEREF _Toc30410 \h </w:instrText>
      </w:r>
      <w:r>
        <w:fldChar w:fldCharType="separate"/>
      </w:r>
      <w:r>
        <w:t>18</w:t>
      </w:r>
      <w:r>
        <w:fldChar w:fldCharType="end"/>
      </w:r>
      <w:r>
        <w:rPr>
          <w:rFonts w:hint="eastAsia" w:asciiTheme="minorEastAsia" w:hAnsiTheme="minorEastAsia" w:eastAsiaTheme="minorEastAsia" w:cstheme="minorEastAsia"/>
        </w:rPr>
        <w:fldChar w:fldCharType="end"/>
      </w:r>
    </w:p>
    <w:p w14:paraId="7C35DFF7">
      <w:pPr>
        <w:pStyle w:val="30"/>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_Toc17320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二、保证的方式及保证期间</w:t>
      </w:r>
      <w:r>
        <w:tab/>
      </w:r>
      <w:r>
        <w:fldChar w:fldCharType="begin"/>
      </w:r>
      <w:r>
        <w:instrText xml:space="preserve"> PAGEREF _Toc17320 \h </w:instrText>
      </w:r>
      <w:r>
        <w:fldChar w:fldCharType="separate"/>
      </w:r>
      <w:r>
        <w:t>18</w:t>
      </w:r>
      <w:r>
        <w:fldChar w:fldCharType="end"/>
      </w:r>
      <w:r>
        <w:rPr>
          <w:rFonts w:hint="eastAsia" w:asciiTheme="minorEastAsia" w:hAnsiTheme="minorEastAsia" w:eastAsiaTheme="minorEastAsia" w:cstheme="minorEastAsia"/>
        </w:rPr>
        <w:fldChar w:fldCharType="end"/>
      </w:r>
    </w:p>
    <w:p w14:paraId="11DBEF5C">
      <w:pPr>
        <w:pStyle w:val="30"/>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_Toc12205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三、承担保证责任的程序</w:t>
      </w:r>
      <w:r>
        <w:tab/>
      </w:r>
      <w:r>
        <w:fldChar w:fldCharType="begin"/>
      </w:r>
      <w:r>
        <w:instrText xml:space="preserve"> PAGEREF _Toc12205 \h </w:instrText>
      </w:r>
      <w:r>
        <w:fldChar w:fldCharType="separate"/>
      </w:r>
      <w:r>
        <w:t>18</w:t>
      </w:r>
      <w:r>
        <w:fldChar w:fldCharType="end"/>
      </w:r>
      <w:r>
        <w:rPr>
          <w:rFonts w:hint="eastAsia" w:asciiTheme="minorEastAsia" w:hAnsiTheme="minorEastAsia" w:eastAsiaTheme="minorEastAsia" w:cstheme="minorEastAsia"/>
        </w:rPr>
        <w:fldChar w:fldCharType="end"/>
      </w:r>
    </w:p>
    <w:p w14:paraId="01CCB07E">
      <w:pPr>
        <w:pStyle w:val="30"/>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_Toc20271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四、保证责任的终止</w:t>
      </w:r>
      <w:r>
        <w:tab/>
      </w:r>
      <w:r>
        <w:fldChar w:fldCharType="begin"/>
      </w:r>
      <w:r>
        <w:instrText xml:space="preserve"> PAGEREF _Toc20271 \h </w:instrText>
      </w:r>
      <w:r>
        <w:fldChar w:fldCharType="separate"/>
      </w:r>
      <w:r>
        <w:t>18</w:t>
      </w:r>
      <w:r>
        <w:fldChar w:fldCharType="end"/>
      </w:r>
      <w:r>
        <w:rPr>
          <w:rFonts w:hint="eastAsia" w:asciiTheme="minorEastAsia" w:hAnsiTheme="minorEastAsia" w:eastAsiaTheme="minorEastAsia" w:cstheme="minorEastAsia"/>
        </w:rPr>
        <w:fldChar w:fldCharType="end"/>
      </w:r>
    </w:p>
    <w:p w14:paraId="544F482D">
      <w:pPr>
        <w:pStyle w:val="30"/>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_Toc29609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五、免责条款</w:t>
      </w:r>
      <w:r>
        <w:tab/>
      </w:r>
      <w:r>
        <w:fldChar w:fldCharType="begin"/>
      </w:r>
      <w:r>
        <w:instrText xml:space="preserve"> PAGEREF _Toc29609 \h </w:instrText>
      </w:r>
      <w:r>
        <w:fldChar w:fldCharType="separate"/>
      </w:r>
      <w:r>
        <w:t>19</w:t>
      </w:r>
      <w:r>
        <w:fldChar w:fldCharType="end"/>
      </w:r>
      <w:r>
        <w:rPr>
          <w:rFonts w:hint="eastAsia" w:asciiTheme="minorEastAsia" w:hAnsiTheme="minorEastAsia" w:eastAsiaTheme="minorEastAsia" w:cstheme="minorEastAsia"/>
        </w:rPr>
        <w:fldChar w:fldCharType="end"/>
      </w:r>
    </w:p>
    <w:p w14:paraId="27ACA340">
      <w:pPr>
        <w:pStyle w:val="30"/>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_Toc13353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六、争议的解决</w:t>
      </w:r>
      <w:r>
        <w:tab/>
      </w:r>
      <w:r>
        <w:fldChar w:fldCharType="begin"/>
      </w:r>
      <w:r>
        <w:instrText xml:space="preserve"> PAGEREF _Toc13353 \h </w:instrText>
      </w:r>
      <w:r>
        <w:fldChar w:fldCharType="separate"/>
      </w:r>
      <w:r>
        <w:t>19</w:t>
      </w:r>
      <w:r>
        <w:fldChar w:fldCharType="end"/>
      </w:r>
      <w:r>
        <w:rPr>
          <w:rFonts w:hint="eastAsia" w:asciiTheme="minorEastAsia" w:hAnsiTheme="minorEastAsia" w:eastAsiaTheme="minorEastAsia" w:cstheme="minorEastAsia"/>
        </w:rPr>
        <w:fldChar w:fldCharType="end"/>
      </w:r>
    </w:p>
    <w:p w14:paraId="70B9AF1C">
      <w:pPr>
        <w:pStyle w:val="30"/>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_Toc1041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七、保函的生效</w:t>
      </w:r>
      <w:r>
        <w:tab/>
      </w:r>
      <w:r>
        <w:fldChar w:fldCharType="begin"/>
      </w:r>
      <w:r>
        <w:instrText xml:space="preserve"> PAGEREF _Toc1041 \h </w:instrText>
      </w:r>
      <w:r>
        <w:fldChar w:fldCharType="separate"/>
      </w:r>
      <w:r>
        <w:t>19</w:t>
      </w:r>
      <w:r>
        <w:fldChar w:fldCharType="end"/>
      </w:r>
      <w:r>
        <w:rPr>
          <w:rFonts w:hint="eastAsia" w:asciiTheme="minorEastAsia" w:hAnsiTheme="minorEastAsia" w:eastAsiaTheme="minorEastAsia" w:cstheme="minorEastAsia"/>
        </w:rPr>
        <w:fldChar w:fldCharType="end"/>
      </w:r>
    </w:p>
    <w:p w14:paraId="47A6F298">
      <w:pPr>
        <w:pStyle w:val="23"/>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_Toc20110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第二章 响应文件格式</w:t>
      </w:r>
      <w:r>
        <w:tab/>
      </w:r>
      <w:r>
        <w:fldChar w:fldCharType="begin"/>
      </w:r>
      <w:r>
        <w:instrText xml:space="preserve"> PAGEREF _Toc20110 \h </w:instrText>
      </w:r>
      <w:r>
        <w:fldChar w:fldCharType="separate"/>
      </w:r>
      <w:r>
        <w:t>20</w:t>
      </w:r>
      <w:r>
        <w:fldChar w:fldCharType="end"/>
      </w:r>
      <w:r>
        <w:rPr>
          <w:rFonts w:hint="eastAsia" w:asciiTheme="minorEastAsia" w:hAnsiTheme="minorEastAsia" w:eastAsiaTheme="minorEastAsia" w:cstheme="minorEastAsia"/>
        </w:rPr>
        <w:fldChar w:fldCharType="end"/>
      </w:r>
    </w:p>
    <w:p w14:paraId="52F601A0">
      <w:pPr>
        <w:pStyle w:val="23"/>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_Toc28996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48"/>
        </w:rPr>
        <w:t>竞争性磋商文件</w:t>
      </w:r>
      <w:r>
        <w:tab/>
      </w:r>
      <w:r>
        <w:fldChar w:fldCharType="begin"/>
      </w:r>
      <w:r>
        <w:instrText xml:space="preserve"> PAGEREF _Toc28996 \h </w:instrText>
      </w:r>
      <w:r>
        <w:fldChar w:fldCharType="separate"/>
      </w:r>
      <w:r>
        <w:t>42</w:t>
      </w:r>
      <w:r>
        <w:fldChar w:fldCharType="end"/>
      </w:r>
      <w:r>
        <w:rPr>
          <w:rFonts w:hint="eastAsia" w:asciiTheme="minorEastAsia" w:hAnsiTheme="minorEastAsia" w:eastAsiaTheme="minorEastAsia" w:cstheme="minorEastAsia"/>
        </w:rPr>
        <w:fldChar w:fldCharType="end"/>
      </w:r>
    </w:p>
    <w:p w14:paraId="11A4FE2F">
      <w:pPr>
        <w:pStyle w:val="23"/>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_Toc22377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48"/>
        </w:rPr>
        <w:t>第</w:t>
      </w:r>
      <w:r>
        <w:rPr>
          <w:rFonts w:hint="eastAsia" w:asciiTheme="minorEastAsia" w:hAnsiTheme="minorEastAsia" w:eastAsiaTheme="minorEastAsia" w:cstheme="minorEastAsia"/>
          <w:szCs w:val="48"/>
          <w:lang w:eastAsia="zh-CN"/>
        </w:rPr>
        <w:t>二</w:t>
      </w:r>
      <w:r>
        <w:rPr>
          <w:rFonts w:hint="eastAsia" w:asciiTheme="minorEastAsia" w:hAnsiTheme="minorEastAsia" w:eastAsiaTheme="minorEastAsia" w:cstheme="minorEastAsia"/>
          <w:szCs w:val="48"/>
        </w:rPr>
        <w:t>册</w:t>
      </w:r>
      <w:r>
        <w:tab/>
      </w:r>
      <w:r>
        <w:fldChar w:fldCharType="begin"/>
      </w:r>
      <w:r>
        <w:instrText xml:space="preserve"> PAGEREF _Toc22377 \h </w:instrText>
      </w:r>
      <w:r>
        <w:fldChar w:fldCharType="separate"/>
      </w:r>
      <w:r>
        <w:t>42</w:t>
      </w:r>
      <w:r>
        <w:fldChar w:fldCharType="end"/>
      </w:r>
      <w:r>
        <w:rPr>
          <w:rFonts w:hint="eastAsia" w:asciiTheme="minorEastAsia" w:hAnsiTheme="minorEastAsia" w:eastAsiaTheme="minorEastAsia" w:cstheme="minorEastAsia"/>
        </w:rPr>
        <w:fldChar w:fldCharType="end"/>
      </w:r>
    </w:p>
    <w:p w14:paraId="7792033B">
      <w:pPr>
        <w:pStyle w:val="23"/>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_Toc3597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第3章  磋商邀请</w:t>
      </w:r>
      <w:r>
        <w:tab/>
      </w:r>
      <w:r>
        <w:fldChar w:fldCharType="begin"/>
      </w:r>
      <w:r>
        <w:instrText xml:space="preserve"> PAGEREF _Toc3597 \h </w:instrText>
      </w:r>
      <w:r>
        <w:fldChar w:fldCharType="separate"/>
      </w:r>
      <w:r>
        <w:t>43</w:t>
      </w:r>
      <w:r>
        <w:fldChar w:fldCharType="end"/>
      </w:r>
      <w:r>
        <w:rPr>
          <w:rFonts w:hint="eastAsia" w:asciiTheme="minorEastAsia" w:hAnsiTheme="minorEastAsia" w:eastAsiaTheme="minorEastAsia" w:cstheme="minorEastAsia"/>
        </w:rPr>
        <w:fldChar w:fldCharType="end"/>
      </w:r>
    </w:p>
    <w:p w14:paraId="03A4CB4E">
      <w:pPr>
        <w:pStyle w:val="23"/>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_Toc15767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30"/>
        </w:rPr>
        <w:t xml:space="preserve">第三章 </w:t>
      </w:r>
      <w:r>
        <w:rPr>
          <w:rFonts w:hint="eastAsia" w:asciiTheme="minorEastAsia" w:hAnsiTheme="minorEastAsia" w:eastAsiaTheme="minorEastAsia" w:cstheme="minorEastAsia"/>
          <w:bCs/>
          <w:szCs w:val="30"/>
          <w:lang w:eastAsia="zh-CN"/>
        </w:rPr>
        <w:t>供应商</w:t>
      </w:r>
      <w:r>
        <w:rPr>
          <w:rFonts w:hint="eastAsia" w:asciiTheme="minorEastAsia" w:hAnsiTheme="minorEastAsia" w:eastAsiaTheme="minorEastAsia" w:cstheme="minorEastAsia"/>
          <w:bCs/>
          <w:szCs w:val="30"/>
        </w:rPr>
        <w:t>须知资料表</w:t>
      </w:r>
      <w:r>
        <w:tab/>
      </w:r>
      <w:r>
        <w:fldChar w:fldCharType="begin"/>
      </w:r>
      <w:r>
        <w:instrText xml:space="preserve"> PAGEREF _Toc15767 \h </w:instrText>
      </w:r>
      <w:r>
        <w:fldChar w:fldCharType="separate"/>
      </w:r>
      <w:r>
        <w:t>46</w:t>
      </w:r>
      <w:r>
        <w:fldChar w:fldCharType="end"/>
      </w:r>
      <w:r>
        <w:rPr>
          <w:rFonts w:hint="eastAsia" w:asciiTheme="minorEastAsia" w:hAnsiTheme="minorEastAsia" w:eastAsiaTheme="minorEastAsia" w:cstheme="minorEastAsia"/>
        </w:rPr>
        <w:fldChar w:fldCharType="end"/>
      </w:r>
    </w:p>
    <w:p w14:paraId="22AA522F">
      <w:pPr>
        <w:pStyle w:val="23"/>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_Toc14977 </w:instrText>
      </w:r>
      <w:r>
        <w:rPr>
          <w:rFonts w:hint="eastAsia" w:asciiTheme="minorEastAsia" w:hAnsiTheme="minorEastAsia" w:eastAsiaTheme="minorEastAsia" w:cstheme="minorEastAsia"/>
        </w:rPr>
        <w:fldChar w:fldCharType="separate"/>
      </w:r>
      <w:r>
        <w:rPr>
          <w:rFonts w:hint="eastAsia"/>
          <w:szCs w:val="18"/>
          <w:lang w:val="en-US" w:eastAsia="zh-CN"/>
        </w:rPr>
        <w:t xml:space="preserve">第五章 </w:t>
      </w:r>
      <w:r>
        <w:rPr>
          <w:rFonts w:hint="eastAsia" w:asciiTheme="minorEastAsia" w:hAnsiTheme="minorEastAsia" w:eastAsiaTheme="minorEastAsia" w:cstheme="minorEastAsia"/>
          <w:szCs w:val="18"/>
          <w:highlight w:val="none"/>
          <w:lang w:val="en-US" w:eastAsia="zh-CN"/>
        </w:rPr>
        <w:t>采购</w:t>
      </w:r>
      <w:r>
        <w:rPr>
          <w:rFonts w:hint="eastAsia" w:asciiTheme="minorEastAsia" w:hAnsiTheme="minorEastAsia" w:eastAsiaTheme="minorEastAsia" w:cstheme="minorEastAsia"/>
          <w:szCs w:val="18"/>
          <w:highlight w:val="none"/>
        </w:rPr>
        <w:t>需求及技术规</w:t>
      </w:r>
      <w:r>
        <w:rPr>
          <w:rFonts w:hint="eastAsia" w:asciiTheme="minorEastAsia" w:hAnsiTheme="minorEastAsia" w:eastAsiaTheme="minorEastAsia" w:cstheme="minorEastAsia"/>
          <w:szCs w:val="18"/>
          <w:highlight w:val="none"/>
          <w:lang w:val="en-US" w:eastAsia="zh-CN"/>
        </w:rPr>
        <w:t>格</w:t>
      </w:r>
      <w:r>
        <w:tab/>
      </w:r>
      <w:r>
        <w:fldChar w:fldCharType="begin"/>
      </w:r>
      <w:r>
        <w:instrText xml:space="preserve"> PAGEREF _Toc14977 \h </w:instrText>
      </w:r>
      <w:r>
        <w:fldChar w:fldCharType="separate"/>
      </w:r>
      <w:r>
        <w:t>50</w:t>
      </w:r>
      <w:r>
        <w:fldChar w:fldCharType="end"/>
      </w:r>
      <w:r>
        <w:rPr>
          <w:rFonts w:hint="eastAsia" w:asciiTheme="minorEastAsia" w:hAnsiTheme="minorEastAsia" w:eastAsiaTheme="minorEastAsia" w:cstheme="minorEastAsia"/>
        </w:rPr>
        <w:fldChar w:fldCharType="end"/>
      </w:r>
    </w:p>
    <w:p w14:paraId="43276626">
      <w:pPr>
        <w:pStyle w:val="23"/>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_Toc10432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第6章  评</w:t>
      </w:r>
      <w:r>
        <w:rPr>
          <w:rFonts w:hint="eastAsia" w:asciiTheme="minorEastAsia" w:hAnsiTheme="minorEastAsia" w:eastAsiaTheme="minorEastAsia" w:cstheme="minorEastAsia"/>
          <w:lang w:eastAsia="zh-CN"/>
        </w:rPr>
        <w:t>审</w:t>
      </w:r>
      <w:r>
        <w:rPr>
          <w:rFonts w:hint="eastAsia" w:asciiTheme="minorEastAsia" w:hAnsiTheme="minorEastAsia" w:eastAsiaTheme="minorEastAsia" w:cstheme="minorEastAsia"/>
        </w:rPr>
        <w:t>方法和标准</w:t>
      </w:r>
      <w:r>
        <w:tab/>
      </w:r>
      <w:r>
        <w:fldChar w:fldCharType="begin"/>
      </w:r>
      <w:r>
        <w:instrText xml:space="preserve"> PAGEREF _Toc10432 \h </w:instrText>
      </w:r>
      <w:r>
        <w:fldChar w:fldCharType="separate"/>
      </w:r>
      <w:r>
        <w:t>52</w:t>
      </w:r>
      <w:r>
        <w:fldChar w:fldCharType="end"/>
      </w:r>
      <w:r>
        <w:rPr>
          <w:rFonts w:hint="eastAsia" w:asciiTheme="minorEastAsia" w:hAnsiTheme="minorEastAsia" w:eastAsiaTheme="minorEastAsia" w:cstheme="minorEastAsia"/>
        </w:rPr>
        <w:fldChar w:fldCharType="end"/>
      </w:r>
    </w:p>
    <w:p w14:paraId="660AB883">
      <w:pPr>
        <w:pStyle w:val="23"/>
        <w:tabs>
          <w:tab w:val="right" w:leader="dot" w:pos="9746"/>
        </w:tabs>
        <w:spacing w:line="360" w:lineRule="auto"/>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_Toc24110 </w:instrText>
      </w:r>
      <w:r>
        <w:rPr>
          <w:rFonts w:hint="eastAsia" w:asciiTheme="minorEastAsia" w:hAnsiTheme="minorEastAsia" w:eastAsiaTheme="minorEastAsia" w:cstheme="minorEastAsia"/>
        </w:rPr>
        <w:fldChar w:fldCharType="separate"/>
      </w:r>
      <w:r>
        <w:rPr>
          <w:rFonts w:hint="eastAsia" w:hAnsi="宋体" w:cs="宋体"/>
          <w:lang w:val="en-US" w:eastAsia="zh-CN"/>
        </w:rPr>
        <w:t xml:space="preserve">第七章  </w:t>
      </w:r>
      <w:r>
        <w:rPr>
          <w:rFonts w:hint="eastAsia" w:ascii="宋体" w:hAnsi="宋体" w:eastAsia="宋体" w:cs="宋体"/>
        </w:rPr>
        <w:t>授予合同</w:t>
      </w:r>
      <w:r>
        <w:tab/>
      </w:r>
      <w:r>
        <w:fldChar w:fldCharType="begin"/>
      </w:r>
      <w:r>
        <w:instrText xml:space="preserve"> PAGEREF _Toc24110 \h </w:instrText>
      </w:r>
      <w:r>
        <w:fldChar w:fldCharType="separate"/>
      </w:r>
      <w:r>
        <w:t>66</w:t>
      </w:r>
      <w:r>
        <w:fldChar w:fldCharType="end"/>
      </w:r>
      <w:r>
        <w:rPr>
          <w:rFonts w:hint="eastAsia" w:asciiTheme="minorEastAsia" w:hAnsiTheme="minorEastAsia" w:eastAsiaTheme="minorEastAsia" w:cstheme="minorEastAsia"/>
        </w:rPr>
        <w:fldChar w:fldCharType="end"/>
      </w:r>
    </w:p>
    <w:p w14:paraId="5F2C0D3C">
      <w:pPr>
        <w:pStyle w:val="23"/>
        <w:tabs>
          <w:tab w:val="right" w:leader="dot" w:pos="9746"/>
        </w:tabs>
      </w:pPr>
    </w:p>
    <w:p w14:paraId="33DBD816">
      <w:pPr>
        <w:spacing w:line="400" w:lineRule="exact"/>
        <w:jc w:val="cente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b/>
          <w:sz w:val="30"/>
          <w:szCs w:val="30"/>
        </w:rPr>
        <w:t xml:space="preserve">第一章  </w:t>
      </w:r>
      <w:bookmarkStart w:id="6" w:name="_Toc518923059"/>
      <w:r>
        <w:rPr>
          <w:rFonts w:hint="eastAsia" w:asciiTheme="minorEastAsia" w:hAnsiTheme="minorEastAsia" w:eastAsiaTheme="minorEastAsia" w:cstheme="minorEastAsia"/>
          <w:b/>
          <w:sz w:val="30"/>
          <w:szCs w:val="30"/>
          <w:lang w:eastAsia="zh-CN"/>
        </w:rPr>
        <w:t>供应商</w:t>
      </w:r>
      <w:r>
        <w:rPr>
          <w:rFonts w:hint="eastAsia" w:asciiTheme="minorEastAsia" w:hAnsiTheme="minorEastAsia" w:eastAsiaTheme="minorEastAsia" w:cstheme="minorEastAsia"/>
          <w:b/>
          <w:sz w:val="30"/>
          <w:szCs w:val="30"/>
        </w:rPr>
        <w:t>须知</w:t>
      </w:r>
      <w:bookmarkEnd w:id="4"/>
      <w:bookmarkEnd w:id="5"/>
      <w:bookmarkEnd w:id="6"/>
    </w:p>
    <w:p w14:paraId="2599EDE6">
      <w:pPr>
        <w:pStyle w:val="3"/>
        <w:spacing w:before="0" w:line="240" w:lineRule="auto"/>
        <w:ind w:left="1079" w:leftChars="257" w:hanging="540"/>
        <w:rPr>
          <w:rFonts w:hint="eastAsia" w:asciiTheme="minorEastAsia" w:hAnsiTheme="minorEastAsia" w:eastAsiaTheme="minorEastAsia" w:cstheme="minorEastAsia"/>
        </w:rPr>
      </w:pPr>
      <w:bookmarkStart w:id="7" w:name="_Toc520356143"/>
      <w:bookmarkStart w:id="8" w:name="_Toc216582805"/>
      <w:bookmarkStart w:id="9" w:name="_Toc9485"/>
      <w:bookmarkStart w:id="10" w:name="_Toc25430_WPSOffice_Level1"/>
      <w:bookmarkStart w:id="11" w:name="_Toc23655"/>
      <w:bookmarkStart w:id="12" w:name="_Toc518923060"/>
      <w:r>
        <w:rPr>
          <w:rFonts w:hint="eastAsia" w:asciiTheme="minorEastAsia" w:hAnsiTheme="minorEastAsia" w:eastAsiaTheme="minorEastAsia" w:cstheme="minorEastAsia"/>
          <w:sz w:val="28"/>
        </w:rPr>
        <w:t xml:space="preserve">一   </w:t>
      </w:r>
      <w:bookmarkEnd w:id="7"/>
      <w:bookmarkEnd w:id="8"/>
      <w:r>
        <w:rPr>
          <w:rFonts w:hint="eastAsia" w:asciiTheme="minorEastAsia" w:hAnsiTheme="minorEastAsia" w:eastAsiaTheme="minorEastAsia" w:cstheme="minorEastAsia"/>
          <w:sz w:val="28"/>
        </w:rPr>
        <w:t>总  则</w:t>
      </w:r>
      <w:bookmarkEnd w:id="9"/>
      <w:bookmarkEnd w:id="10"/>
      <w:bookmarkEnd w:id="11"/>
      <w:bookmarkEnd w:id="12"/>
    </w:p>
    <w:p w14:paraId="2A2680B7">
      <w:pPr>
        <w:pStyle w:val="4"/>
        <w:spacing w:before="0" w:after="0" w:line="400" w:lineRule="exact"/>
        <w:rPr>
          <w:rFonts w:hint="eastAsia" w:asciiTheme="minorEastAsia" w:hAnsiTheme="minorEastAsia" w:eastAsiaTheme="minorEastAsia" w:cstheme="minorEastAsia"/>
          <w:u w:val="none"/>
          <w:lang w:eastAsia="zh-CN"/>
        </w:rPr>
      </w:pPr>
      <w:bookmarkStart w:id="13" w:name="_Toc518923061"/>
      <w:bookmarkStart w:id="14" w:name="_Toc520356144"/>
      <w:bookmarkStart w:id="15" w:name="_Toc4676_WPSOffice_Level2"/>
      <w:bookmarkStart w:id="16" w:name="_Toc16905_WPSOffice_Level2"/>
      <w:bookmarkStart w:id="17" w:name="_Toc12013"/>
      <w:r>
        <w:rPr>
          <w:rFonts w:hint="eastAsia" w:asciiTheme="minorEastAsia" w:hAnsiTheme="minorEastAsia" w:eastAsiaTheme="minorEastAsia" w:cstheme="minorEastAsia"/>
          <w:u w:val="none"/>
        </w:rPr>
        <w:t>1.采购人、采购代理机构及</w:t>
      </w:r>
      <w:bookmarkEnd w:id="13"/>
      <w:bookmarkEnd w:id="14"/>
      <w:bookmarkEnd w:id="15"/>
      <w:bookmarkEnd w:id="16"/>
      <w:bookmarkEnd w:id="17"/>
      <w:r>
        <w:rPr>
          <w:rFonts w:hint="eastAsia" w:asciiTheme="minorEastAsia" w:hAnsiTheme="minorEastAsia" w:eastAsiaTheme="minorEastAsia" w:cstheme="minorEastAsia"/>
          <w:u w:val="none"/>
          <w:lang w:eastAsia="zh-CN"/>
        </w:rPr>
        <w:t>供应商</w:t>
      </w:r>
    </w:p>
    <w:p w14:paraId="43AE8903">
      <w:pPr>
        <w:numPr>
          <w:ilvl w:val="1"/>
          <w:numId w:val="8"/>
        </w:numPr>
        <w:tabs>
          <w:tab w:val="left" w:pos="0"/>
          <w:tab w:val="clear" w:pos="900"/>
        </w:tabs>
        <w:spacing w:line="400" w:lineRule="exact"/>
        <w:ind w:hanging="89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采购人：是指依法开展政府采购活动的国家机关、事业单位、团体组织。</w:t>
      </w:r>
    </w:p>
    <w:p w14:paraId="4D1AE7FA">
      <w:pPr>
        <w:tabs>
          <w:tab w:val="left" w:pos="0"/>
        </w:tabs>
        <w:spacing w:line="400" w:lineRule="exact"/>
        <w:ind w:left="9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本项目的采购人见</w:t>
      </w:r>
      <w:r>
        <w:rPr>
          <w:rFonts w:hint="eastAsia" w:asciiTheme="minorEastAsia" w:hAnsiTheme="minorEastAsia" w:eastAsiaTheme="minorEastAsia" w:cstheme="minorEastAsia"/>
          <w:sz w:val="24"/>
          <w:u w:val="single"/>
          <w:lang w:eastAsia="zh-CN"/>
        </w:rPr>
        <w:t>供应商</w:t>
      </w:r>
      <w:r>
        <w:rPr>
          <w:rFonts w:hint="eastAsia" w:asciiTheme="minorEastAsia" w:hAnsiTheme="minorEastAsia" w:eastAsiaTheme="minorEastAsia" w:cstheme="minorEastAsia"/>
          <w:sz w:val="24"/>
          <w:u w:val="single"/>
        </w:rPr>
        <w:t>须知资料表</w:t>
      </w:r>
      <w:r>
        <w:rPr>
          <w:rFonts w:hint="eastAsia" w:asciiTheme="minorEastAsia" w:hAnsiTheme="minorEastAsia" w:eastAsiaTheme="minorEastAsia" w:cstheme="minorEastAsia"/>
          <w:sz w:val="24"/>
        </w:rPr>
        <w:t>。</w:t>
      </w:r>
    </w:p>
    <w:p w14:paraId="7D52BC2B">
      <w:pPr>
        <w:numPr>
          <w:ilvl w:val="1"/>
          <w:numId w:val="8"/>
        </w:numPr>
        <w:tabs>
          <w:tab w:val="left" w:pos="0"/>
          <w:tab w:val="clear" w:pos="900"/>
        </w:tabs>
        <w:spacing w:line="400" w:lineRule="exact"/>
        <w:ind w:hanging="89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采购代理机构：是指集中采购机构或从事采购代理业务的社会中介机构。本项目的采购代理机构见</w:t>
      </w:r>
      <w:r>
        <w:rPr>
          <w:rFonts w:hint="eastAsia" w:asciiTheme="minorEastAsia" w:hAnsiTheme="minorEastAsia" w:eastAsiaTheme="minorEastAsia" w:cstheme="minorEastAsia"/>
          <w:sz w:val="24"/>
          <w:u w:val="single"/>
          <w:lang w:eastAsia="zh-CN"/>
        </w:rPr>
        <w:t>供应商</w:t>
      </w:r>
      <w:r>
        <w:rPr>
          <w:rFonts w:hint="eastAsia" w:asciiTheme="minorEastAsia" w:hAnsiTheme="minorEastAsia" w:eastAsiaTheme="minorEastAsia" w:cstheme="minorEastAsia"/>
          <w:sz w:val="24"/>
          <w:u w:val="single"/>
        </w:rPr>
        <w:t>须知资料表</w:t>
      </w:r>
      <w:r>
        <w:rPr>
          <w:rFonts w:hint="eastAsia" w:asciiTheme="minorEastAsia" w:hAnsiTheme="minorEastAsia" w:eastAsiaTheme="minorEastAsia" w:cstheme="minorEastAsia"/>
          <w:sz w:val="24"/>
        </w:rPr>
        <w:t>。</w:t>
      </w:r>
    </w:p>
    <w:p w14:paraId="1C1981A3">
      <w:pPr>
        <w:numPr>
          <w:ilvl w:val="1"/>
          <w:numId w:val="8"/>
        </w:numPr>
        <w:spacing w:line="400" w:lineRule="exact"/>
        <w:ind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：是指向采购人提供货物、工程或者服务的法人、非法人组织或者自然人。本项目的</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须满足以下条件：</w:t>
      </w:r>
    </w:p>
    <w:p w14:paraId="5EFEAEC3">
      <w:pPr>
        <w:spacing w:line="400" w:lineRule="exact"/>
        <w:ind w:left="850" w:hanging="849" w:hangingChars="35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1.3.1</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在中华人民共和国境内注册，能够独立承担民事责任，有生产或供应能力的本国</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w:t>
      </w:r>
    </w:p>
    <w:p w14:paraId="28404046">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1.3.2  具备《中华人民共和国政府采购法》第二十二条关于</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条件的规定，遵守本项目采购人本级和上级财政部门政府采购的有关规定。</w:t>
      </w:r>
    </w:p>
    <w:p w14:paraId="61297269">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1.3.3   以采购代理机构认可的方式获得了本项目的磋商文件。</w:t>
      </w:r>
    </w:p>
    <w:p w14:paraId="67B7D512">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1.3.4   符合</w:t>
      </w:r>
      <w:r>
        <w:rPr>
          <w:rFonts w:hint="eastAsia" w:asciiTheme="minorEastAsia" w:hAnsiTheme="minorEastAsia" w:eastAsiaTheme="minorEastAsia" w:cstheme="minorEastAsia"/>
          <w:sz w:val="24"/>
          <w:u w:val="single"/>
          <w:lang w:eastAsia="zh-CN"/>
        </w:rPr>
        <w:t>供应商</w:t>
      </w:r>
      <w:r>
        <w:rPr>
          <w:rFonts w:hint="eastAsia" w:asciiTheme="minorEastAsia" w:hAnsiTheme="minorEastAsia" w:eastAsiaTheme="minorEastAsia" w:cstheme="minorEastAsia"/>
          <w:sz w:val="24"/>
          <w:u w:val="single"/>
        </w:rPr>
        <w:t>须知资料表</w:t>
      </w:r>
      <w:r>
        <w:rPr>
          <w:rFonts w:hint="eastAsia" w:asciiTheme="minorEastAsia" w:hAnsiTheme="minorEastAsia" w:eastAsiaTheme="minorEastAsia" w:cstheme="minorEastAsia"/>
          <w:sz w:val="24"/>
        </w:rPr>
        <w:t>中规定的其他要求。</w:t>
      </w:r>
    </w:p>
    <w:p w14:paraId="5D78E4D8">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1.3.5   若</w:t>
      </w:r>
      <w:r>
        <w:rPr>
          <w:rFonts w:hint="eastAsia" w:asciiTheme="minorEastAsia" w:hAnsiTheme="minorEastAsia" w:eastAsiaTheme="minorEastAsia" w:cstheme="minorEastAsia"/>
          <w:sz w:val="24"/>
          <w:u w:val="single"/>
          <w:lang w:eastAsia="zh-CN"/>
        </w:rPr>
        <w:t>供应商</w:t>
      </w:r>
      <w:r>
        <w:rPr>
          <w:rFonts w:hint="eastAsia" w:asciiTheme="minorEastAsia" w:hAnsiTheme="minorEastAsia" w:eastAsiaTheme="minorEastAsia" w:cstheme="minorEastAsia"/>
          <w:sz w:val="24"/>
          <w:u w:val="single"/>
        </w:rPr>
        <w:t>须知资料表</w:t>
      </w:r>
      <w:r>
        <w:rPr>
          <w:rFonts w:hint="eastAsia" w:asciiTheme="minorEastAsia" w:hAnsiTheme="minorEastAsia" w:eastAsiaTheme="minorEastAsia" w:cstheme="minorEastAsia"/>
          <w:sz w:val="24"/>
        </w:rPr>
        <w:t>中写明专门面向中小企业采购的，如</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为非中小企业，其</w:t>
      </w:r>
      <w:r>
        <w:rPr>
          <w:rFonts w:hint="eastAsia" w:asciiTheme="minorEastAsia" w:hAnsiTheme="minorEastAsia" w:eastAsiaTheme="minorEastAsia" w:cstheme="minorEastAsia"/>
          <w:sz w:val="24"/>
          <w:lang w:eastAsia="zh-CN"/>
        </w:rPr>
        <w:t>响应</w:t>
      </w:r>
      <w:r>
        <w:rPr>
          <w:rFonts w:hint="eastAsia" w:asciiTheme="minorEastAsia" w:hAnsiTheme="minorEastAsia" w:eastAsiaTheme="minorEastAsia" w:cstheme="minorEastAsia"/>
          <w:sz w:val="24"/>
        </w:rPr>
        <w:t>将被认定为</w:t>
      </w:r>
      <w:r>
        <w:rPr>
          <w:rFonts w:hint="eastAsia" w:asciiTheme="minorEastAsia" w:hAnsiTheme="minorEastAsia" w:eastAsiaTheme="minorEastAsia" w:cstheme="minorEastAsia"/>
          <w:b/>
          <w:bCs/>
          <w:sz w:val="24"/>
          <w:lang w:eastAsia="zh-CN"/>
        </w:rPr>
        <w:t>响应</w:t>
      </w:r>
      <w:r>
        <w:rPr>
          <w:rFonts w:hint="eastAsia" w:asciiTheme="minorEastAsia" w:hAnsiTheme="minorEastAsia" w:eastAsiaTheme="minorEastAsia" w:cstheme="minorEastAsia"/>
          <w:b/>
          <w:bCs/>
          <w:sz w:val="24"/>
        </w:rPr>
        <w:t>无效</w:t>
      </w:r>
      <w:r>
        <w:rPr>
          <w:rFonts w:hint="eastAsia" w:asciiTheme="minorEastAsia" w:hAnsiTheme="minorEastAsia" w:eastAsiaTheme="minorEastAsia" w:cstheme="minorEastAsia"/>
          <w:sz w:val="24"/>
        </w:rPr>
        <w:t>。</w:t>
      </w:r>
    </w:p>
    <w:p w14:paraId="5796E0C7">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     如</w:t>
      </w:r>
      <w:r>
        <w:rPr>
          <w:rFonts w:hint="eastAsia" w:asciiTheme="minorEastAsia" w:hAnsiTheme="minorEastAsia" w:eastAsiaTheme="minorEastAsia" w:cstheme="minorEastAsia"/>
          <w:sz w:val="24"/>
          <w:u w:val="single"/>
          <w:lang w:eastAsia="zh-CN"/>
        </w:rPr>
        <w:t>供应商</w:t>
      </w:r>
      <w:r>
        <w:rPr>
          <w:rFonts w:hint="eastAsia" w:asciiTheme="minorEastAsia" w:hAnsiTheme="minorEastAsia" w:eastAsiaTheme="minorEastAsia" w:cstheme="minorEastAsia"/>
          <w:sz w:val="24"/>
          <w:u w:val="single"/>
        </w:rPr>
        <w:t>须知资料表</w:t>
      </w:r>
      <w:r>
        <w:rPr>
          <w:rFonts w:hint="eastAsia" w:asciiTheme="minorEastAsia" w:hAnsiTheme="minorEastAsia" w:eastAsiaTheme="minorEastAsia" w:cstheme="minorEastAsia"/>
          <w:sz w:val="24"/>
        </w:rPr>
        <w:t>中允许联合体</w:t>
      </w:r>
      <w:r>
        <w:rPr>
          <w:rFonts w:hint="eastAsia" w:asciiTheme="minorEastAsia" w:hAnsiTheme="minorEastAsia" w:eastAsiaTheme="minorEastAsia" w:cstheme="minorEastAsia"/>
          <w:sz w:val="24"/>
          <w:lang w:eastAsia="zh-CN"/>
        </w:rPr>
        <w:t>递交响应文件</w:t>
      </w:r>
      <w:r>
        <w:rPr>
          <w:rFonts w:hint="eastAsia" w:asciiTheme="minorEastAsia" w:hAnsiTheme="minorEastAsia" w:eastAsiaTheme="minorEastAsia" w:cstheme="minorEastAsia"/>
          <w:sz w:val="24"/>
        </w:rPr>
        <w:t>，对联合体规定如下：</w:t>
      </w:r>
    </w:p>
    <w:p w14:paraId="28E93B5B">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1.4.1   两个以上</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可以组成一个联合体，以一个</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的身份</w:t>
      </w:r>
      <w:r>
        <w:rPr>
          <w:rFonts w:hint="eastAsia" w:asciiTheme="minorEastAsia" w:hAnsiTheme="minorEastAsia" w:eastAsiaTheme="minorEastAsia" w:cstheme="minorEastAsia"/>
          <w:sz w:val="24"/>
          <w:lang w:eastAsia="zh-CN"/>
        </w:rPr>
        <w:t>递交响应文件</w:t>
      </w:r>
      <w:r>
        <w:rPr>
          <w:rFonts w:hint="eastAsia" w:asciiTheme="minorEastAsia" w:hAnsiTheme="minorEastAsia" w:eastAsiaTheme="minorEastAsia" w:cstheme="minorEastAsia"/>
          <w:sz w:val="24"/>
        </w:rPr>
        <w:t>。</w:t>
      </w:r>
    </w:p>
    <w:p w14:paraId="47595735">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1.4.2   联合体各方均应符合《中华人民共和国政府采购法》第二十二条规定的条件。</w:t>
      </w:r>
    </w:p>
    <w:p w14:paraId="504D1FBC">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1.4.3   采购人根据采购项目对</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的特殊要求，联合体中至少应当有一方符合相关规定。</w:t>
      </w:r>
    </w:p>
    <w:p w14:paraId="57093894">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1.4.4   联合体各方应签订共同</w:t>
      </w:r>
      <w:r>
        <w:rPr>
          <w:rFonts w:hint="eastAsia" w:asciiTheme="minorEastAsia" w:hAnsiTheme="minorEastAsia" w:eastAsiaTheme="minorEastAsia" w:cstheme="minorEastAsia"/>
          <w:sz w:val="24"/>
          <w:lang w:eastAsia="zh-CN"/>
        </w:rPr>
        <w:t>响应本磋商文件</w:t>
      </w:r>
      <w:r>
        <w:rPr>
          <w:rFonts w:hint="eastAsia" w:asciiTheme="minorEastAsia" w:hAnsiTheme="minorEastAsia" w:eastAsiaTheme="minorEastAsia" w:cstheme="minorEastAsia"/>
          <w:sz w:val="24"/>
        </w:rPr>
        <w:t>协议，明确约定联合体各方承担的工作和相应的责任，并将共同</w:t>
      </w:r>
      <w:r>
        <w:rPr>
          <w:rFonts w:hint="eastAsia" w:asciiTheme="minorEastAsia" w:hAnsiTheme="minorEastAsia" w:eastAsiaTheme="minorEastAsia" w:cstheme="minorEastAsia"/>
          <w:sz w:val="24"/>
          <w:lang w:eastAsia="zh-CN"/>
        </w:rPr>
        <w:t>响应</w:t>
      </w:r>
      <w:r>
        <w:rPr>
          <w:rFonts w:hint="eastAsia" w:asciiTheme="minorEastAsia" w:hAnsiTheme="minorEastAsia" w:eastAsiaTheme="minorEastAsia" w:cstheme="minorEastAsia"/>
          <w:sz w:val="24"/>
        </w:rPr>
        <w:t>协议连同响应文件一并提交采购单位。</w:t>
      </w:r>
    </w:p>
    <w:p w14:paraId="570D3394">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1.4.5   大中型企业、其他自然人、法人或者非法人组织与小型、微型企业组成联合体共同参加</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，共同</w:t>
      </w:r>
      <w:r>
        <w:rPr>
          <w:rFonts w:hint="eastAsia" w:asciiTheme="minorEastAsia" w:hAnsiTheme="minorEastAsia" w:eastAsiaTheme="minorEastAsia" w:cstheme="minorEastAsia"/>
          <w:sz w:val="24"/>
          <w:lang w:eastAsia="zh-CN"/>
        </w:rPr>
        <w:t>响应</w:t>
      </w:r>
      <w:r>
        <w:rPr>
          <w:rFonts w:hint="eastAsia" w:asciiTheme="minorEastAsia" w:hAnsiTheme="minorEastAsia" w:eastAsiaTheme="minorEastAsia" w:cstheme="minorEastAsia"/>
          <w:sz w:val="24"/>
        </w:rPr>
        <w:t>协议中应写明小型、微型企业的协议合同金额占到共同</w:t>
      </w:r>
      <w:r>
        <w:rPr>
          <w:rFonts w:hint="eastAsia" w:asciiTheme="minorEastAsia" w:hAnsiTheme="minorEastAsia" w:eastAsiaTheme="minorEastAsia" w:cstheme="minorEastAsia"/>
          <w:sz w:val="24"/>
          <w:lang w:eastAsia="zh-CN"/>
        </w:rPr>
        <w:t>响应</w:t>
      </w:r>
      <w:r>
        <w:rPr>
          <w:rFonts w:hint="eastAsia" w:asciiTheme="minorEastAsia" w:hAnsiTheme="minorEastAsia" w:eastAsiaTheme="minorEastAsia" w:cstheme="minorEastAsia"/>
          <w:sz w:val="24"/>
        </w:rPr>
        <w:t>协议</w:t>
      </w:r>
      <w:r>
        <w:rPr>
          <w:rFonts w:hint="eastAsia" w:asciiTheme="minorEastAsia" w:hAnsiTheme="minorEastAsia" w:eastAsiaTheme="minorEastAsia" w:cstheme="minorEastAsia"/>
          <w:sz w:val="24"/>
          <w:lang w:eastAsia="zh-CN"/>
        </w:rPr>
        <w:t>报价</w:t>
      </w:r>
      <w:r>
        <w:rPr>
          <w:rFonts w:hint="eastAsia" w:asciiTheme="minorEastAsia" w:hAnsiTheme="minorEastAsia" w:eastAsiaTheme="minorEastAsia" w:cstheme="minorEastAsia"/>
          <w:sz w:val="24"/>
        </w:rPr>
        <w:t>总金额的比例。</w:t>
      </w:r>
    </w:p>
    <w:p w14:paraId="67CDD3B6">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1.4.6  联合体中有同类资质的</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按照联合体分工承担相同工作的，按照资质等级较低的</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确定资质等级。</w:t>
      </w:r>
    </w:p>
    <w:p w14:paraId="4444ECE6">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1.4.7  以联合体形式参加政府采购活动的，联合体各方不得再单独参加或者与其他</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另外组成联合体参加本项目</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，否则相关</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将被认定为</w:t>
      </w:r>
      <w:r>
        <w:rPr>
          <w:rFonts w:hint="eastAsia" w:asciiTheme="minorEastAsia" w:hAnsiTheme="minorEastAsia" w:eastAsiaTheme="minorEastAsia" w:cstheme="minorEastAsia"/>
          <w:b/>
          <w:bCs/>
          <w:sz w:val="24"/>
          <w:lang w:eastAsia="zh-CN"/>
        </w:rPr>
        <w:t>响应</w:t>
      </w:r>
      <w:r>
        <w:rPr>
          <w:rFonts w:hint="eastAsia" w:asciiTheme="minorEastAsia" w:hAnsiTheme="minorEastAsia" w:eastAsiaTheme="minorEastAsia" w:cstheme="minorEastAsia"/>
          <w:b/>
          <w:bCs/>
          <w:sz w:val="24"/>
        </w:rPr>
        <w:t>无效</w:t>
      </w:r>
      <w:r>
        <w:rPr>
          <w:rFonts w:hint="eastAsia" w:asciiTheme="minorEastAsia" w:hAnsiTheme="minorEastAsia" w:eastAsiaTheme="minorEastAsia" w:cstheme="minorEastAsia"/>
          <w:sz w:val="24"/>
        </w:rPr>
        <w:t>。</w:t>
      </w:r>
    </w:p>
    <w:p w14:paraId="4C46FA4B">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1.4.8   对联合体</w:t>
      </w:r>
      <w:r>
        <w:rPr>
          <w:rFonts w:hint="eastAsia" w:asciiTheme="minorEastAsia" w:hAnsiTheme="minorEastAsia" w:eastAsiaTheme="minorEastAsia" w:cstheme="minorEastAsia"/>
          <w:sz w:val="24"/>
          <w:lang w:eastAsia="zh-CN"/>
        </w:rPr>
        <w:t>提交响应文件</w:t>
      </w:r>
      <w:r>
        <w:rPr>
          <w:rFonts w:hint="eastAsia" w:asciiTheme="minorEastAsia" w:hAnsiTheme="minorEastAsia" w:eastAsiaTheme="minorEastAsia" w:cstheme="minorEastAsia"/>
          <w:sz w:val="24"/>
        </w:rPr>
        <w:t>的其他资格要求见</w:t>
      </w:r>
      <w:r>
        <w:rPr>
          <w:rFonts w:hint="eastAsia" w:asciiTheme="minorEastAsia" w:hAnsiTheme="minorEastAsia" w:eastAsiaTheme="minorEastAsia" w:cstheme="minorEastAsia"/>
          <w:sz w:val="24"/>
          <w:u w:val="single"/>
          <w:lang w:eastAsia="zh-CN"/>
        </w:rPr>
        <w:t>供应商</w:t>
      </w:r>
      <w:r>
        <w:rPr>
          <w:rFonts w:hint="eastAsia" w:asciiTheme="minorEastAsia" w:hAnsiTheme="minorEastAsia" w:eastAsiaTheme="minorEastAsia" w:cstheme="minorEastAsia"/>
          <w:sz w:val="24"/>
          <w:u w:val="single"/>
        </w:rPr>
        <w:t>须知资料表</w:t>
      </w:r>
      <w:r>
        <w:rPr>
          <w:rFonts w:hint="eastAsia" w:asciiTheme="minorEastAsia" w:hAnsiTheme="minorEastAsia" w:eastAsiaTheme="minorEastAsia" w:cstheme="minorEastAsia"/>
          <w:sz w:val="24"/>
        </w:rPr>
        <w:t>。</w:t>
      </w:r>
    </w:p>
    <w:p w14:paraId="461A0546">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    单位负责人为同一人或者存在直接控股、管理关系的不同</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，其相关</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将被认定为</w:t>
      </w:r>
      <w:r>
        <w:rPr>
          <w:rFonts w:hint="eastAsia" w:asciiTheme="minorEastAsia" w:hAnsiTheme="minorEastAsia" w:eastAsiaTheme="minorEastAsia" w:cstheme="minorEastAsia"/>
          <w:b/>
          <w:bCs/>
          <w:sz w:val="24"/>
          <w:lang w:eastAsia="zh-CN"/>
        </w:rPr>
        <w:t>响应</w:t>
      </w:r>
      <w:r>
        <w:rPr>
          <w:rFonts w:hint="eastAsia" w:asciiTheme="minorEastAsia" w:hAnsiTheme="minorEastAsia" w:eastAsiaTheme="minorEastAsia" w:cstheme="minorEastAsia"/>
          <w:b/>
          <w:bCs/>
          <w:sz w:val="24"/>
        </w:rPr>
        <w:t>无效</w:t>
      </w:r>
    </w:p>
    <w:p w14:paraId="6F4633F5">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    为本项目提供过整体设计、规范编制或者项目管理、监理、检测等服务的</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，不得再参加本项目上述服务以外的其他采购活动。否则其</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将被认定为</w:t>
      </w:r>
      <w:r>
        <w:rPr>
          <w:rFonts w:hint="eastAsia" w:asciiTheme="minorEastAsia" w:hAnsiTheme="minorEastAsia" w:eastAsiaTheme="minorEastAsia" w:cstheme="minorEastAsia"/>
          <w:b/>
          <w:bCs/>
          <w:sz w:val="24"/>
          <w:lang w:eastAsia="zh-CN"/>
        </w:rPr>
        <w:t>响应</w:t>
      </w:r>
      <w:r>
        <w:rPr>
          <w:rFonts w:hint="eastAsia" w:asciiTheme="minorEastAsia" w:hAnsiTheme="minorEastAsia" w:eastAsiaTheme="minorEastAsia" w:cstheme="minorEastAsia"/>
          <w:b/>
          <w:bCs/>
          <w:sz w:val="24"/>
        </w:rPr>
        <w:t>无效</w:t>
      </w:r>
      <w:r>
        <w:rPr>
          <w:rFonts w:hint="eastAsia" w:asciiTheme="minorEastAsia" w:hAnsiTheme="minorEastAsia" w:eastAsiaTheme="minorEastAsia" w:cstheme="minorEastAsia"/>
          <w:sz w:val="24"/>
        </w:rPr>
        <w:t>。</w:t>
      </w:r>
    </w:p>
    <w:p w14:paraId="1263852C">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在</w:t>
      </w:r>
      <w:r>
        <w:rPr>
          <w:rFonts w:hint="eastAsia" w:asciiTheme="minorEastAsia" w:hAnsiTheme="minorEastAsia" w:eastAsiaTheme="minorEastAsia" w:cstheme="minorEastAsia"/>
          <w:sz w:val="24"/>
          <w:lang w:eastAsia="zh-CN"/>
        </w:rPr>
        <w:t>磋商响应</w:t>
      </w:r>
      <w:r>
        <w:rPr>
          <w:rFonts w:hint="eastAsia" w:asciiTheme="minorEastAsia" w:hAnsiTheme="minorEastAsia" w:eastAsiaTheme="minorEastAsia" w:cstheme="minorEastAsia"/>
          <w:sz w:val="24"/>
        </w:rPr>
        <w:t>过程中不得向采购人提供或给予影响其正常决策行为的任何有价值物品或服务。一经发现，其</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将被认定为</w:t>
      </w:r>
      <w:r>
        <w:rPr>
          <w:rFonts w:hint="eastAsia" w:asciiTheme="minorEastAsia" w:hAnsiTheme="minorEastAsia" w:eastAsiaTheme="minorEastAsia" w:cstheme="minorEastAsia"/>
          <w:b/>
          <w:bCs/>
          <w:sz w:val="24"/>
          <w:lang w:eastAsia="zh-CN"/>
        </w:rPr>
        <w:t>响应</w:t>
      </w:r>
      <w:r>
        <w:rPr>
          <w:rFonts w:hint="eastAsia" w:asciiTheme="minorEastAsia" w:hAnsiTheme="minorEastAsia" w:eastAsiaTheme="minorEastAsia" w:cstheme="minorEastAsia"/>
          <w:b/>
          <w:bCs/>
          <w:sz w:val="24"/>
        </w:rPr>
        <w:t>无效</w:t>
      </w:r>
      <w:r>
        <w:rPr>
          <w:rFonts w:hint="eastAsia" w:asciiTheme="minorEastAsia" w:hAnsiTheme="minorEastAsia" w:eastAsiaTheme="minorEastAsia" w:cstheme="minorEastAsia"/>
          <w:sz w:val="24"/>
        </w:rPr>
        <w:t>。</w:t>
      </w:r>
    </w:p>
    <w:p w14:paraId="3567F7E7">
      <w:pPr>
        <w:pStyle w:val="4"/>
        <w:spacing w:before="0" w:after="0" w:line="400" w:lineRule="exact"/>
        <w:rPr>
          <w:rFonts w:hint="eastAsia" w:asciiTheme="minorEastAsia" w:hAnsiTheme="minorEastAsia" w:eastAsiaTheme="minorEastAsia" w:cstheme="minorEastAsia"/>
          <w:u w:val="none"/>
        </w:rPr>
      </w:pPr>
      <w:bookmarkStart w:id="18" w:name="_Toc11482_WPSOffice_Level2"/>
      <w:bookmarkStart w:id="19" w:name="_Toc518923062"/>
      <w:bookmarkStart w:id="20" w:name="_Toc2643"/>
      <w:bookmarkStart w:id="21" w:name="_Toc11813_WPSOffice_Level2"/>
      <w:r>
        <w:rPr>
          <w:rFonts w:hint="eastAsia" w:asciiTheme="minorEastAsia" w:hAnsiTheme="minorEastAsia" w:eastAsiaTheme="minorEastAsia" w:cstheme="minorEastAsia"/>
          <w:u w:val="none"/>
        </w:rPr>
        <w:t>2.资金来源</w:t>
      </w:r>
      <w:bookmarkEnd w:id="18"/>
      <w:bookmarkEnd w:id="19"/>
      <w:bookmarkEnd w:id="20"/>
      <w:bookmarkEnd w:id="21"/>
    </w:p>
    <w:p w14:paraId="0A06B92E">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本项目的采购人已获得足以支付本次</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后所签订的合同项下的资金（包括财政性资金和本项目采购中无法与财政性资金分割的非财政性资金）。</w:t>
      </w:r>
    </w:p>
    <w:p w14:paraId="1E2FE0DF">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    项目预算金额和分项或分包最高限价</w:t>
      </w:r>
      <w:r>
        <w:rPr>
          <w:rFonts w:hint="eastAsia" w:asciiTheme="minorEastAsia" w:hAnsiTheme="minorEastAsia" w:eastAsiaTheme="minorEastAsia" w:cstheme="minorEastAsia"/>
          <w:sz w:val="24"/>
          <w:u w:val="single"/>
        </w:rPr>
        <w:t>见</w:t>
      </w:r>
      <w:r>
        <w:rPr>
          <w:rFonts w:hint="eastAsia" w:asciiTheme="minorEastAsia" w:hAnsiTheme="minorEastAsia" w:eastAsiaTheme="minorEastAsia" w:cstheme="minorEastAsia"/>
          <w:sz w:val="24"/>
          <w:u w:val="single"/>
          <w:lang w:eastAsia="zh-CN"/>
        </w:rPr>
        <w:t>供应商</w:t>
      </w:r>
      <w:r>
        <w:rPr>
          <w:rFonts w:hint="eastAsia" w:asciiTheme="minorEastAsia" w:hAnsiTheme="minorEastAsia" w:eastAsiaTheme="minorEastAsia" w:cstheme="minorEastAsia"/>
          <w:sz w:val="24"/>
          <w:u w:val="single"/>
        </w:rPr>
        <w:t>须知资料表</w:t>
      </w:r>
      <w:r>
        <w:rPr>
          <w:rFonts w:hint="eastAsia" w:asciiTheme="minorEastAsia" w:hAnsiTheme="minorEastAsia" w:eastAsiaTheme="minorEastAsia" w:cstheme="minorEastAsia"/>
          <w:sz w:val="24"/>
        </w:rPr>
        <w:t>。</w:t>
      </w:r>
    </w:p>
    <w:p w14:paraId="3AB7FF72">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2.3    </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报价超过磋商文件规定的预算金额或者分项、分包最高限价的，其报价将被认定为无效。</w:t>
      </w:r>
    </w:p>
    <w:p w14:paraId="4C319AC3">
      <w:pPr>
        <w:pStyle w:val="4"/>
        <w:spacing w:before="0" w:after="0" w:line="400" w:lineRule="exact"/>
        <w:rPr>
          <w:rFonts w:hint="eastAsia" w:asciiTheme="minorEastAsia" w:hAnsiTheme="minorEastAsia" w:eastAsiaTheme="minorEastAsia" w:cstheme="minorEastAsia"/>
          <w:u w:val="none"/>
        </w:rPr>
      </w:pPr>
      <w:bookmarkStart w:id="22" w:name="_Toc28166"/>
      <w:bookmarkStart w:id="23" w:name="_Toc518923063"/>
      <w:bookmarkStart w:id="24" w:name="_Toc8601_WPSOffice_Level2"/>
      <w:bookmarkStart w:id="25" w:name="_Toc8946_WPSOffice_Level2"/>
      <w:bookmarkStart w:id="26" w:name="_Toc520356145"/>
      <w:r>
        <w:rPr>
          <w:rFonts w:hint="eastAsia" w:asciiTheme="minorEastAsia" w:hAnsiTheme="minorEastAsia" w:eastAsiaTheme="minorEastAsia" w:cstheme="minorEastAsia"/>
          <w:u w:val="none"/>
        </w:rPr>
        <w:t>3.磋商费用</w:t>
      </w:r>
      <w:bookmarkEnd w:id="22"/>
      <w:bookmarkEnd w:id="23"/>
      <w:bookmarkEnd w:id="24"/>
      <w:bookmarkEnd w:id="25"/>
      <w:bookmarkEnd w:id="26"/>
    </w:p>
    <w:p w14:paraId="63BE7868">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不论磋商的结果如何，</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应承担所有与准备和参加磋商有关的费用。</w:t>
      </w:r>
    </w:p>
    <w:p w14:paraId="43496294">
      <w:pPr>
        <w:pStyle w:val="4"/>
        <w:spacing w:before="0" w:after="0" w:line="400" w:lineRule="exact"/>
        <w:rPr>
          <w:rFonts w:hint="eastAsia" w:asciiTheme="minorEastAsia" w:hAnsiTheme="minorEastAsia" w:eastAsiaTheme="minorEastAsia" w:cstheme="minorEastAsia"/>
          <w:u w:val="none"/>
        </w:rPr>
      </w:pPr>
      <w:bookmarkStart w:id="27" w:name="_Toc32365"/>
      <w:bookmarkStart w:id="28" w:name="_Toc518923064"/>
      <w:bookmarkStart w:id="29" w:name="_Toc1523_WPSOffice_Level2"/>
      <w:bookmarkStart w:id="30" w:name="_Toc8368_WPSOffice_Level2"/>
      <w:r>
        <w:rPr>
          <w:rFonts w:hint="eastAsia" w:asciiTheme="minorEastAsia" w:hAnsiTheme="minorEastAsia" w:eastAsiaTheme="minorEastAsia" w:cstheme="minorEastAsia"/>
          <w:u w:val="none"/>
        </w:rPr>
        <w:t>4.适用法律</w:t>
      </w:r>
      <w:bookmarkEnd w:id="27"/>
      <w:bookmarkEnd w:id="28"/>
      <w:bookmarkEnd w:id="29"/>
      <w:bookmarkEnd w:id="30"/>
    </w:p>
    <w:p w14:paraId="10742681">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本项目采购人、采购代理机构、</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磋商小组</w:t>
      </w:r>
      <w:r>
        <w:rPr>
          <w:rFonts w:hint="eastAsia" w:asciiTheme="minorEastAsia" w:hAnsiTheme="minorEastAsia" w:eastAsiaTheme="minorEastAsia" w:cstheme="minorEastAsia"/>
          <w:sz w:val="24"/>
        </w:rPr>
        <w:t>的相关行为均受《中华人民共和国政府采购法》、《中华人民共和国政府采购法实施条例》</w:t>
      </w:r>
      <w:r>
        <w:rPr>
          <w:rFonts w:hint="eastAsia" w:asciiTheme="minorEastAsia" w:hAnsiTheme="minorEastAsia" w:eastAsiaTheme="minorEastAsia" w:cstheme="minorEastAsia"/>
          <w:sz w:val="24"/>
          <w:lang w:eastAsia="zh-CN"/>
        </w:rPr>
        <w:t>、《政府采购竞争性磋商采购方式管理暂行办法》</w:t>
      </w:r>
      <w:r>
        <w:rPr>
          <w:rFonts w:hint="eastAsia" w:asciiTheme="minorEastAsia" w:hAnsiTheme="minorEastAsia" w:eastAsiaTheme="minorEastAsia" w:cstheme="minorEastAsia"/>
          <w:sz w:val="24"/>
        </w:rPr>
        <w:t>及本项目本级和上级财政部门政府采购有关规定的约束，其权利受到上述法律法规的保护。</w:t>
      </w:r>
    </w:p>
    <w:p w14:paraId="644B4CAB">
      <w:pPr>
        <w:pStyle w:val="3"/>
        <w:spacing w:before="0" w:line="400" w:lineRule="exact"/>
        <w:ind w:left="1079" w:leftChars="257" w:hanging="540"/>
        <w:rPr>
          <w:rFonts w:hint="eastAsia" w:asciiTheme="minorEastAsia" w:hAnsiTheme="minorEastAsia" w:eastAsiaTheme="minorEastAsia" w:cstheme="minorEastAsia"/>
        </w:rPr>
      </w:pPr>
      <w:bookmarkStart w:id="31" w:name="_Toc809"/>
      <w:bookmarkStart w:id="32" w:name="_Toc520356146"/>
      <w:bookmarkStart w:id="33" w:name="_Toc518923065"/>
      <w:bookmarkStart w:id="34" w:name="_Toc216582806"/>
      <w:bookmarkStart w:id="35" w:name="_Toc10894_WPSOffice_Level1"/>
      <w:bookmarkStart w:id="36" w:name="_Toc21828"/>
      <w:r>
        <w:rPr>
          <w:rFonts w:hint="eastAsia" w:asciiTheme="minorEastAsia" w:hAnsiTheme="minorEastAsia" w:eastAsiaTheme="minorEastAsia" w:cstheme="minorEastAsia"/>
          <w:sz w:val="28"/>
        </w:rPr>
        <w:t xml:space="preserve">二   </w:t>
      </w:r>
      <w:bookmarkEnd w:id="31"/>
      <w:bookmarkEnd w:id="32"/>
      <w:bookmarkEnd w:id="33"/>
      <w:bookmarkEnd w:id="34"/>
      <w:r>
        <w:rPr>
          <w:rFonts w:hint="eastAsia" w:asciiTheme="minorEastAsia" w:hAnsiTheme="minorEastAsia" w:eastAsiaTheme="minorEastAsia" w:cstheme="minorEastAsia"/>
          <w:sz w:val="28"/>
        </w:rPr>
        <w:t>磋商文件</w:t>
      </w:r>
      <w:bookmarkEnd w:id="35"/>
      <w:bookmarkEnd w:id="36"/>
    </w:p>
    <w:p w14:paraId="2E431BAC">
      <w:pPr>
        <w:pStyle w:val="4"/>
        <w:spacing w:before="0" w:after="0" w:line="400" w:lineRule="exact"/>
        <w:rPr>
          <w:rFonts w:hint="eastAsia" w:asciiTheme="minorEastAsia" w:hAnsiTheme="minorEastAsia" w:eastAsiaTheme="minorEastAsia" w:cstheme="minorEastAsia"/>
          <w:u w:val="none"/>
        </w:rPr>
      </w:pPr>
      <w:bookmarkStart w:id="37" w:name="_Toc15218_WPSOffice_Level2"/>
      <w:bookmarkStart w:id="38" w:name="_Toc520356147"/>
      <w:bookmarkStart w:id="39" w:name="_Toc22990"/>
      <w:bookmarkStart w:id="40" w:name="_Toc518923066"/>
      <w:bookmarkStart w:id="41" w:name="_Toc15303_WPSOffice_Level2"/>
      <w:r>
        <w:rPr>
          <w:rFonts w:hint="eastAsia" w:asciiTheme="minorEastAsia" w:hAnsiTheme="minorEastAsia" w:eastAsiaTheme="minorEastAsia" w:cstheme="minorEastAsia"/>
          <w:u w:val="none"/>
        </w:rPr>
        <w:t>5.磋商文件构成</w:t>
      </w:r>
      <w:bookmarkEnd w:id="37"/>
      <w:bookmarkEnd w:id="38"/>
      <w:bookmarkEnd w:id="39"/>
      <w:bookmarkEnd w:id="40"/>
      <w:bookmarkEnd w:id="41"/>
    </w:p>
    <w:p w14:paraId="769B86D4">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磋商文件分为三册共7章，内容如下：</w:t>
      </w:r>
    </w:p>
    <w:p w14:paraId="02D6A763">
      <w:pPr>
        <w:spacing w:line="400" w:lineRule="exact"/>
        <w:ind w:left="1078" w:leftChars="428" w:hanging="180" w:hangingChars="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第一册</w:t>
      </w:r>
    </w:p>
    <w:p w14:paraId="24E1384A">
      <w:pPr>
        <w:numPr>
          <w:ilvl w:val="0"/>
          <w:numId w:val="9"/>
        </w:numPr>
        <w:tabs>
          <w:tab w:val="left" w:pos="0"/>
        </w:tabs>
        <w:spacing w:line="400" w:lineRule="exact"/>
        <w:ind w:left="840" w:leftChars="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须知</w:t>
      </w:r>
    </w:p>
    <w:p w14:paraId="26F605A7">
      <w:pPr>
        <w:numPr>
          <w:ilvl w:val="0"/>
          <w:numId w:val="9"/>
        </w:numPr>
        <w:spacing w:line="400" w:lineRule="exact"/>
        <w:ind w:left="927" w:leftChars="0" w:hanging="18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响应文件格式</w:t>
      </w:r>
    </w:p>
    <w:p w14:paraId="0E9AA526">
      <w:pPr>
        <w:spacing w:line="400" w:lineRule="exact"/>
        <w:ind w:left="1080" w:leftChars="429" w:hanging="1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第二册</w:t>
      </w:r>
    </w:p>
    <w:p w14:paraId="1ECD279A">
      <w:pPr>
        <w:numPr>
          <w:ilvl w:val="0"/>
          <w:numId w:val="9"/>
        </w:numPr>
        <w:spacing w:line="400" w:lineRule="exact"/>
        <w:ind w:left="927" w:leftChars="0" w:hanging="18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磋商邀请 </w:t>
      </w:r>
    </w:p>
    <w:p w14:paraId="3EC5B4D7">
      <w:pPr>
        <w:numPr>
          <w:ilvl w:val="0"/>
          <w:numId w:val="9"/>
        </w:numPr>
        <w:spacing w:line="400" w:lineRule="exact"/>
        <w:ind w:left="927" w:leftChars="0" w:hanging="18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须知资料表</w:t>
      </w:r>
    </w:p>
    <w:p w14:paraId="3A15C801">
      <w:pPr>
        <w:numPr>
          <w:ilvl w:val="0"/>
          <w:numId w:val="9"/>
        </w:numPr>
        <w:spacing w:line="400" w:lineRule="exact"/>
        <w:ind w:left="927" w:leftChars="0" w:hanging="18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项目需求</w:t>
      </w:r>
    </w:p>
    <w:p w14:paraId="18CE1616">
      <w:pPr>
        <w:numPr>
          <w:ilvl w:val="0"/>
          <w:numId w:val="9"/>
        </w:numPr>
        <w:spacing w:line="400" w:lineRule="exact"/>
        <w:ind w:left="927" w:leftChars="0" w:hanging="18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评审方法和标准</w:t>
      </w:r>
    </w:p>
    <w:p w14:paraId="663862B8">
      <w:pPr>
        <w:spacing w:line="400" w:lineRule="exact"/>
        <w:ind w:left="90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第三册</w:t>
      </w:r>
    </w:p>
    <w:p w14:paraId="5D52A4CC">
      <w:pPr>
        <w:numPr>
          <w:ilvl w:val="0"/>
          <w:numId w:val="9"/>
        </w:numPr>
        <w:spacing w:line="400" w:lineRule="exact"/>
        <w:ind w:left="927" w:leftChars="0" w:hanging="18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授予</w:t>
      </w:r>
      <w:r>
        <w:rPr>
          <w:rFonts w:hint="eastAsia" w:asciiTheme="minorEastAsia" w:hAnsiTheme="minorEastAsia" w:eastAsiaTheme="minorEastAsia" w:cstheme="minorEastAsia"/>
          <w:sz w:val="24"/>
        </w:rPr>
        <w:t>合同</w:t>
      </w:r>
    </w:p>
    <w:p w14:paraId="796AE459">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5.2</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如本文件的前后内容不一致，以最后描述为准。</w:t>
      </w:r>
    </w:p>
    <w:p w14:paraId="4F0FCAC7">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5.3    </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应认真阅读磋商文件所有的事项、格式、条款和技术规范等。如</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没有按照磋商文件要求提交全部资料，或者响应文件没有对磋商文件在各方面都做出实质性响应，可能导致其</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被认定为</w:t>
      </w:r>
      <w:r>
        <w:rPr>
          <w:rFonts w:hint="eastAsia" w:asciiTheme="minorEastAsia" w:hAnsiTheme="minorEastAsia" w:eastAsiaTheme="minorEastAsia" w:cstheme="minorEastAsia"/>
          <w:b/>
          <w:bCs/>
          <w:sz w:val="24"/>
          <w:lang w:eastAsia="zh-CN"/>
        </w:rPr>
        <w:t>响应</w:t>
      </w:r>
      <w:r>
        <w:rPr>
          <w:rFonts w:hint="eastAsia" w:asciiTheme="minorEastAsia" w:hAnsiTheme="minorEastAsia" w:eastAsiaTheme="minorEastAsia" w:cstheme="minorEastAsia"/>
          <w:b/>
          <w:bCs/>
          <w:sz w:val="24"/>
        </w:rPr>
        <w:t>无效</w:t>
      </w:r>
      <w:r>
        <w:rPr>
          <w:rFonts w:hint="eastAsia" w:asciiTheme="minorEastAsia" w:hAnsiTheme="minorEastAsia" w:eastAsiaTheme="minorEastAsia" w:cstheme="minorEastAsia"/>
          <w:sz w:val="24"/>
        </w:rPr>
        <w:t>。</w:t>
      </w:r>
    </w:p>
    <w:p w14:paraId="60FBC210">
      <w:pPr>
        <w:pStyle w:val="4"/>
        <w:spacing w:before="0" w:after="0" w:line="400" w:lineRule="exact"/>
        <w:rPr>
          <w:rFonts w:hint="eastAsia" w:asciiTheme="minorEastAsia" w:hAnsiTheme="minorEastAsia" w:eastAsiaTheme="minorEastAsia" w:cstheme="minorEastAsia"/>
          <w:b w:val="0"/>
          <w:u w:val="none"/>
        </w:rPr>
      </w:pPr>
      <w:bookmarkStart w:id="42" w:name="_Toc520356148"/>
      <w:bookmarkStart w:id="43" w:name="_Toc518923067"/>
      <w:bookmarkStart w:id="44" w:name="_Toc29081_WPSOffice_Level2"/>
      <w:bookmarkStart w:id="45" w:name="_Toc21314"/>
      <w:bookmarkStart w:id="46" w:name="_Toc90_WPSOffice_Level2"/>
      <w:r>
        <w:rPr>
          <w:rFonts w:hint="eastAsia" w:asciiTheme="minorEastAsia" w:hAnsiTheme="minorEastAsia" w:eastAsiaTheme="minorEastAsia" w:cstheme="minorEastAsia"/>
          <w:u w:val="none"/>
        </w:rPr>
        <w:t>6.</w:t>
      </w:r>
      <w:r>
        <w:rPr>
          <w:rFonts w:hint="eastAsia" w:asciiTheme="minorEastAsia" w:hAnsiTheme="minorEastAsia" w:eastAsiaTheme="minorEastAsia" w:cstheme="minorEastAsia"/>
          <w:u w:val="none"/>
          <w:lang w:val="en-US" w:eastAsia="zh-CN"/>
        </w:rPr>
        <w:t xml:space="preserve"> </w:t>
      </w:r>
      <w:r>
        <w:rPr>
          <w:rFonts w:hint="eastAsia" w:asciiTheme="minorEastAsia" w:hAnsiTheme="minorEastAsia" w:eastAsiaTheme="minorEastAsia" w:cstheme="minorEastAsia"/>
          <w:u w:val="none"/>
        </w:rPr>
        <w:t>磋商文件的澄清</w:t>
      </w:r>
      <w:bookmarkEnd w:id="42"/>
      <w:r>
        <w:rPr>
          <w:rFonts w:hint="eastAsia" w:asciiTheme="minorEastAsia" w:hAnsiTheme="minorEastAsia" w:eastAsiaTheme="minorEastAsia" w:cstheme="minorEastAsia"/>
          <w:u w:val="none"/>
        </w:rPr>
        <w:t>与修改</w:t>
      </w:r>
      <w:bookmarkEnd w:id="43"/>
      <w:bookmarkEnd w:id="44"/>
      <w:bookmarkEnd w:id="45"/>
      <w:bookmarkEnd w:id="46"/>
    </w:p>
    <w:p w14:paraId="68B436F8">
      <w:pPr>
        <w:pStyle w:val="8"/>
        <w:spacing w:line="400" w:lineRule="exact"/>
        <w:ind w:left="840" w:hanging="840" w:hangingChars="35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6.1    为了保证对磋商文件的澄清和修改满足法律的时限要求，</w:t>
      </w:r>
      <w:bookmarkStart w:id="47" w:name="_Toc520356149"/>
      <w:bookmarkStart w:id="48" w:name="_Ref467378678"/>
      <w:r>
        <w:rPr>
          <w:rFonts w:hint="eastAsia" w:asciiTheme="minorEastAsia" w:hAnsiTheme="minorEastAsia" w:eastAsiaTheme="minorEastAsia" w:cstheme="minorEastAsia"/>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w:t>
      </w:r>
      <w:r>
        <w:rPr>
          <w:rFonts w:hint="eastAsia" w:asciiTheme="minorEastAsia" w:hAnsiTheme="minorEastAsia" w:eastAsiaTheme="minorEastAsia" w:cstheme="minorEastAsia"/>
          <w:szCs w:val="24"/>
          <w:lang w:eastAsia="zh-CN"/>
        </w:rPr>
        <w:t>供应商</w:t>
      </w:r>
      <w:r>
        <w:rPr>
          <w:rFonts w:hint="eastAsia" w:asciiTheme="minorEastAsia" w:hAnsiTheme="minorEastAsia" w:eastAsiaTheme="minorEastAsia" w:cstheme="minorEastAsia"/>
          <w:szCs w:val="24"/>
        </w:rPr>
        <w:t>；不足5日的，采购人、采购代理机构应当顺延提交首次响应文件截止时间。</w:t>
      </w:r>
    </w:p>
    <w:p w14:paraId="4ED92C59">
      <w:pPr>
        <w:pStyle w:val="8"/>
        <w:spacing w:line="400" w:lineRule="exact"/>
        <w:ind w:left="840" w:hanging="840" w:hangingChars="35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6.2</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rPr>
        <w:t>采购人可主动地或在解答</w:t>
      </w:r>
      <w:r>
        <w:rPr>
          <w:rFonts w:hint="eastAsia" w:asciiTheme="minorEastAsia" w:hAnsiTheme="minorEastAsia" w:eastAsiaTheme="minorEastAsia" w:cstheme="minorEastAsia"/>
          <w:szCs w:val="24"/>
          <w:lang w:eastAsia="zh-CN"/>
        </w:rPr>
        <w:t>供应商</w:t>
      </w:r>
      <w:r>
        <w:rPr>
          <w:rFonts w:hint="eastAsia" w:asciiTheme="minorEastAsia" w:hAnsiTheme="minorEastAsia" w:eastAsiaTheme="minorEastAsia" w:cstheme="minorEastAsia"/>
          <w:szCs w:val="24"/>
        </w:rPr>
        <w:t>提出的澄清问题时对磋商文件澄清或修改。采购代理机构将以发布澄清（更正）公告的方式，澄清或修改磋商文件，澄清或修改内容作为磋商文件的组成部分。</w:t>
      </w:r>
    </w:p>
    <w:p w14:paraId="37D3D0B1">
      <w:pPr>
        <w:pStyle w:val="8"/>
        <w:spacing w:line="400" w:lineRule="exact"/>
        <w:ind w:left="840" w:hanging="840" w:hangingChars="35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6.3</w:t>
      </w:r>
      <w:r>
        <w:rPr>
          <w:rFonts w:hint="eastAsia" w:asciiTheme="minorEastAsia" w:hAnsiTheme="minorEastAsia" w:eastAsiaTheme="minorEastAsia" w:cstheme="minorEastAsia"/>
          <w:szCs w:val="24"/>
        </w:rPr>
        <w:tab/>
      </w:r>
      <w:r>
        <w:rPr>
          <w:rFonts w:hint="eastAsia" w:asciiTheme="minorEastAsia" w:hAnsiTheme="minorEastAsia" w:eastAsiaTheme="minorEastAsia" w:cstheme="minorEastAsia"/>
          <w:szCs w:val="24"/>
        </w:rPr>
        <w:t>澄清或者修改的内容可能影响响应文件编制的，采购代理机构将以书面形式通知所有购买磋商文件的潜在</w:t>
      </w:r>
      <w:r>
        <w:rPr>
          <w:rFonts w:hint="eastAsia" w:asciiTheme="minorEastAsia" w:hAnsiTheme="minorEastAsia" w:eastAsiaTheme="minorEastAsia" w:cstheme="minorEastAsia"/>
          <w:szCs w:val="24"/>
          <w:lang w:eastAsia="zh-CN"/>
        </w:rPr>
        <w:t>供应商</w:t>
      </w:r>
      <w:r>
        <w:rPr>
          <w:rFonts w:hint="eastAsia" w:asciiTheme="minorEastAsia" w:hAnsiTheme="minorEastAsia" w:eastAsiaTheme="minorEastAsia" w:cstheme="minorEastAsia"/>
          <w:szCs w:val="24"/>
        </w:rPr>
        <w:t>，并对其具有约束力。</w:t>
      </w:r>
      <w:r>
        <w:rPr>
          <w:rFonts w:hint="eastAsia" w:asciiTheme="minorEastAsia" w:hAnsiTheme="minorEastAsia" w:eastAsiaTheme="minorEastAsia" w:cstheme="minorEastAsia"/>
          <w:szCs w:val="24"/>
          <w:lang w:eastAsia="zh-CN"/>
        </w:rPr>
        <w:t>供应商</w:t>
      </w:r>
      <w:r>
        <w:rPr>
          <w:rFonts w:hint="eastAsia" w:asciiTheme="minorEastAsia" w:hAnsiTheme="minorEastAsia" w:eastAsiaTheme="minorEastAsia" w:cstheme="minorEastAsia"/>
          <w:szCs w:val="24"/>
        </w:rPr>
        <w:t>在收到上述通知后，应及时向采购代理机构回函确认。</w:t>
      </w:r>
    </w:p>
    <w:p w14:paraId="5B22C0B1">
      <w:pPr>
        <w:pStyle w:val="4"/>
        <w:tabs>
          <w:tab w:val="left" w:pos="900"/>
        </w:tabs>
        <w:spacing w:before="0" w:after="0" w:line="400" w:lineRule="exact"/>
        <w:rPr>
          <w:rFonts w:hint="eastAsia" w:asciiTheme="minorEastAsia" w:hAnsiTheme="minorEastAsia" w:eastAsiaTheme="minorEastAsia" w:cstheme="minorEastAsia"/>
          <w:u w:val="none"/>
        </w:rPr>
      </w:pPr>
      <w:bookmarkStart w:id="49" w:name="_Toc31699_WPSOffice_Level2"/>
      <w:bookmarkStart w:id="50" w:name="_Toc10994"/>
      <w:bookmarkStart w:id="51" w:name="_Toc518923068"/>
      <w:bookmarkStart w:id="52" w:name="_Toc9694_WPSOffice_Level2"/>
      <w:r>
        <w:rPr>
          <w:rFonts w:hint="eastAsia" w:asciiTheme="minorEastAsia" w:hAnsiTheme="minorEastAsia" w:eastAsiaTheme="minorEastAsia" w:cstheme="minorEastAsia"/>
          <w:u w:val="none"/>
        </w:rPr>
        <w:t>7</w:t>
      </w:r>
      <w:bookmarkEnd w:id="47"/>
      <w:bookmarkEnd w:id="48"/>
      <w:r>
        <w:rPr>
          <w:rFonts w:hint="eastAsia" w:asciiTheme="minorEastAsia" w:hAnsiTheme="minorEastAsia" w:eastAsiaTheme="minorEastAsia" w:cstheme="minorEastAsia"/>
          <w:u w:val="none"/>
        </w:rPr>
        <w:t>.响应文件递交截止时间的顺延</w:t>
      </w:r>
      <w:bookmarkEnd w:id="49"/>
      <w:bookmarkEnd w:id="50"/>
      <w:bookmarkEnd w:id="51"/>
      <w:bookmarkEnd w:id="52"/>
    </w:p>
    <w:p w14:paraId="39FC04BE">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为使</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准备</w:t>
      </w:r>
      <w:r>
        <w:rPr>
          <w:rFonts w:hint="eastAsia" w:asciiTheme="minorEastAsia" w:hAnsiTheme="minorEastAsia" w:eastAsiaTheme="minorEastAsia" w:cstheme="minorEastAsia"/>
          <w:sz w:val="24"/>
          <w:lang w:eastAsia="zh-CN"/>
        </w:rPr>
        <w:t>递交响应文件</w:t>
      </w:r>
      <w:r>
        <w:rPr>
          <w:rFonts w:hint="eastAsia" w:asciiTheme="minorEastAsia" w:hAnsiTheme="minorEastAsia" w:eastAsiaTheme="minorEastAsia" w:cstheme="minorEastAsia"/>
          <w:sz w:val="24"/>
        </w:rPr>
        <w:t>时有足够的时间对磋商文件的澄清或者修改部分进行研究，采购人将依法决定是否顺延响应文件递交截止时间。</w:t>
      </w:r>
    </w:p>
    <w:p w14:paraId="5701D14A">
      <w:pPr>
        <w:pStyle w:val="3"/>
        <w:tabs>
          <w:tab w:val="left" w:pos="900"/>
        </w:tabs>
        <w:spacing w:before="0" w:line="400" w:lineRule="exact"/>
        <w:ind w:left="1079" w:leftChars="257" w:hanging="540"/>
        <w:rPr>
          <w:rFonts w:hint="eastAsia" w:asciiTheme="minorEastAsia" w:hAnsiTheme="minorEastAsia" w:eastAsiaTheme="minorEastAsia" w:cstheme="minorEastAsia"/>
        </w:rPr>
      </w:pPr>
      <w:bookmarkStart w:id="53" w:name="_Toc516367020"/>
      <w:bookmarkStart w:id="54" w:name="_Toc518923069"/>
      <w:bookmarkStart w:id="55" w:name="_Toc25389"/>
      <w:bookmarkStart w:id="56" w:name="_Toc520356150"/>
      <w:bookmarkStart w:id="57" w:name="_Toc25602"/>
      <w:bookmarkStart w:id="58" w:name="_Toc216582807"/>
      <w:bookmarkStart w:id="59" w:name="_Toc4436_WPSOffice_Level1"/>
      <w:r>
        <w:rPr>
          <w:rFonts w:hint="eastAsia" w:asciiTheme="minorEastAsia" w:hAnsiTheme="minorEastAsia" w:eastAsiaTheme="minorEastAsia" w:cstheme="minorEastAsia"/>
          <w:sz w:val="28"/>
        </w:rPr>
        <w:t xml:space="preserve">三   </w:t>
      </w:r>
      <w:bookmarkEnd w:id="53"/>
      <w:r>
        <w:rPr>
          <w:rFonts w:hint="eastAsia" w:asciiTheme="minorEastAsia" w:hAnsiTheme="minorEastAsia" w:eastAsiaTheme="minorEastAsia" w:cstheme="minorEastAsia"/>
          <w:sz w:val="28"/>
        </w:rPr>
        <w:t>响应文件的编制</w:t>
      </w:r>
      <w:bookmarkEnd w:id="54"/>
      <w:bookmarkEnd w:id="55"/>
      <w:bookmarkEnd w:id="56"/>
      <w:bookmarkEnd w:id="57"/>
      <w:bookmarkEnd w:id="58"/>
      <w:bookmarkEnd w:id="59"/>
    </w:p>
    <w:p w14:paraId="40DF08A3">
      <w:pPr>
        <w:pStyle w:val="4"/>
        <w:tabs>
          <w:tab w:val="left" w:pos="900"/>
        </w:tabs>
        <w:spacing w:before="0" w:after="0" w:line="400" w:lineRule="exact"/>
        <w:rPr>
          <w:rFonts w:hint="eastAsia" w:asciiTheme="minorEastAsia" w:hAnsiTheme="minorEastAsia" w:eastAsiaTheme="minorEastAsia" w:cstheme="minorEastAsia"/>
          <w:u w:val="none"/>
        </w:rPr>
      </w:pPr>
      <w:bookmarkStart w:id="60" w:name="_Toc20686_WPSOffice_Level2"/>
      <w:bookmarkStart w:id="61" w:name="_Toc516367021"/>
      <w:bookmarkStart w:id="62" w:name="_Toc6728"/>
      <w:bookmarkStart w:id="63" w:name="_Toc13590_WPSOffice_Level2"/>
      <w:bookmarkStart w:id="64" w:name="_Toc518923070"/>
      <w:bookmarkStart w:id="65" w:name="_Toc520356151"/>
      <w:r>
        <w:rPr>
          <w:rFonts w:hint="eastAsia" w:asciiTheme="minorEastAsia" w:hAnsiTheme="minorEastAsia" w:eastAsiaTheme="minorEastAsia" w:cstheme="minorEastAsia"/>
          <w:u w:val="none"/>
        </w:rPr>
        <w:t>8.</w:t>
      </w:r>
      <w:r>
        <w:rPr>
          <w:rFonts w:hint="eastAsia" w:asciiTheme="minorEastAsia" w:hAnsiTheme="minorEastAsia" w:eastAsiaTheme="minorEastAsia" w:cstheme="minorEastAsia"/>
          <w:u w:val="none"/>
        </w:rPr>
        <w:tab/>
      </w:r>
      <w:r>
        <w:rPr>
          <w:rFonts w:hint="eastAsia" w:asciiTheme="minorEastAsia" w:hAnsiTheme="minorEastAsia" w:eastAsiaTheme="minorEastAsia" w:cstheme="minorEastAsia"/>
          <w:u w:val="none"/>
        </w:rPr>
        <w:t>磋商范围及响应文件成交准和计量单位的使用</w:t>
      </w:r>
      <w:bookmarkEnd w:id="60"/>
      <w:bookmarkEnd w:id="61"/>
      <w:bookmarkEnd w:id="62"/>
      <w:bookmarkEnd w:id="63"/>
      <w:bookmarkEnd w:id="64"/>
      <w:bookmarkEnd w:id="65"/>
    </w:p>
    <w:p w14:paraId="6A7CA542">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8.1</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项目有分包的，</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可对磋商文件其中一个或几个分包进行</w:t>
      </w:r>
      <w:r>
        <w:rPr>
          <w:rFonts w:hint="eastAsia" w:asciiTheme="minorEastAsia" w:hAnsiTheme="minorEastAsia" w:eastAsiaTheme="minorEastAsia" w:cstheme="minorEastAsia"/>
          <w:sz w:val="24"/>
          <w:lang w:eastAsia="zh-CN"/>
        </w:rPr>
        <w:t>响应</w:t>
      </w:r>
      <w:r>
        <w:rPr>
          <w:rFonts w:hint="eastAsia" w:asciiTheme="minorEastAsia" w:hAnsiTheme="minorEastAsia" w:eastAsiaTheme="minorEastAsia" w:cstheme="minorEastAsia"/>
          <w:sz w:val="24"/>
        </w:rPr>
        <w:t>，除非在</w:t>
      </w:r>
      <w:r>
        <w:rPr>
          <w:rFonts w:hint="eastAsia" w:asciiTheme="minorEastAsia" w:hAnsiTheme="minorEastAsia" w:eastAsiaTheme="minorEastAsia" w:cstheme="minorEastAsia"/>
          <w:sz w:val="24"/>
          <w:u w:val="single"/>
          <w:lang w:eastAsia="zh-CN"/>
        </w:rPr>
        <w:t>供应商</w:t>
      </w:r>
      <w:r>
        <w:rPr>
          <w:rFonts w:hint="eastAsia" w:asciiTheme="minorEastAsia" w:hAnsiTheme="minorEastAsia" w:eastAsiaTheme="minorEastAsia" w:cstheme="minorEastAsia"/>
          <w:sz w:val="24"/>
          <w:u w:val="single"/>
        </w:rPr>
        <w:t>须知资料表</w:t>
      </w:r>
      <w:r>
        <w:rPr>
          <w:rFonts w:hint="eastAsia" w:asciiTheme="minorEastAsia" w:hAnsiTheme="minorEastAsia" w:eastAsiaTheme="minorEastAsia" w:cstheme="minorEastAsia"/>
          <w:sz w:val="24"/>
        </w:rPr>
        <w:t>中另有规定。</w:t>
      </w:r>
    </w:p>
    <w:p w14:paraId="4FF03B9E">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8.2    </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应当对所投分包磋商文件中“项目需求”所列的所有服务内容进行</w:t>
      </w:r>
      <w:r>
        <w:rPr>
          <w:rFonts w:hint="eastAsia" w:asciiTheme="minorEastAsia" w:hAnsiTheme="minorEastAsia" w:eastAsiaTheme="minorEastAsia" w:cstheme="minorEastAsia"/>
          <w:sz w:val="24"/>
          <w:lang w:eastAsia="zh-CN"/>
        </w:rPr>
        <w:t>响应</w:t>
      </w:r>
      <w:r>
        <w:rPr>
          <w:rFonts w:hint="eastAsia" w:asciiTheme="minorEastAsia" w:hAnsiTheme="minorEastAsia" w:eastAsiaTheme="minorEastAsia" w:cstheme="minorEastAsia"/>
          <w:sz w:val="24"/>
        </w:rPr>
        <w:t>，如仅响应分包中的部分内容，其</w:t>
      </w:r>
      <w:r>
        <w:rPr>
          <w:rFonts w:hint="eastAsia" w:asciiTheme="minorEastAsia" w:hAnsiTheme="minorEastAsia" w:eastAsiaTheme="minorEastAsia" w:cstheme="minorEastAsia"/>
          <w:sz w:val="24"/>
          <w:lang w:eastAsia="zh-CN"/>
        </w:rPr>
        <w:t>响应</w:t>
      </w:r>
      <w:r>
        <w:rPr>
          <w:rFonts w:hint="eastAsia" w:asciiTheme="minorEastAsia" w:hAnsiTheme="minorEastAsia" w:eastAsiaTheme="minorEastAsia" w:cstheme="minorEastAsia"/>
          <w:sz w:val="24"/>
        </w:rPr>
        <w:t>将被认定为</w:t>
      </w:r>
      <w:r>
        <w:rPr>
          <w:rFonts w:hint="eastAsia" w:asciiTheme="minorEastAsia" w:hAnsiTheme="minorEastAsia" w:eastAsiaTheme="minorEastAsia" w:cstheme="minorEastAsia"/>
          <w:b/>
          <w:bCs/>
          <w:sz w:val="24"/>
          <w:lang w:eastAsia="zh-CN"/>
        </w:rPr>
        <w:t>响应</w:t>
      </w:r>
      <w:r>
        <w:rPr>
          <w:rFonts w:hint="eastAsia" w:asciiTheme="minorEastAsia" w:hAnsiTheme="minorEastAsia" w:eastAsiaTheme="minorEastAsia" w:cstheme="minorEastAsia"/>
          <w:b/>
          <w:bCs/>
          <w:sz w:val="24"/>
        </w:rPr>
        <w:t>无效</w:t>
      </w:r>
      <w:r>
        <w:rPr>
          <w:rFonts w:hint="eastAsia" w:asciiTheme="minorEastAsia" w:hAnsiTheme="minorEastAsia" w:eastAsiaTheme="minorEastAsia" w:cstheme="minorEastAsia"/>
          <w:sz w:val="24"/>
        </w:rPr>
        <w:t>。</w:t>
      </w:r>
    </w:p>
    <w:p w14:paraId="66A23F15">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8.3     无论磋商文件第5章项目需求中是否要求，</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所投服务均应符合国家强制性标准。</w:t>
      </w:r>
    </w:p>
    <w:p w14:paraId="17E488FE">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8.4     除磋商文件中有特殊要求外，响应文件中所使用的计量单位，应采用中华人民共和国法定计量单位。</w:t>
      </w:r>
    </w:p>
    <w:p w14:paraId="134B9725">
      <w:pPr>
        <w:pStyle w:val="4"/>
        <w:tabs>
          <w:tab w:val="left" w:pos="900"/>
        </w:tabs>
        <w:spacing w:before="0" w:after="0" w:line="400" w:lineRule="exact"/>
        <w:rPr>
          <w:rFonts w:hint="eastAsia" w:asciiTheme="minorEastAsia" w:hAnsiTheme="minorEastAsia" w:eastAsiaTheme="minorEastAsia" w:cstheme="minorEastAsia"/>
          <w:u w:val="none"/>
        </w:rPr>
      </w:pPr>
      <w:bookmarkStart w:id="66" w:name="_Toc516367022"/>
      <w:bookmarkStart w:id="67" w:name="_Ref467306195"/>
      <w:bookmarkStart w:id="68" w:name="_Ref467306676"/>
      <w:bookmarkStart w:id="69" w:name="_Toc520356152"/>
      <w:bookmarkStart w:id="70" w:name="_Toc28579_WPSOffice_Level2"/>
      <w:bookmarkStart w:id="71" w:name="_Toc31935_WPSOffice_Level2"/>
      <w:bookmarkStart w:id="72" w:name="_Toc518923071"/>
      <w:bookmarkStart w:id="73" w:name="_Toc15487"/>
      <w:r>
        <w:rPr>
          <w:rFonts w:hint="eastAsia" w:asciiTheme="minorEastAsia" w:hAnsiTheme="minorEastAsia" w:eastAsiaTheme="minorEastAsia" w:cstheme="minorEastAsia"/>
          <w:u w:val="none"/>
        </w:rPr>
        <w:t>9.</w:t>
      </w:r>
      <w:bookmarkEnd w:id="66"/>
      <w:bookmarkEnd w:id="67"/>
      <w:bookmarkEnd w:id="68"/>
      <w:r>
        <w:rPr>
          <w:rFonts w:hint="eastAsia" w:asciiTheme="minorEastAsia" w:hAnsiTheme="minorEastAsia" w:eastAsiaTheme="minorEastAsia" w:cstheme="minorEastAsia"/>
          <w:u w:val="none"/>
        </w:rPr>
        <w:t>响应文件构成</w:t>
      </w:r>
      <w:bookmarkEnd w:id="69"/>
      <w:bookmarkEnd w:id="70"/>
      <w:bookmarkEnd w:id="71"/>
      <w:bookmarkEnd w:id="72"/>
      <w:bookmarkEnd w:id="73"/>
    </w:p>
    <w:p w14:paraId="6AAEF3A1">
      <w:pPr>
        <w:spacing w:line="400" w:lineRule="exact"/>
        <w:ind w:left="900" w:hanging="900" w:hangingChars="375"/>
        <w:rPr>
          <w:rFonts w:hint="eastAsia" w:asciiTheme="minorEastAsia" w:hAnsiTheme="minorEastAsia" w:eastAsiaTheme="minorEastAsia" w:cstheme="minorEastAsia"/>
          <w:sz w:val="24"/>
        </w:rPr>
      </w:pPr>
      <w:bookmarkStart w:id="74" w:name="_Toc10751_WPSOffice_Level2"/>
      <w:bookmarkStart w:id="75" w:name="_Toc2671"/>
      <w:bookmarkStart w:id="76" w:name="_Toc508185920"/>
      <w:bookmarkStart w:id="77" w:name="_Toc516367023"/>
      <w:bookmarkStart w:id="78" w:name="_Toc520356153"/>
      <w:bookmarkStart w:id="79" w:name="_Toc518923072"/>
      <w:bookmarkStart w:id="80" w:name="_Toc5768_WPSOffice_Level2"/>
      <w:bookmarkStart w:id="81" w:name="_Toc520356155"/>
      <w:r>
        <w:rPr>
          <w:rFonts w:hint="eastAsia" w:asciiTheme="minorEastAsia" w:hAnsiTheme="minorEastAsia" w:eastAsiaTheme="minorEastAsia" w:cstheme="minorEastAsia"/>
          <w:sz w:val="24"/>
        </w:rPr>
        <w:t xml:space="preserve">9.1    为方便评审及进行资格审查，供应商应完整地按磋商文件提供的响应文 件格式及要求编写响应文件，供应商须在响应文件递交截止时间前完成 在系统上递交电子响应文件。供应商的电子响应文件是经过 CA 证书加 密后上传提交的，任何单位或个人均无法在响应文件递交截止时间(即 开启时间)之前查看或篡改，不存在泄密风险。（严格按照政采云电子 </w:t>
      </w:r>
      <w:r>
        <w:rPr>
          <w:rFonts w:hint="eastAsia" w:asciiTheme="minorEastAsia" w:hAnsiTheme="minorEastAsia" w:eastAsiaTheme="minorEastAsia" w:cstheme="minorEastAsia"/>
          <w:sz w:val="24"/>
          <w:lang w:eastAsia="zh-CN"/>
        </w:rPr>
        <w:t>响应</w:t>
      </w:r>
      <w:r>
        <w:rPr>
          <w:rFonts w:hint="eastAsia" w:asciiTheme="minorEastAsia" w:hAnsiTheme="minorEastAsia" w:eastAsiaTheme="minorEastAsia" w:cstheme="minorEastAsia"/>
          <w:sz w:val="24"/>
        </w:rPr>
        <w:t>流程制作并上传电子响应文件）</w:t>
      </w:r>
    </w:p>
    <w:p w14:paraId="622727C0">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9.2    供应商因自身原因导致电子响应文件无法导入电子评标系统的，该响应文 件视为无效文件。</w:t>
      </w:r>
    </w:p>
    <w:p w14:paraId="45D5B757">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9.3    电子响应文件具有法律效力,与其他形式的响应文件在内容和格式上等 同，若响应文件与磋商文件要求不一致，其内容影响成交结果时，责任 由供应商自行承担。</w:t>
      </w:r>
    </w:p>
    <w:p w14:paraId="11114D4D">
      <w:pPr>
        <w:spacing w:line="400" w:lineRule="exact"/>
        <w:ind w:left="900" w:hanging="900" w:hangingChars="375"/>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10.</w:t>
      </w:r>
      <w:r>
        <w:rPr>
          <w:rFonts w:hint="eastAsia" w:asciiTheme="minorEastAsia" w:hAnsiTheme="minorEastAsia" w:eastAsiaTheme="minorEastAsia" w:cstheme="minorEastAsia"/>
          <w:b/>
          <w:bCs/>
          <w:sz w:val="24"/>
        </w:rPr>
        <w:tab/>
      </w:r>
      <w:bookmarkEnd w:id="74"/>
      <w:bookmarkEnd w:id="75"/>
      <w:bookmarkEnd w:id="76"/>
      <w:bookmarkEnd w:id="77"/>
      <w:bookmarkEnd w:id="78"/>
      <w:bookmarkEnd w:id="79"/>
      <w:bookmarkEnd w:id="80"/>
      <w:r>
        <w:rPr>
          <w:rFonts w:hint="eastAsia" w:asciiTheme="minorEastAsia" w:hAnsiTheme="minorEastAsia" w:eastAsiaTheme="minorEastAsia" w:cstheme="minorEastAsia"/>
          <w:b/>
          <w:bCs/>
          <w:sz w:val="24"/>
        </w:rPr>
        <w:t>证明投标标的的合格性和符合</w:t>
      </w:r>
      <w:r>
        <w:rPr>
          <w:rFonts w:hint="eastAsia" w:asciiTheme="minorEastAsia" w:hAnsiTheme="minorEastAsia" w:eastAsiaTheme="minorEastAsia" w:cstheme="minorEastAsia"/>
          <w:b/>
          <w:bCs/>
          <w:sz w:val="24"/>
          <w:lang w:val="en-US" w:eastAsia="zh-CN"/>
        </w:rPr>
        <w:t>磋商</w:t>
      </w:r>
      <w:r>
        <w:rPr>
          <w:rFonts w:hint="eastAsia" w:asciiTheme="minorEastAsia" w:hAnsiTheme="minorEastAsia" w:eastAsiaTheme="minorEastAsia" w:cstheme="minorEastAsia"/>
          <w:b/>
          <w:bCs/>
          <w:sz w:val="24"/>
        </w:rPr>
        <w:t>文件规定的技术文件</w:t>
      </w:r>
    </w:p>
    <w:p w14:paraId="34FCFBFB">
      <w:pPr>
        <w:pStyle w:val="4"/>
        <w:spacing w:before="0" w:after="0" w:line="400" w:lineRule="exact"/>
        <w:ind w:left="960" w:hanging="960" w:hangingChars="400"/>
        <w:rPr>
          <w:rFonts w:hint="eastAsia" w:asciiTheme="minorEastAsia" w:hAnsiTheme="minorEastAsia" w:eastAsiaTheme="minorEastAsia" w:cstheme="minorEastAsia"/>
          <w:b w:val="0"/>
          <w:bCs/>
          <w:u w:val="none"/>
        </w:rPr>
      </w:pPr>
      <w:bookmarkStart w:id="82" w:name="_Toc8529"/>
      <w:bookmarkStart w:id="83" w:name="_Toc518923073"/>
      <w:bookmarkStart w:id="84" w:name="_Toc15335_WPSOffice_Level2"/>
      <w:bookmarkStart w:id="85" w:name="_Toc32368_WPSOffice_Level2"/>
      <w:r>
        <w:rPr>
          <w:rFonts w:hint="eastAsia" w:asciiTheme="minorEastAsia" w:hAnsiTheme="minorEastAsia" w:eastAsiaTheme="minorEastAsia" w:cstheme="minorEastAsia"/>
          <w:b w:val="0"/>
          <w:bCs/>
          <w:u w:val="none"/>
        </w:rPr>
        <w:t>10.1   供应商应提交证明文件，证明其磋商内容符合磋商文件规定。该证明文件是磋商文件的一部分。</w:t>
      </w:r>
    </w:p>
    <w:p w14:paraId="3D0CC7A5">
      <w:pPr>
        <w:pStyle w:val="4"/>
        <w:spacing w:before="0" w:after="0" w:line="400" w:lineRule="exact"/>
        <w:rPr>
          <w:rFonts w:hint="eastAsia" w:asciiTheme="minorEastAsia" w:hAnsiTheme="minorEastAsia" w:eastAsiaTheme="minorEastAsia" w:cstheme="minorEastAsia"/>
          <w:b w:val="0"/>
          <w:bCs/>
          <w:u w:val="none"/>
        </w:rPr>
      </w:pPr>
      <w:r>
        <w:rPr>
          <w:rFonts w:hint="eastAsia" w:asciiTheme="minorEastAsia" w:hAnsiTheme="minorEastAsia" w:eastAsiaTheme="minorEastAsia" w:cstheme="minorEastAsia"/>
          <w:b w:val="0"/>
          <w:bCs/>
          <w:u w:val="none"/>
        </w:rPr>
        <w:t>10.2   上款所述的证明文件，可以是文字资料、图纸和数据。</w:t>
      </w:r>
    </w:p>
    <w:p w14:paraId="7E0D98FB">
      <w:pPr>
        <w:pStyle w:val="4"/>
        <w:spacing w:before="0" w:after="0" w:line="400" w:lineRule="exact"/>
        <w:rPr>
          <w:rFonts w:hint="eastAsia" w:asciiTheme="minorEastAsia" w:hAnsiTheme="minorEastAsia" w:eastAsiaTheme="minorEastAsia" w:cstheme="minorEastAsia"/>
          <w:b w:val="0"/>
          <w:bCs/>
          <w:u w:val="none"/>
        </w:rPr>
      </w:pPr>
      <w:r>
        <w:rPr>
          <w:rFonts w:hint="eastAsia" w:asciiTheme="minorEastAsia" w:hAnsiTheme="minorEastAsia" w:eastAsiaTheme="minorEastAsia" w:cstheme="minorEastAsia"/>
          <w:b w:val="0"/>
          <w:bCs/>
          <w:u w:val="none"/>
        </w:rPr>
        <w:t>10.2.1 服务需求的详细说明；</w:t>
      </w:r>
    </w:p>
    <w:p w14:paraId="7D937B2C">
      <w:pPr>
        <w:pStyle w:val="4"/>
        <w:spacing w:before="0" w:after="0" w:line="400" w:lineRule="exact"/>
        <w:ind w:left="960" w:hanging="960" w:hangingChars="400"/>
        <w:rPr>
          <w:rFonts w:hint="eastAsia" w:asciiTheme="minorEastAsia" w:hAnsiTheme="minorEastAsia" w:eastAsiaTheme="minorEastAsia" w:cstheme="minorEastAsia"/>
          <w:b w:val="0"/>
          <w:bCs/>
          <w:u w:val="none"/>
        </w:rPr>
      </w:pPr>
      <w:r>
        <w:rPr>
          <w:rFonts w:hint="eastAsia" w:asciiTheme="minorEastAsia" w:hAnsiTheme="minorEastAsia" w:eastAsiaTheme="minorEastAsia" w:cstheme="minorEastAsia"/>
          <w:b w:val="0"/>
          <w:bCs/>
          <w:u w:val="none"/>
        </w:rPr>
        <w:t>10.2.2 服务从买方开始使用至磋商文件规定的保质期内正常、连续地使用所必须的备件和专用工具清单，包括备件和专用工具的现行价格；</w:t>
      </w:r>
    </w:p>
    <w:p w14:paraId="29AF0383">
      <w:pPr>
        <w:pStyle w:val="4"/>
        <w:spacing w:before="0" w:after="0" w:line="400" w:lineRule="exact"/>
        <w:ind w:left="960" w:hanging="960" w:hangingChars="400"/>
        <w:rPr>
          <w:rFonts w:hint="eastAsia" w:asciiTheme="minorEastAsia" w:hAnsiTheme="minorEastAsia" w:eastAsiaTheme="minorEastAsia" w:cstheme="minorEastAsia"/>
          <w:b w:val="0"/>
          <w:bCs/>
          <w:u w:val="none"/>
        </w:rPr>
      </w:pPr>
      <w:r>
        <w:rPr>
          <w:rFonts w:hint="eastAsia" w:asciiTheme="minorEastAsia" w:hAnsiTheme="minorEastAsia" w:eastAsiaTheme="minorEastAsia" w:cstheme="minorEastAsia"/>
          <w:b w:val="0"/>
          <w:bCs/>
          <w:u w:val="none"/>
        </w:rPr>
        <w:t>10.2.3 对照磋商文件服务需求，逐条说明所提供服务已对磋商文件的技术规格做出了实质性的响应，或申明与服务需求条文的偏差和例外。</w:t>
      </w:r>
    </w:p>
    <w:p w14:paraId="33FB3DE4">
      <w:pPr>
        <w:pStyle w:val="4"/>
        <w:spacing w:before="0" w:after="0" w:line="400" w:lineRule="exact"/>
        <w:rPr>
          <w:rFonts w:hint="eastAsia" w:asciiTheme="minorEastAsia" w:hAnsiTheme="minorEastAsia" w:eastAsiaTheme="minorEastAsia" w:cstheme="minorEastAsia"/>
          <w:b w:val="0"/>
          <w:bCs/>
          <w:u w:val="none"/>
        </w:rPr>
      </w:pPr>
      <w:r>
        <w:rPr>
          <w:rFonts w:hint="eastAsia" w:asciiTheme="minorEastAsia" w:hAnsiTheme="minorEastAsia" w:eastAsiaTheme="minorEastAsia" w:cstheme="minorEastAsia"/>
          <w:b w:val="0"/>
          <w:bCs/>
          <w:u w:val="none"/>
        </w:rPr>
        <w:t>10.3   供应商应注意采购人在采购需求中提出的要求。</w:t>
      </w:r>
    </w:p>
    <w:p w14:paraId="28CE54FB">
      <w:pPr>
        <w:pStyle w:val="4"/>
        <w:spacing w:before="0" w:after="0" w:line="400" w:lineRule="exact"/>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u w:val="none"/>
        </w:rPr>
        <w:t>11.</w:t>
      </w:r>
      <w:bookmarkEnd w:id="81"/>
      <w:bookmarkEnd w:id="82"/>
      <w:bookmarkEnd w:id="83"/>
      <w:r>
        <w:rPr>
          <w:rFonts w:hint="eastAsia" w:asciiTheme="minorEastAsia" w:hAnsiTheme="minorEastAsia" w:eastAsiaTheme="minorEastAsia" w:cstheme="minorEastAsia"/>
          <w:u w:val="none"/>
        </w:rPr>
        <w:t>磋商报价</w:t>
      </w:r>
      <w:bookmarkEnd w:id="84"/>
      <w:bookmarkEnd w:id="85"/>
    </w:p>
    <w:p w14:paraId="2537E08A">
      <w:pPr>
        <w:pStyle w:val="4"/>
        <w:spacing w:before="0" w:after="0" w:line="400" w:lineRule="exact"/>
        <w:rPr>
          <w:rFonts w:hint="eastAsia" w:asciiTheme="minorEastAsia" w:hAnsiTheme="minorEastAsia" w:eastAsiaTheme="minorEastAsia" w:cstheme="minorEastAsia"/>
          <w:b w:val="0"/>
          <w:bCs/>
          <w:u w:val="none"/>
        </w:rPr>
      </w:pPr>
      <w:bookmarkStart w:id="86" w:name="_Toc518923074"/>
      <w:bookmarkStart w:id="87" w:name="_Ref467306513"/>
      <w:bookmarkStart w:id="88" w:name="_Toc16199"/>
      <w:bookmarkStart w:id="89" w:name="_Toc520356156"/>
      <w:bookmarkStart w:id="90" w:name="_Toc25748_WPSOffice_Level2"/>
      <w:bookmarkStart w:id="91" w:name="_Toc24125_WPSOffice_Level2"/>
      <w:r>
        <w:rPr>
          <w:rFonts w:hint="eastAsia" w:asciiTheme="minorEastAsia" w:hAnsiTheme="minorEastAsia" w:eastAsiaTheme="minorEastAsia" w:cstheme="minorEastAsia"/>
          <w:b w:val="0"/>
          <w:bCs/>
          <w:u w:val="none"/>
        </w:rPr>
        <w:t>11.1   所有响应文件均以人民币报价。供应商的磋商报价应遵守《中华人民共</w:t>
      </w:r>
    </w:p>
    <w:p w14:paraId="4EA32589">
      <w:pPr>
        <w:pStyle w:val="4"/>
        <w:spacing w:before="0" w:after="0" w:line="400" w:lineRule="exact"/>
        <w:ind w:left="957" w:leftChars="456" w:firstLine="0" w:firstLineChars="0"/>
        <w:rPr>
          <w:rFonts w:hint="eastAsia" w:asciiTheme="minorEastAsia" w:hAnsiTheme="minorEastAsia" w:eastAsiaTheme="minorEastAsia" w:cstheme="minorEastAsia"/>
          <w:b w:val="0"/>
          <w:bCs/>
          <w:u w:val="none"/>
        </w:rPr>
      </w:pPr>
      <w:r>
        <w:rPr>
          <w:rFonts w:hint="eastAsia" w:asciiTheme="minorEastAsia" w:hAnsiTheme="minorEastAsia" w:eastAsiaTheme="minorEastAsia" w:cstheme="minorEastAsia"/>
          <w:b w:val="0"/>
          <w:bCs/>
          <w:u w:val="none"/>
        </w:rPr>
        <w:t>和国价格法》。同时，根据《中华人民共和国政府采购法》第二条的规 定，为保证公平竞争，如有主体部分的赠与行为，其磋商将被认定为磋 商无效。</w:t>
      </w:r>
    </w:p>
    <w:p w14:paraId="67B4E1F3">
      <w:pPr>
        <w:pStyle w:val="4"/>
        <w:spacing w:before="0" w:after="0" w:line="400" w:lineRule="exact"/>
        <w:rPr>
          <w:rFonts w:hint="eastAsia" w:asciiTheme="minorEastAsia" w:hAnsiTheme="minorEastAsia" w:eastAsiaTheme="minorEastAsia" w:cstheme="minorEastAsia"/>
          <w:b w:val="0"/>
          <w:bCs/>
          <w:u w:val="none"/>
        </w:rPr>
      </w:pPr>
      <w:r>
        <w:rPr>
          <w:rFonts w:hint="eastAsia" w:asciiTheme="minorEastAsia" w:hAnsiTheme="minorEastAsia" w:eastAsiaTheme="minorEastAsia" w:cstheme="minorEastAsia"/>
          <w:b w:val="0"/>
          <w:bCs/>
          <w:u w:val="none"/>
        </w:rPr>
        <w:t>11.2   供应商应在分项报价表上标明相关工程的单价（如适用）和总价，并由</w:t>
      </w:r>
    </w:p>
    <w:p w14:paraId="005F65D0">
      <w:pPr>
        <w:pStyle w:val="4"/>
        <w:spacing w:before="0" w:after="0" w:line="400" w:lineRule="exact"/>
        <w:ind w:firstLine="960" w:firstLineChars="400"/>
        <w:rPr>
          <w:rFonts w:hint="eastAsia" w:asciiTheme="minorEastAsia" w:hAnsiTheme="minorEastAsia" w:eastAsiaTheme="minorEastAsia" w:cstheme="minorEastAsia"/>
          <w:b w:val="0"/>
          <w:bCs/>
          <w:u w:val="none"/>
        </w:rPr>
      </w:pPr>
      <w:r>
        <w:rPr>
          <w:rFonts w:hint="eastAsia" w:asciiTheme="minorEastAsia" w:hAnsiTheme="minorEastAsia" w:eastAsiaTheme="minorEastAsia" w:cstheme="minorEastAsia"/>
          <w:b w:val="0"/>
          <w:bCs/>
          <w:u w:val="none"/>
        </w:rPr>
        <w:t>法定代表人或其授权代表签署。</w:t>
      </w:r>
    </w:p>
    <w:p w14:paraId="21FA45B9">
      <w:pPr>
        <w:pStyle w:val="4"/>
        <w:spacing w:before="0" w:after="0" w:line="400" w:lineRule="exact"/>
        <w:rPr>
          <w:rFonts w:hint="eastAsia" w:asciiTheme="minorEastAsia" w:hAnsiTheme="minorEastAsia" w:eastAsiaTheme="minorEastAsia" w:cstheme="minorEastAsia"/>
          <w:b w:val="0"/>
          <w:bCs/>
          <w:u w:val="none"/>
        </w:rPr>
      </w:pPr>
      <w:r>
        <w:rPr>
          <w:rFonts w:hint="eastAsia" w:asciiTheme="minorEastAsia" w:hAnsiTheme="minorEastAsia" w:eastAsiaTheme="minorEastAsia" w:cstheme="minorEastAsia"/>
          <w:b w:val="0"/>
          <w:bCs/>
          <w:u w:val="none"/>
        </w:rPr>
        <w:t>11.3   供应商所报的各分项单价在合同履行过程中是固定不变的，不得以任何</w:t>
      </w:r>
    </w:p>
    <w:p w14:paraId="4C8EBD23">
      <w:pPr>
        <w:pStyle w:val="4"/>
        <w:spacing w:before="0" w:after="0" w:line="400" w:lineRule="exact"/>
        <w:ind w:firstLine="960" w:firstLineChars="400"/>
        <w:rPr>
          <w:rFonts w:hint="eastAsia" w:asciiTheme="minorEastAsia" w:hAnsiTheme="minorEastAsia" w:eastAsiaTheme="minorEastAsia" w:cstheme="minorEastAsia"/>
          <w:b w:val="0"/>
          <w:bCs/>
          <w:u w:val="none"/>
        </w:rPr>
      </w:pPr>
      <w:r>
        <w:rPr>
          <w:rFonts w:hint="eastAsia" w:asciiTheme="minorEastAsia" w:hAnsiTheme="minorEastAsia" w:eastAsiaTheme="minorEastAsia" w:cstheme="minorEastAsia"/>
          <w:b w:val="0"/>
          <w:bCs/>
          <w:u w:val="none"/>
        </w:rPr>
        <w:t>理由予以变更。任何包含价格调整要求的磋商，其磋商将被认定为磋商 无效。</w:t>
      </w:r>
    </w:p>
    <w:p w14:paraId="511CB939">
      <w:pPr>
        <w:pStyle w:val="4"/>
        <w:spacing w:before="0" w:after="0" w:line="400" w:lineRule="exact"/>
        <w:rPr>
          <w:rFonts w:hint="eastAsia" w:asciiTheme="minorEastAsia" w:hAnsiTheme="minorEastAsia" w:eastAsiaTheme="minorEastAsia" w:cstheme="minorEastAsia"/>
          <w:b w:val="0"/>
          <w:bCs/>
          <w:u w:val="none"/>
        </w:rPr>
      </w:pPr>
      <w:r>
        <w:rPr>
          <w:rFonts w:hint="eastAsia" w:asciiTheme="minorEastAsia" w:hAnsiTheme="minorEastAsia" w:eastAsiaTheme="minorEastAsia" w:cstheme="minorEastAsia"/>
          <w:b w:val="0"/>
          <w:bCs/>
          <w:u w:val="none"/>
        </w:rPr>
        <w:t>11.4    竞争性磋商采用两次报价的方式。</w:t>
      </w:r>
    </w:p>
    <w:p w14:paraId="13320C5F">
      <w:pPr>
        <w:pStyle w:val="4"/>
        <w:spacing w:before="0" w:after="0" w:line="400" w:lineRule="exact"/>
        <w:ind w:left="957" w:leftChars="456" w:firstLine="0" w:firstLineChars="0"/>
        <w:rPr>
          <w:rFonts w:hint="eastAsia" w:asciiTheme="minorEastAsia" w:hAnsiTheme="minorEastAsia" w:eastAsiaTheme="minorEastAsia" w:cstheme="minorEastAsia"/>
          <w:b/>
          <w:bCs w:val="0"/>
          <w:u w:val="single"/>
        </w:rPr>
      </w:pPr>
      <w:r>
        <w:rPr>
          <w:rFonts w:hint="eastAsia" w:asciiTheme="minorEastAsia" w:hAnsiTheme="minorEastAsia" w:eastAsiaTheme="minorEastAsia" w:cstheme="minorEastAsia"/>
          <w:b w:val="0"/>
          <w:bCs/>
          <w:u w:val="single"/>
        </w:rPr>
        <w:t>二次报价为最终报价，磋商小组所有成员集中与单一供应商分别或对本项目存在的共性问题共同进行磋商，并给予所有参加磋商的供应商平等的磋商机会，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工程质量和合同履约能力均能满足采购文件实质性响应要求的供应商中，按照综合评分由低到高的顺序提出成交候选人，并编写评审报告，将结果通知所有参加磋商的未成交的供应商；</w:t>
      </w:r>
      <w:r>
        <w:rPr>
          <w:rFonts w:hint="eastAsia" w:asciiTheme="minorEastAsia" w:hAnsiTheme="minorEastAsia" w:eastAsiaTheme="minorEastAsia" w:cstheme="minorEastAsia"/>
          <w:b/>
          <w:bCs w:val="0"/>
          <w:u w:val="single"/>
        </w:rPr>
        <w:t>(注:若投标人最后轮投标总报价相对于第一次投标总报价有所变化,请在提交最后投标总报价的同时在政采云系统上提交与最后投标总报价相对应的已标价工程量清单(PDF格式、按要求盖章和(或)字(章)。)</w:t>
      </w:r>
    </w:p>
    <w:p w14:paraId="10B1E5D6">
      <w:pPr>
        <w:pStyle w:val="4"/>
        <w:spacing w:before="0" w:after="0" w:line="400" w:lineRule="exact"/>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u w:val="none"/>
        </w:rPr>
        <w:t>12.</w:t>
      </w:r>
      <w:bookmarkEnd w:id="86"/>
      <w:bookmarkEnd w:id="87"/>
      <w:bookmarkEnd w:id="88"/>
      <w:bookmarkEnd w:id="89"/>
      <w:r>
        <w:rPr>
          <w:rFonts w:hint="eastAsia" w:asciiTheme="minorEastAsia" w:hAnsiTheme="minorEastAsia" w:eastAsiaTheme="minorEastAsia" w:cstheme="minorEastAsia"/>
          <w:u w:val="none"/>
        </w:rPr>
        <w:t>磋商保证金</w:t>
      </w:r>
      <w:bookmarkEnd w:id="90"/>
      <w:bookmarkEnd w:id="91"/>
    </w:p>
    <w:p w14:paraId="381D7939">
      <w:pPr>
        <w:spacing w:line="400" w:lineRule="exact"/>
        <w:ind w:left="900" w:hanging="900" w:hangingChars="375"/>
        <w:rPr>
          <w:rFonts w:hint="eastAsia" w:asciiTheme="minorEastAsia" w:hAnsiTheme="minorEastAsia" w:eastAsiaTheme="minorEastAsia" w:cstheme="minorEastAsia"/>
          <w:sz w:val="24"/>
        </w:rPr>
      </w:pPr>
      <w:bookmarkStart w:id="92" w:name="_Ref467306302"/>
      <w:r>
        <w:rPr>
          <w:rFonts w:hint="eastAsia" w:asciiTheme="minorEastAsia" w:hAnsiTheme="minorEastAsia" w:eastAsiaTheme="minorEastAsia" w:cstheme="minorEastAsia"/>
          <w:sz w:val="24"/>
        </w:rPr>
        <w:t>12.1</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应提交</w:t>
      </w:r>
      <w:r>
        <w:rPr>
          <w:rFonts w:hint="eastAsia" w:asciiTheme="minorEastAsia" w:hAnsiTheme="minorEastAsia" w:eastAsiaTheme="minorEastAsia" w:cstheme="minorEastAsia"/>
          <w:sz w:val="24"/>
          <w:u w:val="single"/>
          <w:lang w:eastAsia="zh-CN"/>
        </w:rPr>
        <w:t>供应商</w:t>
      </w:r>
      <w:r>
        <w:rPr>
          <w:rFonts w:hint="eastAsia" w:asciiTheme="minorEastAsia" w:hAnsiTheme="minorEastAsia" w:eastAsiaTheme="minorEastAsia" w:cstheme="minorEastAsia"/>
          <w:sz w:val="24"/>
          <w:u w:val="single"/>
        </w:rPr>
        <w:t>须知资料表</w:t>
      </w:r>
      <w:r>
        <w:rPr>
          <w:rFonts w:hint="eastAsia" w:asciiTheme="minorEastAsia" w:hAnsiTheme="minorEastAsia" w:eastAsiaTheme="minorEastAsia" w:cstheme="minorEastAsia"/>
          <w:sz w:val="24"/>
        </w:rPr>
        <w:t>中规定的</w:t>
      </w:r>
      <w:bookmarkEnd w:id="92"/>
      <w:r>
        <w:rPr>
          <w:rFonts w:hint="eastAsia" w:asciiTheme="minorEastAsia" w:hAnsiTheme="minorEastAsia" w:eastAsiaTheme="minorEastAsia" w:cstheme="minorEastAsia"/>
          <w:sz w:val="24"/>
        </w:rPr>
        <w:t>磋商保证金，并作为其</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的一部分。</w:t>
      </w:r>
    </w:p>
    <w:p w14:paraId="5C7009E5">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12.2</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存在下列情形的，磋商保证金不予退还：</w:t>
      </w:r>
    </w:p>
    <w:p w14:paraId="56AEF238">
      <w:pPr>
        <w:spacing w:line="400" w:lineRule="exact"/>
        <w:ind w:left="900" w:hanging="900" w:hangingChars="375"/>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bCs/>
          <w:sz w:val="24"/>
        </w:rPr>
        <w:t>（1）在磋商有效期内，撤销</w:t>
      </w:r>
      <w:r>
        <w:rPr>
          <w:rFonts w:hint="eastAsia" w:asciiTheme="minorEastAsia" w:hAnsiTheme="minorEastAsia" w:eastAsiaTheme="minorEastAsia" w:cstheme="minorEastAsia"/>
          <w:b/>
          <w:bCs/>
          <w:sz w:val="24"/>
          <w:lang w:eastAsia="zh-CN"/>
        </w:rPr>
        <w:t>响应文件</w:t>
      </w:r>
      <w:r>
        <w:rPr>
          <w:rFonts w:hint="eastAsia" w:asciiTheme="minorEastAsia" w:hAnsiTheme="minorEastAsia" w:eastAsiaTheme="minorEastAsia" w:cstheme="minorEastAsia"/>
          <w:b/>
          <w:bCs/>
          <w:sz w:val="24"/>
        </w:rPr>
        <w:t>的；</w:t>
      </w:r>
    </w:p>
    <w:p w14:paraId="39498740">
      <w:pPr>
        <w:pStyle w:val="16"/>
        <w:tabs>
          <w:tab w:val="left" w:pos="2240"/>
        </w:tabs>
        <w:spacing w:line="400" w:lineRule="exact"/>
        <w:ind w:left="1079" w:leftChars="371" w:hanging="300" w:hangingChars="125"/>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（2）成交后不按本须知第30条的规定与采购人签订合同的；</w:t>
      </w:r>
    </w:p>
    <w:p w14:paraId="667CC563">
      <w:pPr>
        <w:pStyle w:val="16"/>
        <w:tabs>
          <w:tab w:val="left" w:pos="2240"/>
        </w:tabs>
        <w:spacing w:line="400" w:lineRule="exact"/>
        <w:ind w:left="1079" w:leftChars="371" w:hanging="300" w:hangingChars="125"/>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（3）成交后不按本须知第31条的规定提交履约保证金的；</w:t>
      </w:r>
    </w:p>
    <w:p w14:paraId="6A118BD6">
      <w:pPr>
        <w:pStyle w:val="16"/>
        <w:tabs>
          <w:tab w:val="left" w:pos="2240"/>
        </w:tabs>
        <w:spacing w:line="400" w:lineRule="exact"/>
        <w:ind w:left="1079" w:leftChars="371" w:hanging="300" w:hangingChars="125"/>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（4）成交后不按本须知第32条的规定缴纳成交服务费的；</w:t>
      </w:r>
    </w:p>
    <w:p w14:paraId="1E43EC8E">
      <w:pPr>
        <w:pStyle w:val="16"/>
        <w:tabs>
          <w:tab w:val="left" w:pos="2240"/>
        </w:tabs>
        <w:spacing w:line="400" w:lineRule="exact"/>
        <w:ind w:left="1079" w:leftChars="371" w:hanging="300" w:hangingChars="12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（5）存在其他违法违规行为的。</w:t>
      </w:r>
    </w:p>
    <w:p w14:paraId="717857F9">
      <w:pPr>
        <w:spacing w:line="400" w:lineRule="exact"/>
        <w:ind w:left="900" w:hanging="900" w:hangingChars="375"/>
        <w:rPr>
          <w:rFonts w:hint="eastAsia" w:asciiTheme="minorEastAsia" w:hAnsiTheme="minorEastAsia" w:eastAsiaTheme="minorEastAsia" w:cstheme="minorEastAsia"/>
          <w:sz w:val="24"/>
        </w:rPr>
      </w:pPr>
      <w:bookmarkStart w:id="93" w:name="_Ref467306336"/>
      <w:r>
        <w:rPr>
          <w:rFonts w:hint="eastAsia" w:asciiTheme="minorEastAsia" w:hAnsiTheme="minorEastAsia" w:eastAsiaTheme="minorEastAsia" w:cstheme="minorEastAsia"/>
          <w:sz w:val="24"/>
        </w:rPr>
        <w:t>12.3</w:t>
      </w:r>
      <w:r>
        <w:rPr>
          <w:rFonts w:hint="eastAsia" w:asciiTheme="minorEastAsia" w:hAnsiTheme="minorEastAsia" w:eastAsiaTheme="minorEastAsia" w:cstheme="minorEastAsia"/>
          <w:sz w:val="24"/>
        </w:rPr>
        <w:tab/>
      </w:r>
      <w:bookmarkEnd w:id="93"/>
      <w:r>
        <w:rPr>
          <w:rFonts w:hint="eastAsia" w:asciiTheme="minorEastAsia" w:hAnsiTheme="minorEastAsia" w:eastAsiaTheme="minorEastAsia" w:cstheme="minorEastAsia"/>
          <w:sz w:val="24"/>
        </w:rPr>
        <w:t>政府采购信用担保试点范围内的项目，接受符合财政部门规定的政府采购</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担保函原件。</w:t>
      </w:r>
    </w:p>
    <w:p w14:paraId="4C698968">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12.4</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未按本须知第12.1和12.3条规定提交磋商保证金的，其磋商资格将被认定为</w:t>
      </w:r>
      <w:r>
        <w:rPr>
          <w:rFonts w:hint="eastAsia" w:asciiTheme="minorEastAsia" w:hAnsiTheme="minorEastAsia" w:eastAsiaTheme="minorEastAsia" w:cstheme="minorEastAsia"/>
          <w:b/>
          <w:sz w:val="24"/>
        </w:rPr>
        <w:t>无效</w:t>
      </w:r>
      <w:r>
        <w:rPr>
          <w:rFonts w:hint="eastAsia" w:asciiTheme="minorEastAsia" w:hAnsiTheme="minorEastAsia" w:eastAsiaTheme="minorEastAsia" w:cstheme="minorEastAsia"/>
          <w:sz w:val="24"/>
        </w:rPr>
        <w:t>。</w:t>
      </w:r>
    </w:p>
    <w:p w14:paraId="62AE64B0">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12.4.1  采用电汇形式的，一般可以实时入账；</w:t>
      </w:r>
    </w:p>
    <w:p w14:paraId="52DCD6DF">
      <w:pPr>
        <w:spacing w:line="400" w:lineRule="exact"/>
        <w:ind w:left="960" w:hanging="960" w:hanging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12.4.2  采用支票形式的，</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则应充分考虑支票入账时间，以确保磋商保证金能按时进入指定账户。根据银行信息交换和付款时间，支票从递交至实际入账一般需要4-5个工作日。如</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未及时提交支票或支票不符合银行委托收款要求（如污损、折叠、胶装等），导致磋商保证金不能按时进入指定账户的，将按照磋商文件的第22.2条相关规定处理。</w:t>
      </w:r>
    </w:p>
    <w:p w14:paraId="3AA00489">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12.5    联合体</w:t>
      </w:r>
      <w:r>
        <w:rPr>
          <w:rFonts w:hint="eastAsia" w:asciiTheme="minorEastAsia" w:hAnsiTheme="minorEastAsia" w:eastAsiaTheme="minorEastAsia" w:cstheme="minorEastAsia"/>
          <w:sz w:val="24"/>
          <w:lang w:eastAsia="zh-CN"/>
        </w:rPr>
        <w:t>递交响应文件</w:t>
      </w:r>
      <w:r>
        <w:rPr>
          <w:rFonts w:hint="eastAsia" w:asciiTheme="minorEastAsia" w:hAnsiTheme="minorEastAsia" w:eastAsiaTheme="minorEastAsia" w:cstheme="minorEastAsia"/>
          <w:sz w:val="24"/>
        </w:rPr>
        <w:t>的，可以由联合体中的一方或者共同提交磋商保证金。以一方名义提交磋商保证金的，对联合体各方均具有约束力。</w:t>
      </w:r>
    </w:p>
    <w:p w14:paraId="339866E5">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12.6</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 xml:space="preserve"> 磋商保证金的退还</w:t>
      </w:r>
    </w:p>
    <w:p w14:paraId="53BD91AB">
      <w:pPr>
        <w:spacing w:line="400" w:lineRule="exact"/>
        <w:ind w:left="1020" w:hanging="1020" w:hangingChars="42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12.6.1  成交人应在与采购人签订合同之日起5个工作日内，及时联系保证金收受机构办理磋商保证金无息退还手续。</w:t>
      </w:r>
    </w:p>
    <w:p w14:paraId="0FE871A1">
      <w:pPr>
        <w:spacing w:line="400" w:lineRule="exact"/>
        <w:ind w:left="1020" w:hanging="1020" w:hangingChars="42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12.6.2  未成交</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的磋商保证金将在成交通知书发出之日暨成交结果公告公布之日起5个工作日内无息退还。</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及时联系保证金收受机构办理退还磋商保证金手续。</w:t>
      </w:r>
      <w:bookmarkStart w:id="94" w:name="_Toc518923075"/>
    </w:p>
    <w:p w14:paraId="091D6A41">
      <w:pPr>
        <w:spacing w:line="400" w:lineRule="exact"/>
        <w:ind w:left="893" w:hanging="892" w:hangingChars="425"/>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 xml:space="preserve">12.6.3  </w:t>
      </w:r>
      <w:r>
        <w:rPr>
          <w:rFonts w:hint="eastAsia" w:asciiTheme="minorEastAsia" w:hAnsiTheme="minorEastAsia" w:eastAsiaTheme="minorEastAsia" w:cstheme="minorEastAsia"/>
          <w:sz w:val="24"/>
        </w:rPr>
        <w:t>政府采购</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担保函不予退回。</w:t>
      </w:r>
      <w:bookmarkEnd w:id="94"/>
    </w:p>
    <w:p w14:paraId="32488C93">
      <w:pPr>
        <w:spacing w:line="400" w:lineRule="exact"/>
        <w:ind w:left="960" w:hanging="960" w:hanging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12.7   因</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自身原因导致无法及时退还的，采购人或采购代理机构将不承担相应责任。</w:t>
      </w:r>
    </w:p>
    <w:p w14:paraId="59F77EE7">
      <w:pPr>
        <w:pStyle w:val="4"/>
        <w:spacing w:before="0" w:after="0" w:line="400" w:lineRule="exact"/>
        <w:rPr>
          <w:rFonts w:hint="eastAsia" w:asciiTheme="minorEastAsia" w:hAnsiTheme="minorEastAsia" w:eastAsiaTheme="minorEastAsia" w:cstheme="minorEastAsia"/>
          <w:u w:val="none"/>
        </w:rPr>
      </w:pPr>
      <w:bookmarkStart w:id="95" w:name="_Toc20355"/>
      <w:bookmarkStart w:id="96" w:name="_Toc520356157"/>
      <w:bookmarkStart w:id="97" w:name="_Toc518923076"/>
      <w:bookmarkStart w:id="98" w:name="_Toc11106_WPSOffice_Level2"/>
      <w:bookmarkStart w:id="99" w:name="_Toc4716_WPSOffice_Level2"/>
      <w:r>
        <w:rPr>
          <w:rFonts w:hint="eastAsia" w:asciiTheme="minorEastAsia" w:hAnsiTheme="minorEastAsia" w:eastAsiaTheme="minorEastAsia" w:cstheme="minorEastAsia"/>
          <w:u w:val="none"/>
        </w:rPr>
        <w:t>13.</w:t>
      </w:r>
      <w:bookmarkEnd w:id="95"/>
      <w:bookmarkEnd w:id="96"/>
      <w:bookmarkEnd w:id="97"/>
      <w:r>
        <w:rPr>
          <w:rFonts w:hint="eastAsia" w:asciiTheme="minorEastAsia" w:hAnsiTheme="minorEastAsia" w:eastAsiaTheme="minorEastAsia" w:cstheme="minorEastAsia"/>
          <w:u w:val="none"/>
        </w:rPr>
        <w:t>磋商有效期</w:t>
      </w:r>
      <w:bookmarkEnd w:id="98"/>
      <w:bookmarkEnd w:id="99"/>
    </w:p>
    <w:p w14:paraId="0642A14F">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13.1   磋商应在供应商须知资料表 中规定时间内保持有效。磋商有效期不满足</w:t>
      </w:r>
    </w:p>
    <w:p w14:paraId="6489DC51">
      <w:pPr>
        <w:spacing w:line="400" w:lineRule="exact"/>
        <w:ind w:left="957" w:leftChars="456" w:firstLine="60" w:firstLineChars="2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要求的，其磋商将被认定为磋商无效。</w:t>
      </w:r>
    </w:p>
    <w:p w14:paraId="0F0FC3D9">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13.2   为保证有充分时间签订合同，采购人或采购代理机构可根据实际情况，</w:t>
      </w:r>
    </w:p>
    <w:p w14:paraId="3D4F1056">
      <w:pPr>
        <w:spacing w:line="400" w:lineRule="exact"/>
        <w:ind w:left="957" w:leftChars="456" w:firstLine="60" w:firstLineChars="2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在原磋商有效期截止之前，要求供应商延长磋商文件的有效期。接受该 要求的供应商将不会被要求和允许修正其磋商，且本须知中有关磋商保 证金的要求须在延长的有效期内继续有效。供应商可以拒绝延长磋商有 效期的要求，其磋商保证金将及时无息退还。上述要求和答复都应以书 面形式提交。</w:t>
      </w:r>
    </w:p>
    <w:p w14:paraId="6C61D5EE">
      <w:pPr>
        <w:pStyle w:val="4"/>
        <w:spacing w:before="0" w:after="0" w:line="400" w:lineRule="exact"/>
        <w:rPr>
          <w:rFonts w:hint="eastAsia" w:asciiTheme="minorEastAsia" w:hAnsiTheme="minorEastAsia" w:eastAsiaTheme="minorEastAsia" w:cstheme="minorEastAsia"/>
          <w:u w:val="none"/>
        </w:rPr>
      </w:pPr>
      <w:bookmarkStart w:id="100" w:name="_Toc520356158"/>
      <w:bookmarkStart w:id="101" w:name="_Toc13034_WPSOffice_Level2"/>
      <w:bookmarkStart w:id="102" w:name="_Toc27303"/>
      <w:bookmarkStart w:id="103" w:name="_Toc518923077"/>
      <w:bookmarkStart w:id="104" w:name="_Toc31308_WPSOffice_Level2"/>
      <w:r>
        <w:rPr>
          <w:rFonts w:hint="eastAsia" w:asciiTheme="minorEastAsia" w:hAnsiTheme="minorEastAsia" w:eastAsiaTheme="minorEastAsia" w:cstheme="minorEastAsia"/>
          <w:u w:val="none"/>
        </w:rPr>
        <w:t>14.响应文件的签署</w:t>
      </w:r>
      <w:bookmarkEnd w:id="100"/>
      <w:r>
        <w:rPr>
          <w:rFonts w:hint="eastAsia" w:asciiTheme="minorEastAsia" w:hAnsiTheme="minorEastAsia" w:eastAsiaTheme="minorEastAsia" w:cstheme="minorEastAsia"/>
          <w:u w:val="none"/>
        </w:rPr>
        <w:t>及规定</w:t>
      </w:r>
      <w:bookmarkEnd w:id="101"/>
      <w:bookmarkEnd w:id="102"/>
      <w:bookmarkEnd w:id="103"/>
      <w:bookmarkEnd w:id="104"/>
    </w:p>
    <w:p w14:paraId="7E2A8A9F">
      <w:pPr>
        <w:spacing w:line="400" w:lineRule="exact"/>
        <w:ind w:left="900" w:hanging="900" w:hangingChars="375"/>
        <w:rPr>
          <w:rFonts w:hint="eastAsia" w:asciiTheme="minorEastAsia" w:hAnsiTheme="minorEastAsia" w:eastAsiaTheme="minorEastAsia" w:cstheme="minorEastAsia"/>
          <w:sz w:val="24"/>
        </w:rPr>
      </w:pPr>
      <w:bookmarkStart w:id="105" w:name="_Toc22303"/>
      <w:bookmarkStart w:id="106" w:name="_Toc520356159"/>
      <w:bookmarkStart w:id="107" w:name="_Toc216582808"/>
      <w:bookmarkStart w:id="108" w:name="_Toc518923078"/>
      <w:bookmarkStart w:id="109" w:name="_Toc30674_WPSOffice_Level1"/>
      <w:bookmarkStart w:id="110" w:name="_Toc25905"/>
      <w:r>
        <w:rPr>
          <w:rFonts w:hint="eastAsia" w:asciiTheme="minorEastAsia" w:hAnsiTheme="minorEastAsia" w:eastAsiaTheme="minorEastAsia" w:cstheme="minorEastAsia"/>
          <w:sz w:val="24"/>
        </w:rPr>
        <w:t>14.1   供应商应按供应商须知资料表 中的规定，准备和递交（加密上传） 电子响应文件。</w:t>
      </w:r>
    </w:p>
    <w:p w14:paraId="77CF42D2">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highlight w:val="none"/>
        </w:rPr>
        <w:t xml:space="preserve">14.2   </w:t>
      </w:r>
      <w:r>
        <w:rPr>
          <w:rFonts w:hint="eastAsia" w:asciiTheme="minorEastAsia" w:hAnsiTheme="minorEastAsia" w:eastAsiaTheme="minorEastAsia" w:cstheme="minorEastAsia"/>
          <w:sz w:val="24"/>
          <w:highlight w:val="none"/>
          <w:lang w:val="en-US" w:eastAsia="zh-CN"/>
        </w:rPr>
        <w:t>响应性文件的正本需打印或用不褪色墨水书写，并由供应商的法定代表人或其委托代理人在响应性文件上逐页签字并加盖单位印章，已标价的工程量清单还须由造价专业人员签字并加盖执业印章。</w:t>
      </w:r>
      <w:r>
        <w:rPr>
          <w:rFonts w:hint="eastAsia" w:asciiTheme="minorEastAsia" w:hAnsiTheme="minorEastAsia" w:eastAsiaTheme="minorEastAsia" w:cstheme="minorEastAsia"/>
          <w:sz w:val="24"/>
          <w:lang w:val="en-US" w:eastAsia="zh-CN"/>
        </w:rPr>
        <w:t>委托代理人须持有书面的“法定代表人授权委托书”，并将其附在响应性文件中。如对响应性文件进行了修改，则应由供应商法定代表人或其委托代理人在每一修改处签字。响应性文件的副本可采用正本已签字盖章的复印件。</w:t>
      </w:r>
    </w:p>
    <w:p w14:paraId="04A99DCB">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14.3    响应文件因字迹潦草、表达不清或未按照磋商文件规定的格式填写、签署和盖章所引起的后果由供应商负责。</w:t>
      </w:r>
    </w:p>
    <w:p w14:paraId="26EA0596">
      <w:pPr>
        <w:pStyle w:val="3"/>
        <w:spacing w:before="0" w:line="400" w:lineRule="exact"/>
        <w:ind w:left="1079" w:leftChars="257" w:hanging="54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 w:val="24"/>
        </w:rPr>
        <w:t>四   响应文件的递交</w:t>
      </w:r>
      <w:bookmarkEnd w:id="105"/>
      <w:bookmarkEnd w:id="106"/>
      <w:bookmarkEnd w:id="107"/>
      <w:bookmarkEnd w:id="108"/>
      <w:bookmarkEnd w:id="109"/>
      <w:bookmarkEnd w:id="110"/>
    </w:p>
    <w:p w14:paraId="3B5B1F02">
      <w:pPr>
        <w:pStyle w:val="4"/>
        <w:spacing w:before="0" w:after="0" w:line="400" w:lineRule="exact"/>
        <w:rPr>
          <w:rFonts w:hint="eastAsia" w:asciiTheme="minorEastAsia" w:hAnsiTheme="minorEastAsia" w:eastAsiaTheme="minorEastAsia" w:cstheme="minorEastAsia"/>
          <w:color w:val="000000"/>
          <w:u w:val="none"/>
        </w:rPr>
      </w:pPr>
      <w:bookmarkStart w:id="111" w:name="_Toc24004_WPSOffice_Level2"/>
      <w:bookmarkStart w:id="112" w:name="_Toc13247"/>
      <w:bookmarkStart w:id="113" w:name="_Toc518923079"/>
      <w:bookmarkStart w:id="114" w:name="_Toc22654_WPSOffice_Level2"/>
      <w:bookmarkStart w:id="115" w:name="_Toc520356160"/>
      <w:r>
        <w:rPr>
          <w:rFonts w:hint="eastAsia" w:asciiTheme="minorEastAsia" w:hAnsiTheme="minorEastAsia" w:eastAsiaTheme="minorEastAsia" w:cstheme="minorEastAsia"/>
          <w:color w:val="000000"/>
          <w:u w:val="none"/>
        </w:rPr>
        <w:t>15.响应文件的密封和标记</w:t>
      </w:r>
      <w:bookmarkEnd w:id="111"/>
      <w:bookmarkEnd w:id="112"/>
      <w:bookmarkEnd w:id="113"/>
      <w:bookmarkEnd w:id="114"/>
      <w:bookmarkEnd w:id="115"/>
    </w:p>
    <w:p w14:paraId="72D6A80A">
      <w:pPr>
        <w:spacing w:line="400" w:lineRule="exact"/>
        <w:ind w:left="900" w:hanging="900" w:hangingChars="375"/>
        <w:rPr>
          <w:rFonts w:hint="eastAsia" w:asciiTheme="minorEastAsia" w:hAnsiTheme="minorEastAsia" w:eastAsiaTheme="minorEastAsia" w:cstheme="minorEastAsia"/>
          <w:b/>
          <w:bCs/>
          <w:color w:val="000000"/>
          <w:sz w:val="24"/>
          <w:u w:val="single"/>
          <w:lang w:val="en-US" w:eastAsia="zh-CN"/>
        </w:rPr>
      </w:pPr>
      <w:r>
        <w:rPr>
          <w:rFonts w:hint="eastAsia" w:asciiTheme="minorEastAsia" w:hAnsiTheme="minorEastAsia" w:eastAsiaTheme="minorEastAsia" w:cstheme="minorEastAsia"/>
          <w:color w:val="000000"/>
          <w:sz w:val="24"/>
        </w:rPr>
        <w:t xml:space="preserve">15.1  </w:t>
      </w:r>
      <w:r>
        <w:rPr>
          <w:rFonts w:hint="eastAsia" w:asciiTheme="minorEastAsia" w:hAnsiTheme="minorEastAsia" w:eastAsiaTheme="minorEastAsia" w:cstheme="minorEastAsia"/>
          <w:b/>
          <w:bCs/>
          <w:color w:val="000000"/>
          <w:sz w:val="24"/>
          <w:lang w:val="en-US" w:eastAsia="zh-CN"/>
        </w:rPr>
        <w:t xml:space="preserve"> </w:t>
      </w:r>
      <w:r>
        <w:rPr>
          <w:rFonts w:hint="eastAsia" w:asciiTheme="minorEastAsia" w:hAnsiTheme="minorEastAsia" w:eastAsiaTheme="minorEastAsia" w:cstheme="minorEastAsia"/>
          <w:b/>
          <w:bCs/>
          <w:color w:val="000000"/>
          <w:sz w:val="24"/>
          <w:u w:val="single"/>
          <w:lang w:val="en-US" w:eastAsia="zh-CN"/>
        </w:rPr>
        <w:t>为方便评审及进行资格审查，供应商应完整地按磋商文件提供的响应文件格式及要求编写响应文件，供应商须在响应文件提交截止时间前完成在系统上传电子响应文件。供应商的电子响应文件是经过CA证书加密后上传提交的，任何单位或个人均无法在响应文件提交截止时间(即磋商时间)之前查看或篡改，不存在泄密风险。（严格按照政采云电子投标流程制作并上传电子响应文件）</w:t>
      </w:r>
      <w:bookmarkStart w:id="116" w:name="_Toc518923080"/>
      <w:bookmarkStart w:id="117" w:name="_Toc25787"/>
      <w:bookmarkStart w:id="118" w:name="_Toc178_WPSOffice_Level2"/>
      <w:bookmarkStart w:id="119" w:name="_Toc520356161"/>
      <w:bookmarkStart w:id="120" w:name="_Toc14358_WPSOffice_Level2"/>
    </w:p>
    <w:p w14:paraId="63CFBCBD">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15.2   所有</w:t>
      </w:r>
      <w:r>
        <w:rPr>
          <w:rFonts w:hint="eastAsia" w:asciiTheme="minorEastAsia" w:hAnsiTheme="minorEastAsia" w:eastAsiaTheme="minorEastAsia" w:cstheme="minorEastAsia"/>
          <w:sz w:val="24"/>
          <w:lang w:val="en-US" w:eastAsia="zh-CN"/>
        </w:rPr>
        <w:t>电子响应文件封皮</w:t>
      </w:r>
      <w:r>
        <w:rPr>
          <w:rFonts w:hint="eastAsia" w:asciiTheme="minorEastAsia" w:hAnsiTheme="minorEastAsia" w:eastAsiaTheme="minorEastAsia" w:cstheme="minorEastAsia"/>
          <w:sz w:val="24"/>
        </w:rPr>
        <w:t>应：</w:t>
      </w:r>
    </w:p>
    <w:p w14:paraId="019F905C">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注明公告或邀请书中指明的项目名称、</w:t>
      </w:r>
      <w:r>
        <w:rPr>
          <w:rFonts w:hint="eastAsia" w:asciiTheme="minorEastAsia" w:hAnsiTheme="minorEastAsia" w:eastAsiaTheme="minorEastAsia" w:cstheme="minorEastAsia"/>
          <w:sz w:val="24"/>
          <w:lang w:eastAsia="zh-CN"/>
        </w:rPr>
        <w:t>项目</w:t>
      </w:r>
      <w:r>
        <w:rPr>
          <w:rFonts w:hint="eastAsia" w:asciiTheme="minorEastAsia" w:hAnsiTheme="minorEastAsia" w:eastAsiaTheme="minorEastAsia" w:cstheme="minorEastAsia"/>
          <w:sz w:val="24"/>
        </w:rPr>
        <w:t>编号、</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名称和“在（开标时间）之前不得启封”的字样。</w:t>
      </w:r>
    </w:p>
    <w:p w14:paraId="56312B78">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15.3  如果</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未按上述要求</w:t>
      </w:r>
      <w:r>
        <w:rPr>
          <w:rFonts w:hint="eastAsia" w:asciiTheme="minorEastAsia" w:hAnsiTheme="minorEastAsia" w:eastAsiaTheme="minorEastAsia" w:cstheme="minorEastAsia"/>
          <w:sz w:val="24"/>
          <w:lang w:val="en-US" w:eastAsia="zh-CN"/>
        </w:rPr>
        <w:t>标记的</w:t>
      </w:r>
      <w:r>
        <w:rPr>
          <w:rFonts w:hint="eastAsia" w:asciiTheme="minorEastAsia" w:hAnsiTheme="minorEastAsia" w:eastAsiaTheme="minorEastAsia" w:cstheme="minorEastAsia"/>
          <w:sz w:val="24"/>
        </w:rPr>
        <w:t>，其</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将被拒绝接收。</w:t>
      </w:r>
    </w:p>
    <w:p w14:paraId="7C56E0EB">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16.磋商截止</w:t>
      </w:r>
      <w:bookmarkEnd w:id="116"/>
      <w:bookmarkEnd w:id="117"/>
      <w:bookmarkEnd w:id="118"/>
      <w:bookmarkEnd w:id="119"/>
      <w:bookmarkEnd w:id="120"/>
      <w:bookmarkStart w:id="121" w:name="_Toc26522_WPSOffice_Level2"/>
      <w:bookmarkStart w:id="122" w:name="_Toc518923081"/>
      <w:bookmarkStart w:id="123" w:name="_Toc17985_WPSOffice_Level2"/>
      <w:bookmarkStart w:id="124" w:name="_Toc13921"/>
      <w:bookmarkStart w:id="125" w:name="_Toc520356162"/>
    </w:p>
    <w:p w14:paraId="72656A67">
      <w:pPr>
        <w:spacing w:line="400" w:lineRule="exact"/>
        <w:ind w:left="900" w:hanging="900" w:hangingChars="375"/>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16.1   供应商应在磋商文件中规定的截止时间前，将电子响应文件上传到政采云平台。</w:t>
      </w:r>
    </w:p>
    <w:p w14:paraId="4D357754">
      <w:pPr>
        <w:spacing w:line="400" w:lineRule="exact"/>
        <w:ind w:left="900" w:hanging="900" w:hangingChars="375"/>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16.2   采购人和采购代理机构有权按本须知的规定，延迟响应文件提交截止时间。在此情况下，采购人、采购代理机构和供应商受截止时间制约的所有权利和义务均应延长至新的截止时间。</w:t>
      </w:r>
    </w:p>
    <w:p w14:paraId="18131272">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17.响应文件的接收、修改与撤回</w:t>
      </w:r>
      <w:bookmarkEnd w:id="121"/>
      <w:bookmarkEnd w:id="122"/>
      <w:bookmarkEnd w:id="123"/>
      <w:bookmarkEnd w:id="124"/>
      <w:bookmarkEnd w:id="125"/>
      <w:bookmarkStart w:id="126" w:name="_Toc518923082"/>
      <w:bookmarkStart w:id="127" w:name="_Toc10257"/>
      <w:bookmarkStart w:id="128" w:name="_Toc520356163"/>
      <w:bookmarkStart w:id="129" w:name="_Toc216582809"/>
      <w:bookmarkStart w:id="130" w:name="_Toc6601_WPSOffice_Level1"/>
    </w:p>
    <w:p w14:paraId="2D1671AA">
      <w:pPr>
        <w:spacing w:line="400" w:lineRule="exact"/>
        <w:ind w:left="900" w:hanging="900" w:hangingChars="375"/>
        <w:rPr>
          <w:rFonts w:hint="eastAsia" w:asciiTheme="minorEastAsia" w:hAnsiTheme="minorEastAsia" w:eastAsiaTheme="minorEastAsia" w:cstheme="minorEastAsia"/>
          <w:b w:val="0"/>
          <w:bCs/>
          <w:sz w:val="24"/>
          <w:lang w:val="en-US" w:eastAsia="zh-CN"/>
        </w:rPr>
      </w:pPr>
      <w:r>
        <w:rPr>
          <w:rFonts w:hint="eastAsia" w:asciiTheme="minorEastAsia" w:hAnsiTheme="minorEastAsia" w:eastAsiaTheme="minorEastAsia" w:cstheme="minorEastAsia"/>
          <w:b w:val="0"/>
          <w:bCs/>
          <w:sz w:val="24"/>
          <w:lang w:val="en-US" w:eastAsia="zh-CN"/>
        </w:rPr>
        <w:t xml:space="preserve">17.1   在响应文件提交截止时间前，供应商须将电子响应文件成功完整上传到政采云平台项目采购系统。时间以政采云平台项目采购系统服务器从中国科学院国家授时中心取得的北京时间为准，截止时间结束后，系统将不允许供应商上传响应文件，已上传响应文件但未完成传输的文件系统将拒绝接收。 </w:t>
      </w:r>
    </w:p>
    <w:p w14:paraId="378A5021">
      <w:pPr>
        <w:spacing w:line="400" w:lineRule="exact"/>
        <w:ind w:left="900" w:hanging="900" w:hangingChars="375"/>
        <w:rPr>
          <w:rFonts w:hint="eastAsia" w:asciiTheme="minorEastAsia" w:hAnsiTheme="minorEastAsia" w:eastAsiaTheme="minorEastAsia" w:cstheme="minorEastAsia"/>
          <w:b w:val="0"/>
          <w:bCs/>
          <w:sz w:val="24"/>
          <w:lang w:val="en-US" w:eastAsia="zh-CN"/>
        </w:rPr>
      </w:pPr>
      <w:r>
        <w:rPr>
          <w:rFonts w:hint="eastAsia" w:asciiTheme="minorEastAsia" w:hAnsiTheme="minorEastAsia" w:eastAsiaTheme="minorEastAsia" w:cstheme="minorEastAsia"/>
          <w:b w:val="0"/>
          <w:bCs/>
          <w:sz w:val="24"/>
          <w:lang w:val="en-US" w:eastAsia="zh-CN"/>
        </w:rPr>
        <w:t xml:space="preserve">17.2 代理机构对因不可抗力事件造成的响应文件的损坏、丢失的，不承担责任。 </w:t>
      </w:r>
    </w:p>
    <w:p w14:paraId="3A01E70F">
      <w:pPr>
        <w:spacing w:line="400" w:lineRule="exact"/>
        <w:ind w:left="900" w:hanging="900" w:hangingChars="375"/>
        <w:rPr>
          <w:rFonts w:hint="eastAsia" w:asciiTheme="minorEastAsia" w:hAnsiTheme="minorEastAsia" w:eastAsiaTheme="minorEastAsia" w:cstheme="minorEastAsia"/>
          <w:b w:val="0"/>
          <w:bCs/>
          <w:sz w:val="24"/>
          <w:lang w:val="en-US" w:eastAsia="zh-CN"/>
        </w:rPr>
      </w:pPr>
      <w:r>
        <w:rPr>
          <w:rFonts w:hint="eastAsia" w:asciiTheme="minorEastAsia" w:hAnsiTheme="minorEastAsia" w:eastAsiaTheme="minorEastAsia" w:cstheme="minorEastAsia"/>
          <w:b w:val="0"/>
          <w:bCs/>
          <w:sz w:val="24"/>
          <w:lang w:val="en-US" w:eastAsia="zh-CN"/>
        </w:rPr>
        <w:t>17.3 出现下述情形之一，属于未成功提交响应文件，按无效响应处理：</w:t>
      </w:r>
    </w:p>
    <w:p w14:paraId="5C43ECD5">
      <w:pPr>
        <w:spacing w:line="400" w:lineRule="exact"/>
        <w:ind w:left="898" w:leftChars="228" w:hanging="420" w:hangingChars="175"/>
        <w:rPr>
          <w:rFonts w:hint="eastAsia" w:asciiTheme="minorEastAsia" w:hAnsiTheme="minorEastAsia" w:eastAsiaTheme="minorEastAsia" w:cstheme="minorEastAsia"/>
          <w:b w:val="0"/>
          <w:bCs/>
          <w:sz w:val="24"/>
          <w:lang w:val="en-US" w:eastAsia="zh-CN"/>
        </w:rPr>
      </w:pPr>
      <w:r>
        <w:rPr>
          <w:rFonts w:hint="eastAsia" w:asciiTheme="minorEastAsia" w:hAnsiTheme="minorEastAsia" w:eastAsiaTheme="minorEastAsia" w:cstheme="minorEastAsia"/>
          <w:b w:val="0"/>
          <w:bCs/>
          <w:sz w:val="24"/>
          <w:lang w:val="en-US" w:eastAsia="zh-CN"/>
        </w:rPr>
        <w:t xml:space="preserve">（1）至提交响应文件截止时间，响应文件未完整上传的。 </w:t>
      </w:r>
    </w:p>
    <w:p w14:paraId="7F458ADB">
      <w:pPr>
        <w:spacing w:line="400" w:lineRule="exact"/>
        <w:ind w:left="898" w:leftChars="228" w:hanging="420" w:hangingChars="175"/>
        <w:rPr>
          <w:rFonts w:hint="eastAsia" w:asciiTheme="minorEastAsia" w:hAnsiTheme="minorEastAsia" w:eastAsiaTheme="minorEastAsia" w:cstheme="minorEastAsia"/>
          <w:b w:val="0"/>
          <w:bCs/>
          <w:sz w:val="24"/>
          <w:lang w:val="en-US" w:eastAsia="zh-CN"/>
        </w:rPr>
      </w:pPr>
      <w:r>
        <w:rPr>
          <w:rFonts w:hint="eastAsia" w:asciiTheme="minorEastAsia" w:hAnsiTheme="minorEastAsia" w:eastAsiaTheme="minorEastAsia" w:cstheme="minorEastAsia"/>
          <w:b w:val="0"/>
          <w:bCs/>
          <w:sz w:val="24"/>
          <w:lang w:val="en-US" w:eastAsia="zh-CN"/>
        </w:rPr>
        <w:t xml:space="preserve">（2）响应文件未按磋商文件格式中注明需签字盖章的要求进行签名（含电子签名）和加盖电子印章，或签名（含电子签名）或电子印章不完整的。 </w:t>
      </w:r>
    </w:p>
    <w:p w14:paraId="1F3B6821">
      <w:pPr>
        <w:spacing w:line="400" w:lineRule="exact"/>
        <w:ind w:left="898" w:leftChars="228" w:hanging="420" w:hangingChars="175"/>
        <w:rPr>
          <w:rFonts w:hint="eastAsia" w:asciiTheme="minorEastAsia" w:hAnsiTheme="minorEastAsia" w:eastAsiaTheme="minorEastAsia" w:cstheme="minorEastAsia"/>
          <w:b w:val="0"/>
          <w:bCs/>
          <w:sz w:val="24"/>
          <w:lang w:val="en-US" w:eastAsia="zh-CN"/>
        </w:rPr>
      </w:pPr>
      <w:r>
        <w:rPr>
          <w:rFonts w:hint="eastAsia" w:asciiTheme="minorEastAsia" w:hAnsiTheme="minorEastAsia" w:eastAsiaTheme="minorEastAsia" w:cstheme="minorEastAsia"/>
          <w:b w:val="0"/>
          <w:bCs/>
          <w:sz w:val="24"/>
          <w:lang w:val="en-US" w:eastAsia="zh-CN"/>
        </w:rPr>
        <w:t xml:space="preserve">（3）响应文件损坏或格式不正确的。 </w:t>
      </w:r>
    </w:p>
    <w:p w14:paraId="0C2E9719">
      <w:pPr>
        <w:spacing w:line="400" w:lineRule="exact"/>
        <w:ind w:left="900" w:hanging="900" w:hangingChars="375"/>
        <w:rPr>
          <w:rFonts w:hint="eastAsia" w:asciiTheme="minorEastAsia" w:hAnsiTheme="minorEastAsia" w:eastAsiaTheme="minorEastAsia" w:cstheme="minorEastAsia"/>
          <w:b w:val="0"/>
          <w:bCs/>
          <w:sz w:val="24"/>
          <w:lang w:val="en-US" w:eastAsia="zh-CN"/>
        </w:rPr>
      </w:pPr>
      <w:r>
        <w:rPr>
          <w:rFonts w:hint="eastAsia" w:asciiTheme="minorEastAsia" w:hAnsiTheme="minorEastAsia" w:eastAsiaTheme="minorEastAsia" w:cstheme="minorEastAsia"/>
          <w:b w:val="0"/>
          <w:bCs/>
          <w:sz w:val="24"/>
          <w:lang w:val="en-US" w:eastAsia="zh-CN"/>
        </w:rPr>
        <w:t xml:space="preserve">17.4   在提交响应文件截止时间前，供应商可以修改或撤回未解密的电子响应文件，并于提交响应文件截止时间前将修改后重新生成的电子响应文件上传至政采云平台项目采购系统，到达响应文件提交截止时间后，将不允许修改或撤回。 </w:t>
      </w:r>
    </w:p>
    <w:p w14:paraId="0F3C3150">
      <w:pPr>
        <w:spacing w:line="400" w:lineRule="exact"/>
        <w:ind w:left="900" w:hanging="900" w:hangingChars="375"/>
        <w:rPr>
          <w:rFonts w:hint="eastAsia" w:asciiTheme="minorEastAsia" w:hAnsiTheme="minorEastAsia" w:eastAsiaTheme="minorEastAsia" w:cstheme="minorEastAsia"/>
          <w:b w:val="0"/>
          <w:bCs/>
          <w:sz w:val="24"/>
          <w:lang w:val="en-US" w:eastAsia="zh-CN"/>
        </w:rPr>
      </w:pPr>
      <w:r>
        <w:rPr>
          <w:rFonts w:hint="eastAsia" w:asciiTheme="minorEastAsia" w:hAnsiTheme="minorEastAsia" w:eastAsiaTheme="minorEastAsia" w:cstheme="minorEastAsia"/>
          <w:b w:val="0"/>
          <w:bCs/>
          <w:sz w:val="24"/>
          <w:lang w:val="en-US" w:eastAsia="zh-CN"/>
        </w:rPr>
        <w:t xml:space="preserve">17.5   在提交响应文件截止时间后，供应商不得补充、修改和更换响应文件。 </w:t>
      </w:r>
    </w:p>
    <w:p w14:paraId="76ED8141">
      <w:pPr>
        <w:spacing w:line="400" w:lineRule="exact"/>
        <w:ind w:left="900" w:hanging="900" w:hangingChars="375"/>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17.6   到达响应文件截止时间后，供应商需使用上传响应文件的同一数字证书解密，供应商须在采购代理机构规定的时间内完成响应文件解密，供应商因非系统原因导致的逾期未解密响应文件，将作无效响应处理。</w:t>
      </w:r>
    </w:p>
    <w:p w14:paraId="71FC4EF8">
      <w:pPr>
        <w:pStyle w:val="3"/>
        <w:spacing w:before="0" w:line="400" w:lineRule="exact"/>
        <w:ind w:left="1079" w:leftChars="257" w:hanging="540"/>
        <w:rPr>
          <w:rFonts w:hint="eastAsia" w:asciiTheme="minorEastAsia" w:hAnsiTheme="minorEastAsia" w:eastAsiaTheme="minorEastAsia" w:cstheme="minorEastAsia"/>
        </w:rPr>
      </w:pPr>
      <w:bookmarkStart w:id="131" w:name="_Toc19737"/>
      <w:r>
        <w:rPr>
          <w:rFonts w:hint="eastAsia" w:asciiTheme="minorEastAsia" w:hAnsiTheme="minorEastAsia" w:eastAsiaTheme="minorEastAsia" w:cstheme="minorEastAsia"/>
          <w:sz w:val="24"/>
        </w:rPr>
        <w:t>五   磋商开启及</w:t>
      </w:r>
      <w:bookmarkEnd w:id="126"/>
      <w:bookmarkEnd w:id="127"/>
      <w:bookmarkEnd w:id="128"/>
      <w:bookmarkEnd w:id="129"/>
      <w:r>
        <w:rPr>
          <w:rFonts w:hint="eastAsia" w:asciiTheme="minorEastAsia" w:hAnsiTheme="minorEastAsia" w:eastAsiaTheme="minorEastAsia" w:cstheme="minorEastAsia"/>
          <w:sz w:val="24"/>
        </w:rPr>
        <w:t>评审</w:t>
      </w:r>
      <w:bookmarkEnd w:id="130"/>
      <w:bookmarkEnd w:id="131"/>
    </w:p>
    <w:p w14:paraId="75B013FD">
      <w:pPr>
        <w:pStyle w:val="4"/>
        <w:spacing w:before="0" w:after="0" w:line="400" w:lineRule="exact"/>
        <w:rPr>
          <w:rFonts w:hint="eastAsia" w:asciiTheme="minorEastAsia" w:hAnsiTheme="minorEastAsia" w:eastAsiaTheme="minorEastAsia" w:cstheme="minorEastAsia"/>
          <w:u w:val="none"/>
        </w:rPr>
      </w:pPr>
      <w:bookmarkStart w:id="132" w:name="_Toc8653"/>
      <w:bookmarkStart w:id="133" w:name="_Toc520356164"/>
      <w:bookmarkStart w:id="134" w:name="_Toc518923083"/>
      <w:bookmarkStart w:id="135" w:name="_Toc32308_WPSOffice_Level2"/>
      <w:bookmarkStart w:id="136" w:name="_Toc13011_WPSOffice_Level2"/>
      <w:r>
        <w:rPr>
          <w:rFonts w:hint="eastAsia" w:asciiTheme="minorEastAsia" w:hAnsiTheme="minorEastAsia" w:eastAsiaTheme="minorEastAsia" w:cstheme="minorEastAsia"/>
          <w:u w:val="none"/>
        </w:rPr>
        <w:t>18.</w:t>
      </w:r>
      <w:bookmarkEnd w:id="132"/>
      <w:bookmarkEnd w:id="133"/>
      <w:bookmarkEnd w:id="134"/>
      <w:r>
        <w:rPr>
          <w:rFonts w:hint="eastAsia" w:asciiTheme="minorEastAsia" w:hAnsiTheme="minorEastAsia" w:eastAsiaTheme="minorEastAsia" w:cstheme="minorEastAsia"/>
          <w:u w:val="none"/>
        </w:rPr>
        <w:t>磋商开启</w:t>
      </w:r>
      <w:bookmarkEnd w:id="135"/>
      <w:bookmarkEnd w:id="136"/>
    </w:p>
    <w:p w14:paraId="1867E8D9">
      <w:pPr>
        <w:spacing w:line="400" w:lineRule="exact"/>
        <w:ind w:left="900" w:hanging="900" w:hangingChars="375"/>
        <w:rPr>
          <w:rFonts w:hint="eastAsia" w:asciiTheme="minorEastAsia" w:hAnsiTheme="minorEastAsia" w:eastAsiaTheme="minorEastAsia" w:cstheme="minorEastAsia"/>
          <w:b w:val="0"/>
          <w:bCs/>
          <w:sz w:val="24"/>
          <w:lang w:val="en-US" w:eastAsia="zh-CN"/>
        </w:rPr>
      </w:pPr>
      <w:bookmarkStart w:id="137" w:name="_Toc520356165"/>
      <w:bookmarkStart w:id="138" w:name="_Toc4350_WPSOffice_Level2"/>
      <w:bookmarkStart w:id="139" w:name="_Toc34"/>
      <w:bookmarkStart w:id="140" w:name="_Toc518923084"/>
      <w:bookmarkStart w:id="141" w:name="_Toc21320_WPSOffice_Level2"/>
      <w:r>
        <w:rPr>
          <w:rFonts w:hint="eastAsia" w:asciiTheme="minorEastAsia" w:hAnsiTheme="minorEastAsia" w:eastAsiaTheme="minorEastAsia" w:cstheme="minorEastAsia"/>
          <w:b w:val="0"/>
          <w:bCs/>
          <w:sz w:val="24"/>
          <w:lang w:val="en-US" w:eastAsia="zh-CN"/>
        </w:rPr>
        <w:t xml:space="preserve">18.1  采购人和采购代理机构将按供应商须知资料表中规定的时间和地点组织磋商。供应商不足 3 家的，不得进行磋商。 </w:t>
      </w:r>
    </w:p>
    <w:p w14:paraId="73F9DC63">
      <w:pPr>
        <w:spacing w:line="400" w:lineRule="exact"/>
        <w:ind w:left="900" w:hanging="900" w:hangingChars="375"/>
        <w:rPr>
          <w:rFonts w:hint="eastAsia" w:asciiTheme="minorEastAsia" w:hAnsiTheme="minorEastAsia" w:eastAsiaTheme="minorEastAsia" w:cstheme="minorEastAsia"/>
          <w:b w:val="0"/>
          <w:bCs/>
          <w:sz w:val="24"/>
          <w:lang w:val="en-US" w:eastAsia="zh-CN"/>
        </w:rPr>
      </w:pPr>
      <w:r>
        <w:rPr>
          <w:rFonts w:hint="eastAsia" w:asciiTheme="minorEastAsia" w:hAnsiTheme="minorEastAsia" w:eastAsiaTheme="minorEastAsia" w:cstheme="minorEastAsia"/>
          <w:b w:val="0"/>
          <w:bCs/>
          <w:sz w:val="24"/>
          <w:lang w:val="en-US" w:eastAsia="zh-CN"/>
        </w:rPr>
        <w:t xml:space="preserve">18.2  供应商应当按照本磋商文件载明的时间和模式等要求参加磋商。磋商时，供应商应当使用上传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不见面电子开标，各供应商在参加磋商以前须自行对使用电脑的网络环境、驱动安装、客户端安装以及数字证书的有效性等进行检测，确保可以正常使用）。 </w:t>
      </w:r>
    </w:p>
    <w:p w14:paraId="745D468C">
      <w:pPr>
        <w:spacing w:line="400" w:lineRule="exact"/>
        <w:ind w:left="900" w:hanging="900" w:hangingChars="375"/>
        <w:rPr>
          <w:rFonts w:hint="eastAsia" w:asciiTheme="minorEastAsia" w:hAnsiTheme="minorEastAsia" w:eastAsiaTheme="minorEastAsia" w:cstheme="minorEastAsia"/>
          <w:b w:val="0"/>
          <w:bCs/>
          <w:sz w:val="24"/>
          <w:lang w:val="en-US" w:eastAsia="zh-CN"/>
        </w:rPr>
      </w:pPr>
      <w:r>
        <w:rPr>
          <w:rFonts w:hint="eastAsia" w:asciiTheme="minorEastAsia" w:hAnsiTheme="minorEastAsia" w:eastAsiaTheme="minorEastAsia" w:cstheme="minorEastAsia"/>
          <w:b w:val="0"/>
          <w:bCs/>
          <w:sz w:val="24"/>
          <w:lang w:val="en-US" w:eastAsia="zh-CN"/>
        </w:rPr>
        <w:t xml:space="preserve">18.3  采购人或采购代理机构将对磋商过程进行记录，并存档备查。 </w:t>
      </w:r>
    </w:p>
    <w:p w14:paraId="3E2CC75D">
      <w:pPr>
        <w:spacing w:line="400" w:lineRule="exact"/>
        <w:ind w:left="900" w:hanging="900" w:hangingChars="375"/>
        <w:rPr>
          <w:rFonts w:hint="eastAsia" w:asciiTheme="minorEastAsia" w:hAnsiTheme="minorEastAsia" w:eastAsiaTheme="minorEastAsia" w:cstheme="minorEastAsia"/>
          <w:b w:val="0"/>
          <w:bCs/>
          <w:sz w:val="24"/>
          <w:lang w:val="en-US" w:eastAsia="zh-CN"/>
        </w:rPr>
      </w:pPr>
      <w:r>
        <w:rPr>
          <w:rFonts w:hint="eastAsia" w:asciiTheme="minorEastAsia" w:hAnsiTheme="minorEastAsia" w:eastAsiaTheme="minorEastAsia" w:cstheme="minorEastAsia"/>
          <w:b w:val="0"/>
          <w:bCs/>
          <w:sz w:val="24"/>
          <w:lang w:val="en-US" w:eastAsia="zh-CN"/>
        </w:rPr>
        <w:t>18.4  供应商代表对磋商过程和磋商记录有疑义，以及认为采购人、采购代理机构相关工作人员有需要回避的情形的，应当场提出询问或者回避申请。</w:t>
      </w:r>
    </w:p>
    <w:p w14:paraId="2EC38A37">
      <w:pPr>
        <w:pStyle w:val="4"/>
        <w:spacing w:before="0" w:after="0" w:line="400" w:lineRule="exact"/>
        <w:rPr>
          <w:rFonts w:hint="eastAsia" w:asciiTheme="minorEastAsia" w:hAnsiTheme="minorEastAsia" w:eastAsiaTheme="minorEastAsia" w:cstheme="minorEastAsia"/>
          <w:u w:val="none"/>
          <w:lang w:eastAsia="zh-CN"/>
        </w:rPr>
      </w:pPr>
      <w:r>
        <w:rPr>
          <w:rFonts w:hint="eastAsia" w:asciiTheme="minorEastAsia" w:hAnsiTheme="minorEastAsia" w:eastAsiaTheme="minorEastAsia" w:cstheme="minorEastAsia"/>
          <w:u w:val="none"/>
        </w:rPr>
        <w:t>19</w:t>
      </w:r>
      <w:bookmarkEnd w:id="137"/>
      <w:r>
        <w:rPr>
          <w:rFonts w:hint="eastAsia" w:asciiTheme="minorEastAsia" w:hAnsiTheme="minorEastAsia" w:eastAsiaTheme="minorEastAsia" w:cstheme="minorEastAsia"/>
          <w:u w:val="none"/>
        </w:rPr>
        <w:t>.资格审查及组建</w:t>
      </w:r>
      <w:bookmarkEnd w:id="138"/>
      <w:bookmarkEnd w:id="139"/>
      <w:bookmarkEnd w:id="140"/>
      <w:bookmarkEnd w:id="141"/>
      <w:r>
        <w:rPr>
          <w:rFonts w:hint="eastAsia" w:asciiTheme="minorEastAsia" w:hAnsiTheme="minorEastAsia" w:eastAsiaTheme="minorEastAsia" w:cstheme="minorEastAsia"/>
          <w:u w:val="none"/>
          <w:lang w:val="en-US" w:eastAsia="zh-CN"/>
        </w:rPr>
        <w:t>磋商小组</w:t>
      </w:r>
    </w:p>
    <w:p w14:paraId="41F26317">
      <w:pPr>
        <w:spacing w:line="400" w:lineRule="exact"/>
        <w:ind w:left="720" w:hanging="720" w:hangingChars="3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rPr>
        <w:t>19.1  采购人或采购代理机构依据法律法规和磋商文件中规定的内容，对</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的资格进行审查。未通过资格审查的</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不进入评审；进入评审的</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不足3家的，不得评审。</w:t>
      </w:r>
    </w:p>
    <w:p w14:paraId="646AD281">
      <w:pPr>
        <w:widowControl/>
        <w:spacing w:line="400" w:lineRule="exact"/>
        <w:ind w:firstLine="480" w:firstLineChars="200"/>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本项目现场磋商开启须提供</w:t>
      </w:r>
      <w:r>
        <w:rPr>
          <w:rFonts w:hint="eastAsia" w:asciiTheme="minorEastAsia" w:hAnsiTheme="minorEastAsia" w:eastAsiaTheme="minorEastAsia" w:cstheme="minorEastAsia"/>
          <w:b/>
          <w:bCs/>
          <w:sz w:val="24"/>
          <w:lang w:val="en-US" w:eastAsia="zh-CN"/>
        </w:rPr>
        <w:t>以下</w:t>
      </w:r>
      <w:r>
        <w:rPr>
          <w:rFonts w:hint="eastAsia" w:asciiTheme="minorEastAsia" w:hAnsiTheme="minorEastAsia" w:eastAsiaTheme="minorEastAsia" w:cstheme="minorEastAsia"/>
          <w:b/>
          <w:bCs/>
          <w:sz w:val="24"/>
        </w:rPr>
        <w:t>证件：</w:t>
      </w:r>
    </w:p>
    <w:p w14:paraId="1E7EA1B1">
      <w:pPr>
        <w:spacing w:line="400" w:lineRule="exact"/>
        <w:ind w:firstLine="480"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参加本次</w:t>
      </w:r>
      <w:r>
        <w:rPr>
          <w:rFonts w:hint="eastAsia" w:asciiTheme="minorEastAsia" w:hAnsiTheme="minorEastAsia" w:eastAsiaTheme="minorEastAsia" w:cstheme="minorEastAsia"/>
          <w:b/>
          <w:bCs/>
          <w:color w:val="auto"/>
          <w:sz w:val="24"/>
          <w:lang w:eastAsia="zh-CN"/>
        </w:rPr>
        <w:t>磋商</w:t>
      </w:r>
      <w:r>
        <w:rPr>
          <w:rFonts w:hint="eastAsia" w:asciiTheme="minorEastAsia" w:hAnsiTheme="minorEastAsia" w:eastAsiaTheme="minorEastAsia" w:cstheme="minorEastAsia"/>
          <w:b/>
          <w:bCs/>
          <w:color w:val="auto"/>
          <w:sz w:val="24"/>
        </w:rPr>
        <w:t>的供应商除符合《中华人民共和国政府采购法》第二十二条规定的条件外，还需满足下列要求：</w:t>
      </w:r>
    </w:p>
    <w:p w14:paraId="0F9919EB">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（1）具有有效的营业执照。</w:t>
      </w:r>
    </w:p>
    <w:p w14:paraId="43FBAF04">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（2）供应商单位法人响应的提供法人身份证明，被授权人响应的提供法人授权委托书和身份证明。</w:t>
      </w:r>
    </w:p>
    <w:p w14:paraId="2BA73A70">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3）供应商需具备【建筑工程施工总承包叁级】(含)以上资质，有安全生产许可证且在有效期内；项目负责人资质要求：【建筑工程】专业二级（含）以上注册建造师执业资格，具备有效的安全生产考核合格证书，且未担任其他在施建设工程项目的项目负责人、项目经理。</w:t>
      </w:r>
    </w:p>
    <w:p w14:paraId="1404AC07">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（4）税务局开具的依法缴纳近三个月内任意一个月的税收证明的良好记录，依法免税应提供相应文件证明。</w:t>
      </w:r>
    </w:p>
    <w:p w14:paraId="2FFB7FC3">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（5）提供本单位近三个月任意一个月的社保缴纳证明；</w:t>
      </w:r>
    </w:p>
    <w:p w14:paraId="4BCA23DF">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（6）提供针对本次项目《反商业贿赂承诺书》</w:t>
      </w:r>
    </w:p>
    <w:p w14:paraId="0B7014E1">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（7）参加政府采购活动前3年内在经营活动中没有重大违法记录的书面声明。</w:t>
      </w:r>
    </w:p>
    <w:p w14:paraId="07EDA479">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（8）</w:t>
      </w:r>
      <w:r>
        <w:rPr>
          <w:rFonts w:hint="eastAsia" w:ascii="宋体" w:hAnsi="宋体" w:cs="宋体"/>
          <w:b w:val="0"/>
          <w:bCs/>
          <w:i w:val="0"/>
          <w:iCs w:val="0"/>
          <w:color w:val="auto"/>
          <w:kern w:val="2"/>
          <w:sz w:val="24"/>
          <w:szCs w:val="24"/>
          <w:highlight w:val="none"/>
          <w:lang w:val="en-US" w:eastAsia="zh-CN" w:bidi="ar-SA"/>
        </w:rPr>
        <w:t>提供2024年度的财务审计报告</w:t>
      </w:r>
      <w:r>
        <w:rPr>
          <w:rFonts w:hint="eastAsia" w:ascii="宋体" w:hAnsi="宋体" w:eastAsia="宋体" w:cs="宋体"/>
          <w:b w:val="0"/>
          <w:bCs/>
          <w:i w:val="0"/>
          <w:iCs w:val="0"/>
          <w:color w:val="auto"/>
          <w:kern w:val="2"/>
          <w:sz w:val="24"/>
          <w:szCs w:val="24"/>
          <w:highlight w:val="none"/>
          <w:lang w:val="en-US" w:eastAsia="zh-CN" w:bidi="ar-SA"/>
        </w:rPr>
        <w:t>（注册成立未满一年新公司提供银行资信证明）。</w:t>
      </w:r>
    </w:p>
    <w:p w14:paraId="08453F07">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9）供应商须提供在①“信用中国网（www.creditchina.gov.cn）”被列入失信被执行人、企业经营异常名录、重大税收违法案件当事人名单、政府采购严重违法失信名单（尚在处罚期内的）；②“中国政府采购网（www.ccgp.gov.cn）”被列入政府采购严重违法失信行为记录名单的（尚在处罚期内的）；③“国家企业信用信息公示系统（http://www.gsxt.gov.cn）”列入经营异常名录信息、列入严重违法失信企业名单（黑名单）信息及企业信用信息公示报告；（提供查询结果网页截图并加盖供应商公章）。</w:t>
      </w:r>
    </w:p>
    <w:p w14:paraId="3F602BC9">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10）项目负责人及项目班子成员在新疆建设云平台可承揽业务；登录新疆工程建设云（http//jsy.xjjs.gov.cn/dataservice/index）可查询注册企业基本信息和人员信息（提供上述网页个人页面截图打印并加盖公章），且在人员、设备、资金等方面具有承担本工程的能力。</w:t>
      </w:r>
    </w:p>
    <w:p w14:paraId="2D16EE2A">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（11）缴纳磋商保证金有效凭证（打款凭证）；</w:t>
      </w:r>
    </w:p>
    <w:p w14:paraId="512D375A">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（12）中小企业声明函；</w:t>
      </w:r>
    </w:p>
    <w:p w14:paraId="5EFD7978">
      <w:pPr>
        <w:spacing w:line="400" w:lineRule="exact"/>
        <w:ind w:left="900" w:hanging="900" w:hangingChars="375"/>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本项目不接受联合体。</w:t>
      </w:r>
    </w:p>
    <w:p w14:paraId="731C3868">
      <w:pPr>
        <w:spacing w:line="40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注：“税务局开具的依法缴纳近三个月的税收证明的良好记录；”：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44FECCF2">
      <w:pPr>
        <w:spacing w:line="400" w:lineRule="exact"/>
        <w:ind w:left="900" w:hanging="900" w:hangingChars="375"/>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提示：上述资质开标现场能够通过官方网络查证的，均视为合格供应商。</w:t>
      </w:r>
    </w:p>
    <w:p w14:paraId="14137A68">
      <w:pPr>
        <w:spacing w:line="400" w:lineRule="exact"/>
        <w:ind w:left="720" w:hanging="720" w:hanging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19.2  采购人或采购代理机构将在响应文件递交截止时间后 1 小时的期间内查询供应商的信用记录。供应商存在不良信用记录的，其磋商将被认定为磋 商无效。</w:t>
      </w:r>
    </w:p>
    <w:p w14:paraId="0C514B21">
      <w:pPr>
        <w:pStyle w:val="4"/>
        <w:spacing w:before="0" w:after="0" w:line="400" w:lineRule="exact"/>
        <w:rPr>
          <w:rFonts w:hint="eastAsia" w:asciiTheme="minorEastAsia" w:hAnsiTheme="minorEastAsia" w:eastAsiaTheme="minorEastAsia" w:cstheme="minorEastAsia"/>
          <w:b w:val="0"/>
          <w:kern w:val="2"/>
          <w:sz w:val="24"/>
          <w:szCs w:val="24"/>
          <w:u w:val="none"/>
          <w:lang w:val="en-US" w:eastAsia="zh-CN" w:bidi="ar-SA"/>
        </w:rPr>
      </w:pPr>
      <w:bookmarkStart w:id="142" w:name="_Toc520356166"/>
      <w:bookmarkStart w:id="143" w:name="_Toc31689_WPSOffice_Level2"/>
      <w:bookmarkStart w:id="144" w:name="_Toc17843_WPSOffice_Level2"/>
      <w:bookmarkStart w:id="145" w:name="_Toc6842"/>
      <w:bookmarkStart w:id="146" w:name="_Toc518923085"/>
      <w:r>
        <w:rPr>
          <w:rFonts w:hint="eastAsia" w:asciiTheme="minorEastAsia" w:hAnsiTheme="minorEastAsia" w:eastAsiaTheme="minorEastAsia" w:cstheme="minorEastAsia"/>
          <w:b w:val="0"/>
          <w:kern w:val="2"/>
          <w:sz w:val="24"/>
          <w:szCs w:val="24"/>
          <w:u w:val="none"/>
          <w:lang w:val="en-US" w:eastAsia="zh-CN" w:bidi="ar-SA"/>
        </w:rPr>
        <w:t>19.3  不良信用记录指：供应商在中国政府采购网（www.ccgp.gov.cn）被列入</w:t>
      </w:r>
    </w:p>
    <w:p w14:paraId="597EC1D5">
      <w:pPr>
        <w:pStyle w:val="4"/>
        <w:spacing w:before="0" w:after="0" w:line="400" w:lineRule="exact"/>
        <w:ind w:left="718" w:leftChars="342" w:firstLine="0" w:firstLineChars="0"/>
        <w:rPr>
          <w:rFonts w:hint="eastAsia" w:asciiTheme="minorEastAsia" w:hAnsiTheme="minorEastAsia" w:eastAsiaTheme="minorEastAsia" w:cstheme="minorEastAsia"/>
          <w:b w:val="0"/>
          <w:kern w:val="2"/>
          <w:sz w:val="24"/>
          <w:szCs w:val="24"/>
          <w:u w:val="none"/>
          <w:lang w:val="en-US" w:eastAsia="zh-CN" w:bidi="ar-SA"/>
        </w:rPr>
      </w:pPr>
      <w:r>
        <w:rPr>
          <w:rFonts w:hint="eastAsia" w:asciiTheme="minorEastAsia" w:hAnsiTheme="minorEastAsia" w:eastAsiaTheme="minorEastAsia" w:cstheme="minorEastAsia"/>
          <w:b w:val="0"/>
          <w:kern w:val="2"/>
          <w:sz w:val="24"/>
          <w:szCs w:val="24"/>
          <w:u w:val="none"/>
          <w:lang w:val="en-US" w:eastAsia="zh-CN" w:bidi="ar-SA"/>
        </w:rPr>
        <w:t>政府采购严重违法失信行为记录名单（尚在处罚期内的） 、在“信用中 国 ” 网站（www.creditchina.gov.cn）被列入失信被执行人、重大税收 违法案件当事人名单(信用服务-失信惩戒对象查询 - 搜索栏输入单位 全称- 截图) ， 以及存在《中华人民共和国政府采购法实施条例》第十 九条规定的行政处罚记录；将拒绝其参加本次政府采购活动。以联合体形式参加政府采购活动的，联合体任何成员存在以上不良信用记录的，联合体磋商将被认定为磋商无效。</w:t>
      </w:r>
    </w:p>
    <w:p w14:paraId="5D81D6F4">
      <w:pPr>
        <w:pStyle w:val="4"/>
        <w:spacing w:before="0" w:after="0" w:line="400" w:lineRule="exact"/>
        <w:ind w:left="720" w:hanging="720" w:hangingChars="300"/>
        <w:rPr>
          <w:rFonts w:hint="eastAsia" w:asciiTheme="minorEastAsia" w:hAnsiTheme="minorEastAsia" w:eastAsiaTheme="minorEastAsia" w:cstheme="minorEastAsia"/>
          <w:b w:val="0"/>
          <w:kern w:val="2"/>
          <w:sz w:val="24"/>
          <w:szCs w:val="24"/>
          <w:u w:val="none"/>
          <w:lang w:val="en-US" w:eastAsia="zh-CN" w:bidi="ar-SA"/>
        </w:rPr>
      </w:pPr>
      <w:r>
        <w:rPr>
          <w:rFonts w:hint="eastAsia" w:asciiTheme="minorEastAsia" w:hAnsiTheme="minorEastAsia" w:eastAsiaTheme="minorEastAsia" w:cstheme="minorEastAsia"/>
          <w:b w:val="0"/>
          <w:kern w:val="2"/>
          <w:sz w:val="24"/>
          <w:szCs w:val="24"/>
          <w:u w:val="none"/>
          <w:lang w:val="en-US" w:eastAsia="zh-CN" w:bidi="ar-SA"/>
        </w:rPr>
        <w:t>19.4  查询及记录方式：采购人或采购代理机构经办人将查询网页打印、签字并存档备查。供应商不良信用记录以采购人或采购代理机构查询结果为准。 在磋商文件规定的查询时间之后，网站信息发生的任何变更均不再作为评 审依据。供应商自行提供的与网站信息不一致的其他证明材料亦不作为资 格审查依据。</w:t>
      </w:r>
    </w:p>
    <w:p w14:paraId="5043A927">
      <w:pPr>
        <w:pStyle w:val="4"/>
        <w:spacing w:before="0" w:after="0" w:line="400" w:lineRule="exact"/>
        <w:ind w:left="720" w:hanging="720" w:hangingChars="300"/>
        <w:rPr>
          <w:rFonts w:hint="eastAsia" w:asciiTheme="minorEastAsia" w:hAnsiTheme="minorEastAsia" w:eastAsiaTheme="minorEastAsia" w:cstheme="minorEastAsia"/>
          <w:b/>
          <w:bCs/>
          <w:kern w:val="2"/>
          <w:sz w:val="24"/>
          <w:szCs w:val="24"/>
          <w:u w:val="none"/>
          <w:lang w:val="en-US" w:eastAsia="zh-CN" w:bidi="ar-SA"/>
        </w:rPr>
      </w:pPr>
      <w:r>
        <w:rPr>
          <w:rFonts w:hint="eastAsia" w:asciiTheme="minorEastAsia" w:hAnsiTheme="minorEastAsia" w:eastAsiaTheme="minorEastAsia" w:cstheme="minorEastAsia"/>
          <w:b w:val="0"/>
          <w:kern w:val="2"/>
          <w:sz w:val="24"/>
          <w:szCs w:val="24"/>
          <w:u w:val="none"/>
          <w:lang w:val="en-US" w:eastAsia="zh-CN" w:bidi="ar-SA"/>
        </w:rPr>
        <w:t>19.5  按照《中华人民共和国政府采购法》、《中华人民共和国政府采购法实施条例》及本项目本级和上级财政部门的有关规定依法组建的磋商小组，负责评标工作。</w:t>
      </w:r>
    </w:p>
    <w:p w14:paraId="65B50299">
      <w:pPr>
        <w:pStyle w:val="4"/>
        <w:spacing w:before="0" w:after="0" w:line="400" w:lineRule="exact"/>
        <w:rPr>
          <w:rFonts w:hint="eastAsia" w:asciiTheme="minorEastAsia" w:hAnsiTheme="minorEastAsia" w:eastAsiaTheme="minorEastAsia" w:cstheme="minorEastAsia"/>
          <w:b w:val="0"/>
          <w:kern w:val="2"/>
          <w:sz w:val="24"/>
          <w:szCs w:val="24"/>
          <w:u w:val="none"/>
          <w:lang w:val="en-US" w:eastAsia="zh-CN" w:bidi="ar-SA"/>
        </w:rPr>
      </w:pPr>
      <w:r>
        <w:rPr>
          <w:rFonts w:hint="eastAsia" w:asciiTheme="minorEastAsia" w:hAnsiTheme="minorEastAsia" w:eastAsiaTheme="minorEastAsia" w:cstheme="minorEastAsia"/>
          <w:b w:val="0"/>
          <w:kern w:val="2"/>
          <w:sz w:val="24"/>
          <w:szCs w:val="24"/>
          <w:u w:val="none"/>
          <w:lang w:val="en-US" w:eastAsia="zh-CN" w:bidi="ar-SA"/>
        </w:rPr>
        <w:t>20.   响应文件的</w:t>
      </w:r>
      <w:bookmarkEnd w:id="142"/>
      <w:r>
        <w:rPr>
          <w:rFonts w:hint="eastAsia" w:asciiTheme="minorEastAsia" w:hAnsiTheme="minorEastAsia" w:eastAsiaTheme="minorEastAsia" w:cstheme="minorEastAsia"/>
          <w:b w:val="0"/>
          <w:kern w:val="2"/>
          <w:sz w:val="24"/>
          <w:szCs w:val="24"/>
          <w:u w:val="none"/>
          <w:lang w:val="en-US" w:eastAsia="zh-CN" w:bidi="ar-SA"/>
        </w:rPr>
        <w:t>符合性审查与澄清</w:t>
      </w:r>
      <w:bookmarkEnd w:id="143"/>
      <w:bookmarkEnd w:id="144"/>
      <w:bookmarkEnd w:id="145"/>
      <w:bookmarkEnd w:id="146"/>
    </w:p>
    <w:p w14:paraId="716851D1">
      <w:pPr>
        <w:spacing w:line="400" w:lineRule="exact"/>
        <w:ind w:left="720" w:hanging="720" w:hanging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20.1  符合性审查是指依据磋商文件的规定，从响应文件的有效性和完整性对磋商文件的响应程度进行审查，以确定是否对磋商文件的实质性要求做出响应。</w:t>
      </w:r>
      <w:bookmarkStart w:id="147" w:name="_Hlt522424701"/>
      <w:bookmarkEnd w:id="147"/>
      <w:bookmarkStart w:id="148" w:name="_Toc520356167"/>
    </w:p>
    <w:p w14:paraId="781F0C6E">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响应文件的澄清</w:t>
      </w:r>
    </w:p>
    <w:p w14:paraId="5C17F541">
      <w:pPr>
        <w:spacing w:line="400" w:lineRule="exact"/>
        <w:ind w:left="720" w:hanging="720" w:hanging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20.2.1 在评审期间，</w:t>
      </w:r>
      <w:r>
        <w:rPr>
          <w:rFonts w:hint="eastAsia" w:asciiTheme="minorEastAsia" w:hAnsiTheme="minorEastAsia" w:eastAsiaTheme="minorEastAsia" w:cstheme="minorEastAsia"/>
          <w:sz w:val="24"/>
          <w:lang w:val="en-US" w:eastAsia="zh-CN"/>
        </w:rPr>
        <w:t>磋商小组</w:t>
      </w:r>
      <w:r>
        <w:rPr>
          <w:rFonts w:hint="eastAsia" w:asciiTheme="minorEastAsia" w:hAnsiTheme="minorEastAsia" w:eastAsiaTheme="minorEastAsia" w:cstheme="minorEastAsia"/>
          <w:sz w:val="24"/>
        </w:rPr>
        <w:t>将以书面方式要求</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对其响应文件中含义不明确、对同类问题表述不一致或者有明显文字和计算错误的内容，以及</w:t>
      </w:r>
      <w:r>
        <w:rPr>
          <w:rFonts w:hint="eastAsia" w:asciiTheme="minorEastAsia" w:hAnsiTheme="minorEastAsia" w:eastAsiaTheme="minorEastAsia" w:cstheme="minorEastAsia"/>
          <w:sz w:val="24"/>
          <w:lang w:val="en-US" w:eastAsia="zh-CN"/>
        </w:rPr>
        <w:t>磋商小组</w:t>
      </w:r>
      <w:r>
        <w:rPr>
          <w:rFonts w:hint="eastAsia" w:asciiTheme="minorEastAsia" w:hAnsiTheme="minorEastAsia" w:eastAsiaTheme="minorEastAsia" w:cstheme="minorEastAsia"/>
          <w:sz w:val="24"/>
        </w:rPr>
        <w:t>认为</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的报价明显低于其他通过符合性检查</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的报价，有可能影响履约的情况作必要的澄清、说明或补正。</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澄清、说明或补正。应在</w:t>
      </w:r>
      <w:r>
        <w:rPr>
          <w:rFonts w:hint="eastAsia" w:asciiTheme="minorEastAsia" w:hAnsiTheme="minorEastAsia" w:eastAsiaTheme="minorEastAsia" w:cstheme="minorEastAsia"/>
          <w:sz w:val="24"/>
          <w:lang w:val="en-US" w:eastAsia="zh-CN"/>
        </w:rPr>
        <w:t>磋商小组</w:t>
      </w:r>
      <w:r>
        <w:rPr>
          <w:rFonts w:hint="eastAsia" w:asciiTheme="minorEastAsia" w:hAnsiTheme="minorEastAsia" w:eastAsiaTheme="minorEastAsia" w:cstheme="minorEastAsia"/>
          <w:sz w:val="24"/>
        </w:rPr>
        <w:t>规定的时间内以书面方式进行，并不得超出响应文件范围或者改变响应文件的实质性内容。</w:t>
      </w:r>
    </w:p>
    <w:p w14:paraId="2D6F63C3">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20.2.2  </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的澄清、说明或补正将作为响应文件的一部分。</w:t>
      </w:r>
    </w:p>
    <w:p w14:paraId="195E2121">
      <w:pPr>
        <w:spacing w:line="4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20.3   响应文件报价出现前后不一致的，按照下列规定修正：</w:t>
      </w:r>
    </w:p>
    <w:p w14:paraId="6114C745">
      <w:pPr>
        <w:spacing w:line="400" w:lineRule="exact"/>
        <w:ind w:left="958" w:leftChars="342" w:hanging="240" w:hanging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（一）响应文件中</w:t>
      </w:r>
      <w:r>
        <w:rPr>
          <w:rFonts w:hint="eastAsia" w:asciiTheme="minorEastAsia" w:hAnsiTheme="minorEastAsia" w:eastAsiaTheme="minorEastAsia" w:cstheme="minorEastAsia"/>
          <w:sz w:val="24"/>
          <w:lang w:eastAsia="zh-CN"/>
        </w:rPr>
        <w:t>报价一览表</w:t>
      </w:r>
      <w:r>
        <w:rPr>
          <w:rFonts w:hint="eastAsia" w:asciiTheme="minorEastAsia" w:hAnsiTheme="minorEastAsia" w:eastAsiaTheme="minorEastAsia" w:cstheme="minorEastAsia"/>
          <w:sz w:val="24"/>
        </w:rPr>
        <w:t>（报价表）内容与响应文件中相应内容不一致的，以</w:t>
      </w:r>
      <w:r>
        <w:rPr>
          <w:rFonts w:hint="eastAsia" w:asciiTheme="minorEastAsia" w:hAnsiTheme="minorEastAsia" w:eastAsiaTheme="minorEastAsia" w:cstheme="minorEastAsia"/>
          <w:sz w:val="24"/>
          <w:lang w:eastAsia="zh-CN"/>
        </w:rPr>
        <w:t>报价一览表</w:t>
      </w:r>
      <w:r>
        <w:rPr>
          <w:rFonts w:hint="eastAsia" w:asciiTheme="minorEastAsia" w:hAnsiTheme="minorEastAsia" w:eastAsiaTheme="minorEastAsia" w:cstheme="minorEastAsia"/>
          <w:sz w:val="24"/>
        </w:rPr>
        <w:t>（报价表）为准；</w:t>
      </w:r>
    </w:p>
    <w:p w14:paraId="300111A1">
      <w:pPr>
        <w:spacing w:line="400" w:lineRule="exact"/>
        <w:ind w:left="898" w:leftChars="342" w:hanging="180" w:hangingChars="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（二）大写金额和小写金额不一致的，以大写金额为准；</w:t>
      </w:r>
    </w:p>
    <w:p w14:paraId="4E0820BA">
      <w:pPr>
        <w:spacing w:line="400" w:lineRule="exact"/>
        <w:ind w:left="958" w:leftChars="342" w:hanging="240" w:hanging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（三）单价金额小数点或者百分比有明显错位的，以</w:t>
      </w:r>
      <w:r>
        <w:rPr>
          <w:rFonts w:hint="eastAsia" w:asciiTheme="minorEastAsia" w:hAnsiTheme="minorEastAsia" w:eastAsiaTheme="minorEastAsia" w:cstheme="minorEastAsia"/>
          <w:sz w:val="24"/>
          <w:lang w:eastAsia="zh-CN"/>
        </w:rPr>
        <w:t>报价一览表</w:t>
      </w:r>
      <w:r>
        <w:rPr>
          <w:rFonts w:hint="eastAsia" w:asciiTheme="minorEastAsia" w:hAnsiTheme="minorEastAsia" w:eastAsiaTheme="minorEastAsia" w:cstheme="minorEastAsia"/>
          <w:sz w:val="24"/>
        </w:rPr>
        <w:t>的总价为准，并修改单价；</w:t>
      </w:r>
    </w:p>
    <w:p w14:paraId="66CB713C">
      <w:pPr>
        <w:spacing w:line="40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（四）总价金额与按单价汇总金额不一致的，以单价金额计算结果为准。</w:t>
      </w:r>
    </w:p>
    <w:p w14:paraId="658C258E">
      <w:pPr>
        <w:spacing w:line="400" w:lineRule="exact"/>
        <w:ind w:left="718" w:leftChars="228" w:hanging="240" w:hanging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同时出现两种以上不一致的，按照前款规定的顺序修正。修正后的报价按照第20.2条的规定经</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确认后产生约束力，</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不确认的，将被认定为</w:t>
      </w:r>
      <w:r>
        <w:rPr>
          <w:rFonts w:hint="eastAsia" w:asciiTheme="minorEastAsia" w:hAnsiTheme="minorEastAsia" w:eastAsiaTheme="minorEastAsia" w:cstheme="minorEastAsia"/>
          <w:b/>
          <w:bCs/>
          <w:sz w:val="24"/>
          <w:lang w:eastAsia="zh-CN"/>
        </w:rPr>
        <w:t>响应</w:t>
      </w:r>
      <w:r>
        <w:rPr>
          <w:rFonts w:hint="eastAsia" w:asciiTheme="minorEastAsia" w:hAnsiTheme="minorEastAsia" w:eastAsiaTheme="minorEastAsia" w:cstheme="minorEastAsia"/>
          <w:b/>
          <w:bCs/>
          <w:sz w:val="24"/>
        </w:rPr>
        <w:t>无效</w:t>
      </w:r>
      <w:r>
        <w:rPr>
          <w:rFonts w:hint="eastAsia" w:asciiTheme="minorEastAsia" w:hAnsiTheme="minorEastAsia" w:eastAsiaTheme="minorEastAsia" w:cstheme="minorEastAsia"/>
          <w:sz w:val="24"/>
        </w:rPr>
        <w:t>。</w:t>
      </w:r>
    </w:p>
    <w:p w14:paraId="4BFA83D9">
      <w:pPr>
        <w:spacing w:line="40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对不同文字文本响应文件的解释发生异议的，以中文文本为准。</w:t>
      </w:r>
    </w:p>
    <w:p w14:paraId="0BC0C61D">
      <w:pPr>
        <w:spacing w:line="400" w:lineRule="exact"/>
        <w:ind w:left="720" w:hanging="720" w:hanging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20.4  </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为提供服务所伴随</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的产品如被列入财政部与国家主管部门颁发的节能产品目录或环境标志产品目录或无线局域网产品目录，应提供相关证明，在评审时予以优先采购，具体优先采购办法见第6章评审方法和标准。</w:t>
      </w:r>
    </w:p>
    <w:p w14:paraId="46D1FC79">
      <w:pPr>
        <w:pStyle w:val="4"/>
        <w:spacing w:before="0" w:after="0" w:line="400" w:lineRule="exact"/>
        <w:rPr>
          <w:rFonts w:hint="eastAsia" w:asciiTheme="minorEastAsia" w:hAnsiTheme="minorEastAsia" w:eastAsiaTheme="minorEastAsia" w:cstheme="minorEastAsia"/>
          <w:u w:val="none"/>
        </w:rPr>
      </w:pPr>
      <w:bookmarkStart w:id="149" w:name="_Toc518923086"/>
      <w:bookmarkStart w:id="150" w:name="_Toc8603"/>
      <w:bookmarkStart w:id="151" w:name="_Toc6346_WPSOffice_Level2"/>
      <w:bookmarkStart w:id="152" w:name="_Toc26452_WPSOffice_Level2"/>
      <w:r>
        <w:rPr>
          <w:rFonts w:hint="eastAsia" w:asciiTheme="minorEastAsia" w:hAnsiTheme="minorEastAsia" w:eastAsiaTheme="minorEastAsia" w:cstheme="minorEastAsia"/>
          <w:u w:val="none"/>
        </w:rPr>
        <w:t>21.响应偏离</w:t>
      </w:r>
      <w:bookmarkEnd w:id="149"/>
      <w:bookmarkEnd w:id="150"/>
      <w:bookmarkEnd w:id="151"/>
      <w:bookmarkEnd w:id="152"/>
    </w:p>
    <w:p w14:paraId="7CFDF04D">
      <w:pPr>
        <w:spacing w:line="400" w:lineRule="exact"/>
        <w:ind w:left="720" w:hanging="720" w:hanging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color w:val="auto"/>
          <w:sz w:val="24"/>
          <w:lang w:val="en-US" w:eastAsia="zh-CN"/>
        </w:rPr>
        <w:t>磋商小组</w:t>
      </w:r>
      <w:r>
        <w:rPr>
          <w:rFonts w:hint="eastAsia" w:asciiTheme="minorEastAsia" w:hAnsiTheme="minorEastAsia" w:eastAsiaTheme="minorEastAsia" w:cstheme="minorEastAsia"/>
          <w:color w:val="auto"/>
          <w:sz w:val="24"/>
        </w:rPr>
        <w:t>可以接受响应文件中不构成实质性偏离的不正规或不一致</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但技术参数除外，即技术参数均不允许有负偏离现象，否则按无效投标处理</w:t>
      </w:r>
      <w:r>
        <w:rPr>
          <w:rFonts w:hint="eastAsia" w:asciiTheme="minorEastAsia" w:hAnsiTheme="minorEastAsia" w:eastAsiaTheme="minorEastAsia" w:cstheme="minorEastAsia"/>
          <w:color w:val="auto"/>
          <w:sz w:val="24"/>
        </w:rPr>
        <w:t>。</w:t>
      </w:r>
    </w:p>
    <w:p w14:paraId="5AC46A56">
      <w:pPr>
        <w:pStyle w:val="4"/>
        <w:spacing w:before="0" w:after="0" w:line="400" w:lineRule="exact"/>
        <w:rPr>
          <w:rFonts w:hint="eastAsia" w:asciiTheme="minorEastAsia" w:hAnsiTheme="minorEastAsia" w:eastAsiaTheme="minorEastAsia" w:cstheme="minorEastAsia"/>
          <w:u w:val="none"/>
        </w:rPr>
      </w:pPr>
      <w:bookmarkStart w:id="153" w:name="_Toc518923087"/>
      <w:bookmarkStart w:id="154" w:name="_Toc11645_WPSOffice_Level2"/>
      <w:bookmarkStart w:id="155" w:name="_Toc25236_WPSOffice_Level2"/>
      <w:bookmarkStart w:id="156" w:name="_Toc25255"/>
      <w:r>
        <w:rPr>
          <w:rFonts w:hint="eastAsia" w:asciiTheme="minorEastAsia" w:hAnsiTheme="minorEastAsia" w:eastAsiaTheme="minorEastAsia" w:cstheme="minorEastAsia"/>
          <w:u w:val="none"/>
        </w:rPr>
        <w:t>22.响应无效</w:t>
      </w:r>
      <w:bookmarkEnd w:id="153"/>
      <w:bookmarkEnd w:id="154"/>
      <w:bookmarkEnd w:id="155"/>
      <w:bookmarkEnd w:id="156"/>
    </w:p>
    <w:p w14:paraId="44C2409B">
      <w:pPr>
        <w:spacing w:line="400" w:lineRule="exact"/>
        <w:ind w:left="720" w:hanging="720" w:hanging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22.1  在比较与评价之前，根据本须知的规定，</w:t>
      </w:r>
      <w:r>
        <w:rPr>
          <w:rFonts w:hint="eastAsia" w:asciiTheme="minorEastAsia" w:hAnsiTheme="minorEastAsia" w:eastAsiaTheme="minorEastAsia" w:cstheme="minorEastAsia"/>
          <w:sz w:val="24"/>
          <w:lang w:val="en-US" w:eastAsia="zh-CN"/>
        </w:rPr>
        <w:t>磋商小组</w:t>
      </w:r>
      <w:r>
        <w:rPr>
          <w:rFonts w:hint="eastAsia" w:asciiTheme="minorEastAsia" w:hAnsiTheme="minorEastAsia" w:eastAsiaTheme="minorEastAsia" w:cstheme="minorEastAsia"/>
          <w:sz w:val="24"/>
        </w:rPr>
        <w:t>要审查每份响应文件是否实质上响应了磋商文件的要求。实质上响应的响应文件应该是与磋商文件要求的全部条款、条件和规格相符，没有重大偏离的响应。对关键条款的偏离，将被认定为无效。</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不得通过修正或撤销不符合要求的偏离从而使其</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成为实质上响应。</w:t>
      </w:r>
    </w:p>
    <w:p w14:paraId="4296DEEE">
      <w:pPr>
        <w:spacing w:line="400" w:lineRule="exact"/>
        <w:ind w:left="718" w:leftChars="342"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磋商小组决定磋商的响应性只根据磋商文件要求、响应文件内容及财政主管部门指定相关信息发布媒体。</w:t>
      </w:r>
    </w:p>
    <w:p w14:paraId="6496D217">
      <w:pPr>
        <w:spacing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22.2</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如发现下列情况之一的，其磋商将被认定为无效：（</w:t>
      </w:r>
      <w:r>
        <w:rPr>
          <w:rFonts w:hint="eastAsia" w:asciiTheme="minorEastAsia" w:hAnsiTheme="minorEastAsia" w:eastAsiaTheme="minorEastAsia" w:cstheme="minorEastAsia"/>
          <w:b/>
          <w:sz w:val="24"/>
        </w:rPr>
        <w:t>以下情形应当在磋商文件中规定，并以醒目的方式标明</w:t>
      </w:r>
      <w:r>
        <w:rPr>
          <w:rFonts w:hint="eastAsia" w:asciiTheme="minorEastAsia" w:hAnsiTheme="minorEastAsia" w:eastAsiaTheme="minorEastAsia" w:cstheme="minorEastAsia"/>
          <w:sz w:val="24"/>
        </w:rPr>
        <w:t>）</w:t>
      </w:r>
    </w:p>
    <w:p w14:paraId="2C7FBA87">
      <w:pPr>
        <w:numPr>
          <w:ilvl w:val="0"/>
          <w:numId w:val="10"/>
        </w:numPr>
        <w:spacing w:line="400" w:lineRule="exact"/>
        <w:ind w:left="1080" w:leftChars="429" w:hanging="1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未按磋商文件规定的形式和金额提交磋商保证金的；</w:t>
      </w:r>
    </w:p>
    <w:p w14:paraId="74B06B49">
      <w:pPr>
        <w:numPr>
          <w:ilvl w:val="0"/>
          <w:numId w:val="10"/>
        </w:numPr>
        <w:spacing w:line="400" w:lineRule="exact"/>
        <w:ind w:left="1080" w:leftChars="429" w:hanging="1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未按照磋商文件规定要求签署、盖章的；</w:t>
      </w:r>
    </w:p>
    <w:p w14:paraId="4C9B3D63">
      <w:pPr>
        <w:numPr>
          <w:ilvl w:val="0"/>
          <w:numId w:val="10"/>
        </w:numPr>
        <w:spacing w:line="400" w:lineRule="exact"/>
        <w:ind w:left="1080" w:leftChars="429" w:hanging="1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未满足磋商文件中技术条款的实质性要求；</w:t>
      </w:r>
    </w:p>
    <w:p w14:paraId="0DB44DA5">
      <w:pPr>
        <w:numPr>
          <w:ilvl w:val="0"/>
          <w:numId w:val="10"/>
        </w:numPr>
        <w:spacing w:line="400" w:lineRule="exact"/>
        <w:ind w:left="1080" w:leftChars="429" w:hanging="1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与其他</w:t>
      </w:r>
      <w:r>
        <w:rPr>
          <w:rFonts w:hint="eastAsia" w:asciiTheme="minorEastAsia" w:hAnsiTheme="minorEastAsia" w:eastAsiaTheme="minorEastAsia" w:cstheme="minorEastAsia"/>
          <w:b/>
          <w:bCs/>
          <w:sz w:val="24"/>
          <w:lang w:eastAsia="zh-CN"/>
        </w:rPr>
        <w:t>供应商</w:t>
      </w:r>
      <w:r>
        <w:rPr>
          <w:rFonts w:hint="eastAsia" w:asciiTheme="minorEastAsia" w:hAnsiTheme="minorEastAsia" w:eastAsiaTheme="minorEastAsia" w:cstheme="minorEastAsia"/>
          <w:b/>
          <w:bCs/>
          <w:sz w:val="24"/>
        </w:rPr>
        <w:t>串通参加磋商，或者与采购人串通参加磋商；</w:t>
      </w:r>
    </w:p>
    <w:p w14:paraId="244303E8">
      <w:pPr>
        <w:numPr>
          <w:ilvl w:val="0"/>
          <w:numId w:val="10"/>
        </w:numPr>
        <w:spacing w:line="400" w:lineRule="exact"/>
        <w:ind w:left="1080" w:leftChars="429" w:hanging="1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属于磋商文件规定的其他</w:t>
      </w:r>
      <w:r>
        <w:rPr>
          <w:rFonts w:hint="eastAsia" w:asciiTheme="minorEastAsia" w:hAnsiTheme="minorEastAsia" w:eastAsiaTheme="minorEastAsia" w:cstheme="minorEastAsia"/>
          <w:b/>
          <w:bCs/>
          <w:sz w:val="24"/>
          <w:lang w:eastAsia="zh-CN"/>
        </w:rPr>
        <w:t>响应</w:t>
      </w:r>
      <w:r>
        <w:rPr>
          <w:rFonts w:hint="eastAsia" w:asciiTheme="minorEastAsia" w:hAnsiTheme="minorEastAsia" w:eastAsiaTheme="minorEastAsia" w:cstheme="minorEastAsia"/>
          <w:b/>
          <w:bCs/>
          <w:sz w:val="24"/>
        </w:rPr>
        <w:t>无效情形；</w:t>
      </w:r>
    </w:p>
    <w:p w14:paraId="789F9F2E">
      <w:pPr>
        <w:numPr>
          <w:ilvl w:val="0"/>
          <w:numId w:val="10"/>
        </w:numPr>
        <w:spacing w:line="400" w:lineRule="exact"/>
        <w:ind w:left="1080" w:leftChars="429" w:hanging="1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磋商小组</w:t>
      </w:r>
      <w:r>
        <w:rPr>
          <w:rFonts w:hint="eastAsia" w:asciiTheme="minorEastAsia" w:hAnsiTheme="minorEastAsia" w:eastAsiaTheme="minorEastAsia" w:cstheme="minorEastAsia"/>
          <w:b/>
          <w:bCs/>
          <w:sz w:val="24"/>
        </w:rPr>
        <w:t>认为</w:t>
      </w:r>
      <w:r>
        <w:rPr>
          <w:rFonts w:hint="eastAsia" w:asciiTheme="minorEastAsia" w:hAnsiTheme="minorEastAsia" w:eastAsiaTheme="minorEastAsia" w:cstheme="minorEastAsia"/>
          <w:b/>
          <w:bCs/>
          <w:sz w:val="24"/>
          <w:lang w:eastAsia="zh-CN"/>
        </w:rPr>
        <w:t>供应商</w:t>
      </w:r>
      <w:r>
        <w:rPr>
          <w:rFonts w:hint="eastAsia" w:asciiTheme="minorEastAsia" w:hAnsiTheme="minorEastAsia" w:eastAsiaTheme="minorEastAsia" w:cstheme="minorEastAsia"/>
          <w:b/>
          <w:bCs/>
          <w:sz w:val="24"/>
        </w:rPr>
        <w:t>的报价明显低于其他通过符合性检查供</w:t>
      </w:r>
    </w:p>
    <w:p w14:paraId="0E9EE7AF">
      <w:pPr>
        <w:spacing w:line="400" w:lineRule="exact"/>
        <w:ind w:left="957" w:leftChars="456"/>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应商的报价，有可能影响履约的，且</w:t>
      </w:r>
      <w:r>
        <w:rPr>
          <w:rFonts w:hint="eastAsia" w:asciiTheme="minorEastAsia" w:hAnsiTheme="minorEastAsia" w:eastAsiaTheme="minorEastAsia" w:cstheme="minorEastAsia"/>
          <w:b/>
          <w:bCs/>
          <w:sz w:val="24"/>
          <w:lang w:eastAsia="zh-CN"/>
        </w:rPr>
        <w:t>供应商</w:t>
      </w:r>
      <w:r>
        <w:rPr>
          <w:rFonts w:hint="eastAsia" w:asciiTheme="minorEastAsia" w:hAnsiTheme="minorEastAsia" w:eastAsiaTheme="minorEastAsia" w:cstheme="minorEastAsia"/>
          <w:b/>
          <w:bCs/>
          <w:sz w:val="24"/>
        </w:rPr>
        <w:t>未按照规定证明其报价合理性的；</w:t>
      </w:r>
    </w:p>
    <w:p w14:paraId="2D70A65E">
      <w:pPr>
        <w:numPr>
          <w:ilvl w:val="0"/>
          <w:numId w:val="10"/>
        </w:numPr>
        <w:spacing w:line="400" w:lineRule="exact"/>
        <w:ind w:left="1080" w:leftChars="429" w:hanging="18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响应文件含有采购人不能接受的附加条件的；</w:t>
      </w:r>
    </w:p>
    <w:p w14:paraId="14639955">
      <w:pPr>
        <w:numPr>
          <w:ilvl w:val="0"/>
          <w:numId w:val="10"/>
        </w:numPr>
        <w:tabs>
          <w:tab w:val="left" w:pos="0"/>
        </w:tabs>
        <w:spacing w:line="400" w:lineRule="exact"/>
        <w:ind w:left="1080" w:leftChars="429" w:hanging="1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不符合法规和磋商文件中规定的其他实质性要求的。</w:t>
      </w:r>
    </w:p>
    <w:p w14:paraId="50A62EC3">
      <w:pPr>
        <w:spacing w:line="400" w:lineRule="exact"/>
        <w:outlineLvl w:val="2"/>
        <w:rPr>
          <w:rFonts w:hint="eastAsia" w:asciiTheme="minorEastAsia" w:hAnsiTheme="minorEastAsia" w:eastAsiaTheme="minorEastAsia" w:cstheme="minorEastAsia"/>
          <w:b/>
          <w:bCs/>
          <w:sz w:val="24"/>
        </w:rPr>
      </w:pPr>
      <w:bookmarkStart w:id="157" w:name="_Toc20835"/>
      <w:bookmarkStart w:id="158" w:name="_Toc518923088"/>
      <w:bookmarkStart w:id="159" w:name="_Toc14330_WPSOffice_Level2"/>
      <w:bookmarkStart w:id="160" w:name="_Toc22743_WPSOffice_Level2"/>
      <w:r>
        <w:rPr>
          <w:rFonts w:hint="eastAsia" w:asciiTheme="minorEastAsia" w:hAnsiTheme="minorEastAsia" w:eastAsiaTheme="minorEastAsia" w:cstheme="minorEastAsia"/>
          <w:b/>
          <w:bCs/>
          <w:sz w:val="24"/>
        </w:rPr>
        <w:t>23</w:t>
      </w:r>
      <w:bookmarkEnd w:id="148"/>
      <w:r>
        <w:rPr>
          <w:rFonts w:hint="eastAsia" w:asciiTheme="minorEastAsia" w:hAnsiTheme="minorEastAsia" w:eastAsiaTheme="minorEastAsia" w:cstheme="minorEastAsia"/>
          <w:b/>
          <w:bCs/>
          <w:sz w:val="24"/>
        </w:rPr>
        <w:t>.比较与评价</w:t>
      </w:r>
      <w:bookmarkEnd w:id="157"/>
      <w:bookmarkEnd w:id="158"/>
      <w:bookmarkEnd w:id="159"/>
      <w:bookmarkEnd w:id="160"/>
    </w:p>
    <w:p w14:paraId="50C89AFF">
      <w:pPr>
        <w:pStyle w:val="4"/>
        <w:spacing w:before="0" w:after="0" w:line="240" w:lineRule="auto"/>
        <w:ind w:left="720" w:hanging="720" w:hangingChars="300"/>
        <w:rPr>
          <w:rFonts w:hint="eastAsia" w:asciiTheme="minorEastAsia" w:hAnsiTheme="minorEastAsia" w:eastAsiaTheme="minorEastAsia" w:cstheme="minorEastAsia"/>
          <w:b w:val="0"/>
          <w:bCs/>
          <w:kern w:val="2"/>
          <w:szCs w:val="24"/>
          <w:u w:val="none"/>
        </w:rPr>
      </w:pPr>
      <w:bookmarkStart w:id="161" w:name="_Toc520356168"/>
      <w:bookmarkStart w:id="162" w:name="_Toc27560_WPSOffice_Level2"/>
      <w:bookmarkStart w:id="163" w:name="_Toc5823"/>
      <w:bookmarkStart w:id="164" w:name="_Toc518923089"/>
      <w:bookmarkStart w:id="165" w:name="_Toc21686_WPSOffice_Level2"/>
      <w:r>
        <w:rPr>
          <w:rFonts w:hint="eastAsia" w:asciiTheme="minorEastAsia" w:hAnsiTheme="minorEastAsia" w:eastAsiaTheme="minorEastAsia" w:cstheme="minorEastAsia"/>
          <w:b w:val="0"/>
          <w:bCs/>
          <w:kern w:val="2"/>
          <w:szCs w:val="24"/>
          <w:u w:val="none"/>
        </w:rPr>
        <w:t>23.1  经符合性审查合格的响应文件，磋商小组将根据磋商文件确定的评审方法和标准，对其技术部分和商务部分作进一步的比较和评价。</w:t>
      </w:r>
    </w:p>
    <w:p w14:paraId="75B4F2E6">
      <w:pPr>
        <w:pStyle w:val="4"/>
        <w:spacing w:before="0" w:after="0" w:line="240" w:lineRule="auto"/>
        <w:ind w:left="720" w:hanging="720" w:hangingChars="300"/>
        <w:rPr>
          <w:rFonts w:hint="eastAsia" w:asciiTheme="minorEastAsia" w:hAnsiTheme="minorEastAsia" w:eastAsiaTheme="minorEastAsia" w:cstheme="minorEastAsia"/>
          <w:b w:val="0"/>
          <w:bCs/>
          <w:kern w:val="2"/>
          <w:szCs w:val="24"/>
          <w:u w:val="none"/>
        </w:rPr>
      </w:pPr>
      <w:r>
        <w:rPr>
          <w:rFonts w:hint="eastAsia" w:asciiTheme="minorEastAsia" w:hAnsiTheme="minorEastAsia" w:eastAsiaTheme="minorEastAsia" w:cstheme="minorEastAsia"/>
          <w:b w:val="0"/>
          <w:bCs/>
          <w:kern w:val="2"/>
          <w:szCs w:val="24"/>
          <w:u w:val="none"/>
        </w:rPr>
        <w:t>23.2  评审严格按照磋商文件的要求和条件进行。根据实际情况，在供应商须知资料表 中规定采用下列一种评审方法，详细评审标准见磋商文件第六 章：</w:t>
      </w:r>
    </w:p>
    <w:p w14:paraId="1A382426">
      <w:pPr>
        <w:pStyle w:val="4"/>
        <w:spacing w:before="0" w:after="0" w:line="240" w:lineRule="auto"/>
        <w:ind w:left="718" w:leftChars="342" w:firstLine="0" w:firstLineChars="0"/>
        <w:rPr>
          <w:rFonts w:hint="eastAsia" w:asciiTheme="minorEastAsia" w:hAnsiTheme="minorEastAsia" w:eastAsiaTheme="minorEastAsia" w:cstheme="minorEastAsia"/>
          <w:b w:val="0"/>
          <w:bCs/>
          <w:kern w:val="2"/>
          <w:szCs w:val="24"/>
          <w:u w:val="none"/>
        </w:rPr>
      </w:pPr>
      <w:r>
        <w:rPr>
          <w:rFonts w:hint="eastAsia" w:asciiTheme="minorEastAsia" w:hAnsiTheme="minorEastAsia" w:eastAsiaTheme="minorEastAsia" w:cstheme="minorEastAsia"/>
          <w:b w:val="0"/>
          <w:bCs/>
          <w:kern w:val="2"/>
          <w:szCs w:val="24"/>
          <w:u w:val="none"/>
        </w:rPr>
        <w:t>（1）最低评标价法，是指响应文件满足磋商文件全部实质性要求，且投 标报价最低的供应商为成交候选供应商的评审方法。</w:t>
      </w:r>
    </w:p>
    <w:p w14:paraId="18FA4B7B">
      <w:pPr>
        <w:pStyle w:val="4"/>
        <w:spacing w:before="0" w:after="0" w:line="240" w:lineRule="auto"/>
        <w:ind w:left="718" w:leftChars="342" w:firstLine="0" w:firstLineChars="0"/>
        <w:rPr>
          <w:rFonts w:hint="eastAsia" w:asciiTheme="minorEastAsia" w:hAnsiTheme="minorEastAsia" w:eastAsiaTheme="minorEastAsia" w:cstheme="minorEastAsia"/>
          <w:b w:val="0"/>
          <w:bCs/>
          <w:kern w:val="2"/>
          <w:szCs w:val="24"/>
          <w:u w:val="none"/>
        </w:rPr>
      </w:pPr>
      <w:r>
        <w:rPr>
          <w:rFonts w:hint="eastAsia" w:asciiTheme="minorEastAsia" w:hAnsiTheme="minorEastAsia" w:eastAsiaTheme="minorEastAsia" w:cstheme="minorEastAsia"/>
          <w:b w:val="0"/>
          <w:bCs/>
          <w:kern w:val="2"/>
          <w:szCs w:val="24"/>
          <w:u w:val="none"/>
        </w:rPr>
        <w:t>（2）综合评分法，是指响应文件满足磋商文件全部实质性要求，且按照 评审因素的量化指标评审得分最高的供应商为成交候选供应商的评审方 法。本项目采用招标方式：竞争性磋商，评分方法：综合评分法。</w:t>
      </w:r>
    </w:p>
    <w:p w14:paraId="40B23A5C">
      <w:pPr>
        <w:pStyle w:val="4"/>
        <w:spacing w:before="0" w:after="0" w:line="240" w:lineRule="auto"/>
        <w:ind w:left="720" w:hanging="720" w:hangingChars="300"/>
        <w:rPr>
          <w:rFonts w:hint="eastAsia" w:asciiTheme="minorEastAsia" w:hAnsiTheme="minorEastAsia" w:eastAsiaTheme="minorEastAsia" w:cstheme="minorEastAsia"/>
          <w:b w:val="0"/>
          <w:bCs/>
          <w:kern w:val="2"/>
          <w:szCs w:val="24"/>
          <w:u w:val="none"/>
        </w:rPr>
      </w:pPr>
      <w:r>
        <w:rPr>
          <w:rFonts w:hint="eastAsia" w:asciiTheme="minorEastAsia" w:hAnsiTheme="minorEastAsia" w:eastAsiaTheme="minorEastAsia" w:cstheme="minorEastAsia"/>
          <w:b w:val="0"/>
          <w:bCs/>
          <w:kern w:val="2"/>
          <w:szCs w:val="24"/>
          <w:u w:val="none"/>
        </w:rPr>
        <w:t>23.3  根据《财政部、司法部关于政府采购支持监狱企业发展有关问题的通知》（财库〔2014〕68 号）和《财政部、民政部、中国残疾人联合会关于促 进残疾人就业政府采购政策的通知》（财库〔2017〕141 号）和《政府 采购促进中小企业发展管理办法》（财库〔2020〕46 号）的规定，对满 足价格扣除条件且在响应文件中提交了《供应商企业类型声明函》或省 级以上监狱管理局、戒毒管理局（含新疆生产建设兵团）出具的属于监 狱企业的证明文件及中小企业出具的证明文件的供应商实行 10 % 价格 扣除制度，用扣除后的价格参与价格因素评审。具体办法详见磋商文件 第 6 章。</w:t>
      </w:r>
    </w:p>
    <w:p w14:paraId="687199AB">
      <w:pPr>
        <w:pStyle w:val="4"/>
        <w:spacing w:before="0" w:after="0" w:line="240" w:lineRule="auto"/>
        <w:rPr>
          <w:rFonts w:hint="eastAsia" w:asciiTheme="minorEastAsia" w:hAnsiTheme="minorEastAsia" w:eastAsiaTheme="minorEastAsia" w:cstheme="minorEastAsia"/>
          <w:kern w:val="2"/>
          <w:szCs w:val="24"/>
          <w:u w:val="none"/>
        </w:rPr>
      </w:pPr>
      <w:r>
        <w:rPr>
          <w:rFonts w:hint="eastAsia" w:asciiTheme="minorEastAsia" w:hAnsiTheme="minorEastAsia" w:eastAsiaTheme="minorEastAsia" w:cstheme="minorEastAsia"/>
          <w:kern w:val="2"/>
          <w:szCs w:val="24"/>
          <w:u w:val="none"/>
        </w:rPr>
        <w:t>24</w:t>
      </w:r>
      <w:bookmarkEnd w:id="161"/>
      <w:r>
        <w:rPr>
          <w:rFonts w:hint="eastAsia" w:asciiTheme="minorEastAsia" w:hAnsiTheme="minorEastAsia" w:eastAsiaTheme="minorEastAsia" w:cstheme="minorEastAsia"/>
          <w:kern w:val="2"/>
          <w:szCs w:val="24"/>
          <w:u w:val="none"/>
        </w:rPr>
        <w:t>.废标</w:t>
      </w:r>
      <w:bookmarkEnd w:id="162"/>
      <w:bookmarkEnd w:id="163"/>
      <w:bookmarkEnd w:id="164"/>
      <w:bookmarkEnd w:id="165"/>
    </w:p>
    <w:p w14:paraId="09CEFD5F">
      <w:pPr>
        <w:spacing w:line="240" w:lineRule="auto"/>
        <w:ind w:firstLine="720" w:firstLineChars="3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出现下列情形之一，将导致项目废标： </w:t>
      </w:r>
    </w:p>
    <w:p w14:paraId="414A67E6">
      <w:pPr>
        <w:spacing w:line="240" w:lineRule="auto"/>
        <w:ind w:left="65" w:leftChars="31" w:firstLine="540" w:firstLineChars="225"/>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（1）符合专业条件的</w:t>
      </w:r>
      <w:r>
        <w:rPr>
          <w:rFonts w:hint="eastAsia" w:asciiTheme="minorEastAsia" w:hAnsiTheme="minorEastAsia" w:eastAsiaTheme="minorEastAsia" w:cstheme="minorEastAsia"/>
          <w:b w:val="0"/>
          <w:bCs w:val="0"/>
          <w:sz w:val="24"/>
          <w:lang w:eastAsia="zh-CN"/>
        </w:rPr>
        <w:t>供应商</w:t>
      </w:r>
      <w:r>
        <w:rPr>
          <w:rFonts w:hint="eastAsia" w:asciiTheme="minorEastAsia" w:hAnsiTheme="minorEastAsia" w:eastAsiaTheme="minorEastAsia" w:cstheme="minorEastAsia"/>
          <w:b w:val="0"/>
          <w:bCs w:val="0"/>
          <w:sz w:val="24"/>
        </w:rPr>
        <w:t>或者对磋商文件做实质性响应的</w:t>
      </w:r>
      <w:r>
        <w:rPr>
          <w:rFonts w:hint="eastAsia" w:asciiTheme="minorEastAsia" w:hAnsiTheme="minorEastAsia" w:eastAsiaTheme="minorEastAsia" w:cstheme="minorEastAsia"/>
          <w:b w:val="0"/>
          <w:bCs w:val="0"/>
          <w:sz w:val="24"/>
          <w:lang w:eastAsia="zh-CN"/>
        </w:rPr>
        <w:t>供应商</w:t>
      </w:r>
      <w:r>
        <w:rPr>
          <w:rFonts w:hint="eastAsia" w:asciiTheme="minorEastAsia" w:hAnsiTheme="minorEastAsia" w:eastAsiaTheme="minorEastAsia" w:cstheme="minorEastAsia"/>
          <w:b w:val="0"/>
          <w:bCs w:val="0"/>
          <w:sz w:val="24"/>
        </w:rPr>
        <w:t>不足三家；</w:t>
      </w:r>
    </w:p>
    <w:p w14:paraId="0D7C3268">
      <w:pPr>
        <w:spacing w:line="240" w:lineRule="auto"/>
        <w:ind w:left="1" w:leftChars="-123" w:hanging="259" w:hangingChars="108"/>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ab/>
      </w:r>
      <w:r>
        <w:rPr>
          <w:rFonts w:hint="eastAsia" w:asciiTheme="minorEastAsia" w:hAnsiTheme="minorEastAsia" w:eastAsiaTheme="minorEastAsia" w:cstheme="minorEastAsia"/>
          <w:b w:val="0"/>
          <w:bCs w:val="0"/>
          <w:sz w:val="24"/>
          <w:lang w:val="en-US" w:eastAsia="zh-CN"/>
        </w:rPr>
        <w:t xml:space="preserve">     </w:t>
      </w:r>
      <w:r>
        <w:rPr>
          <w:rFonts w:hint="eastAsia" w:asciiTheme="minorEastAsia" w:hAnsiTheme="minorEastAsia" w:eastAsiaTheme="minorEastAsia" w:cstheme="minorEastAsia"/>
          <w:b w:val="0"/>
          <w:bCs w:val="0"/>
          <w:sz w:val="24"/>
        </w:rPr>
        <w:t>（2）出现影响采购公正的违法、违规行为的；</w:t>
      </w:r>
    </w:p>
    <w:p w14:paraId="4476BACA">
      <w:pPr>
        <w:spacing w:line="240" w:lineRule="auto"/>
        <w:ind w:left="65" w:leftChars="31" w:firstLine="540" w:firstLineChars="225"/>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（3）</w:t>
      </w:r>
      <w:r>
        <w:rPr>
          <w:rFonts w:hint="eastAsia" w:asciiTheme="minorEastAsia" w:hAnsiTheme="minorEastAsia" w:eastAsiaTheme="minorEastAsia" w:cstheme="minorEastAsia"/>
          <w:b w:val="0"/>
          <w:bCs w:val="0"/>
          <w:sz w:val="24"/>
          <w:lang w:eastAsia="zh-CN"/>
        </w:rPr>
        <w:t>供应商</w:t>
      </w:r>
      <w:r>
        <w:rPr>
          <w:rFonts w:hint="eastAsia" w:asciiTheme="minorEastAsia" w:hAnsiTheme="minorEastAsia" w:eastAsiaTheme="minorEastAsia" w:cstheme="minorEastAsia"/>
          <w:b w:val="0"/>
          <w:bCs w:val="0"/>
          <w:sz w:val="24"/>
        </w:rPr>
        <w:t>的报价均超过了采购预算，采购人不能支付的；</w:t>
      </w:r>
    </w:p>
    <w:p w14:paraId="4838DD5B">
      <w:pPr>
        <w:spacing w:line="240" w:lineRule="auto"/>
        <w:ind w:left="65" w:leftChars="31" w:firstLine="540" w:firstLineChars="22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val="0"/>
          <w:bCs w:val="0"/>
          <w:sz w:val="24"/>
        </w:rPr>
        <w:t xml:space="preserve">（4）因重大变故，采购任务取消的。  </w:t>
      </w:r>
      <w:r>
        <w:rPr>
          <w:rFonts w:hint="eastAsia" w:asciiTheme="minorEastAsia" w:hAnsiTheme="minorEastAsia" w:eastAsiaTheme="minorEastAsia" w:cstheme="minorEastAsia"/>
          <w:sz w:val="24"/>
        </w:rPr>
        <w:t xml:space="preserve"> </w:t>
      </w:r>
    </w:p>
    <w:p w14:paraId="52167615">
      <w:pPr>
        <w:pStyle w:val="4"/>
        <w:spacing w:before="0" w:after="0" w:line="240" w:lineRule="auto"/>
        <w:rPr>
          <w:rFonts w:hint="eastAsia" w:asciiTheme="minorEastAsia" w:hAnsiTheme="minorEastAsia" w:eastAsiaTheme="minorEastAsia" w:cstheme="minorEastAsia"/>
          <w:u w:val="none"/>
        </w:rPr>
      </w:pPr>
      <w:bookmarkStart w:id="166" w:name="_Toc518923090"/>
      <w:bookmarkStart w:id="167" w:name="_Toc4205_WPSOffice_Level2"/>
      <w:bookmarkStart w:id="168" w:name="_Toc23660"/>
      <w:bookmarkStart w:id="169" w:name="_Toc16649_WPSOffice_Level2"/>
      <w:bookmarkStart w:id="170" w:name="_Toc520356169"/>
      <w:r>
        <w:rPr>
          <w:rFonts w:hint="eastAsia" w:asciiTheme="minorEastAsia" w:hAnsiTheme="minorEastAsia" w:eastAsiaTheme="minorEastAsia" w:cstheme="minorEastAsia"/>
          <w:u w:val="none"/>
        </w:rPr>
        <w:t>25.保密原则</w:t>
      </w:r>
      <w:bookmarkEnd w:id="166"/>
      <w:bookmarkEnd w:id="167"/>
      <w:bookmarkEnd w:id="168"/>
      <w:bookmarkEnd w:id="169"/>
    </w:p>
    <w:p w14:paraId="59C3DB44">
      <w:pPr>
        <w:pStyle w:val="4"/>
        <w:spacing w:before="0" w:after="0" w:line="240" w:lineRule="auto"/>
        <w:rPr>
          <w:rFonts w:hint="eastAsia" w:asciiTheme="minorEastAsia" w:hAnsiTheme="minorEastAsia" w:eastAsiaTheme="minorEastAsia" w:cstheme="minorEastAsia"/>
          <w:b w:val="0"/>
          <w:bCs/>
          <w:kern w:val="2"/>
          <w:szCs w:val="24"/>
          <w:u w:val="none"/>
        </w:rPr>
      </w:pPr>
      <w:bookmarkStart w:id="171" w:name="_Toc216582810"/>
      <w:bookmarkStart w:id="172" w:name="_Toc10964"/>
      <w:bookmarkStart w:id="173" w:name="_Toc518923091"/>
      <w:bookmarkStart w:id="174" w:name="_Toc4193_WPSOffice_Level1"/>
      <w:r>
        <w:rPr>
          <w:rFonts w:hint="eastAsia" w:asciiTheme="minorEastAsia" w:hAnsiTheme="minorEastAsia" w:eastAsiaTheme="minorEastAsia" w:cstheme="minorEastAsia"/>
          <w:b w:val="0"/>
          <w:bCs/>
          <w:kern w:val="2"/>
          <w:szCs w:val="24"/>
          <w:u w:val="none"/>
        </w:rPr>
        <w:t>25.1  评审将在严格保密的情况下进行。开标后，直到授予合同为止，凡是属</w:t>
      </w:r>
    </w:p>
    <w:p w14:paraId="57C3BC2E">
      <w:pPr>
        <w:pStyle w:val="4"/>
        <w:spacing w:before="0" w:after="0" w:line="240" w:lineRule="auto"/>
        <w:ind w:left="718" w:leftChars="342" w:firstLine="0" w:firstLineChars="0"/>
        <w:rPr>
          <w:rFonts w:hint="eastAsia" w:asciiTheme="minorEastAsia" w:hAnsiTheme="minorEastAsia" w:eastAsiaTheme="minorEastAsia" w:cstheme="minorEastAsia"/>
          <w:b w:val="0"/>
          <w:bCs/>
          <w:kern w:val="2"/>
          <w:szCs w:val="24"/>
          <w:u w:val="none"/>
        </w:rPr>
      </w:pPr>
      <w:r>
        <w:rPr>
          <w:rFonts w:hint="eastAsia" w:asciiTheme="minorEastAsia" w:hAnsiTheme="minorEastAsia" w:eastAsiaTheme="minorEastAsia" w:cstheme="minorEastAsia"/>
          <w:b w:val="0"/>
          <w:bCs/>
          <w:kern w:val="2"/>
          <w:szCs w:val="24"/>
          <w:u w:val="none"/>
        </w:rPr>
        <w:t>于审查、澄清、评价和比较的有关资料以及授授权建议等评委或参与评 审的有关工作人员均不得向供应商或其他无关的人员透露，违者给予警 告、取消担任评委的资格，不得再参加任何项目的评审。</w:t>
      </w:r>
    </w:p>
    <w:p w14:paraId="156ABC03">
      <w:pPr>
        <w:pStyle w:val="4"/>
        <w:spacing w:before="0" w:after="0" w:line="240" w:lineRule="auto"/>
        <w:rPr>
          <w:rFonts w:hint="eastAsia" w:asciiTheme="minorEastAsia" w:hAnsiTheme="minorEastAsia" w:eastAsiaTheme="minorEastAsia" w:cstheme="minorEastAsia"/>
          <w:b w:val="0"/>
          <w:bCs/>
          <w:kern w:val="2"/>
          <w:szCs w:val="24"/>
          <w:u w:val="none"/>
        </w:rPr>
      </w:pPr>
      <w:r>
        <w:rPr>
          <w:rFonts w:hint="eastAsia" w:asciiTheme="minorEastAsia" w:hAnsiTheme="minorEastAsia" w:eastAsiaTheme="minorEastAsia" w:cstheme="minorEastAsia"/>
          <w:b w:val="0"/>
          <w:bCs/>
          <w:kern w:val="2"/>
          <w:szCs w:val="24"/>
          <w:u w:val="none"/>
        </w:rPr>
        <w:t>25.2  政府采购评审专家应当遵守评审工作纪律，不得泄露评审文件、评审情</w:t>
      </w:r>
    </w:p>
    <w:p w14:paraId="49C811A4">
      <w:pPr>
        <w:pStyle w:val="4"/>
        <w:spacing w:before="0" w:after="0" w:line="240" w:lineRule="auto"/>
        <w:ind w:left="718" w:leftChars="342"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kern w:val="2"/>
          <w:szCs w:val="24"/>
          <w:u w:val="none"/>
        </w:rPr>
        <w:t>况和评审中获悉的商业秘密。供应商在评审过程中，所进行的力图影响 评审结果的不符合《中华人民共和国政府采购法》及本次招标中有关规 定的活动，将被取消其成交资格。</w:t>
      </w:r>
    </w:p>
    <w:p w14:paraId="56D17AAA">
      <w:pPr>
        <w:pStyle w:val="3"/>
        <w:spacing w:before="0" w:line="300" w:lineRule="exact"/>
        <w:ind w:left="1079" w:leftChars="257" w:hanging="540"/>
        <w:rPr>
          <w:rFonts w:hint="eastAsia" w:asciiTheme="minorEastAsia" w:hAnsiTheme="minorEastAsia" w:eastAsiaTheme="minorEastAsia" w:cstheme="minorEastAsia"/>
          <w:sz w:val="24"/>
        </w:rPr>
      </w:pPr>
      <w:bookmarkStart w:id="175" w:name="_Toc24051"/>
      <w:r>
        <w:rPr>
          <w:rFonts w:hint="eastAsia" w:asciiTheme="minorEastAsia" w:hAnsiTheme="minorEastAsia" w:eastAsiaTheme="minorEastAsia" w:cstheme="minorEastAsia"/>
          <w:sz w:val="24"/>
        </w:rPr>
        <w:t xml:space="preserve">六   </w:t>
      </w:r>
      <w:bookmarkEnd w:id="170"/>
      <w:r>
        <w:rPr>
          <w:rFonts w:hint="eastAsia" w:asciiTheme="minorEastAsia" w:hAnsiTheme="minorEastAsia" w:eastAsiaTheme="minorEastAsia" w:cstheme="minorEastAsia"/>
          <w:sz w:val="24"/>
        </w:rPr>
        <w:t>确定</w:t>
      </w:r>
      <w:bookmarkEnd w:id="171"/>
      <w:bookmarkEnd w:id="172"/>
      <w:bookmarkEnd w:id="173"/>
      <w:r>
        <w:rPr>
          <w:rFonts w:hint="eastAsia" w:asciiTheme="minorEastAsia" w:hAnsiTheme="minorEastAsia" w:eastAsiaTheme="minorEastAsia" w:cstheme="minorEastAsia"/>
          <w:sz w:val="24"/>
        </w:rPr>
        <w:t>成交</w:t>
      </w:r>
      <w:bookmarkEnd w:id="174"/>
      <w:bookmarkEnd w:id="175"/>
    </w:p>
    <w:p w14:paraId="48F1FA46">
      <w:pPr>
        <w:pStyle w:val="8"/>
        <w:spacing w:line="300" w:lineRule="exact"/>
        <w:rPr>
          <w:rFonts w:hint="eastAsia" w:asciiTheme="minorEastAsia" w:hAnsiTheme="minorEastAsia" w:eastAsiaTheme="minorEastAsia" w:cstheme="minorEastAsia"/>
        </w:rPr>
      </w:pPr>
    </w:p>
    <w:p w14:paraId="6C14C536">
      <w:pPr>
        <w:pStyle w:val="4"/>
        <w:spacing w:before="0" w:after="0" w:line="240" w:lineRule="auto"/>
        <w:rPr>
          <w:rFonts w:hint="eastAsia" w:asciiTheme="minorEastAsia" w:hAnsiTheme="minorEastAsia" w:eastAsiaTheme="minorEastAsia" w:cstheme="minorEastAsia"/>
          <w:color w:val="000000"/>
          <w:u w:val="none"/>
        </w:rPr>
      </w:pPr>
      <w:bookmarkStart w:id="176" w:name="_Toc4749_WPSOffice_Level2"/>
      <w:bookmarkStart w:id="177" w:name="_Toc518923092"/>
      <w:bookmarkStart w:id="178" w:name="_Toc520356170"/>
      <w:bookmarkStart w:id="179" w:name="_Toc31921_WPSOffice_Level2"/>
      <w:bookmarkStart w:id="180" w:name="_Ref467307010"/>
      <w:bookmarkStart w:id="181" w:name="_Toc32578"/>
      <w:r>
        <w:rPr>
          <w:rFonts w:hint="eastAsia" w:asciiTheme="minorEastAsia" w:hAnsiTheme="minorEastAsia" w:eastAsiaTheme="minorEastAsia" w:cstheme="minorEastAsia"/>
          <w:color w:val="000000"/>
          <w:u w:val="none"/>
        </w:rPr>
        <w:t>26.成交候选人的确定原则及标准</w:t>
      </w:r>
      <w:bookmarkEnd w:id="176"/>
      <w:bookmarkEnd w:id="177"/>
      <w:bookmarkEnd w:id="178"/>
      <w:bookmarkEnd w:id="179"/>
      <w:bookmarkEnd w:id="180"/>
      <w:bookmarkEnd w:id="181"/>
    </w:p>
    <w:p w14:paraId="68AD274A">
      <w:pPr>
        <w:spacing w:line="240" w:lineRule="auto"/>
        <w:ind w:left="222" w:leftChars="-323" w:hanging="900" w:hangingChars="375"/>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ab/>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rPr>
        <w:t>除第28条规定外，对实质上响应磋商文件的</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按下列方法进行排序，确定成交候选人：</w:t>
      </w:r>
    </w:p>
    <w:p w14:paraId="00E3B4D6">
      <w:pPr>
        <w:spacing w:line="240" w:lineRule="auto"/>
        <w:ind w:left="718" w:leftChars="342" w:firstLine="0" w:firstLineChars="0"/>
        <w:rPr>
          <w:rFonts w:hint="eastAsia" w:asciiTheme="minorEastAsia" w:hAnsiTheme="minorEastAsia" w:eastAsiaTheme="minorEastAsia" w:cstheme="minorEastAsia"/>
          <w:b/>
          <w:bCs/>
          <w:color w:val="000000"/>
          <w:sz w:val="24"/>
          <w:u w:val="single"/>
        </w:rPr>
      </w:pPr>
      <w:r>
        <w:rPr>
          <w:rFonts w:hint="eastAsia" w:asciiTheme="minorEastAsia" w:hAnsiTheme="minorEastAsia" w:eastAsiaTheme="minorEastAsia" w:cstheme="minorEastAsia"/>
          <w:b w:val="0"/>
          <w:bCs w:val="0"/>
          <w:color w:val="000000"/>
          <w:sz w:val="24"/>
          <w:u w:val="single"/>
        </w:rPr>
        <w:t>采用综合评分法，评审结果按评审后得分由高到低顺序排列。得分相同的，按修正和扣除后的磋商报价由低到高顺序排列。得分与磋商报价均相同的处理方式详见磋商文件第6章。</w:t>
      </w:r>
    </w:p>
    <w:p w14:paraId="59963CCB">
      <w:pPr>
        <w:pStyle w:val="4"/>
        <w:spacing w:before="0" w:after="0" w:line="240" w:lineRule="auto"/>
        <w:rPr>
          <w:rFonts w:hint="eastAsia" w:asciiTheme="minorEastAsia" w:hAnsiTheme="minorEastAsia" w:eastAsiaTheme="minorEastAsia" w:cstheme="minorEastAsia"/>
          <w:color w:val="000000"/>
          <w:u w:val="none"/>
        </w:rPr>
      </w:pPr>
      <w:bookmarkStart w:id="182" w:name="_Toc520356171"/>
      <w:bookmarkStart w:id="183" w:name="_Toc3689_WPSOffice_Level2"/>
      <w:bookmarkStart w:id="184" w:name="_Toc2420_WPSOffice_Level2"/>
      <w:bookmarkStart w:id="185" w:name="_Toc518923093"/>
      <w:bookmarkStart w:id="186" w:name="_Toc10555"/>
      <w:r>
        <w:rPr>
          <w:rFonts w:hint="eastAsia" w:asciiTheme="minorEastAsia" w:hAnsiTheme="minorEastAsia" w:eastAsiaTheme="minorEastAsia" w:cstheme="minorEastAsia"/>
          <w:color w:val="000000"/>
          <w:u w:val="none"/>
        </w:rPr>
        <w:t>27</w:t>
      </w:r>
      <w:bookmarkEnd w:id="182"/>
      <w:r>
        <w:rPr>
          <w:rFonts w:hint="eastAsia" w:asciiTheme="minorEastAsia" w:hAnsiTheme="minorEastAsia" w:eastAsiaTheme="minorEastAsia" w:cstheme="minorEastAsia"/>
          <w:color w:val="000000"/>
          <w:u w:val="none"/>
        </w:rPr>
        <w:t>.确定成交候选人和成交人</w:t>
      </w:r>
      <w:bookmarkEnd w:id="183"/>
      <w:bookmarkEnd w:id="184"/>
      <w:bookmarkEnd w:id="185"/>
      <w:bookmarkEnd w:id="186"/>
    </w:p>
    <w:p w14:paraId="24AF3A12">
      <w:pPr>
        <w:spacing w:line="240" w:lineRule="auto"/>
        <w:ind w:left="482" w:leftChars="-428" w:hanging="1380" w:hangingChars="575"/>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ab/>
      </w:r>
      <w:r>
        <w:rPr>
          <w:rFonts w:hint="eastAsia" w:asciiTheme="minorEastAsia" w:hAnsiTheme="minorEastAsia" w:eastAsiaTheme="minorEastAsia" w:cstheme="minorEastAsia"/>
          <w:color w:val="000000"/>
          <w:sz w:val="24"/>
          <w:lang w:val="en-US" w:eastAsia="zh-CN"/>
        </w:rPr>
        <w:t>磋商小组</w:t>
      </w:r>
      <w:r>
        <w:rPr>
          <w:rFonts w:hint="eastAsia" w:asciiTheme="minorEastAsia" w:hAnsiTheme="minorEastAsia" w:eastAsiaTheme="minorEastAsia" w:cstheme="minorEastAsia"/>
          <w:color w:val="000000"/>
          <w:sz w:val="24"/>
        </w:rPr>
        <w:t>将根据评审标准，按</w:t>
      </w:r>
      <w:r>
        <w:rPr>
          <w:rFonts w:hint="eastAsia" w:asciiTheme="minorEastAsia" w:hAnsiTheme="minorEastAsia" w:eastAsiaTheme="minorEastAsia" w:cstheme="minorEastAsia"/>
          <w:color w:val="000000"/>
          <w:sz w:val="24"/>
          <w:u w:val="single"/>
          <w:lang w:eastAsia="zh-CN"/>
        </w:rPr>
        <w:t>供应商</w:t>
      </w:r>
      <w:r>
        <w:rPr>
          <w:rFonts w:hint="eastAsia" w:asciiTheme="minorEastAsia" w:hAnsiTheme="minorEastAsia" w:eastAsiaTheme="minorEastAsia" w:cstheme="minorEastAsia"/>
          <w:color w:val="000000"/>
          <w:sz w:val="24"/>
          <w:u w:val="single"/>
        </w:rPr>
        <w:t>须知资料表中</w:t>
      </w:r>
      <w:r>
        <w:rPr>
          <w:rFonts w:hint="eastAsia" w:asciiTheme="minorEastAsia" w:hAnsiTheme="minorEastAsia" w:eastAsiaTheme="minorEastAsia" w:cstheme="minorEastAsia"/>
          <w:color w:val="000000"/>
          <w:sz w:val="24"/>
        </w:rPr>
        <w:t>规定数量推荐成交候选人；</w:t>
      </w:r>
      <w:r>
        <w:rPr>
          <w:rFonts w:hint="eastAsia" w:asciiTheme="minorEastAsia" w:hAnsiTheme="minorEastAsia" w:eastAsiaTheme="minorEastAsia" w:cstheme="minorEastAsia"/>
          <w:b/>
          <w:bCs/>
          <w:color w:val="000000"/>
          <w:sz w:val="24"/>
          <w:u w:val="single"/>
        </w:rPr>
        <w:t>磋商小组应当根据综合评分情况，按照评审得分由高到低顺序推荐3名以上成交候选</w:t>
      </w:r>
      <w:r>
        <w:rPr>
          <w:rFonts w:hint="eastAsia" w:asciiTheme="minorEastAsia" w:hAnsiTheme="minorEastAsia" w:eastAsiaTheme="minorEastAsia" w:cstheme="minorEastAsia"/>
          <w:b/>
          <w:bCs/>
          <w:color w:val="000000"/>
          <w:sz w:val="24"/>
          <w:u w:val="single"/>
          <w:lang w:eastAsia="zh-CN"/>
        </w:rPr>
        <w:t>供应商</w:t>
      </w:r>
      <w:r>
        <w:rPr>
          <w:rFonts w:hint="eastAsia" w:asciiTheme="minorEastAsia" w:hAnsiTheme="minorEastAsia" w:eastAsiaTheme="minorEastAsia" w:cstheme="minorEastAsia"/>
          <w:color w:val="000000"/>
          <w:sz w:val="24"/>
        </w:rPr>
        <w:t>或根据采购人的委托，直接确定成交人。</w:t>
      </w:r>
    </w:p>
    <w:p w14:paraId="64FAB4EB">
      <w:pPr>
        <w:pStyle w:val="4"/>
        <w:tabs>
          <w:tab w:val="left" w:pos="900"/>
        </w:tabs>
        <w:spacing w:before="0" w:after="0" w:line="240" w:lineRule="auto"/>
        <w:rPr>
          <w:rFonts w:hint="eastAsia" w:asciiTheme="minorEastAsia" w:hAnsiTheme="minorEastAsia" w:eastAsiaTheme="minorEastAsia" w:cstheme="minorEastAsia"/>
          <w:color w:val="000000"/>
          <w:u w:val="none"/>
        </w:rPr>
      </w:pPr>
      <w:bookmarkStart w:id="187" w:name="_Ref467306874"/>
      <w:bookmarkStart w:id="188" w:name="_Toc520356173"/>
      <w:bookmarkStart w:id="189" w:name="_Toc518923094"/>
      <w:bookmarkStart w:id="190" w:name="_Toc17336_WPSOffice_Level2"/>
      <w:bookmarkStart w:id="191" w:name="_Toc620_WPSOffice_Level2"/>
      <w:bookmarkStart w:id="192" w:name="_Toc17138"/>
      <w:r>
        <w:rPr>
          <w:rFonts w:hint="eastAsia" w:asciiTheme="minorEastAsia" w:hAnsiTheme="minorEastAsia" w:eastAsiaTheme="minorEastAsia" w:cstheme="minorEastAsia"/>
          <w:color w:val="000000"/>
          <w:u w:val="none"/>
        </w:rPr>
        <w:t>28</w:t>
      </w:r>
      <w:bookmarkEnd w:id="187"/>
      <w:bookmarkEnd w:id="188"/>
      <w:r>
        <w:rPr>
          <w:rFonts w:hint="eastAsia" w:asciiTheme="minorEastAsia" w:hAnsiTheme="minorEastAsia" w:eastAsiaTheme="minorEastAsia" w:cstheme="minorEastAsia"/>
          <w:color w:val="000000"/>
          <w:u w:val="none"/>
        </w:rPr>
        <w:t>.采购任务取消</w:t>
      </w:r>
      <w:bookmarkEnd w:id="189"/>
      <w:bookmarkEnd w:id="190"/>
      <w:bookmarkEnd w:id="191"/>
      <w:bookmarkEnd w:id="192"/>
    </w:p>
    <w:p w14:paraId="35F086F4">
      <w:pPr>
        <w:spacing w:line="240" w:lineRule="auto"/>
        <w:ind w:left="480" w:hanging="480" w:hanging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rPr>
        <w:t>因重大变故采购任务取消时，采购人有权拒绝任何</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成交，且对受影响的</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不承担任何责任。</w:t>
      </w:r>
      <w:bookmarkStart w:id="193" w:name="_Toc520356174"/>
    </w:p>
    <w:p w14:paraId="4E823800">
      <w:pPr>
        <w:pStyle w:val="4"/>
        <w:spacing w:before="0" w:after="0" w:line="240" w:lineRule="auto"/>
        <w:rPr>
          <w:rFonts w:hint="eastAsia" w:asciiTheme="minorEastAsia" w:hAnsiTheme="minorEastAsia" w:eastAsiaTheme="minorEastAsia" w:cstheme="minorEastAsia"/>
          <w:color w:val="000000"/>
          <w:u w:val="none"/>
        </w:rPr>
      </w:pPr>
      <w:bookmarkStart w:id="194" w:name="_Toc22810_WPSOffice_Level2"/>
      <w:bookmarkStart w:id="195" w:name="_Toc7273_WPSOffice_Level2"/>
      <w:bookmarkStart w:id="196" w:name="_Toc18072"/>
      <w:bookmarkStart w:id="197" w:name="_Toc518923095"/>
      <w:r>
        <w:rPr>
          <w:rFonts w:hint="eastAsia" w:asciiTheme="minorEastAsia" w:hAnsiTheme="minorEastAsia" w:eastAsiaTheme="minorEastAsia" w:cstheme="minorEastAsia"/>
          <w:color w:val="000000"/>
          <w:u w:val="none"/>
        </w:rPr>
        <w:t>29.成交通知书</w:t>
      </w:r>
      <w:bookmarkEnd w:id="193"/>
      <w:r>
        <w:rPr>
          <w:rFonts w:hint="eastAsia" w:asciiTheme="minorEastAsia" w:hAnsiTheme="minorEastAsia" w:eastAsiaTheme="minorEastAsia" w:cstheme="minorEastAsia"/>
          <w:color w:val="000000"/>
          <w:u w:val="none"/>
        </w:rPr>
        <w:t>和采购结果通知书</w:t>
      </w:r>
      <w:bookmarkEnd w:id="194"/>
      <w:bookmarkEnd w:id="195"/>
      <w:bookmarkEnd w:id="196"/>
      <w:bookmarkEnd w:id="197"/>
    </w:p>
    <w:p w14:paraId="2A99D1F3">
      <w:pPr>
        <w:spacing w:line="240" w:lineRule="auto"/>
        <w:ind w:left="696" w:leftChars="0" w:hanging="696" w:hangingChars="29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29.1</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rPr>
        <w:t>在磋商有效期内，成交人确定后，采购人或者采购代理机构发布成交</w:t>
      </w:r>
      <w:r>
        <w:rPr>
          <w:rFonts w:hint="eastAsia" w:asciiTheme="minorEastAsia" w:hAnsiTheme="minorEastAsia" w:eastAsiaTheme="minorEastAsia" w:cstheme="minorEastAsia"/>
          <w:sz w:val="24"/>
        </w:rPr>
        <w:t>公告，同时以书面形式向成交人发出成交通知书；</w:t>
      </w:r>
    </w:p>
    <w:p w14:paraId="2C597D65">
      <w:pPr>
        <w:spacing w:line="240" w:lineRule="auto"/>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29.2</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成交通知书是合同的组成部分；</w:t>
      </w:r>
    </w:p>
    <w:p w14:paraId="3A417D22">
      <w:pPr>
        <w:spacing w:line="240" w:lineRule="auto"/>
        <w:ind w:left="720" w:hanging="720" w:hanging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29.3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采购结果通知书和成交通知书同时发出。采购结果通知书中将告知未通过资格审查的</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未通过的原因；采用综合评分法评审的，还将告知未成交人本人的评审得分和排序。</w:t>
      </w:r>
    </w:p>
    <w:p w14:paraId="64B761D2">
      <w:pPr>
        <w:pStyle w:val="4"/>
        <w:spacing w:before="0" w:after="0" w:line="300" w:lineRule="exact"/>
        <w:rPr>
          <w:rFonts w:hint="eastAsia" w:asciiTheme="minorEastAsia" w:hAnsiTheme="minorEastAsia" w:eastAsiaTheme="minorEastAsia" w:cstheme="minorEastAsia"/>
          <w:u w:val="none"/>
        </w:rPr>
      </w:pPr>
      <w:bookmarkStart w:id="198" w:name="_Toc23285_WPSOffice_Level2"/>
      <w:bookmarkStart w:id="199" w:name="_Toc520356175"/>
      <w:bookmarkStart w:id="200" w:name="_Ref467307062"/>
      <w:bookmarkStart w:id="201" w:name="_Ref467306377"/>
      <w:bookmarkStart w:id="202" w:name="_Toc9717_WPSOffice_Level2"/>
      <w:bookmarkStart w:id="203" w:name="_Toc518923096"/>
      <w:bookmarkStart w:id="204" w:name="_Ref467307204"/>
      <w:bookmarkStart w:id="205" w:name="_Ref467306978"/>
      <w:bookmarkStart w:id="206" w:name="_Toc16952"/>
      <w:r>
        <w:rPr>
          <w:rFonts w:hint="eastAsia" w:asciiTheme="minorEastAsia" w:hAnsiTheme="minorEastAsia" w:eastAsiaTheme="minorEastAsia" w:cstheme="minorEastAsia"/>
          <w:u w:val="none"/>
        </w:rPr>
        <w:t>30.签订合同</w:t>
      </w:r>
      <w:bookmarkEnd w:id="198"/>
      <w:bookmarkEnd w:id="199"/>
      <w:bookmarkEnd w:id="200"/>
      <w:bookmarkEnd w:id="201"/>
      <w:bookmarkEnd w:id="202"/>
      <w:bookmarkEnd w:id="203"/>
      <w:bookmarkEnd w:id="204"/>
      <w:bookmarkEnd w:id="205"/>
      <w:bookmarkEnd w:id="206"/>
    </w:p>
    <w:p w14:paraId="3228FAC6">
      <w:pPr>
        <w:spacing w:line="3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30.1</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成交人应当自发出成交通知书之日起30日内，与采购人签订合同。</w:t>
      </w:r>
    </w:p>
    <w:p w14:paraId="55496B4D">
      <w:pPr>
        <w:spacing w:line="3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30.2</w:t>
      </w:r>
      <w:bookmarkStart w:id="207" w:name="_Ref467307090"/>
      <w:bookmarkStart w:id="208" w:name="_Toc520356176"/>
      <w:bookmarkStart w:id="209" w:name="_Ref467306425"/>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磋商文件、成交人的响应文件及其澄清文件等，均为签订合同的依据。</w:t>
      </w:r>
    </w:p>
    <w:p w14:paraId="7D2ED8E8">
      <w:pPr>
        <w:spacing w:line="300" w:lineRule="exact"/>
        <w:ind w:left="662" w:leftChars="1" w:hanging="660" w:hangingChars="2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30.3  成交人拒绝与采购人签订合同的，采购人可以按照评审报告推荐的成交候选人名单排序，确定下一成交候选人为成交人，也可以重新开展政府采购活动。</w:t>
      </w:r>
    </w:p>
    <w:p w14:paraId="0A99E38F">
      <w:pPr>
        <w:spacing w:line="300" w:lineRule="exact"/>
        <w:ind w:left="644" w:leftChars="-8" w:hanging="660" w:hangingChars="2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30.4  当出现法规规定的</w:t>
      </w:r>
      <w:r>
        <w:rPr>
          <w:rFonts w:hint="eastAsia" w:asciiTheme="minorEastAsia" w:hAnsiTheme="minorEastAsia" w:eastAsiaTheme="minorEastAsia" w:cstheme="minorEastAsia"/>
          <w:b/>
          <w:sz w:val="24"/>
        </w:rPr>
        <w:t>成交无效或成交结果无效</w:t>
      </w:r>
      <w:r>
        <w:rPr>
          <w:rFonts w:hint="eastAsia" w:asciiTheme="minorEastAsia" w:hAnsiTheme="minorEastAsia" w:eastAsiaTheme="minorEastAsia" w:cstheme="minorEastAsia"/>
          <w:sz w:val="24"/>
        </w:rPr>
        <w:t>情形时，采购人可与排名下一位的成交候选人另行签订合同，或依法重新开展采购活动。</w:t>
      </w:r>
    </w:p>
    <w:p w14:paraId="3D47C23E">
      <w:pPr>
        <w:pStyle w:val="4"/>
        <w:spacing w:before="0" w:after="0" w:line="300" w:lineRule="exact"/>
        <w:rPr>
          <w:rFonts w:hint="eastAsia" w:asciiTheme="minorEastAsia" w:hAnsiTheme="minorEastAsia" w:eastAsiaTheme="minorEastAsia" w:cstheme="minorEastAsia"/>
          <w:u w:val="none"/>
        </w:rPr>
      </w:pPr>
      <w:bookmarkStart w:id="210" w:name="_Toc4302"/>
      <w:bookmarkStart w:id="211" w:name="_Toc4147_WPSOffice_Level2"/>
      <w:bookmarkStart w:id="212" w:name="_Toc10642_WPSOffice_Level2"/>
      <w:bookmarkStart w:id="213" w:name="_Toc518923097"/>
      <w:r>
        <w:rPr>
          <w:rFonts w:hint="eastAsia" w:asciiTheme="minorEastAsia" w:hAnsiTheme="minorEastAsia" w:eastAsiaTheme="minorEastAsia" w:cstheme="minorEastAsia"/>
          <w:u w:val="none"/>
        </w:rPr>
        <w:t>31.履约保证金</w:t>
      </w:r>
      <w:bookmarkEnd w:id="207"/>
      <w:bookmarkEnd w:id="208"/>
      <w:bookmarkEnd w:id="209"/>
      <w:bookmarkEnd w:id="210"/>
      <w:bookmarkEnd w:id="211"/>
      <w:bookmarkEnd w:id="212"/>
      <w:bookmarkEnd w:id="213"/>
    </w:p>
    <w:p w14:paraId="38018DCE">
      <w:pPr>
        <w:spacing w:line="300" w:lineRule="exact"/>
        <w:ind w:left="900" w:leftChars="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31.1</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成交人应按照</w:t>
      </w:r>
      <w:r>
        <w:rPr>
          <w:rFonts w:hint="eastAsia" w:asciiTheme="minorEastAsia" w:hAnsiTheme="minorEastAsia" w:eastAsiaTheme="minorEastAsia" w:cstheme="minorEastAsia"/>
          <w:sz w:val="24"/>
          <w:u w:val="single"/>
          <w:lang w:eastAsia="zh-CN"/>
        </w:rPr>
        <w:t>供应商</w:t>
      </w:r>
      <w:r>
        <w:rPr>
          <w:rFonts w:hint="eastAsia" w:asciiTheme="minorEastAsia" w:hAnsiTheme="minorEastAsia" w:eastAsiaTheme="minorEastAsia" w:cstheme="minorEastAsia"/>
          <w:sz w:val="24"/>
          <w:u w:val="single"/>
        </w:rPr>
        <w:t>须知资料表</w:t>
      </w:r>
      <w:r>
        <w:rPr>
          <w:rFonts w:hint="eastAsia" w:asciiTheme="minorEastAsia" w:hAnsiTheme="minorEastAsia" w:eastAsiaTheme="minorEastAsia" w:cstheme="minorEastAsia"/>
          <w:sz w:val="24"/>
        </w:rPr>
        <w:t>规定向采购人缴纳履约保证金（如采用保函形式，格式见本章附件1）。</w:t>
      </w:r>
    </w:p>
    <w:p w14:paraId="4BC1F3C1">
      <w:pPr>
        <w:spacing w:line="300" w:lineRule="exact"/>
        <w:ind w:left="923" w:leftChars="11"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31.2</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政府采购利用担保试点范围内的项目，除31.1规定的情形外，成交人也可以按照财政部门的规定，向采购人提供合格的履约担保函（格式见本章附件2）。</w:t>
      </w:r>
    </w:p>
    <w:p w14:paraId="4B3A0101">
      <w:pPr>
        <w:spacing w:line="3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31.3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如果成交人没有按照上述履约保证金的规定执行，将视为放弃成交资格，成交人的磋商保证金将不予退还。在此情况下，采购人可确定下一候选人为成交人，也可以重新开展采购活动。</w:t>
      </w:r>
    </w:p>
    <w:p w14:paraId="68B4C512">
      <w:pPr>
        <w:pStyle w:val="4"/>
        <w:spacing w:before="0" w:after="0" w:line="300" w:lineRule="exact"/>
        <w:rPr>
          <w:rFonts w:hint="eastAsia" w:asciiTheme="minorEastAsia" w:hAnsiTheme="minorEastAsia" w:eastAsiaTheme="minorEastAsia" w:cstheme="minorEastAsia"/>
          <w:u w:val="none"/>
        </w:rPr>
      </w:pPr>
      <w:bookmarkStart w:id="214" w:name="_Toc518923098"/>
      <w:bookmarkStart w:id="215" w:name="_Toc8476"/>
      <w:bookmarkStart w:id="216" w:name="_Toc12960_WPSOffice_Level2"/>
      <w:bookmarkStart w:id="217" w:name="_Toc21635_WPSOffice_Level2"/>
      <w:r>
        <w:rPr>
          <w:rFonts w:hint="eastAsia" w:asciiTheme="minorEastAsia" w:hAnsiTheme="minorEastAsia" w:eastAsiaTheme="minorEastAsia" w:cstheme="minorEastAsia"/>
          <w:u w:val="none"/>
        </w:rPr>
        <w:t>32.成交服务费</w:t>
      </w:r>
      <w:bookmarkEnd w:id="214"/>
      <w:bookmarkEnd w:id="215"/>
      <w:bookmarkEnd w:id="216"/>
      <w:bookmarkEnd w:id="217"/>
    </w:p>
    <w:p w14:paraId="3FE1262D">
      <w:pPr>
        <w:spacing w:line="300" w:lineRule="exact"/>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成交人须按照</w:t>
      </w:r>
      <w:r>
        <w:rPr>
          <w:rFonts w:hint="eastAsia" w:asciiTheme="minorEastAsia" w:hAnsiTheme="minorEastAsia" w:eastAsiaTheme="minorEastAsia" w:cstheme="minorEastAsia"/>
          <w:sz w:val="24"/>
          <w:u w:val="single"/>
          <w:lang w:eastAsia="zh-CN"/>
        </w:rPr>
        <w:t>供应商</w:t>
      </w:r>
      <w:r>
        <w:rPr>
          <w:rFonts w:hint="eastAsia" w:asciiTheme="minorEastAsia" w:hAnsiTheme="minorEastAsia" w:eastAsiaTheme="minorEastAsia" w:cstheme="minorEastAsia"/>
          <w:sz w:val="24"/>
          <w:u w:val="single"/>
        </w:rPr>
        <w:t>须知资料表</w:t>
      </w:r>
      <w:r>
        <w:rPr>
          <w:rFonts w:hint="eastAsia" w:asciiTheme="minorEastAsia" w:hAnsiTheme="minorEastAsia" w:eastAsiaTheme="minorEastAsia" w:cstheme="minorEastAsia"/>
          <w:sz w:val="24"/>
        </w:rPr>
        <w:t>规定，向采购代理机构支付成交服务费。</w:t>
      </w:r>
    </w:p>
    <w:p w14:paraId="7BE16A73">
      <w:pPr>
        <w:pStyle w:val="4"/>
        <w:spacing w:before="0" w:after="0" w:line="300" w:lineRule="exact"/>
        <w:rPr>
          <w:rFonts w:hint="eastAsia" w:asciiTheme="minorEastAsia" w:hAnsiTheme="minorEastAsia" w:eastAsiaTheme="minorEastAsia" w:cstheme="minorEastAsia"/>
          <w:u w:val="none"/>
        </w:rPr>
      </w:pPr>
      <w:bookmarkStart w:id="218" w:name="_Toc518923099"/>
      <w:bookmarkStart w:id="219" w:name="_Toc30567_WPSOffice_Level2"/>
      <w:bookmarkStart w:id="220" w:name="_Toc31411"/>
      <w:bookmarkStart w:id="221" w:name="_Toc9330_WPSOffice_Level2"/>
      <w:r>
        <w:rPr>
          <w:rFonts w:hint="eastAsia" w:asciiTheme="minorEastAsia" w:hAnsiTheme="minorEastAsia" w:eastAsiaTheme="minorEastAsia" w:cstheme="minorEastAsia"/>
          <w:u w:val="none"/>
        </w:rPr>
        <w:t>33.政府采购信用担保</w:t>
      </w:r>
      <w:bookmarkEnd w:id="218"/>
      <w:bookmarkEnd w:id="219"/>
      <w:bookmarkEnd w:id="220"/>
      <w:bookmarkEnd w:id="221"/>
    </w:p>
    <w:p w14:paraId="2CD59781">
      <w:pPr>
        <w:spacing w:line="3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33.1   本项目是否属于信用担保试点范围见</w:t>
      </w:r>
      <w:r>
        <w:rPr>
          <w:rFonts w:hint="eastAsia" w:asciiTheme="minorEastAsia" w:hAnsiTheme="minorEastAsia" w:eastAsiaTheme="minorEastAsia" w:cstheme="minorEastAsia"/>
          <w:sz w:val="24"/>
          <w:u w:val="single"/>
          <w:lang w:eastAsia="zh-CN"/>
        </w:rPr>
        <w:t>供应商</w:t>
      </w:r>
      <w:r>
        <w:rPr>
          <w:rFonts w:hint="eastAsia" w:asciiTheme="minorEastAsia" w:hAnsiTheme="minorEastAsia" w:eastAsiaTheme="minorEastAsia" w:cstheme="minorEastAsia"/>
          <w:sz w:val="24"/>
          <w:u w:val="single"/>
        </w:rPr>
        <w:t>须知资料表</w:t>
      </w:r>
      <w:r>
        <w:rPr>
          <w:rFonts w:hint="eastAsia" w:asciiTheme="minorEastAsia" w:hAnsiTheme="minorEastAsia" w:eastAsiaTheme="minorEastAsia" w:cstheme="minorEastAsia"/>
          <w:sz w:val="24"/>
        </w:rPr>
        <w:t>。</w:t>
      </w:r>
    </w:p>
    <w:p w14:paraId="626ED6DA">
      <w:pPr>
        <w:spacing w:line="300" w:lineRule="exact"/>
        <w:ind w:left="850" w:hanging="849" w:hangingChars="35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33.2   如属于政府采购信用担保试点范围内，中小型企业</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可以自由按照财政部门的规定，采用</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担保、履约担保和融资担保。</w:t>
      </w:r>
    </w:p>
    <w:p w14:paraId="618CB1CF">
      <w:pPr>
        <w:spacing w:line="3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33.2.1 </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递交的</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担保函和履约担保函应符合本磋商文件的规定。</w:t>
      </w:r>
    </w:p>
    <w:p w14:paraId="3CE34FF9">
      <w:pPr>
        <w:spacing w:line="3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33.2.2 成交人可以采取融资担保的形式为政府采购项目履约进行融资。</w:t>
      </w:r>
    </w:p>
    <w:p w14:paraId="16B32EC7">
      <w:pPr>
        <w:spacing w:line="3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33.2.3 合格的政府采购专业信用担保机构见</w:t>
      </w:r>
      <w:r>
        <w:rPr>
          <w:rFonts w:hint="eastAsia" w:asciiTheme="minorEastAsia" w:hAnsiTheme="minorEastAsia" w:eastAsiaTheme="minorEastAsia" w:cstheme="minorEastAsia"/>
          <w:sz w:val="24"/>
          <w:u w:val="single"/>
          <w:lang w:eastAsia="zh-CN"/>
        </w:rPr>
        <w:t>供应商</w:t>
      </w:r>
      <w:r>
        <w:rPr>
          <w:rFonts w:hint="eastAsia" w:asciiTheme="minorEastAsia" w:hAnsiTheme="minorEastAsia" w:eastAsiaTheme="minorEastAsia" w:cstheme="minorEastAsia"/>
          <w:sz w:val="24"/>
          <w:u w:val="single"/>
        </w:rPr>
        <w:t>须知资料表</w:t>
      </w:r>
      <w:r>
        <w:rPr>
          <w:rFonts w:hint="eastAsia" w:asciiTheme="minorEastAsia" w:hAnsiTheme="minorEastAsia" w:eastAsiaTheme="minorEastAsia" w:cstheme="minorEastAsia"/>
          <w:sz w:val="24"/>
        </w:rPr>
        <w:t>。</w:t>
      </w:r>
    </w:p>
    <w:p w14:paraId="1D93C91A">
      <w:pPr>
        <w:pStyle w:val="4"/>
        <w:spacing w:before="0" w:after="0" w:line="300" w:lineRule="exact"/>
        <w:rPr>
          <w:rFonts w:hint="eastAsia" w:asciiTheme="minorEastAsia" w:hAnsiTheme="minorEastAsia" w:eastAsiaTheme="minorEastAsia" w:cstheme="minorEastAsia"/>
          <w:u w:val="none"/>
        </w:rPr>
      </w:pPr>
      <w:bookmarkStart w:id="222" w:name="_Toc5233_WPSOffice_Level2"/>
      <w:bookmarkStart w:id="223" w:name="_Toc518923100"/>
      <w:bookmarkStart w:id="224" w:name="_Toc4701"/>
      <w:bookmarkStart w:id="225" w:name="_Toc9469_WPSOffice_Level2"/>
      <w:r>
        <w:rPr>
          <w:rFonts w:hint="eastAsia" w:asciiTheme="minorEastAsia" w:hAnsiTheme="minorEastAsia" w:eastAsiaTheme="minorEastAsia" w:cstheme="minorEastAsia"/>
          <w:u w:val="none"/>
        </w:rPr>
        <w:t>34.廉洁自律规定</w:t>
      </w:r>
      <w:bookmarkEnd w:id="222"/>
      <w:bookmarkEnd w:id="223"/>
      <w:bookmarkEnd w:id="224"/>
      <w:bookmarkEnd w:id="225"/>
    </w:p>
    <w:p w14:paraId="45EEAFB3">
      <w:pPr>
        <w:spacing w:line="3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34.1   采购代理机构工作人员不得以不正当手段获取政府采购代理业务，不得与采购人、</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恶意串通操纵政府采购活动。</w:t>
      </w:r>
    </w:p>
    <w:p w14:paraId="01C5D4E9">
      <w:pPr>
        <w:spacing w:line="3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34.2   采购代理机构工作人员不得接受采购人或者</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组织的宴请、旅游、娱乐，不得收受礼品、现金、有价证券等，不得向采购人或者</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报销应当由个人承担的费用。</w:t>
      </w:r>
    </w:p>
    <w:p w14:paraId="076F15FB">
      <w:pPr>
        <w:spacing w:line="3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34.3   为强化采购代理机构内部监督机制，</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可按</w:t>
      </w:r>
      <w:r>
        <w:rPr>
          <w:rFonts w:hint="eastAsia" w:asciiTheme="minorEastAsia" w:hAnsiTheme="minorEastAsia" w:eastAsiaTheme="minorEastAsia" w:cstheme="minorEastAsia"/>
          <w:sz w:val="24"/>
          <w:u w:val="single"/>
          <w:lang w:eastAsia="zh-CN"/>
        </w:rPr>
        <w:t>供应商</w:t>
      </w:r>
      <w:r>
        <w:rPr>
          <w:rFonts w:hint="eastAsia" w:asciiTheme="minorEastAsia" w:hAnsiTheme="minorEastAsia" w:eastAsiaTheme="minorEastAsia" w:cstheme="minorEastAsia"/>
          <w:sz w:val="24"/>
          <w:u w:val="single"/>
        </w:rPr>
        <w:t>须知资料表中的</w:t>
      </w:r>
      <w:r>
        <w:rPr>
          <w:rFonts w:hint="eastAsia" w:asciiTheme="minorEastAsia" w:hAnsiTheme="minorEastAsia" w:eastAsiaTheme="minorEastAsia" w:cstheme="minorEastAsia"/>
          <w:sz w:val="24"/>
        </w:rPr>
        <w:t>监督电话和信箱，反映采购代理机构的廉洁自律等问题。</w:t>
      </w:r>
    </w:p>
    <w:p w14:paraId="55E73722">
      <w:pPr>
        <w:pStyle w:val="4"/>
        <w:spacing w:before="0" w:after="0" w:line="300" w:lineRule="exact"/>
        <w:rPr>
          <w:rFonts w:hint="eastAsia" w:asciiTheme="minorEastAsia" w:hAnsiTheme="minorEastAsia" w:eastAsiaTheme="minorEastAsia" w:cstheme="minorEastAsia"/>
          <w:u w:val="none"/>
        </w:rPr>
      </w:pPr>
      <w:bookmarkStart w:id="226" w:name="_Toc518923101"/>
      <w:bookmarkStart w:id="227" w:name="_Toc27811_WPSOffice_Level2"/>
      <w:bookmarkStart w:id="228" w:name="_Toc27272_WPSOffice_Level2"/>
      <w:bookmarkStart w:id="229" w:name="_Toc21055"/>
      <w:r>
        <w:rPr>
          <w:rFonts w:hint="eastAsia" w:asciiTheme="minorEastAsia" w:hAnsiTheme="minorEastAsia" w:eastAsiaTheme="minorEastAsia" w:cstheme="minorEastAsia"/>
          <w:u w:val="none"/>
        </w:rPr>
        <w:t>35.人员回避</w:t>
      </w:r>
      <w:bookmarkEnd w:id="226"/>
      <w:bookmarkEnd w:id="227"/>
      <w:bookmarkEnd w:id="228"/>
      <w:bookmarkEnd w:id="229"/>
    </w:p>
    <w:p w14:paraId="02FDA212">
      <w:pPr>
        <w:spacing w:line="300" w:lineRule="exact"/>
        <w:ind w:left="900" w:hanging="900" w:hangingChars="37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认为采购人员及其相关人员有法律法规所列与其他</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有利害关系的，可以向采购人或采购代理机构书面提出回避申请，并说明理由。</w:t>
      </w:r>
    </w:p>
    <w:p w14:paraId="6CE02353">
      <w:pPr>
        <w:ind w:left="904" w:hanging="900" w:hangingChars="375"/>
        <w:jc w:val="left"/>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36.质疑与接收</w:t>
      </w:r>
    </w:p>
    <w:p w14:paraId="4B02B26A">
      <w:pPr>
        <w:ind w:left="696" w:leftChars="0" w:hanging="696" w:hangingChars="29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36.1 </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认为磋商文件、</w:t>
      </w:r>
      <w:r>
        <w:rPr>
          <w:rFonts w:hint="eastAsia" w:asciiTheme="minorEastAsia" w:hAnsiTheme="minorEastAsia" w:eastAsiaTheme="minorEastAsia" w:cstheme="minorEastAsia"/>
          <w:color w:val="000000"/>
          <w:sz w:val="24"/>
          <w:lang w:eastAsia="zh-CN"/>
        </w:rPr>
        <w:t>磋商</w:t>
      </w:r>
      <w:r>
        <w:rPr>
          <w:rFonts w:hint="eastAsia" w:asciiTheme="minorEastAsia" w:hAnsiTheme="minorEastAsia" w:eastAsiaTheme="minorEastAsia" w:cstheme="minorEastAsia"/>
          <w:color w:val="000000"/>
          <w:sz w:val="24"/>
        </w:rPr>
        <w:t>过程和</w:t>
      </w:r>
      <w:r>
        <w:rPr>
          <w:rFonts w:hint="eastAsia" w:asciiTheme="minorEastAsia" w:hAnsiTheme="minorEastAsia" w:eastAsiaTheme="minorEastAsia" w:cstheme="minorEastAsia"/>
          <w:color w:val="000000"/>
          <w:sz w:val="24"/>
          <w:lang w:eastAsia="zh-CN"/>
        </w:rPr>
        <w:t>成交</w:t>
      </w:r>
      <w:r>
        <w:rPr>
          <w:rFonts w:hint="eastAsia" w:asciiTheme="minorEastAsia" w:hAnsiTheme="minorEastAsia" w:eastAsiaTheme="minorEastAsia" w:cstheme="minorEastAsia"/>
          <w:color w:val="000000"/>
          <w:sz w:val="24"/>
        </w:rPr>
        <w:t>结果使自己的权益受到损害的，可以根据《中华人民共和国政府采购法》、《中华人民共和国政府采购法实施条例》和《政府采购质疑和投诉办法》的有关规定，依法向采购人或其委托的采购代理机构提出质疑。</w:t>
      </w:r>
    </w:p>
    <w:p w14:paraId="4FF50C88">
      <w:pPr>
        <w:ind w:left="662" w:leftChars="1" w:hanging="660" w:hangingChars="275"/>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36.2</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rPr>
        <w:t xml:space="preserve"> 质疑</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应按照财政部制定的《政府采购质疑函范本》格式（可从财政部官方网站下载）和《政府采购质疑和投诉办法》的要求，在法定质疑期内以纸质形式提出质疑，针对同一采购程序环节的质疑应一次性提出。</w:t>
      </w:r>
    </w:p>
    <w:p w14:paraId="516A61CF">
      <w:pPr>
        <w:ind w:left="659" w:leftChars="314" w:firstLine="60" w:firstLineChars="25"/>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超出法定质疑期的、重复提出的、分次提出的或内容、形式不符合《政府采购质疑和投诉办法》的，质疑</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将依法承担不利后果。</w:t>
      </w:r>
    </w:p>
    <w:p w14:paraId="3C41F3AE">
      <w:pPr>
        <w:ind w:left="480" w:hanging="480" w:hanging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36.3</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color w:val="000000"/>
          <w:sz w:val="24"/>
        </w:rPr>
        <w:t>采购代理机构质疑函接收部门、联系电话和通讯地址, 见</w:t>
      </w:r>
      <w:r>
        <w:rPr>
          <w:rFonts w:hint="eastAsia" w:asciiTheme="minorEastAsia" w:hAnsiTheme="minorEastAsia" w:eastAsiaTheme="minorEastAsia" w:cstheme="minorEastAsia"/>
          <w:color w:val="000000"/>
          <w:sz w:val="24"/>
          <w:lang w:eastAsia="zh-CN"/>
        </w:rPr>
        <w:t>供应商</w:t>
      </w:r>
      <w:r>
        <w:rPr>
          <w:rFonts w:hint="eastAsia" w:asciiTheme="minorEastAsia" w:hAnsiTheme="minorEastAsia" w:eastAsiaTheme="minorEastAsia" w:cstheme="minorEastAsia"/>
          <w:color w:val="000000"/>
          <w:sz w:val="24"/>
        </w:rPr>
        <w:t>须知资料表。</w:t>
      </w:r>
    </w:p>
    <w:p w14:paraId="0A16F8B6">
      <w:pPr>
        <w:ind w:left="900" w:hanging="900" w:hangingChars="375"/>
        <w:jc w:val="left"/>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color w:val="000000"/>
          <w:sz w:val="24"/>
        </w:rPr>
        <w:t>36.4、</w:t>
      </w:r>
      <w:r>
        <w:rPr>
          <w:rFonts w:hint="eastAsia" w:asciiTheme="minorEastAsia" w:hAnsiTheme="minorEastAsia" w:eastAsiaTheme="minorEastAsia" w:cstheme="minorEastAsia"/>
          <w:b/>
          <w:bCs/>
          <w:color w:val="000000"/>
          <w:sz w:val="24"/>
        </w:rPr>
        <w:t>质疑的提出</w:t>
      </w:r>
    </w:p>
    <w:p w14:paraId="26C16C59">
      <w:pPr>
        <w:ind w:left="638" w:leftChars="0" w:hanging="638" w:hangingChars="26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36.5 本采购文</w:t>
      </w:r>
      <w:r>
        <w:rPr>
          <w:rFonts w:hint="eastAsia" w:asciiTheme="minorEastAsia" w:hAnsiTheme="minorEastAsia" w:eastAsiaTheme="minorEastAsia" w:cstheme="minorEastAsia"/>
          <w:sz w:val="24"/>
        </w:rPr>
        <w:t>件中所称质疑及答复，是指参加本次采购活动的</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对政府采购活动中的采购文件、采购过程和成交结果向采购方提出质疑，采购方答复质疑的行为。</w:t>
      </w:r>
    </w:p>
    <w:p w14:paraId="3547BE60">
      <w:pPr>
        <w:ind w:left="644" w:leftChars="-8" w:hanging="660" w:hangingChars="2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36.6 </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认为采购文件、采购过程和成交结果使自己的权益受到损害的，可以在知道或者应知其权益受到损害之日起7个工作日内，以书面形式向采购方提出质疑。</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应知其权益受到损害之日，是指：</w:t>
      </w:r>
    </w:p>
    <w:p w14:paraId="1DA8EAF8">
      <w:pPr>
        <w:ind w:left="898" w:leftChars="342" w:hanging="180" w:hangingChars="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（一）对可以质疑的采购文件提出质疑的，为收到采购文件之日或者采购文件公告期限届满之日；</w:t>
      </w:r>
    </w:p>
    <w:p w14:paraId="4937F47C">
      <w:pPr>
        <w:ind w:left="898" w:leftChars="342" w:hanging="180" w:hangingChars="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（二）对采购过程提出质疑的，为各采购程序环节结束之日；</w:t>
      </w:r>
    </w:p>
    <w:p w14:paraId="4C6DC51A">
      <w:pPr>
        <w:ind w:firstLine="720" w:firstLineChars="3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（三）对成交结果提出质疑的，为成交结果公告期限届满之日。</w:t>
      </w:r>
    </w:p>
    <w:p w14:paraId="2E6C54B3">
      <w:pPr>
        <w:ind w:left="638" w:leftChars="0" w:hanging="638" w:hangingChars="26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36.7 对可以质疑的采购文件提出质疑的，质疑人为参与本项目的报价方或潜在报价方。可质疑的文件为采购公告以及采购文件（包括属于其组成部分的澄清、修改、补充文件和评审标准、合同文本等）。</w:t>
      </w:r>
    </w:p>
    <w:p w14:paraId="7AD61C5A">
      <w:pPr>
        <w:ind w:left="696" w:leftChars="0" w:hanging="696" w:hangingChars="29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4B2913FA">
      <w:pPr>
        <w:ind w:left="900" w:hanging="900" w:hangingChars="3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36.9  提出质疑应当符合下列条件：</w:t>
      </w:r>
    </w:p>
    <w:p w14:paraId="04A2A89C">
      <w:pPr>
        <w:ind w:left="898" w:leftChars="342" w:hanging="180" w:hangingChars="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（一）质疑主体应当符合有关规定；</w:t>
      </w:r>
    </w:p>
    <w:p w14:paraId="1C613AB5">
      <w:pPr>
        <w:ind w:left="898" w:leftChars="342" w:hanging="180" w:hangingChars="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（二）在质疑法定期限内提出；</w:t>
      </w:r>
    </w:p>
    <w:p w14:paraId="6917D2B5">
      <w:pPr>
        <w:ind w:left="898" w:leftChars="342" w:hanging="180" w:hangingChars="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（三）属于可以提出质疑的政府采购事项受理范围和本项目采购人的管辖权范围；</w:t>
      </w:r>
    </w:p>
    <w:p w14:paraId="541E676D">
      <w:pPr>
        <w:ind w:left="898" w:leftChars="342" w:hanging="180" w:hangingChars="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（四）政府采购法律、法规、规章规定的其他条件。</w:t>
      </w:r>
    </w:p>
    <w:p w14:paraId="14016A4A">
      <w:pPr>
        <w:ind w:left="719" w:leftChars="114" w:hanging="480" w:hanging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BA4CD05">
      <w:pPr>
        <w:ind w:left="719" w:leftChars="114" w:hanging="480" w:hanging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40.1</w:t>
      </w:r>
      <w:r>
        <w:rPr>
          <w:rFonts w:hint="eastAsia" w:asciiTheme="minorEastAsia" w:hAnsiTheme="minorEastAsia" w:eastAsiaTheme="minorEastAsia" w:cstheme="minorEastAsia"/>
          <w:color w:val="000000"/>
          <w:sz w:val="24"/>
        </w:rPr>
        <w:t>质疑人所提供的证明材料应当具有真实性、合法性以及与质疑事项的关联性和证明力，否则不能作为认定该质疑事项成立的依据。</w:t>
      </w:r>
    </w:p>
    <w:p w14:paraId="5D0022C3">
      <w:pPr>
        <w:ind w:left="899" w:leftChars="114" w:hanging="660" w:hangingChars="275"/>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40.2  质疑人提出质疑时应当提交质疑函。质疑函包括下列内容：</w:t>
      </w:r>
    </w:p>
    <w:p w14:paraId="01C80649">
      <w:pPr>
        <w:ind w:left="898" w:leftChars="342" w:hanging="180" w:hangingChars="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（一）提出质疑的质疑人的名称、地址、邮编、联系人及联系电话等；</w:t>
      </w:r>
    </w:p>
    <w:p w14:paraId="0963A4AA">
      <w:pPr>
        <w:ind w:left="898" w:leftChars="342" w:hanging="180" w:hangingChars="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（二）质疑项目的名称、编号；</w:t>
      </w:r>
    </w:p>
    <w:p w14:paraId="27D0F5D6">
      <w:pPr>
        <w:ind w:left="898" w:leftChars="342" w:hanging="180" w:hangingChars="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（三）质疑事项；</w:t>
      </w:r>
    </w:p>
    <w:p w14:paraId="2887B133">
      <w:pPr>
        <w:ind w:left="898" w:leftChars="342" w:hanging="180" w:hangingChars="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（四）事实依据和证明材料；</w:t>
      </w:r>
    </w:p>
    <w:p w14:paraId="19637B1F">
      <w:pPr>
        <w:ind w:left="898" w:leftChars="342" w:hanging="180" w:hangingChars="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（五）法律依据；</w:t>
      </w:r>
    </w:p>
    <w:p w14:paraId="680AEFD3">
      <w:pPr>
        <w:ind w:left="898" w:leftChars="342" w:hanging="180" w:hangingChars="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（六）提出质疑的日期。</w:t>
      </w:r>
    </w:p>
    <w:p w14:paraId="383625D1">
      <w:pPr>
        <w:ind w:left="718" w:leftChars="342" w:firstLine="0" w:firstLine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质疑函采用实名制。质疑人为自然人的应当由本人签字，并附有效身份证明文件；质疑人为法人或者非法人组织的应当由法定代表人或者负责人签字并加盖公章，并附有效身份证明文件。</w:t>
      </w:r>
    </w:p>
    <w:p w14:paraId="618A6684">
      <w:pPr>
        <w:ind w:left="900" w:hanging="900" w:hangingChars="3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40.3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质疑人可以委托代理人进行质疑。代理人应当提交授权委托书。授权委托书应当载明委托代理的具体权限、期限和相关事项。</w:t>
      </w:r>
    </w:p>
    <w:p w14:paraId="5DDE1D27">
      <w:pPr>
        <w:ind w:left="900" w:hanging="900" w:hangingChars="3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40.4、 质疑的审查和受理</w:t>
      </w:r>
    </w:p>
    <w:p w14:paraId="3926EA3A">
      <w:pPr>
        <w:ind w:left="718" w:leftChars="342" w:firstLine="0" w:firstLine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采购方在收到质疑函后应当及时审查是否符合质疑受理条件，对符合质疑受理条件的，及时予以受理。</w:t>
      </w:r>
    </w:p>
    <w:p w14:paraId="0651CF0B">
      <w:pPr>
        <w:ind w:left="900" w:hanging="900" w:hangingChars="3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40.5  对不符合质疑受理条件的，分别按照下列不同情形予以处理：</w:t>
      </w:r>
    </w:p>
    <w:p w14:paraId="61BE0258">
      <w:pPr>
        <w:ind w:left="898" w:leftChars="342" w:hanging="180" w:hangingChars="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（一）质疑函内容不符合规定的，告知质疑人进行修改并重新提出质疑。修改后质疑事项仍不具体、不明确或者最终递交质疑函的时间超过质疑法定期限的，不予受理；</w:t>
      </w:r>
    </w:p>
    <w:p w14:paraId="23444DBB">
      <w:pPr>
        <w:ind w:left="898" w:leftChars="342" w:hanging="180" w:hangingChars="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（二）质疑主体不符合有关规定的，告知质疑人不予受理；</w:t>
      </w:r>
    </w:p>
    <w:p w14:paraId="23BE0BEA">
      <w:pPr>
        <w:ind w:left="898" w:leftChars="342" w:hanging="180" w:hangingChars="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（三）超过质疑法定期限提出质疑的，告知质疑人不予受理；</w:t>
      </w:r>
    </w:p>
    <w:p w14:paraId="502A139E">
      <w:pPr>
        <w:ind w:left="898" w:leftChars="342" w:hanging="180" w:hangingChars="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（四）对不属于可以提出质疑的政府采购事项提出质疑的，告知质疑人不予受理；</w:t>
      </w:r>
    </w:p>
    <w:p w14:paraId="4099014F">
      <w:pPr>
        <w:ind w:left="898" w:leftChars="342" w:hanging="180" w:hangingChars="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（五）质疑不属于本项目采购方管辖的，告知质疑人向有管辖权的采购人提出质疑；</w:t>
      </w:r>
    </w:p>
    <w:p w14:paraId="1CE19B3E">
      <w:pPr>
        <w:ind w:left="898" w:leftChars="342" w:hanging="180" w:hangingChars="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（六）质疑不符合其他条件的，告知质疑人不予受理。</w:t>
      </w:r>
    </w:p>
    <w:p w14:paraId="0331E458">
      <w:pPr>
        <w:ind w:left="900" w:hanging="900" w:hangingChars="375"/>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40.6、</w:t>
      </w:r>
      <w:r>
        <w:rPr>
          <w:rFonts w:hint="eastAsia" w:asciiTheme="minorEastAsia" w:hAnsiTheme="minorEastAsia" w:eastAsiaTheme="minorEastAsia" w:cstheme="minorEastAsia"/>
          <w:color w:val="000000"/>
          <w:sz w:val="24"/>
        </w:rPr>
        <w:t xml:space="preserve"> 质疑的处理和答复</w:t>
      </w:r>
    </w:p>
    <w:p w14:paraId="1AF8C55C">
      <w:pPr>
        <w:ind w:left="900" w:hanging="900" w:hangingChars="375"/>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40.7   采购方受理质疑后，将及时把质疑函发送给被质疑人，并要求其在一定限期内提交书面答复，同时提供有关证据、依据和相关材料。</w:t>
      </w:r>
    </w:p>
    <w:p w14:paraId="06275A22">
      <w:pPr>
        <w:ind w:left="900" w:hanging="900" w:hangingChars="375"/>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40.8  对于质疑事项中涉及的问题较多、情况比较复杂的，为了全面查清事实、取得充分的证据，采购方认为有必要时，可以进行调查取证或者组织质证。</w:t>
      </w:r>
    </w:p>
    <w:p w14:paraId="122F7D6D">
      <w:pPr>
        <w:ind w:left="900" w:hanging="900" w:hangingChars="375"/>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40.9  对评审过程、成交结果提出质疑的，采购方可以组织原</w:t>
      </w:r>
      <w:r>
        <w:rPr>
          <w:rFonts w:hint="eastAsia" w:asciiTheme="minorEastAsia" w:hAnsiTheme="minorEastAsia" w:eastAsiaTheme="minorEastAsia" w:cstheme="minorEastAsia"/>
          <w:color w:val="000000"/>
          <w:sz w:val="24"/>
          <w:lang w:val="en-US" w:eastAsia="zh-CN"/>
        </w:rPr>
        <w:t>磋商小组</w:t>
      </w:r>
      <w:r>
        <w:rPr>
          <w:rFonts w:hint="eastAsia" w:asciiTheme="minorEastAsia" w:hAnsiTheme="minorEastAsia" w:eastAsiaTheme="minorEastAsia" w:cstheme="minorEastAsia"/>
          <w:color w:val="000000"/>
          <w:sz w:val="24"/>
        </w:rPr>
        <w:t>协助答复质疑。</w:t>
      </w:r>
    </w:p>
    <w:p w14:paraId="6FB69E61">
      <w:pPr>
        <w:ind w:left="900" w:hanging="900" w:hangingChars="375"/>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41.   质疑处理过程中，质疑人书面申请撤回质疑的，将终止质疑处理程序。</w:t>
      </w:r>
    </w:p>
    <w:p w14:paraId="05F174B7">
      <w:pPr>
        <w:ind w:left="900" w:hanging="900" w:hangingChars="3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41.1   质疑人拒绝配合采购方依法对质疑进</w:t>
      </w:r>
      <w:r>
        <w:rPr>
          <w:rFonts w:hint="eastAsia" w:asciiTheme="minorEastAsia" w:hAnsiTheme="minorEastAsia" w:eastAsiaTheme="minorEastAsia" w:cstheme="minorEastAsia"/>
          <w:sz w:val="24"/>
        </w:rPr>
        <w:t>行调查处理的，采购方将按质疑人自动撤回质疑处理；被质疑人拒绝配合采购方依法对质疑进行调查处理的，采购方将视同其认可质疑事项。</w:t>
      </w:r>
    </w:p>
    <w:p w14:paraId="1FEBBF6E">
      <w:pPr>
        <w:ind w:left="900" w:hanging="900" w:hangingChars="3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41.1   质疑人拒绝配合采购方依法对质疑进行调查处理的，采购方将按质疑人自动撤回质疑处理；被质疑人拒绝配合采购方依法对质疑进行调查处理的，采购方将视同其认可质疑事项。</w:t>
      </w:r>
    </w:p>
    <w:p w14:paraId="64ADAA5B">
      <w:pPr>
        <w:ind w:left="900" w:hanging="900" w:hangingChars="375"/>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41.2   采购方将在正式受理质疑后7个工作日内作出答复。</w:t>
      </w:r>
    </w:p>
    <w:p w14:paraId="6DCA782C">
      <w:pPr>
        <w:pStyle w:val="51"/>
        <w:rPr>
          <w:rFonts w:hint="eastAsia" w:asciiTheme="minorEastAsia" w:hAnsiTheme="minorEastAsia" w:eastAsiaTheme="minorEastAsia" w:cstheme="minorEastAsia"/>
        </w:rPr>
      </w:pPr>
      <w:r>
        <w:rPr>
          <w:rFonts w:hint="eastAsia" w:asciiTheme="minorEastAsia" w:hAnsiTheme="minorEastAsia" w:eastAsiaTheme="minorEastAsia" w:cstheme="minorEastAsia"/>
        </w:rPr>
        <w:t>41.3   质疑答复应当包括下列内容：</w:t>
      </w:r>
    </w:p>
    <w:p w14:paraId="4FB49631">
      <w:pPr>
        <w:pStyle w:val="51"/>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（一）质疑人的姓名或者名称；</w:t>
      </w:r>
    </w:p>
    <w:p w14:paraId="72A3A323">
      <w:pPr>
        <w:pStyle w:val="51"/>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（二）收到质疑函的日期、质疑项目名称及编号；</w:t>
      </w:r>
    </w:p>
    <w:p w14:paraId="6683BD03">
      <w:pPr>
        <w:pStyle w:val="51"/>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（三）质疑事项、质疑答复的具体内容、事实依据和法律依据；</w:t>
      </w:r>
    </w:p>
    <w:p w14:paraId="76B5E0E7">
      <w:pPr>
        <w:pStyle w:val="51"/>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（四）告知质疑</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依法投诉的权利；</w:t>
      </w:r>
    </w:p>
    <w:p w14:paraId="57CA9A6F">
      <w:pPr>
        <w:pStyle w:val="51"/>
        <w:ind w:firstLine="96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（五）质疑答复人名称；</w:t>
      </w:r>
    </w:p>
    <w:p w14:paraId="7CA959A3">
      <w:pPr>
        <w:ind w:left="718" w:leftChars="342" w:firstLine="240" w:firstLineChars="100"/>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rPr>
        <w:t>（六）答复质疑的日期。</w:t>
      </w:r>
    </w:p>
    <w:p w14:paraId="2DF107FD">
      <w:pPr>
        <w:jc w:val="center"/>
        <w:outlineLvl w:val="1"/>
        <w:rPr>
          <w:rFonts w:hint="eastAsia" w:asciiTheme="minorEastAsia" w:hAnsiTheme="minorEastAsia" w:eastAsiaTheme="minorEastAsia" w:cstheme="minorEastAsia"/>
          <w:b/>
          <w:bCs/>
          <w:sz w:val="24"/>
        </w:rPr>
      </w:pPr>
    </w:p>
    <w:p w14:paraId="2C350C4D">
      <w:pPr>
        <w:jc w:val="center"/>
        <w:outlineLvl w:val="1"/>
        <w:rPr>
          <w:rFonts w:hint="eastAsia" w:asciiTheme="minorEastAsia" w:hAnsiTheme="minorEastAsia" w:eastAsiaTheme="minorEastAsia" w:cstheme="minorEastAsia"/>
          <w:b/>
          <w:bCs/>
          <w:sz w:val="24"/>
        </w:rPr>
      </w:pPr>
    </w:p>
    <w:p w14:paraId="6C869331">
      <w:pPr>
        <w:jc w:val="center"/>
        <w:outlineLvl w:val="1"/>
        <w:rPr>
          <w:rFonts w:hint="eastAsia" w:asciiTheme="minorEastAsia" w:hAnsiTheme="minorEastAsia" w:eastAsiaTheme="minorEastAsia" w:cstheme="minorEastAsia"/>
          <w:b/>
          <w:bCs/>
          <w:sz w:val="24"/>
        </w:rPr>
      </w:pPr>
    </w:p>
    <w:p w14:paraId="721B7902">
      <w:pPr>
        <w:jc w:val="center"/>
        <w:outlineLvl w:val="1"/>
        <w:rPr>
          <w:rFonts w:hint="eastAsia" w:asciiTheme="minorEastAsia" w:hAnsiTheme="minorEastAsia" w:eastAsiaTheme="minorEastAsia" w:cstheme="minorEastAsia"/>
          <w:b/>
          <w:bCs/>
          <w:sz w:val="24"/>
        </w:rPr>
      </w:pPr>
    </w:p>
    <w:p w14:paraId="4911444C">
      <w:pPr>
        <w:jc w:val="center"/>
        <w:outlineLvl w:val="1"/>
        <w:rPr>
          <w:rFonts w:hint="eastAsia" w:asciiTheme="minorEastAsia" w:hAnsiTheme="minorEastAsia" w:eastAsiaTheme="minorEastAsia" w:cstheme="minorEastAsia"/>
          <w:b/>
          <w:bCs/>
          <w:sz w:val="24"/>
        </w:rPr>
      </w:pPr>
      <w:bookmarkStart w:id="230" w:name="_Toc3756"/>
      <w:r>
        <w:rPr>
          <w:rFonts w:hint="eastAsia" w:asciiTheme="minorEastAsia" w:hAnsiTheme="minorEastAsia" w:eastAsiaTheme="minorEastAsia" w:cstheme="minorEastAsia"/>
          <w:b/>
          <w:bCs/>
          <w:sz w:val="24"/>
        </w:rPr>
        <w:t>质疑函范本</w:t>
      </w:r>
      <w:bookmarkEnd w:id="230"/>
    </w:p>
    <w:p w14:paraId="2839397F">
      <w:pPr>
        <w:adjustRightInd w:val="0"/>
        <w:snapToGrid w:val="0"/>
        <w:spacing w:before="312" w:beforeLines="100" w:line="360" w:lineRule="auto"/>
        <w:outlineLvl w:val="1"/>
        <w:rPr>
          <w:rFonts w:hint="eastAsia" w:asciiTheme="minorEastAsia" w:hAnsiTheme="minorEastAsia" w:eastAsiaTheme="minorEastAsia" w:cstheme="minorEastAsia"/>
          <w:bCs/>
          <w:sz w:val="24"/>
        </w:rPr>
      </w:pPr>
      <w:bookmarkStart w:id="231" w:name="_Toc25722"/>
      <w:r>
        <w:rPr>
          <w:rFonts w:hint="eastAsia" w:asciiTheme="minorEastAsia" w:hAnsiTheme="minorEastAsia" w:eastAsiaTheme="minorEastAsia" w:cstheme="minorEastAsia"/>
          <w:bCs/>
          <w:sz w:val="24"/>
        </w:rPr>
        <w:t>一、质疑</w:t>
      </w:r>
      <w:r>
        <w:rPr>
          <w:rFonts w:hint="eastAsia" w:asciiTheme="minorEastAsia" w:hAnsiTheme="minorEastAsia" w:eastAsiaTheme="minorEastAsia" w:cstheme="minorEastAsia"/>
          <w:bCs/>
          <w:sz w:val="24"/>
          <w:lang w:eastAsia="zh-CN"/>
        </w:rPr>
        <w:t>供应商</w:t>
      </w:r>
      <w:r>
        <w:rPr>
          <w:rFonts w:hint="eastAsia" w:asciiTheme="minorEastAsia" w:hAnsiTheme="minorEastAsia" w:eastAsiaTheme="minorEastAsia" w:cstheme="minorEastAsia"/>
          <w:bCs/>
          <w:sz w:val="24"/>
        </w:rPr>
        <w:t>基本信息</w:t>
      </w:r>
      <w:bookmarkEnd w:id="231"/>
    </w:p>
    <w:p w14:paraId="6E43CEDF">
      <w:pPr>
        <w:adjustRightInd w:val="0"/>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dotted"/>
        </w:rPr>
        <w:t xml:space="preserve">                                        </w:t>
      </w:r>
    </w:p>
    <w:p w14:paraId="619B1712">
      <w:pPr>
        <w:adjustRightInd w:val="0"/>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4A80671D">
      <w:pPr>
        <w:adjustRightInd w:val="0"/>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5053EC5F">
      <w:pPr>
        <w:adjustRightInd w:val="0"/>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p>
    <w:p w14:paraId="3A53986D">
      <w:pPr>
        <w:adjustRightInd w:val="0"/>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412C960B">
      <w:pPr>
        <w:adjustRightInd w:val="0"/>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 </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41B83B47">
      <w:pPr>
        <w:adjustRightInd w:val="0"/>
        <w:snapToGrid w:val="0"/>
        <w:spacing w:line="360" w:lineRule="auto"/>
        <w:outlineLvl w:val="1"/>
        <w:rPr>
          <w:rFonts w:hint="eastAsia" w:asciiTheme="minorEastAsia" w:hAnsiTheme="minorEastAsia" w:eastAsiaTheme="minorEastAsia" w:cstheme="minorEastAsia"/>
          <w:bCs/>
          <w:sz w:val="24"/>
        </w:rPr>
      </w:pPr>
      <w:bookmarkStart w:id="232" w:name="_Toc26962"/>
      <w:r>
        <w:rPr>
          <w:rFonts w:hint="eastAsia" w:asciiTheme="minorEastAsia" w:hAnsiTheme="minorEastAsia" w:eastAsiaTheme="minorEastAsia" w:cstheme="minorEastAsia"/>
          <w:bCs/>
          <w:sz w:val="24"/>
        </w:rPr>
        <w:t>二、质疑项目基本情况</w:t>
      </w:r>
      <w:bookmarkEnd w:id="232"/>
    </w:p>
    <w:p w14:paraId="3D09B5BF">
      <w:pPr>
        <w:adjustRightInd w:val="0"/>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质疑项目的名称：</w:t>
      </w:r>
      <w:r>
        <w:rPr>
          <w:rFonts w:hint="eastAsia" w:asciiTheme="minorEastAsia" w:hAnsiTheme="minorEastAsia" w:eastAsiaTheme="minorEastAsia" w:cstheme="minorEastAsia"/>
          <w:sz w:val="24"/>
          <w:u w:val="dotted"/>
        </w:rPr>
        <w:t xml:space="preserve">                                      </w:t>
      </w:r>
    </w:p>
    <w:p w14:paraId="1D242453">
      <w:pPr>
        <w:adjustRightInd w:val="0"/>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0761579D">
      <w:pPr>
        <w:adjustRightInd w:val="0"/>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p>
    <w:p w14:paraId="15195F7F">
      <w:pPr>
        <w:adjustRightInd w:val="0"/>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采购文件获取日期：</w:t>
      </w:r>
      <w:r>
        <w:rPr>
          <w:rFonts w:hint="eastAsia" w:asciiTheme="minorEastAsia" w:hAnsiTheme="minorEastAsia" w:eastAsiaTheme="minorEastAsia" w:cstheme="minorEastAsia"/>
          <w:sz w:val="24"/>
          <w:u w:val="dotted"/>
        </w:rPr>
        <w:t xml:space="preserve">                                           </w:t>
      </w:r>
    </w:p>
    <w:p w14:paraId="01CAED14">
      <w:pPr>
        <w:adjustRightInd w:val="0"/>
        <w:snapToGrid w:val="0"/>
        <w:spacing w:line="360" w:lineRule="auto"/>
        <w:outlineLvl w:val="1"/>
        <w:rPr>
          <w:rFonts w:hint="eastAsia" w:asciiTheme="minorEastAsia" w:hAnsiTheme="minorEastAsia" w:eastAsiaTheme="minorEastAsia" w:cstheme="minorEastAsia"/>
          <w:bCs/>
          <w:sz w:val="24"/>
        </w:rPr>
      </w:pPr>
      <w:bookmarkStart w:id="233" w:name="_Toc19825"/>
      <w:r>
        <w:rPr>
          <w:rFonts w:hint="eastAsia" w:asciiTheme="minorEastAsia" w:hAnsiTheme="minorEastAsia" w:eastAsiaTheme="minorEastAsia" w:cstheme="minorEastAsia"/>
          <w:bCs/>
          <w:sz w:val="24"/>
        </w:rPr>
        <w:t>三、质疑事项具体内容</w:t>
      </w:r>
      <w:bookmarkEnd w:id="233"/>
    </w:p>
    <w:p w14:paraId="213245C9">
      <w:pPr>
        <w:adjustRightInd w:val="0"/>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质疑事项1：</w:t>
      </w:r>
      <w:r>
        <w:rPr>
          <w:rFonts w:hint="eastAsia" w:asciiTheme="minorEastAsia" w:hAnsiTheme="minorEastAsia" w:eastAsiaTheme="minorEastAsia" w:cstheme="minorEastAsia"/>
          <w:sz w:val="24"/>
          <w:u w:val="dotted"/>
        </w:rPr>
        <w:t xml:space="preserve">                                         </w:t>
      </w:r>
    </w:p>
    <w:p w14:paraId="4A998FAA">
      <w:pPr>
        <w:adjustRightInd w:val="0"/>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3088FF31">
      <w:pPr>
        <w:adjustRightInd w:val="0"/>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 xml:space="preserve">                                                       </w:t>
      </w:r>
    </w:p>
    <w:p w14:paraId="318AEB31">
      <w:pPr>
        <w:adjustRightInd w:val="0"/>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0B4B51B2">
      <w:pPr>
        <w:adjustRightInd w:val="0"/>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3E3503CA">
      <w:pPr>
        <w:adjustRightInd w:val="0"/>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质疑事项2</w:t>
      </w:r>
    </w:p>
    <w:p w14:paraId="597CF6A4">
      <w:pPr>
        <w:adjustRightInd w:val="0"/>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3CDAAA5F">
      <w:pPr>
        <w:adjustRightInd w:val="0"/>
        <w:snapToGrid w:val="0"/>
        <w:spacing w:line="360" w:lineRule="auto"/>
        <w:outlineLvl w:val="1"/>
        <w:rPr>
          <w:rFonts w:hint="eastAsia" w:asciiTheme="minorEastAsia" w:hAnsiTheme="minorEastAsia" w:eastAsiaTheme="minorEastAsia" w:cstheme="minorEastAsia"/>
          <w:bCs/>
          <w:sz w:val="24"/>
        </w:rPr>
      </w:pPr>
      <w:bookmarkStart w:id="234" w:name="_Toc30923"/>
      <w:r>
        <w:rPr>
          <w:rFonts w:hint="eastAsia" w:asciiTheme="minorEastAsia" w:hAnsiTheme="minorEastAsia" w:eastAsiaTheme="minorEastAsia" w:cstheme="minorEastAsia"/>
          <w:bCs/>
          <w:sz w:val="24"/>
        </w:rPr>
        <w:t>四、与质疑事项相关的质疑请求</w:t>
      </w:r>
      <w:bookmarkEnd w:id="234"/>
    </w:p>
    <w:p w14:paraId="6DEA99C0">
      <w:pPr>
        <w:adjustRightInd w:val="0"/>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p>
    <w:p w14:paraId="03C7F163">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6FF48EF0">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1BDB37A0">
      <w:pPr>
        <w:rPr>
          <w:rFonts w:hint="eastAsia" w:asciiTheme="minorEastAsia" w:hAnsiTheme="minorEastAsia" w:eastAsiaTheme="minorEastAsia" w:cstheme="minorEastAsia"/>
          <w:b/>
          <w:sz w:val="24"/>
        </w:rPr>
      </w:pPr>
    </w:p>
    <w:p w14:paraId="1B77362B">
      <w:pP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质疑函制作说明：</w:t>
      </w:r>
    </w:p>
    <w:p w14:paraId="7EA3A022">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提出质疑时，应提交质疑函和必要的证明材料。</w:t>
      </w:r>
    </w:p>
    <w:p w14:paraId="116851F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2.质疑</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若委托代理人进行质疑的，质疑函应按要求列明“授权代表”的有关内容，并在附件中提交由质疑</w:t>
      </w:r>
      <w:r>
        <w:rPr>
          <w:rFonts w:hint="eastAsia" w:asciiTheme="minorEastAsia" w:hAnsiTheme="minorEastAsia" w:eastAsiaTheme="minorEastAsia" w:cstheme="minorEastAsia"/>
          <w:kern w:val="0"/>
          <w:sz w:val="24"/>
          <w:lang w:eastAsia="zh-CN"/>
        </w:rPr>
        <w:t>供应商</w:t>
      </w:r>
      <w:r>
        <w:rPr>
          <w:rFonts w:hint="eastAsia" w:asciiTheme="minorEastAsia" w:hAnsiTheme="minorEastAsia" w:eastAsiaTheme="minorEastAsia" w:cstheme="minorEastAsia"/>
          <w:kern w:val="0"/>
          <w:sz w:val="24"/>
        </w:rPr>
        <w:t>签署的授权委托书。授权委托书应载明代理人的姓名或者名称、代理事项、具体权限、期限和相关事项。</w:t>
      </w:r>
    </w:p>
    <w:p w14:paraId="4CBDB8B9">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3.质疑</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若对项目的某一分包进行质疑，质疑函中应列明具体分包号。</w:t>
      </w:r>
    </w:p>
    <w:p w14:paraId="581C55C6">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4.质疑函的质疑事项应具体、明确，并有必要的事实依据和法律依据。</w:t>
      </w:r>
    </w:p>
    <w:p w14:paraId="760B848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5.质疑函的质疑请求应与质疑事项相关。</w:t>
      </w:r>
    </w:p>
    <w:p w14:paraId="19E75986">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6.质疑</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为自然人的，质疑函应由本人签字；质疑</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为法人或者其他组织的，质疑函应由法定代表人、主要负责人，或者其授权代表签字或者盖章，并加盖公章。</w:t>
      </w:r>
    </w:p>
    <w:p w14:paraId="6FDF246F">
      <w:pPr>
        <w:pStyle w:val="3"/>
        <w:spacing w:before="0" w:line="240" w:lineRule="atLeast"/>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br w:type="page"/>
      </w:r>
      <w:bookmarkStart w:id="235" w:name="_Toc3584_WPSOffice_Level1"/>
      <w:bookmarkStart w:id="236" w:name="_Toc18483"/>
      <w:bookmarkStart w:id="237" w:name="_Toc8327"/>
      <w:bookmarkStart w:id="238" w:name="_Toc518923103"/>
      <w:bookmarkStart w:id="239" w:name="_Toc23883"/>
      <w:bookmarkStart w:id="240" w:name="_Toc21504_WPSOffice_Level1"/>
      <w:bookmarkStart w:id="241" w:name="_Toc22084_WPSOffice_Level1"/>
      <w:r>
        <w:rPr>
          <w:rFonts w:hint="eastAsia" w:asciiTheme="minorEastAsia" w:hAnsiTheme="minorEastAsia" w:eastAsiaTheme="minorEastAsia" w:cstheme="minorEastAsia"/>
          <w:szCs w:val="24"/>
        </w:rPr>
        <w:t>附件1：履约保证金保函（格式）</w:t>
      </w:r>
      <w:bookmarkEnd w:id="235"/>
      <w:bookmarkEnd w:id="236"/>
      <w:bookmarkEnd w:id="237"/>
      <w:bookmarkEnd w:id="238"/>
      <w:bookmarkEnd w:id="239"/>
      <w:bookmarkEnd w:id="240"/>
      <w:bookmarkEnd w:id="241"/>
    </w:p>
    <w:p w14:paraId="210ABBEA">
      <w:pPr>
        <w:pStyle w:val="16"/>
        <w:spacing w:line="240" w:lineRule="atLeast"/>
        <w:ind w:left="1079" w:leftChars="257" w:hanging="54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（成交后开具）</w:t>
      </w:r>
    </w:p>
    <w:p w14:paraId="026569A9">
      <w:pPr>
        <w:pStyle w:val="16"/>
        <w:spacing w:line="24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 (</w:t>
      </w:r>
      <w:r>
        <w:rPr>
          <w:rFonts w:hint="eastAsia" w:asciiTheme="minorEastAsia" w:hAnsiTheme="minorEastAsia" w:eastAsiaTheme="minorEastAsia" w:cstheme="minorEastAsia"/>
          <w:sz w:val="24"/>
          <w:u w:val="single"/>
          <w:lang w:eastAsia="zh-CN"/>
        </w:rPr>
        <w:t>采购人</w:t>
      </w:r>
      <w:r>
        <w:rPr>
          <w:rFonts w:hint="eastAsia" w:asciiTheme="minorEastAsia" w:hAnsiTheme="minorEastAsia" w:eastAsiaTheme="minorEastAsia" w:cstheme="minorEastAsia"/>
          <w:sz w:val="24"/>
          <w:u w:val="single"/>
        </w:rPr>
        <w:t>名称</w:t>
      </w:r>
      <w:r>
        <w:rPr>
          <w:rFonts w:hint="eastAsia" w:asciiTheme="minorEastAsia" w:hAnsiTheme="minorEastAsia" w:eastAsiaTheme="minorEastAsia" w:cstheme="minorEastAsia"/>
          <w:sz w:val="24"/>
        </w:rPr>
        <w:t>)</w:t>
      </w:r>
    </w:p>
    <w:p w14:paraId="263A7952">
      <w:pPr>
        <w:pStyle w:val="16"/>
        <w:spacing w:line="240" w:lineRule="atLeast"/>
        <w:ind w:left="1079" w:leftChars="257" w:hanging="54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号合同履约保函</w:t>
      </w:r>
    </w:p>
    <w:p w14:paraId="5223FE5C">
      <w:pPr>
        <w:pStyle w:val="16"/>
        <w:spacing w:line="240" w:lineRule="atLeast"/>
        <w:ind w:firstLine="600" w:firstLineChars="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本保函作为贵方与(</w:t>
      </w:r>
      <w:r>
        <w:rPr>
          <w:rFonts w:hint="eastAsia" w:asciiTheme="minorEastAsia" w:hAnsiTheme="minorEastAsia" w:eastAsiaTheme="minorEastAsia" w:cstheme="minorEastAsia"/>
          <w:sz w:val="24"/>
          <w:u w:val="single"/>
        </w:rPr>
        <w:t>卖方名称</w:t>
      </w:r>
      <w:r>
        <w:rPr>
          <w:rFonts w:hint="eastAsia" w:asciiTheme="minorEastAsia" w:hAnsiTheme="minorEastAsia" w:eastAsiaTheme="minorEastAsia" w:cstheme="minorEastAsia"/>
          <w:sz w:val="24"/>
        </w:rPr>
        <w:t>)(以下简称卖方)于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日就</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项目(以下简称项目)项下提供(</w:t>
      </w:r>
      <w:r>
        <w:rPr>
          <w:rFonts w:hint="eastAsia" w:asciiTheme="minorEastAsia" w:hAnsiTheme="minorEastAsia" w:eastAsiaTheme="minorEastAsia" w:cstheme="minorEastAsia"/>
          <w:sz w:val="24"/>
          <w:u w:val="single"/>
        </w:rPr>
        <w:t>服务名称</w:t>
      </w:r>
      <w:r>
        <w:rPr>
          <w:rFonts w:hint="eastAsia" w:asciiTheme="minorEastAsia" w:hAnsiTheme="minorEastAsia" w:eastAsiaTheme="minorEastAsia" w:cstheme="minorEastAsia"/>
          <w:sz w:val="24"/>
        </w:rPr>
        <w:t>)(以下简称服务)签订的(</w:t>
      </w:r>
      <w:r>
        <w:rPr>
          <w:rFonts w:hint="eastAsia" w:asciiTheme="minorEastAsia" w:hAnsiTheme="minorEastAsia" w:eastAsiaTheme="minorEastAsia" w:cstheme="minorEastAsia"/>
          <w:sz w:val="24"/>
          <w:u w:val="single"/>
        </w:rPr>
        <w:t>合同号</w:t>
      </w:r>
      <w:r>
        <w:rPr>
          <w:rFonts w:hint="eastAsia" w:asciiTheme="minorEastAsia" w:hAnsiTheme="minorEastAsia" w:eastAsiaTheme="minorEastAsia" w:cstheme="minorEastAsia"/>
          <w:sz w:val="24"/>
        </w:rPr>
        <w:t>)号合同的履约保函。</w:t>
      </w:r>
    </w:p>
    <w:p w14:paraId="47B7242B">
      <w:pPr>
        <w:pStyle w:val="16"/>
        <w:spacing w:line="240" w:lineRule="atLeast"/>
        <w:ind w:firstLine="540" w:firstLineChars="22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出具保函的银行名称</w:t>
      </w:r>
      <w:r>
        <w:rPr>
          <w:rFonts w:hint="eastAsia" w:asciiTheme="minorEastAsia" w:hAnsiTheme="minorEastAsia" w:eastAsiaTheme="minorEastAsia" w:cstheme="minorEastAsia"/>
          <w:sz w:val="24"/>
        </w:rPr>
        <w:t>)(以下简称银行)无条件地、不可撤销地具结保证本行、其继承人和受让人无追索地向贵方以(</w:t>
      </w:r>
      <w:r>
        <w:rPr>
          <w:rFonts w:hint="eastAsia" w:asciiTheme="minorEastAsia" w:hAnsiTheme="minorEastAsia" w:eastAsiaTheme="minorEastAsia" w:cstheme="minorEastAsia"/>
          <w:sz w:val="24"/>
          <w:u w:val="single"/>
        </w:rPr>
        <w:t>货币名称</w:t>
      </w:r>
      <w:r>
        <w:rPr>
          <w:rFonts w:hint="eastAsia" w:asciiTheme="minorEastAsia" w:hAnsiTheme="minorEastAsia" w:eastAsiaTheme="minorEastAsia" w:cstheme="minorEastAsia"/>
          <w:sz w:val="24"/>
        </w:rPr>
        <w:t>)支付总额不超过(</w:t>
      </w:r>
      <w:r>
        <w:rPr>
          <w:rFonts w:hint="eastAsia" w:asciiTheme="minorEastAsia" w:hAnsiTheme="minorEastAsia" w:eastAsiaTheme="minorEastAsia" w:cstheme="minorEastAsia"/>
          <w:sz w:val="24"/>
          <w:u w:val="single"/>
        </w:rPr>
        <w:t>货币数量</w:t>
      </w:r>
      <w:r>
        <w:rPr>
          <w:rFonts w:hint="eastAsia" w:asciiTheme="minorEastAsia" w:hAnsiTheme="minorEastAsia" w:eastAsiaTheme="minorEastAsia" w:cstheme="minorEastAsia"/>
          <w:sz w:val="24"/>
        </w:rPr>
        <w:t>),即相当于合同价格的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%,并以此约定如下:</w:t>
      </w:r>
    </w:p>
    <w:p w14:paraId="7D961BB1">
      <w:pPr>
        <w:pStyle w:val="16"/>
        <w:ind w:left="539" w:leftChars="25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2B33CCCF">
      <w:pPr>
        <w:pStyle w:val="16"/>
        <w:spacing w:line="240" w:lineRule="atLeast"/>
        <w:ind w:left="5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2.本保函项下的任何支付应为免税和净值。对于现有或将来的税收、关税、收费、费用扣减或预提税款，不论这些款项是何种性质和由谁征收，都不应从本保函项下的支付中扣除。</w:t>
      </w:r>
    </w:p>
    <w:p w14:paraId="7317FDA0">
      <w:pPr>
        <w:pStyle w:val="16"/>
        <w:spacing w:line="240" w:lineRule="atLeast"/>
        <w:ind w:left="5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2AA71786">
      <w:pPr>
        <w:pStyle w:val="16"/>
        <w:spacing w:line="240" w:lineRule="atLeast"/>
        <w:ind w:left="1079" w:leftChars="257" w:hanging="5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4.本保函在本合同规定的保证期期满前完全有效。</w:t>
      </w:r>
    </w:p>
    <w:p w14:paraId="0268DEE5">
      <w:pPr>
        <w:pStyle w:val="16"/>
        <w:spacing w:line="240" w:lineRule="atLeast"/>
        <w:ind w:left="1079" w:leftChars="257" w:hanging="540"/>
        <w:rPr>
          <w:rFonts w:hint="eastAsia" w:asciiTheme="minorEastAsia" w:hAnsiTheme="minorEastAsia" w:eastAsiaTheme="minorEastAsia" w:cstheme="minorEastAsia"/>
          <w:sz w:val="24"/>
        </w:rPr>
      </w:pPr>
    </w:p>
    <w:p w14:paraId="77F6B2A9">
      <w:pPr>
        <w:pStyle w:val="16"/>
        <w:spacing w:line="240" w:lineRule="atLeast"/>
        <w:ind w:left="1079" w:leftChars="257" w:hanging="5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谨启</w:t>
      </w:r>
    </w:p>
    <w:p w14:paraId="6636DEC2">
      <w:pPr>
        <w:pStyle w:val="16"/>
        <w:spacing w:line="240" w:lineRule="atLeast"/>
        <w:ind w:left="1079" w:leftChars="257" w:hanging="5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出具保函银行名称：</w:t>
      </w:r>
      <w:r>
        <w:rPr>
          <w:rFonts w:hint="eastAsia" w:asciiTheme="minorEastAsia" w:hAnsiTheme="minorEastAsia" w:eastAsiaTheme="minorEastAsia" w:cstheme="minorEastAsia"/>
          <w:sz w:val="24"/>
          <w:u w:val="single"/>
        </w:rPr>
        <w:t xml:space="preserve">                             </w:t>
      </w:r>
    </w:p>
    <w:p w14:paraId="167E6C63">
      <w:pPr>
        <w:pStyle w:val="16"/>
        <w:spacing w:line="240" w:lineRule="atLeast"/>
        <w:ind w:left="1079" w:leftChars="257" w:hanging="54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签字人姓名和职务：</w:t>
      </w:r>
      <w:r>
        <w:rPr>
          <w:rFonts w:hint="eastAsia" w:asciiTheme="minorEastAsia" w:hAnsiTheme="minorEastAsia" w:eastAsiaTheme="minorEastAsia" w:cstheme="minorEastAsia"/>
          <w:sz w:val="24"/>
          <w:u w:val="single"/>
        </w:rPr>
        <w:t xml:space="preserve">                             </w:t>
      </w:r>
    </w:p>
    <w:p w14:paraId="3FB76506">
      <w:pPr>
        <w:pStyle w:val="16"/>
        <w:spacing w:line="240" w:lineRule="atLeast"/>
        <w:ind w:left="1079" w:leftChars="257" w:hanging="54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签字人签名：</w:t>
      </w:r>
      <w:r>
        <w:rPr>
          <w:rFonts w:hint="eastAsia" w:asciiTheme="minorEastAsia" w:hAnsiTheme="minorEastAsia" w:eastAsiaTheme="minorEastAsia" w:cstheme="minorEastAsia"/>
          <w:sz w:val="24"/>
          <w:u w:val="single"/>
        </w:rPr>
        <w:t xml:space="preserve">                                   </w:t>
      </w:r>
    </w:p>
    <w:p w14:paraId="59FC70A2">
      <w:pPr>
        <w:pStyle w:val="16"/>
        <w:spacing w:line="240" w:lineRule="atLeast"/>
        <w:ind w:left="1079" w:leftChars="257" w:hanging="54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公章：</w:t>
      </w:r>
      <w:r>
        <w:rPr>
          <w:rFonts w:hint="eastAsia" w:asciiTheme="minorEastAsia" w:hAnsiTheme="minorEastAsia" w:eastAsiaTheme="minorEastAsia" w:cstheme="minorEastAsia"/>
          <w:sz w:val="24"/>
          <w:u w:val="single"/>
        </w:rPr>
        <w:t xml:space="preserve">                                         </w:t>
      </w:r>
    </w:p>
    <w:p w14:paraId="04407574">
      <w:pPr>
        <w:pStyle w:val="3"/>
        <w:spacing w:before="0" w:line="240" w:lineRule="atLeast"/>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br w:type="page"/>
      </w:r>
      <w:bookmarkStart w:id="242" w:name="_Toc9904"/>
      <w:bookmarkStart w:id="243" w:name="_Toc25500_WPSOffice_Level1"/>
      <w:bookmarkStart w:id="244" w:name="_Toc22823"/>
      <w:bookmarkStart w:id="245" w:name="_Toc10323_WPSOffice_Level1"/>
      <w:bookmarkStart w:id="246" w:name="_Toc27788"/>
      <w:bookmarkStart w:id="247" w:name="_Toc391_WPSOffice_Level1"/>
      <w:bookmarkStart w:id="248" w:name="_Toc518923104"/>
      <w:r>
        <w:rPr>
          <w:rFonts w:hint="eastAsia" w:asciiTheme="minorEastAsia" w:hAnsiTheme="minorEastAsia" w:eastAsiaTheme="minorEastAsia" w:cstheme="minorEastAsia"/>
          <w:szCs w:val="24"/>
        </w:rPr>
        <w:t>附件2：履约担保函格式</w:t>
      </w:r>
      <w:bookmarkEnd w:id="242"/>
      <w:bookmarkEnd w:id="243"/>
      <w:bookmarkEnd w:id="244"/>
      <w:bookmarkEnd w:id="245"/>
      <w:bookmarkEnd w:id="246"/>
      <w:bookmarkEnd w:id="247"/>
      <w:bookmarkEnd w:id="248"/>
    </w:p>
    <w:p w14:paraId="246ACC8E">
      <w:pPr>
        <w:pStyle w:val="3"/>
        <w:spacing w:before="0" w:line="240" w:lineRule="atLeast"/>
        <w:ind w:left="1079" w:leftChars="257" w:hanging="540"/>
        <w:rPr>
          <w:rFonts w:hint="eastAsia" w:asciiTheme="minorEastAsia" w:hAnsiTheme="minorEastAsia" w:eastAsiaTheme="minorEastAsia" w:cstheme="minorEastAsia"/>
          <w:b w:val="0"/>
        </w:rPr>
      </w:pPr>
      <w:bookmarkStart w:id="249" w:name="_Toc30995"/>
      <w:bookmarkStart w:id="250" w:name="_Toc518923105"/>
      <w:bookmarkStart w:id="251" w:name="_Toc27405_WPSOffice_Level1"/>
      <w:bookmarkStart w:id="252" w:name="_Toc515904842"/>
      <w:bookmarkStart w:id="253" w:name="_Toc13630"/>
      <w:bookmarkStart w:id="254" w:name="_Toc20933_WPSOffice_Level1"/>
      <w:bookmarkStart w:id="255" w:name="_Toc11516_WPSOffice_Level1"/>
      <w:bookmarkStart w:id="256" w:name="_Toc22589"/>
      <w:r>
        <w:rPr>
          <w:rFonts w:hint="eastAsia" w:asciiTheme="minorEastAsia" w:hAnsiTheme="minorEastAsia" w:eastAsiaTheme="minorEastAsia" w:cstheme="minorEastAsia"/>
          <w:szCs w:val="24"/>
        </w:rPr>
        <w:t>（采用政府采购信用担保形式时使用）</w:t>
      </w:r>
      <w:bookmarkEnd w:id="249"/>
      <w:bookmarkEnd w:id="250"/>
      <w:bookmarkEnd w:id="251"/>
      <w:bookmarkEnd w:id="252"/>
      <w:bookmarkEnd w:id="253"/>
      <w:bookmarkEnd w:id="254"/>
      <w:bookmarkEnd w:id="255"/>
      <w:bookmarkEnd w:id="256"/>
    </w:p>
    <w:p w14:paraId="16FA302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政府采购履约担保函（项目用）</w:t>
      </w:r>
    </w:p>
    <w:p w14:paraId="426185A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编号：</w:t>
      </w:r>
    </w:p>
    <w:p w14:paraId="412E44C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（采购人）：</w:t>
      </w:r>
    </w:p>
    <w:p w14:paraId="6BF346D6">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鉴于你方与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（以下简称</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日签定编号为   的《</w:t>
      </w:r>
      <w:r>
        <w:rPr>
          <w:rFonts w:hint="eastAsia" w:asciiTheme="minorEastAsia" w:hAnsiTheme="minorEastAsia" w:eastAsiaTheme="minorEastAsia" w:cstheme="minorEastAsia"/>
          <w:sz w:val="24"/>
          <w:u w:val="single"/>
        </w:rPr>
        <w:t>政府采购合同</w:t>
      </w:r>
      <w:r>
        <w:rPr>
          <w:rFonts w:hint="eastAsia" w:asciiTheme="minorEastAsia" w:hAnsiTheme="minorEastAsia" w:eastAsiaTheme="minorEastAsia" w:cstheme="minorEastAsia"/>
          <w:sz w:val="24"/>
        </w:rPr>
        <w:t>》（以下简称主合同），且依据该合同的约定，</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应在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p>
    <w:p w14:paraId="13C44E1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日前向你方交纳履约保证金，且可以履约担保函的形式交纳履约保证金。应</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的申请，我方以保证的方式向你方提供如下履约保证金担保：</w:t>
      </w:r>
    </w:p>
    <w:p w14:paraId="6F73FBE4">
      <w:pPr>
        <w:spacing w:line="360" w:lineRule="auto"/>
        <w:ind w:firstLine="480" w:firstLineChars="200"/>
        <w:outlineLvl w:val="1"/>
        <w:rPr>
          <w:rFonts w:hint="eastAsia" w:asciiTheme="minorEastAsia" w:hAnsiTheme="minorEastAsia" w:eastAsiaTheme="minorEastAsia" w:cstheme="minorEastAsia"/>
          <w:sz w:val="24"/>
        </w:rPr>
      </w:pPr>
      <w:bookmarkStart w:id="257" w:name="_Toc10654_WPSOffice_Level1"/>
      <w:bookmarkStart w:id="258" w:name="_Toc30410"/>
      <w:bookmarkStart w:id="259" w:name="_Toc11823_WPSOffice_Level1"/>
      <w:r>
        <w:rPr>
          <w:rFonts w:hint="eastAsia" w:asciiTheme="minorEastAsia" w:hAnsiTheme="minorEastAsia" w:eastAsiaTheme="minorEastAsia" w:cstheme="minorEastAsia"/>
          <w:sz w:val="24"/>
        </w:rPr>
        <w:t>一、保证责任的情形及保证金额</w:t>
      </w:r>
      <w:bookmarkEnd w:id="257"/>
      <w:bookmarkEnd w:id="258"/>
      <w:bookmarkEnd w:id="259"/>
    </w:p>
    <w:p w14:paraId="5517B77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（一）在</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出现下列情形之一时，我方承担保证责任：</w:t>
      </w:r>
    </w:p>
    <w:p w14:paraId="5F6A8B81">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1．将成交项目转让给他人，或者在响应文件中未说明，且未经采购招标机构人同意，将成交项目分包给他人的；</w:t>
      </w:r>
    </w:p>
    <w:p w14:paraId="2E402037">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2．主合同约定的应当缴纳履约保证金的情形: </w:t>
      </w:r>
    </w:p>
    <w:p w14:paraId="32CD10C8">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（1）未按主合同约定的质量、数量和期限供应货物/提供服务/完成工程的；</w:t>
      </w:r>
    </w:p>
    <w:p w14:paraId="48223052">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32AC76AD">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（二）我方的保证范围是主合同约定的合同价款总额的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%数额为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），币种为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。（即主合同履约保证金金额）</w:t>
      </w:r>
    </w:p>
    <w:p w14:paraId="03D55DA9">
      <w:pPr>
        <w:ind w:firstLine="480" w:firstLineChars="200"/>
        <w:outlineLvl w:val="1"/>
        <w:rPr>
          <w:rFonts w:hint="eastAsia" w:asciiTheme="minorEastAsia" w:hAnsiTheme="minorEastAsia" w:eastAsiaTheme="minorEastAsia" w:cstheme="minorEastAsia"/>
          <w:sz w:val="24"/>
        </w:rPr>
      </w:pPr>
      <w:bookmarkStart w:id="260" w:name="_Toc7886_WPSOffice_Level1"/>
      <w:bookmarkStart w:id="261" w:name="_Toc17320"/>
      <w:bookmarkStart w:id="262" w:name="_Toc3896_WPSOffice_Level1"/>
      <w:r>
        <w:rPr>
          <w:rFonts w:hint="eastAsia" w:asciiTheme="minorEastAsia" w:hAnsiTheme="minorEastAsia" w:eastAsiaTheme="minorEastAsia" w:cstheme="minorEastAsia"/>
          <w:sz w:val="24"/>
        </w:rPr>
        <w:t>二、保证的方式及保证期间</w:t>
      </w:r>
      <w:bookmarkEnd w:id="260"/>
      <w:bookmarkEnd w:id="261"/>
      <w:bookmarkEnd w:id="262"/>
    </w:p>
    <w:p w14:paraId="2C5898CC">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我方保证的方式为：连带责任保证。</w:t>
      </w:r>
    </w:p>
    <w:p w14:paraId="2DA76143">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我方保证的期间为：自本合同生效之日起至</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按照主合同约定的供货/完工期限届满后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日内。</w:t>
      </w:r>
    </w:p>
    <w:p w14:paraId="602C07FD">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如果</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未按主合同约定向贵方供应货物/提供服务/完成工程的，由我方在保证金额内向你方支付上述款项。</w:t>
      </w:r>
    </w:p>
    <w:p w14:paraId="03915000">
      <w:pPr>
        <w:ind w:firstLine="480" w:firstLineChars="200"/>
        <w:outlineLvl w:val="1"/>
        <w:rPr>
          <w:rFonts w:hint="eastAsia" w:asciiTheme="minorEastAsia" w:hAnsiTheme="minorEastAsia" w:eastAsiaTheme="minorEastAsia" w:cstheme="minorEastAsia"/>
          <w:sz w:val="24"/>
        </w:rPr>
      </w:pPr>
      <w:bookmarkStart w:id="263" w:name="_Toc12205"/>
      <w:bookmarkStart w:id="264" w:name="_Toc6638_WPSOffice_Level1"/>
      <w:bookmarkStart w:id="265" w:name="_Toc13180_WPSOffice_Level1"/>
      <w:r>
        <w:rPr>
          <w:rFonts w:hint="eastAsia" w:asciiTheme="minorEastAsia" w:hAnsiTheme="minorEastAsia" w:eastAsiaTheme="minorEastAsia" w:cstheme="minorEastAsia"/>
          <w:sz w:val="24"/>
        </w:rPr>
        <w:t>三、承担保证责任的程序</w:t>
      </w:r>
      <w:bookmarkEnd w:id="263"/>
      <w:bookmarkEnd w:id="264"/>
      <w:bookmarkEnd w:id="265"/>
    </w:p>
    <w:p w14:paraId="34C05BC9">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1．你方要求我方承担保证责任的，应在本保函保证期间内向我方发出书面索赔通知。索赔通知应写明要求索赔的金额，支付款项应到达的帐号。并附有证明</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违约事实的证明材料。</w:t>
      </w:r>
    </w:p>
    <w:p w14:paraId="2E4E72BA">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如果你方与</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因货物质量问题产生争议，你方还需同时提供</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部门出具的质量检测报告，或经诉讼（仲裁）程序裁决后的裁决书、调解书，本保证人即按照检测结果或裁决书、调解书决定是否承担保证责任。</w:t>
      </w:r>
    </w:p>
    <w:p w14:paraId="7B3FF9AA">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 我方收到你方的书面索赔通知及相应证明材料，在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工作日内进行核定后按照本保函的承诺承担保证责任。</w:t>
      </w:r>
    </w:p>
    <w:p w14:paraId="388AA6C5">
      <w:pPr>
        <w:ind w:firstLine="480" w:firstLineChars="200"/>
        <w:outlineLvl w:val="1"/>
        <w:rPr>
          <w:rFonts w:hint="eastAsia" w:asciiTheme="minorEastAsia" w:hAnsiTheme="minorEastAsia" w:eastAsiaTheme="minorEastAsia" w:cstheme="minorEastAsia"/>
          <w:sz w:val="24"/>
        </w:rPr>
      </w:pPr>
      <w:bookmarkStart w:id="266" w:name="_Toc32368_WPSOffice_Level1"/>
      <w:bookmarkStart w:id="267" w:name="_Toc20271"/>
      <w:bookmarkStart w:id="268" w:name="_Toc14402_WPSOffice_Level1"/>
      <w:r>
        <w:rPr>
          <w:rFonts w:hint="eastAsia" w:asciiTheme="minorEastAsia" w:hAnsiTheme="minorEastAsia" w:eastAsiaTheme="minorEastAsia" w:cstheme="minorEastAsia"/>
          <w:sz w:val="24"/>
        </w:rPr>
        <w:t>四、保证责任的终止</w:t>
      </w:r>
      <w:bookmarkEnd w:id="266"/>
      <w:bookmarkEnd w:id="267"/>
      <w:bookmarkEnd w:id="268"/>
    </w:p>
    <w:p w14:paraId="460C036E">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E9A4956">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2．我方按照本保函向你方履行了保证责任后，自我方向你方支付款项（支付款项从我方账户划出）之日起，保证责任即终止。</w:t>
      </w:r>
    </w:p>
    <w:p w14:paraId="480A0994">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3．按照法律法规的规定或出现应终止我方保证责任的其它情形的，我方在本保函项下的保证责任亦终止。</w:t>
      </w:r>
    </w:p>
    <w:p w14:paraId="24DB5CF1">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4．你方与</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修改主合同，加重我方保证责任的，我方对加重部分不承担保证责任，但该等修改事先经我方书面同意的除外；你方与</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修改主合同履行期限，我方保证期间仍依修改前的履行期限计算，但该等修改事先经我方书面同意的除外。</w:t>
      </w:r>
    </w:p>
    <w:p w14:paraId="789C6F88">
      <w:pPr>
        <w:ind w:firstLine="480" w:firstLineChars="200"/>
        <w:outlineLvl w:val="1"/>
        <w:rPr>
          <w:rFonts w:hint="eastAsia" w:asciiTheme="minorEastAsia" w:hAnsiTheme="minorEastAsia" w:eastAsiaTheme="minorEastAsia" w:cstheme="minorEastAsia"/>
          <w:sz w:val="24"/>
        </w:rPr>
      </w:pPr>
      <w:bookmarkStart w:id="269" w:name="_Toc23917_WPSOffice_Level1"/>
      <w:bookmarkStart w:id="270" w:name="_Toc29609"/>
      <w:bookmarkStart w:id="271" w:name="_Toc15921_WPSOffice_Level1"/>
      <w:r>
        <w:rPr>
          <w:rFonts w:hint="eastAsia" w:asciiTheme="minorEastAsia" w:hAnsiTheme="minorEastAsia" w:eastAsiaTheme="minorEastAsia" w:cstheme="minorEastAsia"/>
          <w:sz w:val="24"/>
        </w:rPr>
        <w:t>五、免责条款</w:t>
      </w:r>
      <w:bookmarkEnd w:id="269"/>
      <w:bookmarkEnd w:id="270"/>
      <w:bookmarkEnd w:id="271"/>
    </w:p>
    <w:p w14:paraId="6BA77269">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1．因你方违反主合同约定致使</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不能履行义务的，我方不承担保证责任。</w:t>
      </w:r>
    </w:p>
    <w:p w14:paraId="0AA5D8AA">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2．依照法律法规的规定或你方与</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的另行约定，全部或者部分免除</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应缴纳的保证金义务的，我方亦免除相应的保证责任。</w:t>
      </w:r>
    </w:p>
    <w:p w14:paraId="3C802EB6">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3．因不可抗力造成</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不能履行供货义务的，我方不承担保证责任。</w:t>
      </w:r>
    </w:p>
    <w:p w14:paraId="0FE474EF">
      <w:pPr>
        <w:ind w:firstLine="480" w:firstLineChars="200"/>
        <w:outlineLvl w:val="1"/>
        <w:rPr>
          <w:rFonts w:hint="eastAsia" w:asciiTheme="minorEastAsia" w:hAnsiTheme="minorEastAsia" w:eastAsiaTheme="minorEastAsia" w:cstheme="minorEastAsia"/>
          <w:sz w:val="24"/>
        </w:rPr>
      </w:pPr>
      <w:bookmarkStart w:id="272" w:name="_Toc2970_WPSOffice_Level1"/>
      <w:bookmarkStart w:id="273" w:name="_Toc6543_WPSOffice_Level1"/>
      <w:bookmarkStart w:id="274" w:name="_Toc13353"/>
      <w:r>
        <w:rPr>
          <w:rFonts w:hint="eastAsia" w:asciiTheme="minorEastAsia" w:hAnsiTheme="minorEastAsia" w:eastAsiaTheme="minorEastAsia" w:cstheme="minorEastAsia"/>
          <w:sz w:val="24"/>
        </w:rPr>
        <w:t>六、争议的解决</w:t>
      </w:r>
      <w:bookmarkEnd w:id="272"/>
      <w:bookmarkEnd w:id="273"/>
      <w:bookmarkEnd w:id="274"/>
    </w:p>
    <w:p w14:paraId="2969292A">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因本保函发生的纠纷，由你我双方协商解决，协商不成的，通过诉讼程序解决，诉讼管辖地法院为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法院。</w:t>
      </w:r>
    </w:p>
    <w:p w14:paraId="750EE82C">
      <w:pPr>
        <w:ind w:firstLine="480" w:firstLineChars="200"/>
        <w:outlineLvl w:val="1"/>
        <w:rPr>
          <w:rFonts w:hint="eastAsia" w:asciiTheme="minorEastAsia" w:hAnsiTheme="minorEastAsia" w:eastAsiaTheme="minorEastAsia" w:cstheme="minorEastAsia"/>
          <w:sz w:val="24"/>
        </w:rPr>
      </w:pPr>
      <w:bookmarkStart w:id="275" w:name="_Toc548_WPSOffice_Level1"/>
      <w:bookmarkStart w:id="276" w:name="_Toc3482_WPSOffice_Level1"/>
      <w:bookmarkStart w:id="277" w:name="_Toc1041"/>
      <w:r>
        <w:rPr>
          <w:rFonts w:hint="eastAsia" w:asciiTheme="minorEastAsia" w:hAnsiTheme="minorEastAsia" w:eastAsiaTheme="minorEastAsia" w:cstheme="minorEastAsia"/>
          <w:sz w:val="24"/>
        </w:rPr>
        <w:t>七、保函的生效</w:t>
      </w:r>
      <w:bookmarkEnd w:id="275"/>
      <w:bookmarkEnd w:id="276"/>
      <w:bookmarkEnd w:id="277"/>
    </w:p>
    <w:p w14:paraId="5196D86D">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本保函自我方加盖公章之日起生效。    </w:t>
      </w:r>
    </w:p>
    <w:p w14:paraId="73AA87C2">
      <w:pPr>
        <w:ind w:firstLine="5400" w:firstLineChars="22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保证人：（公章）</w:t>
      </w:r>
    </w:p>
    <w:p w14:paraId="3989982A">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p w14:paraId="1BC15792">
      <w:pPr>
        <w:pStyle w:val="8"/>
        <w:spacing w:line="240" w:lineRule="atLeast"/>
        <w:ind w:firstLine="0"/>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b/>
        </w:rPr>
        <w:br w:type="page"/>
      </w:r>
    </w:p>
    <w:p w14:paraId="34DC5DC3">
      <w:pPr>
        <w:pStyle w:val="2"/>
        <w:spacing w:before="0" w:after="0" w:line="240" w:lineRule="atLeast"/>
        <w:rPr>
          <w:rFonts w:hint="eastAsia" w:asciiTheme="minorEastAsia" w:hAnsiTheme="minorEastAsia" w:eastAsiaTheme="minorEastAsia" w:cstheme="minorEastAsia"/>
          <w:b/>
          <w:kern w:val="0"/>
          <w:sz w:val="24"/>
          <w:szCs w:val="20"/>
        </w:rPr>
      </w:pPr>
      <w:bookmarkStart w:id="278" w:name="_Toc6923"/>
      <w:bookmarkStart w:id="279" w:name="_Toc22577_WPSOffice_Level1"/>
      <w:bookmarkStart w:id="280" w:name="_Toc20110"/>
      <w:bookmarkStart w:id="281" w:name="_Toc518923106"/>
      <w:bookmarkStart w:id="282" w:name="_Toc216582812"/>
      <w:r>
        <w:rPr>
          <w:rFonts w:hint="eastAsia" w:asciiTheme="minorEastAsia" w:hAnsiTheme="minorEastAsia" w:eastAsiaTheme="minorEastAsia" w:cstheme="minorEastAsia"/>
        </w:rPr>
        <w:t>第二章 响应文件格式</w:t>
      </w:r>
      <w:bookmarkEnd w:id="278"/>
      <w:bookmarkEnd w:id="279"/>
      <w:bookmarkEnd w:id="280"/>
      <w:bookmarkEnd w:id="281"/>
      <w:bookmarkEnd w:id="282"/>
      <w:bookmarkStart w:id="283" w:name="_Toc13771"/>
      <w:bookmarkStart w:id="284" w:name="_Toc18887"/>
      <w:bookmarkStart w:id="285" w:name="_Toc28994"/>
      <w:bookmarkStart w:id="286" w:name="_Toc23729"/>
      <w:bookmarkStart w:id="287" w:name="_Toc30798"/>
    </w:p>
    <w:bookmarkEnd w:id="283"/>
    <w:bookmarkEnd w:id="284"/>
    <w:bookmarkEnd w:id="285"/>
    <w:bookmarkEnd w:id="286"/>
    <w:bookmarkEnd w:id="287"/>
    <w:p w14:paraId="352E773C">
      <w:pPr>
        <w:keepNext w:val="0"/>
        <w:keepLines w:val="0"/>
        <w:pageBreakBefore w:val="0"/>
        <w:widowControl w:val="0"/>
        <w:tabs>
          <w:tab w:val="left" w:pos="5580"/>
        </w:tabs>
        <w:kinsoku/>
        <w:wordWrap/>
        <w:overflowPunct/>
        <w:topLinePunct w:val="0"/>
        <w:bidi w:val="0"/>
        <w:snapToGrid/>
        <w:spacing w:line="500" w:lineRule="exact"/>
        <w:ind w:firstLine="424" w:firstLineChars="177"/>
        <w:textAlignment w:val="auto"/>
        <w:outlineLvl w:val="9"/>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报价</w:t>
      </w:r>
      <w:r>
        <w:rPr>
          <w:rFonts w:hint="eastAsia" w:asciiTheme="minorEastAsia" w:hAnsiTheme="minorEastAsia" w:eastAsiaTheme="minorEastAsia" w:cstheme="minorEastAsia"/>
          <w:color w:val="auto"/>
          <w:sz w:val="24"/>
          <w:highlight w:val="none"/>
        </w:rPr>
        <w:t>一览表</w:t>
      </w:r>
      <w:r>
        <w:rPr>
          <w:rFonts w:hint="eastAsia" w:asciiTheme="minorEastAsia" w:hAnsiTheme="minorEastAsia" w:eastAsiaTheme="minorEastAsia" w:cstheme="minorEastAsia"/>
          <w:color w:val="auto"/>
          <w:sz w:val="24"/>
          <w:highlight w:val="none"/>
          <w:lang w:eastAsia="zh-CN"/>
        </w:rPr>
        <w:t>；</w:t>
      </w:r>
    </w:p>
    <w:p w14:paraId="7956866A">
      <w:pPr>
        <w:keepNext w:val="0"/>
        <w:keepLines w:val="0"/>
        <w:pageBreakBefore w:val="0"/>
        <w:widowControl w:val="0"/>
        <w:tabs>
          <w:tab w:val="left" w:pos="5580"/>
        </w:tabs>
        <w:kinsoku/>
        <w:wordWrap/>
        <w:overflowPunct/>
        <w:topLinePunct w:val="0"/>
        <w:bidi w:val="0"/>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2、磋商申请及附录;</w:t>
      </w:r>
    </w:p>
    <w:p w14:paraId="33176A52">
      <w:pPr>
        <w:keepNext w:val="0"/>
        <w:keepLines w:val="0"/>
        <w:pageBreakBefore w:val="0"/>
        <w:widowControl w:val="0"/>
        <w:tabs>
          <w:tab w:val="left" w:pos="5580"/>
        </w:tabs>
        <w:kinsoku/>
        <w:wordWrap/>
        <w:overflowPunct/>
        <w:topLinePunct w:val="0"/>
        <w:bidi w:val="0"/>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3、资格审查资料；</w:t>
      </w:r>
    </w:p>
    <w:p w14:paraId="55823EE0">
      <w:pPr>
        <w:pStyle w:val="36"/>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（1）具有有效的营业执照。</w:t>
      </w:r>
    </w:p>
    <w:p w14:paraId="4F1063EF">
      <w:pPr>
        <w:pStyle w:val="36"/>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（2）供应商单位法人响应的提供法人身份证明，被授权人响应的提供法人授权委托书和身份证明。</w:t>
      </w:r>
    </w:p>
    <w:p w14:paraId="6F6EBDEC">
      <w:pPr>
        <w:pStyle w:val="36"/>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供应商需具备【建筑工程施工总承包叁级】(含)以上资质，有安全生产许可证且在有效期内；项目负责人资质要求：【建筑工程】专业二级（含）以上注册建造师执业资格，具备有效的安全生产考核合格证书，且未担任其他在施建设工程项目的项目负责人、项目经理。</w:t>
      </w:r>
    </w:p>
    <w:p w14:paraId="562CC79D">
      <w:pPr>
        <w:pStyle w:val="36"/>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（4）税务局开具的依法缴纳近三个月内任意一个月的税收证明的良好记录，依法免税应提供相应文件证明。</w:t>
      </w:r>
    </w:p>
    <w:p w14:paraId="407C37B4">
      <w:pPr>
        <w:pStyle w:val="36"/>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（5）提供本单位近三个月任意一个月的社保缴纳证明；</w:t>
      </w:r>
    </w:p>
    <w:p w14:paraId="1B630D28">
      <w:pPr>
        <w:pStyle w:val="36"/>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（6）提供针对本次项目《反商业贿赂承诺书》</w:t>
      </w:r>
    </w:p>
    <w:p w14:paraId="468E6009">
      <w:pPr>
        <w:pStyle w:val="36"/>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（7）参加政府采购活动前3年内在经营活动中没有重大违法记录的书面声明。</w:t>
      </w:r>
    </w:p>
    <w:p w14:paraId="5F5387F8">
      <w:pPr>
        <w:pStyle w:val="36"/>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（8）提供2024年度的财务审计报告（注册成立未满一年新公司提供银行资信证明）。</w:t>
      </w:r>
    </w:p>
    <w:p w14:paraId="255F06DE">
      <w:pPr>
        <w:pStyle w:val="36"/>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供应商须提供在①“信用中国网（www.creditchina.gov.cn）”被列入失信被执行人、企业经营异常名录、重大税收违法案件当事人名单、政府采购严重违法失信名单（尚在处罚期内的）；②“中国政府采购网（www.ccgp.gov.cn）”被列入政府采购严重违法失信行为记录名单的（尚在处罚期内的）；③“国家企业信用信息公示系统（http://www.gsxt.gov.cn）”列入经营异常名录信息、列入严重违法失信企业名单（黑名单）信息及企业信用信息公示报告；（提供查询结果网页截图并加盖供应商公章）。</w:t>
      </w:r>
    </w:p>
    <w:p w14:paraId="593ECB7F">
      <w:pPr>
        <w:pStyle w:val="36"/>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项目负责人及项目班子成员在新疆建设云平台可承揽业务；登录新疆工程建设云（http//jsy.xjjs.gov.cn/dataservice/index）可查询注册企业基本信息和人员信息（提供上述网页个人页面截图打印并加盖公章），且在人员、设备、资金等方面具有承担本工程的能力。</w:t>
      </w:r>
    </w:p>
    <w:p w14:paraId="2B5410EE">
      <w:pPr>
        <w:pStyle w:val="36"/>
        <w:ind w:left="0" w:leftChars="0" w:firstLine="240" w:firstLineChars="100"/>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（11）缴纳磋商保证金有效凭证（打款凭证）；</w:t>
      </w:r>
    </w:p>
    <w:p w14:paraId="7B2331A7">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4、项目管理机构;</w:t>
      </w:r>
    </w:p>
    <w:p w14:paraId="57FD716D">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4.1项目管理机构人员组成表</w:t>
      </w:r>
    </w:p>
    <w:p w14:paraId="483304B2">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4.2主要人员简历表</w:t>
      </w:r>
    </w:p>
    <w:p w14:paraId="14D4CD95">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4.2.1项目经理简历表</w:t>
      </w:r>
    </w:p>
    <w:p w14:paraId="3754B88B">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4.2.2主要项目管理人员简历表</w:t>
      </w:r>
    </w:p>
    <w:p w14:paraId="0EA7282D">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5、企业情况；</w:t>
      </w:r>
    </w:p>
    <w:p w14:paraId="59D82DFD">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5.1供应商基本情况表</w:t>
      </w:r>
    </w:p>
    <w:p w14:paraId="4C658E64">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5.2近3年完成的类似项目情况表</w:t>
      </w:r>
    </w:p>
    <w:p w14:paraId="04FFC8C5">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5.3正在施工的和新承建的项目情况表</w:t>
      </w:r>
    </w:p>
    <w:p w14:paraId="2CEABB00">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5.4近3年发生的诉讼及仲裁情况</w:t>
      </w:r>
    </w:p>
    <w:p w14:paraId="209C4E01">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5.5企业其他信誉情况</w:t>
      </w:r>
    </w:p>
    <w:p w14:paraId="7EEBDAD3">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5.6供应商关联单位的说明（格式自拟）</w:t>
      </w:r>
    </w:p>
    <w:p w14:paraId="3BF7F853">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6、《中小企业声明函》</w:t>
      </w:r>
    </w:p>
    <w:p w14:paraId="2F837FE2">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7、商务条款偏离表</w:t>
      </w:r>
    </w:p>
    <w:p w14:paraId="3ACD675F">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8、已标价的工程量清单</w:t>
      </w:r>
    </w:p>
    <w:p w14:paraId="2D685F9C">
      <w:pPr>
        <w:keepNext w:val="0"/>
        <w:keepLines w:val="0"/>
        <w:pageBreakBefore w:val="0"/>
        <w:widowControl w:val="0"/>
        <w:tabs>
          <w:tab w:val="left" w:pos="5580"/>
        </w:tabs>
        <w:kinsoku/>
        <w:wordWrap/>
        <w:overflowPunct/>
        <w:topLinePunct w:val="0"/>
        <w:bidi w:val="0"/>
        <w:snapToGrid/>
        <w:spacing w:line="500" w:lineRule="exact"/>
        <w:ind w:firstLine="662" w:firstLineChars="276"/>
        <w:textAlignment w:val="auto"/>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技术</w:t>
      </w:r>
      <w:r>
        <w:rPr>
          <w:rFonts w:hint="eastAsia" w:asciiTheme="minorEastAsia" w:hAnsiTheme="minorEastAsia" w:eastAsiaTheme="minorEastAsia" w:cstheme="minorEastAsia"/>
          <w:color w:val="auto"/>
          <w:sz w:val="24"/>
          <w:highlight w:val="none"/>
          <w:lang w:val="en-US" w:eastAsia="zh-CN"/>
        </w:rPr>
        <w:t>文件</w:t>
      </w:r>
    </w:p>
    <w:p w14:paraId="123AB4AB">
      <w:pPr>
        <w:tabs>
          <w:tab w:val="left" w:pos="5580"/>
        </w:tabs>
        <w:spacing w:line="240" w:lineRule="atLeast"/>
        <w:ind w:left="1" w:firstLine="564" w:firstLineChars="235"/>
        <w:rPr>
          <w:rFonts w:hint="eastAsia" w:asciiTheme="minorEastAsia" w:hAnsiTheme="minorEastAsia" w:eastAsiaTheme="minorEastAsia" w:cstheme="minorEastAsia"/>
          <w:color w:val="auto"/>
          <w:sz w:val="24"/>
          <w:highlight w:val="none"/>
        </w:rPr>
      </w:pPr>
    </w:p>
    <w:p w14:paraId="7C5BB9DF">
      <w:pPr>
        <w:tabs>
          <w:tab w:val="left" w:pos="5580"/>
        </w:tabs>
        <w:spacing w:line="240" w:lineRule="atLeast"/>
        <w:ind w:left="1" w:firstLine="564" w:firstLineChars="235"/>
        <w:rPr>
          <w:rFonts w:hint="eastAsia" w:asciiTheme="minorEastAsia" w:hAnsiTheme="minorEastAsia" w:eastAsiaTheme="minorEastAsia" w:cstheme="minorEastAsia"/>
          <w:color w:val="auto"/>
          <w:sz w:val="24"/>
          <w:highlight w:val="none"/>
        </w:rPr>
      </w:pPr>
    </w:p>
    <w:p w14:paraId="1B19992C">
      <w:pPr>
        <w:tabs>
          <w:tab w:val="left" w:pos="5580"/>
        </w:tabs>
        <w:spacing w:line="240" w:lineRule="atLeast"/>
        <w:ind w:left="1" w:firstLine="564" w:firstLineChars="235"/>
        <w:rPr>
          <w:rFonts w:hint="eastAsia" w:asciiTheme="minorEastAsia" w:hAnsiTheme="minorEastAsia" w:eastAsiaTheme="minorEastAsia" w:cstheme="minorEastAsia"/>
          <w:color w:val="auto"/>
          <w:sz w:val="24"/>
          <w:highlight w:val="none"/>
        </w:rPr>
      </w:pPr>
    </w:p>
    <w:p w14:paraId="52131C1D">
      <w:pPr>
        <w:tabs>
          <w:tab w:val="left" w:pos="5580"/>
        </w:tabs>
        <w:spacing w:line="240" w:lineRule="atLeast"/>
        <w:ind w:left="1" w:firstLine="564" w:firstLineChars="235"/>
        <w:rPr>
          <w:rFonts w:hint="eastAsia" w:asciiTheme="minorEastAsia" w:hAnsiTheme="minorEastAsia" w:eastAsiaTheme="minorEastAsia" w:cstheme="minorEastAsia"/>
          <w:color w:val="auto"/>
          <w:sz w:val="24"/>
          <w:highlight w:val="none"/>
        </w:rPr>
      </w:pPr>
    </w:p>
    <w:p w14:paraId="529730FD">
      <w:pPr>
        <w:tabs>
          <w:tab w:val="left" w:pos="5580"/>
        </w:tabs>
        <w:spacing w:line="240" w:lineRule="atLeast"/>
        <w:ind w:left="1" w:firstLine="564" w:firstLineChars="235"/>
        <w:rPr>
          <w:rFonts w:hint="eastAsia" w:asciiTheme="minorEastAsia" w:hAnsiTheme="minorEastAsia" w:eastAsiaTheme="minorEastAsia" w:cstheme="minorEastAsia"/>
          <w:color w:val="auto"/>
          <w:sz w:val="24"/>
          <w:highlight w:val="none"/>
        </w:rPr>
      </w:pPr>
    </w:p>
    <w:p w14:paraId="3CC8088F">
      <w:pPr>
        <w:tabs>
          <w:tab w:val="left" w:pos="5580"/>
        </w:tabs>
        <w:spacing w:line="240" w:lineRule="atLeast"/>
        <w:ind w:left="1" w:firstLine="564" w:firstLineChars="235"/>
        <w:rPr>
          <w:rFonts w:hint="eastAsia" w:asciiTheme="minorEastAsia" w:hAnsiTheme="minorEastAsia" w:eastAsiaTheme="minorEastAsia" w:cstheme="minorEastAsia"/>
          <w:color w:val="auto"/>
          <w:sz w:val="24"/>
          <w:highlight w:val="none"/>
        </w:rPr>
      </w:pPr>
    </w:p>
    <w:p w14:paraId="68FD8911">
      <w:pPr>
        <w:tabs>
          <w:tab w:val="left" w:pos="5580"/>
        </w:tabs>
        <w:spacing w:line="240" w:lineRule="atLeast"/>
        <w:ind w:left="1" w:firstLine="564" w:firstLineChars="235"/>
        <w:rPr>
          <w:rFonts w:hint="eastAsia" w:asciiTheme="minorEastAsia" w:hAnsiTheme="minorEastAsia" w:eastAsiaTheme="minorEastAsia" w:cstheme="minorEastAsia"/>
          <w:color w:val="auto"/>
          <w:sz w:val="24"/>
          <w:highlight w:val="none"/>
        </w:rPr>
      </w:pPr>
    </w:p>
    <w:p w14:paraId="2672CF15">
      <w:pPr>
        <w:tabs>
          <w:tab w:val="left" w:pos="5580"/>
        </w:tabs>
        <w:spacing w:line="240" w:lineRule="atLeast"/>
        <w:ind w:left="1" w:firstLine="564" w:firstLineChars="235"/>
        <w:rPr>
          <w:rFonts w:hint="eastAsia" w:asciiTheme="minorEastAsia" w:hAnsiTheme="minorEastAsia" w:eastAsiaTheme="minorEastAsia" w:cstheme="minorEastAsia"/>
          <w:color w:val="auto"/>
          <w:sz w:val="24"/>
          <w:highlight w:val="none"/>
        </w:rPr>
      </w:pPr>
    </w:p>
    <w:p w14:paraId="1C20338D">
      <w:pPr>
        <w:pStyle w:val="3"/>
        <w:spacing w:before="0" w:line="240" w:lineRule="atLeast"/>
        <w:jc w:val="center"/>
        <w:rPr>
          <w:rFonts w:hint="eastAsia" w:asciiTheme="minorEastAsia" w:hAnsiTheme="minorEastAsia" w:eastAsiaTheme="minorEastAsia" w:cstheme="minorEastAsia"/>
          <w:color w:val="auto"/>
          <w:sz w:val="24"/>
          <w:highlight w:val="none"/>
        </w:rPr>
      </w:pPr>
      <w:bookmarkStart w:id="288" w:name="_Toc518923108"/>
      <w:bookmarkStart w:id="289" w:name="_Toc9660"/>
      <w:r>
        <w:rPr>
          <w:rFonts w:hint="eastAsia" w:asciiTheme="minorEastAsia" w:hAnsiTheme="minorEastAsia" w:eastAsiaTheme="minorEastAsia" w:cstheme="minorEastAsia"/>
          <w:color w:val="auto"/>
          <w:sz w:val="24"/>
          <w:highlight w:val="none"/>
        </w:rPr>
        <w:br w:type="page"/>
      </w:r>
      <w:bookmarkStart w:id="290" w:name="_Toc30187"/>
      <w:bookmarkStart w:id="291" w:name="_Toc17747"/>
      <w:bookmarkStart w:id="292" w:name="_Toc5814"/>
      <w:bookmarkStart w:id="293" w:name="_Toc16610"/>
      <w:bookmarkStart w:id="294" w:name="_Toc20858"/>
      <w:r>
        <w:rPr>
          <w:rFonts w:hint="eastAsia" w:asciiTheme="minorEastAsia" w:hAnsiTheme="minorEastAsia" w:eastAsiaTheme="minorEastAsia" w:cstheme="minorEastAsia"/>
          <w:color w:val="auto"/>
          <w:sz w:val="24"/>
          <w:highlight w:val="none"/>
          <w:lang w:val="en-US" w:eastAsia="zh-CN"/>
        </w:rPr>
        <w:t>1、报价</w:t>
      </w:r>
      <w:r>
        <w:rPr>
          <w:rFonts w:hint="eastAsia" w:asciiTheme="minorEastAsia" w:hAnsiTheme="minorEastAsia" w:eastAsiaTheme="minorEastAsia" w:cstheme="minorEastAsia"/>
          <w:color w:val="auto"/>
          <w:sz w:val="24"/>
          <w:highlight w:val="none"/>
        </w:rPr>
        <w:t>一览表</w:t>
      </w:r>
      <w:bookmarkEnd w:id="288"/>
      <w:bookmarkEnd w:id="289"/>
      <w:bookmarkEnd w:id="290"/>
      <w:bookmarkEnd w:id="291"/>
      <w:bookmarkEnd w:id="292"/>
      <w:bookmarkEnd w:id="293"/>
      <w:bookmarkEnd w:id="294"/>
    </w:p>
    <w:p w14:paraId="5474D999">
      <w:pPr>
        <w:pStyle w:val="16"/>
        <w:tabs>
          <w:tab w:val="left" w:pos="5580"/>
        </w:tabs>
        <w:spacing w:line="240" w:lineRule="atLeast"/>
        <w:ind w:left="268" w:leftChars="128"/>
        <w:rPr>
          <w:rFonts w:hint="eastAsia" w:asciiTheme="minorEastAsia" w:hAnsiTheme="minorEastAsia" w:eastAsiaTheme="minorEastAsia" w:cstheme="minorEastAsia"/>
          <w:color w:val="auto"/>
          <w:sz w:val="24"/>
          <w:highlight w:val="none"/>
        </w:rPr>
      </w:pPr>
    </w:p>
    <w:p w14:paraId="6874DD4D">
      <w:pPr>
        <w:pStyle w:val="16"/>
        <w:tabs>
          <w:tab w:val="left" w:pos="5580"/>
        </w:tabs>
        <w:spacing w:line="240" w:lineRule="atLeast"/>
        <w:ind w:left="268" w:leftChars="128"/>
        <w:rPr>
          <w:rFonts w:hint="eastAsia" w:asciiTheme="minorEastAsia" w:hAnsiTheme="minorEastAsia" w:eastAsiaTheme="minorEastAsia" w:cstheme="minorEastAsia"/>
          <w:color w:val="auto"/>
          <w:sz w:val="24"/>
          <w:szCs w:val="24"/>
          <w:highlight w:val="none"/>
        </w:rPr>
      </w:pPr>
    </w:p>
    <w:p w14:paraId="02A7D9A9">
      <w:pPr>
        <w:pStyle w:val="8"/>
        <w:tabs>
          <w:tab w:val="left" w:pos="5580"/>
        </w:tabs>
        <w:spacing w:line="240" w:lineRule="atLeast"/>
        <w:ind w:left="0" w:leftChars="0" w:firstLine="0" w:firstLineChars="0"/>
        <w:jc w:val="center"/>
        <w:rPr>
          <w:rFonts w:hint="eastAsia" w:asciiTheme="minorEastAsia" w:hAnsiTheme="minorEastAsia" w:eastAsiaTheme="minorEastAsia" w:cstheme="minorEastAsia"/>
          <w:b/>
          <w:color w:val="auto"/>
          <w:highlight w:val="none"/>
        </w:rPr>
      </w:pPr>
      <w:bookmarkStart w:id="295" w:name="_Hlt520356241"/>
      <w:bookmarkEnd w:id="295"/>
      <w:r>
        <w:rPr>
          <w:rFonts w:hint="eastAsia" w:asciiTheme="minorEastAsia" w:hAnsiTheme="minorEastAsia" w:eastAsiaTheme="minorEastAsia" w:cstheme="minorEastAsia"/>
          <w:b/>
          <w:color w:val="auto"/>
          <w:highlight w:val="none"/>
        </w:rPr>
        <w:cr/>
      </w:r>
    </w:p>
    <w:p w14:paraId="1E6B2108">
      <w:pPr>
        <w:pStyle w:val="8"/>
        <w:tabs>
          <w:tab w:val="left" w:pos="5580"/>
        </w:tabs>
        <w:spacing w:line="240" w:lineRule="atLeast"/>
        <w:ind w:left="1079" w:leftChars="257" w:hanging="540"/>
        <w:rPr>
          <w:rFonts w:hint="eastAsia" w:asciiTheme="minorEastAsia" w:hAnsiTheme="minorEastAsia" w:eastAsiaTheme="minorEastAsia" w:cstheme="minorEastAsia"/>
          <w:color w:val="auto"/>
          <w:highlight w:val="none"/>
        </w:rPr>
      </w:pPr>
    </w:p>
    <w:p w14:paraId="19C16EFC">
      <w:pPr>
        <w:tabs>
          <w:tab w:val="left" w:pos="1800"/>
          <w:tab w:val="left" w:pos="5580"/>
        </w:tabs>
        <w:spacing w:line="240" w:lineRule="atLeast"/>
        <w:ind w:left="1079" w:leftChars="257" w:right="-867" w:rightChars="-413" w:hanging="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项目名称：　                  </w:t>
      </w:r>
      <w:r>
        <w:rPr>
          <w:rFonts w:hint="eastAsia" w:asciiTheme="minorEastAsia" w:hAnsiTheme="minorEastAsia" w:eastAsiaTheme="minorEastAsia" w:cstheme="minorEastAsia"/>
          <w:color w:val="auto"/>
          <w:sz w:val="24"/>
          <w:highlight w:val="none"/>
          <w:lang w:eastAsia="zh-CN"/>
        </w:rPr>
        <w:t>项目编号</w:t>
      </w:r>
      <w:r>
        <w:rPr>
          <w:rFonts w:hint="eastAsia" w:asciiTheme="minorEastAsia" w:hAnsiTheme="minorEastAsia" w:eastAsiaTheme="minorEastAsia" w:cstheme="minorEastAsia"/>
          <w:color w:val="auto"/>
          <w:sz w:val="24"/>
          <w:highlight w:val="none"/>
        </w:rPr>
        <w:t>：                 分包号：</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 xml:space="preserve">         </w:t>
      </w:r>
    </w:p>
    <w:p w14:paraId="7B39494D">
      <w:pPr>
        <w:tabs>
          <w:tab w:val="left" w:pos="1800"/>
          <w:tab w:val="left" w:pos="5580"/>
        </w:tabs>
        <w:spacing w:line="240" w:lineRule="atLeast"/>
        <w:ind w:left="1079" w:leftChars="257" w:right="-867" w:rightChars="-413" w:hanging="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报价单位：人民币</w:t>
      </w:r>
      <w:r>
        <w:rPr>
          <w:rFonts w:hint="eastAsia" w:asciiTheme="minorEastAsia" w:hAnsiTheme="minorEastAsia" w:eastAsiaTheme="minorEastAsia" w:cstheme="minorEastAsia"/>
          <w:b/>
          <w:color w:val="auto"/>
          <w:sz w:val="24"/>
          <w:highlight w:val="none"/>
          <w:lang w:val="en-US" w:eastAsia="zh-CN"/>
        </w:rPr>
        <w:t xml:space="preserve">  </w:t>
      </w:r>
      <w:r>
        <w:rPr>
          <w:rFonts w:hint="eastAsia" w:asciiTheme="minorEastAsia" w:hAnsiTheme="minorEastAsia" w:eastAsiaTheme="minorEastAsia" w:cstheme="minorEastAsia"/>
          <w:b/>
          <w:color w:val="auto"/>
          <w:sz w:val="24"/>
          <w:highlight w:val="none"/>
        </w:rPr>
        <w:t>元</w:t>
      </w:r>
    </w:p>
    <w:tbl>
      <w:tblPr>
        <w:tblStyle w:val="37"/>
        <w:tblW w:w="0" w:type="auto"/>
        <w:jc w:val="center"/>
        <w:tblLayout w:type="fixed"/>
        <w:tblCellMar>
          <w:top w:w="0" w:type="dxa"/>
          <w:left w:w="0" w:type="dxa"/>
          <w:bottom w:w="0" w:type="dxa"/>
          <w:right w:w="0" w:type="dxa"/>
        </w:tblCellMar>
      </w:tblPr>
      <w:tblGrid>
        <w:gridCol w:w="1420"/>
        <w:gridCol w:w="1854"/>
        <w:gridCol w:w="1558"/>
        <w:gridCol w:w="1073"/>
        <w:gridCol w:w="1327"/>
        <w:gridCol w:w="1177"/>
        <w:gridCol w:w="746"/>
      </w:tblGrid>
      <w:tr w14:paraId="0C5362A9">
        <w:tblPrEx>
          <w:tblCellMar>
            <w:top w:w="0" w:type="dxa"/>
            <w:left w:w="0" w:type="dxa"/>
            <w:bottom w:w="0" w:type="dxa"/>
            <w:right w:w="0" w:type="dxa"/>
          </w:tblCellMar>
        </w:tblPrEx>
        <w:trPr>
          <w:trHeight w:val="662" w:hRule="atLeast"/>
          <w:jc w:val="center"/>
        </w:trPr>
        <w:tc>
          <w:tcPr>
            <w:tcW w:w="1420" w:type="dxa"/>
            <w:tcBorders>
              <w:top w:val="single" w:color="auto" w:sz="4" w:space="0"/>
              <w:left w:val="single" w:color="auto" w:sz="4" w:space="0"/>
              <w:bottom w:val="single" w:color="auto" w:sz="8" w:space="0"/>
              <w:right w:val="single" w:color="auto" w:sz="4" w:space="0"/>
            </w:tcBorders>
            <w:noWrap w:val="0"/>
            <w:vAlign w:val="center"/>
          </w:tcPr>
          <w:p w14:paraId="3BC00D1F">
            <w:pPr>
              <w:tabs>
                <w:tab w:val="left" w:pos="5580"/>
              </w:tabs>
              <w:spacing w:line="240" w:lineRule="atLeast"/>
              <w:ind w:right="-199" w:firstLine="240" w:firstLineChars="1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项目</w:t>
            </w:r>
            <w:r>
              <w:rPr>
                <w:rFonts w:hint="eastAsia" w:asciiTheme="minorEastAsia" w:hAnsiTheme="minorEastAsia" w:eastAsiaTheme="minorEastAsia" w:cstheme="minorEastAsia"/>
                <w:color w:val="auto"/>
                <w:sz w:val="24"/>
                <w:highlight w:val="none"/>
              </w:rPr>
              <w:t>名称</w:t>
            </w:r>
          </w:p>
        </w:tc>
        <w:tc>
          <w:tcPr>
            <w:tcW w:w="1854" w:type="dxa"/>
            <w:tcBorders>
              <w:top w:val="single" w:color="auto" w:sz="4" w:space="0"/>
              <w:left w:val="single" w:color="auto" w:sz="8" w:space="0"/>
              <w:bottom w:val="single" w:color="auto" w:sz="8" w:space="0"/>
              <w:right w:val="single" w:color="auto" w:sz="4" w:space="0"/>
            </w:tcBorders>
            <w:noWrap w:val="0"/>
            <w:vAlign w:val="center"/>
          </w:tcPr>
          <w:p w14:paraId="5F16A459">
            <w:pPr>
              <w:tabs>
                <w:tab w:val="left" w:pos="5580"/>
              </w:tabs>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投标总价</w:t>
            </w:r>
          </w:p>
        </w:tc>
        <w:tc>
          <w:tcPr>
            <w:tcW w:w="1558" w:type="dxa"/>
            <w:tcBorders>
              <w:top w:val="single" w:color="auto" w:sz="8" w:space="0"/>
              <w:left w:val="nil"/>
              <w:bottom w:val="single" w:color="auto" w:sz="8" w:space="0"/>
              <w:right w:val="single" w:color="auto" w:sz="4" w:space="0"/>
            </w:tcBorders>
            <w:noWrap w:val="0"/>
            <w:vAlign w:val="center"/>
          </w:tcPr>
          <w:p w14:paraId="2C4C7C50">
            <w:pPr>
              <w:tabs>
                <w:tab w:val="left" w:pos="5580"/>
              </w:tabs>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磋商</w:t>
            </w:r>
            <w:r>
              <w:rPr>
                <w:rFonts w:hint="eastAsia" w:asciiTheme="minorEastAsia" w:hAnsiTheme="minorEastAsia" w:eastAsiaTheme="minorEastAsia" w:cstheme="minorEastAsia"/>
                <w:color w:val="auto"/>
                <w:sz w:val="24"/>
                <w:highlight w:val="none"/>
              </w:rPr>
              <w:t>保证金</w:t>
            </w:r>
          </w:p>
        </w:tc>
        <w:tc>
          <w:tcPr>
            <w:tcW w:w="1073" w:type="dxa"/>
            <w:tcBorders>
              <w:top w:val="single" w:color="auto" w:sz="8" w:space="0"/>
              <w:left w:val="nil"/>
              <w:bottom w:val="single" w:color="auto" w:sz="8" w:space="0"/>
              <w:right w:val="single" w:color="auto" w:sz="4" w:space="0"/>
            </w:tcBorders>
            <w:noWrap w:val="0"/>
            <w:vAlign w:val="center"/>
          </w:tcPr>
          <w:p w14:paraId="3AC47B84">
            <w:pPr>
              <w:tabs>
                <w:tab w:val="left" w:pos="5580"/>
              </w:tabs>
              <w:spacing w:line="240" w:lineRule="atLeast"/>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工期</w:t>
            </w:r>
          </w:p>
        </w:tc>
        <w:tc>
          <w:tcPr>
            <w:tcW w:w="1327" w:type="dxa"/>
            <w:tcBorders>
              <w:top w:val="single" w:color="auto" w:sz="8" w:space="0"/>
              <w:left w:val="nil"/>
              <w:bottom w:val="single" w:color="auto" w:sz="8" w:space="0"/>
              <w:right w:val="single" w:color="auto" w:sz="4" w:space="0"/>
            </w:tcBorders>
            <w:noWrap w:val="0"/>
            <w:vAlign w:val="center"/>
          </w:tcPr>
          <w:p w14:paraId="375A1ED4">
            <w:pPr>
              <w:tabs>
                <w:tab w:val="left" w:pos="5580"/>
              </w:tabs>
              <w:spacing w:line="240" w:lineRule="atLeast"/>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项目负责人及证号</w:t>
            </w:r>
          </w:p>
        </w:tc>
        <w:tc>
          <w:tcPr>
            <w:tcW w:w="1177" w:type="dxa"/>
            <w:tcBorders>
              <w:top w:val="single" w:color="auto" w:sz="8" w:space="0"/>
              <w:left w:val="nil"/>
              <w:bottom w:val="single" w:color="auto" w:sz="8" w:space="0"/>
              <w:right w:val="single" w:color="auto" w:sz="4" w:space="0"/>
            </w:tcBorders>
            <w:noWrap w:val="0"/>
            <w:vAlign w:val="center"/>
          </w:tcPr>
          <w:p w14:paraId="60E9CDE8">
            <w:pPr>
              <w:tabs>
                <w:tab w:val="left" w:pos="5580"/>
              </w:tabs>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项目</w:t>
            </w:r>
            <w:r>
              <w:rPr>
                <w:rFonts w:hint="eastAsia" w:asciiTheme="minorEastAsia" w:hAnsiTheme="minorEastAsia" w:eastAsiaTheme="minorEastAsia" w:cstheme="minorEastAsia"/>
                <w:color w:val="auto"/>
                <w:sz w:val="24"/>
                <w:highlight w:val="none"/>
              </w:rPr>
              <w:t>地点</w:t>
            </w:r>
          </w:p>
        </w:tc>
        <w:tc>
          <w:tcPr>
            <w:tcW w:w="746" w:type="dxa"/>
            <w:tcBorders>
              <w:top w:val="single" w:color="auto" w:sz="8" w:space="0"/>
              <w:left w:val="single" w:color="auto" w:sz="4" w:space="0"/>
              <w:bottom w:val="single" w:color="auto" w:sz="8" w:space="0"/>
              <w:right w:val="single" w:color="auto" w:sz="8" w:space="0"/>
            </w:tcBorders>
            <w:noWrap w:val="0"/>
            <w:vAlign w:val="center"/>
          </w:tcPr>
          <w:p w14:paraId="65C958AD">
            <w:pPr>
              <w:tabs>
                <w:tab w:val="left" w:pos="5580"/>
              </w:tabs>
              <w:spacing w:line="240" w:lineRule="atLeas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14:paraId="2F66ADA6">
        <w:tblPrEx>
          <w:tblCellMar>
            <w:top w:w="0" w:type="dxa"/>
            <w:left w:w="0" w:type="dxa"/>
            <w:bottom w:w="0" w:type="dxa"/>
            <w:right w:w="0" w:type="dxa"/>
          </w:tblCellMar>
        </w:tblPrEx>
        <w:trPr>
          <w:cantSplit/>
          <w:trHeight w:val="1640" w:hRule="atLeast"/>
          <w:jc w:val="center"/>
        </w:trPr>
        <w:tc>
          <w:tcPr>
            <w:tcW w:w="1420" w:type="dxa"/>
            <w:tcBorders>
              <w:top w:val="single" w:color="auto" w:sz="8" w:space="0"/>
              <w:left w:val="single" w:color="auto" w:sz="4" w:space="0"/>
              <w:bottom w:val="single" w:color="auto" w:sz="8" w:space="0"/>
              <w:right w:val="single" w:color="auto" w:sz="4" w:space="0"/>
            </w:tcBorders>
            <w:noWrap w:val="0"/>
            <w:vAlign w:val="center"/>
          </w:tcPr>
          <w:p w14:paraId="19E3F3F4">
            <w:pPr>
              <w:tabs>
                <w:tab w:val="left" w:pos="5580"/>
              </w:tabs>
              <w:spacing w:line="240" w:lineRule="atLeast"/>
              <w:ind w:left="1079" w:leftChars="257" w:hanging="540"/>
              <w:jc w:val="center"/>
              <w:rPr>
                <w:rFonts w:hint="eastAsia" w:asciiTheme="minorEastAsia" w:hAnsiTheme="minorEastAsia" w:eastAsiaTheme="minorEastAsia" w:cstheme="minorEastAsia"/>
                <w:color w:val="auto"/>
                <w:sz w:val="24"/>
                <w:highlight w:val="none"/>
              </w:rPr>
            </w:pPr>
          </w:p>
        </w:tc>
        <w:tc>
          <w:tcPr>
            <w:tcW w:w="1854" w:type="dxa"/>
            <w:tcBorders>
              <w:top w:val="single" w:color="auto" w:sz="8" w:space="0"/>
              <w:left w:val="single" w:color="auto" w:sz="8" w:space="0"/>
              <w:bottom w:val="single" w:color="auto" w:sz="8" w:space="0"/>
              <w:right w:val="single" w:color="auto" w:sz="4" w:space="0"/>
            </w:tcBorders>
            <w:noWrap w:val="0"/>
            <w:vAlign w:val="center"/>
          </w:tcPr>
          <w:p w14:paraId="4B544312">
            <w:pPr>
              <w:tabs>
                <w:tab w:val="left" w:pos="5580"/>
              </w:tabs>
              <w:spacing w:line="240" w:lineRule="atLeas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大写：</w:t>
            </w:r>
          </w:p>
          <w:p w14:paraId="34ADDD49">
            <w:pPr>
              <w:tabs>
                <w:tab w:val="left" w:pos="5580"/>
              </w:tabs>
              <w:spacing w:line="240" w:lineRule="atLeas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小写：</w:t>
            </w:r>
          </w:p>
        </w:tc>
        <w:tc>
          <w:tcPr>
            <w:tcW w:w="1558" w:type="dxa"/>
            <w:tcBorders>
              <w:top w:val="single" w:color="auto" w:sz="8" w:space="0"/>
              <w:left w:val="nil"/>
              <w:bottom w:val="single" w:color="auto" w:sz="8" w:space="0"/>
              <w:right w:val="single" w:color="auto" w:sz="4" w:space="0"/>
            </w:tcBorders>
            <w:noWrap w:val="0"/>
            <w:vAlign w:val="center"/>
          </w:tcPr>
          <w:p w14:paraId="08D66B67">
            <w:pPr>
              <w:tabs>
                <w:tab w:val="left" w:pos="5580"/>
              </w:tabs>
              <w:spacing w:line="240" w:lineRule="atLeast"/>
              <w:ind w:left="1079" w:leftChars="257" w:hanging="540"/>
              <w:jc w:val="center"/>
              <w:rPr>
                <w:rFonts w:hint="eastAsia" w:asciiTheme="minorEastAsia" w:hAnsiTheme="minorEastAsia" w:eastAsiaTheme="minorEastAsia" w:cstheme="minorEastAsia"/>
                <w:color w:val="auto"/>
                <w:sz w:val="24"/>
                <w:highlight w:val="none"/>
              </w:rPr>
            </w:pPr>
          </w:p>
        </w:tc>
        <w:tc>
          <w:tcPr>
            <w:tcW w:w="1073" w:type="dxa"/>
            <w:tcBorders>
              <w:top w:val="single" w:color="auto" w:sz="8" w:space="0"/>
              <w:left w:val="nil"/>
              <w:bottom w:val="single" w:color="auto" w:sz="8" w:space="0"/>
              <w:right w:val="single" w:color="auto" w:sz="4" w:space="0"/>
            </w:tcBorders>
            <w:noWrap w:val="0"/>
            <w:vAlign w:val="center"/>
          </w:tcPr>
          <w:p w14:paraId="773FBD5A">
            <w:pPr>
              <w:tabs>
                <w:tab w:val="left" w:pos="5580"/>
              </w:tabs>
              <w:spacing w:line="240" w:lineRule="atLeast"/>
              <w:ind w:left="1079" w:leftChars="257" w:hanging="540"/>
              <w:jc w:val="center"/>
              <w:rPr>
                <w:rFonts w:hint="eastAsia" w:asciiTheme="minorEastAsia" w:hAnsiTheme="minorEastAsia" w:eastAsiaTheme="minorEastAsia" w:cstheme="minorEastAsia"/>
                <w:color w:val="auto"/>
                <w:sz w:val="24"/>
                <w:highlight w:val="none"/>
              </w:rPr>
            </w:pPr>
          </w:p>
        </w:tc>
        <w:tc>
          <w:tcPr>
            <w:tcW w:w="1327" w:type="dxa"/>
            <w:tcBorders>
              <w:top w:val="single" w:color="auto" w:sz="8" w:space="0"/>
              <w:left w:val="nil"/>
              <w:bottom w:val="single" w:color="auto" w:sz="8" w:space="0"/>
              <w:right w:val="single" w:color="auto" w:sz="4" w:space="0"/>
            </w:tcBorders>
            <w:noWrap w:val="0"/>
            <w:vAlign w:val="center"/>
          </w:tcPr>
          <w:p w14:paraId="6968EA85">
            <w:pPr>
              <w:tabs>
                <w:tab w:val="left" w:pos="5580"/>
              </w:tabs>
              <w:spacing w:line="240" w:lineRule="atLeast"/>
              <w:ind w:left="1079" w:leftChars="257" w:hanging="540"/>
              <w:jc w:val="center"/>
              <w:rPr>
                <w:rFonts w:hint="eastAsia" w:asciiTheme="minorEastAsia" w:hAnsiTheme="minorEastAsia" w:eastAsiaTheme="minorEastAsia" w:cstheme="minorEastAsia"/>
                <w:color w:val="auto"/>
                <w:sz w:val="24"/>
                <w:highlight w:val="none"/>
              </w:rPr>
            </w:pPr>
          </w:p>
        </w:tc>
        <w:tc>
          <w:tcPr>
            <w:tcW w:w="1177" w:type="dxa"/>
            <w:tcBorders>
              <w:top w:val="single" w:color="auto" w:sz="8" w:space="0"/>
              <w:left w:val="nil"/>
              <w:bottom w:val="single" w:color="auto" w:sz="8" w:space="0"/>
              <w:right w:val="single" w:color="auto" w:sz="4" w:space="0"/>
            </w:tcBorders>
            <w:noWrap w:val="0"/>
            <w:vAlign w:val="center"/>
          </w:tcPr>
          <w:p w14:paraId="2F7DFAF1">
            <w:pPr>
              <w:tabs>
                <w:tab w:val="left" w:pos="5580"/>
              </w:tabs>
              <w:spacing w:line="240" w:lineRule="atLeast"/>
              <w:ind w:left="1079" w:leftChars="257" w:hanging="540"/>
              <w:jc w:val="center"/>
              <w:rPr>
                <w:rFonts w:hint="eastAsia" w:asciiTheme="minorEastAsia" w:hAnsiTheme="minorEastAsia" w:eastAsiaTheme="minorEastAsia" w:cstheme="minorEastAsia"/>
                <w:color w:val="auto"/>
                <w:sz w:val="24"/>
                <w:highlight w:val="none"/>
              </w:rPr>
            </w:pPr>
          </w:p>
        </w:tc>
        <w:tc>
          <w:tcPr>
            <w:tcW w:w="746" w:type="dxa"/>
            <w:tcBorders>
              <w:top w:val="single" w:color="auto" w:sz="8" w:space="0"/>
              <w:left w:val="single" w:color="auto" w:sz="4" w:space="0"/>
              <w:bottom w:val="single" w:color="auto" w:sz="8" w:space="0"/>
              <w:right w:val="single" w:color="auto" w:sz="8" w:space="0"/>
            </w:tcBorders>
            <w:noWrap w:val="0"/>
            <w:vAlign w:val="center"/>
          </w:tcPr>
          <w:p w14:paraId="478762DB">
            <w:pPr>
              <w:tabs>
                <w:tab w:val="left" w:pos="5580"/>
              </w:tabs>
              <w:spacing w:line="240" w:lineRule="atLeast"/>
              <w:ind w:left="1079" w:leftChars="257" w:hanging="540"/>
              <w:jc w:val="center"/>
              <w:rPr>
                <w:rFonts w:hint="eastAsia" w:asciiTheme="minorEastAsia" w:hAnsiTheme="minorEastAsia" w:eastAsiaTheme="minorEastAsia" w:cstheme="minorEastAsia"/>
                <w:color w:val="auto"/>
                <w:sz w:val="24"/>
                <w:highlight w:val="none"/>
              </w:rPr>
            </w:pPr>
          </w:p>
        </w:tc>
      </w:tr>
    </w:tbl>
    <w:p w14:paraId="10CBBFAB">
      <w:pPr>
        <w:pStyle w:val="16"/>
        <w:tabs>
          <w:tab w:val="left" w:pos="5580"/>
        </w:tabs>
        <w:spacing w:line="240" w:lineRule="atLeast"/>
        <w:ind w:left="1079" w:leftChars="257" w:hanging="540"/>
        <w:rPr>
          <w:rFonts w:hint="eastAsia" w:asciiTheme="minorEastAsia" w:hAnsiTheme="minorEastAsia" w:eastAsiaTheme="minorEastAsia" w:cstheme="minorEastAsia"/>
          <w:color w:val="auto"/>
          <w:sz w:val="24"/>
          <w:highlight w:val="none"/>
        </w:rPr>
      </w:pPr>
    </w:p>
    <w:p w14:paraId="7DC36D0B">
      <w:pPr>
        <w:pStyle w:val="16"/>
        <w:tabs>
          <w:tab w:val="left" w:pos="5580"/>
        </w:tabs>
        <w:spacing w:line="240" w:lineRule="atLeast"/>
        <w:ind w:left="1079" w:leftChars="257" w:hanging="540"/>
        <w:rPr>
          <w:rFonts w:hint="eastAsia" w:asciiTheme="minorEastAsia" w:hAnsiTheme="minorEastAsia" w:eastAsiaTheme="minorEastAsia" w:cstheme="minorEastAsia"/>
          <w:color w:val="auto"/>
          <w:sz w:val="24"/>
          <w:highlight w:val="none"/>
          <w:u w:val="single"/>
        </w:rPr>
      </w:pPr>
    </w:p>
    <w:p w14:paraId="7C5E5EAA">
      <w:pPr>
        <w:pStyle w:val="16"/>
        <w:tabs>
          <w:tab w:val="left" w:pos="5580"/>
        </w:tabs>
        <w:spacing w:line="240" w:lineRule="atLeast"/>
        <w:ind w:left="1079" w:leftChars="257" w:hanging="540"/>
        <w:rPr>
          <w:rFonts w:hint="eastAsia" w:asciiTheme="minorEastAsia" w:hAnsiTheme="minorEastAsia" w:eastAsiaTheme="minorEastAsia" w:cstheme="minorEastAsia"/>
          <w:color w:val="auto"/>
          <w:sz w:val="24"/>
          <w:highlight w:val="none"/>
          <w:u w:val="single"/>
        </w:rPr>
      </w:pPr>
    </w:p>
    <w:p w14:paraId="151B4D58">
      <w:pPr>
        <w:pStyle w:val="16"/>
        <w:tabs>
          <w:tab w:val="left" w:pos="5580"/>
        </w:tabs>
        <w:spacing w:line="240" w:lineRule="atLeast"/>
        <w:ind w:left="1079" w:leftChars="257" w:hanging="54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名称（单位章）：</w:t>
      </w:r>
      <w:r>
        <w:rPr>
          <w:rFonts w:hint="eastAsia" w:asciiTheme="minorEastAsia" w:hAnsiTheme="minorEastAsia" w:eastAsiaTheme="minorEastAsia" w:cstheme="minorEastAsia"/>
          <w:color w:val="auto"/>
          <w:sz w:val="24"/>
          <w:highlight w:val="none"/>
          <w:u w:val="single"/>
        </w:rPr>
        <w:t xml:space="preserve">                       </w:t>
      </w:r>
    </w:p>
    <w:p w14:paraId="0972E591">
      <w:pPr>
        <w:pStyle w:val="16"/>
        <w:tabs>
          <w:tab w:val="left" w:pos="5580"/>
        </w:tabs>
        <w:spacing w:line="240" w:lineRule="atLeast"/>
        <w:ind w:left="1079" w:leftChars="257" w:hanging="54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法定代表人或其委托代理人(签字):</w:t>
      </w:r>
      <w:r>
        <w:rPr>
          <w:rFonts w:hint="eastAsia" w:asciiTheme="minorEastAsia" w:hAnsiTheme="minorEastAsia" w:eastAsiaTheme="minorEastAsia" w:cstheme="minorEastAsia"/>
          <w:color w:val="auto"/>
          <w:sz w:val="24"/>
          <w:highlight w:val="none"/>
          <w:u w:val="single"/>
        </w:rPr>
        <w:tab/>
      </w:r>
    </w:p>
    <w:p w14:paraId="248DA942">
      <w:pPr>
        <w:pStyle w:val="16"/>
        <w:tabs>
          <w:tab w:val="left" w:pos="5580"/>
        </w:tabs>
        <w:spacing w:line="240" w:lineRule="atLeast"/>
        <w:ind w:left="1079" w:leftChars="257" w:hanging="540"/>
        <w:rPr>
          <w:rFonts w:hint="eastAsia" w:asciiTheme="minorEastAsia" w:hAnsiTheme="minorEastAsia" w:eastAsiaTheme="minorEastAsia" w:cstheme="minorEastAsia"/>
          <w:color w:val="auto"/>
          <w:sz w:val="24"/>
          <w:highlight w:val="none"/>
        </w:rPr>
      </w:pPr>
    </w:p>
    <w:p w14:paraId="368EDD50">
      <w:pPr>
        <w:pStyle w:val="16"/>
        <w:tabs>
          <w:tab w:val="left" w:pos="5580"/>
        </w:tabs>
        <w:spacing w:line="240" w:lineRule="atLeast"/>
        <w:ind w:left="1079" w:leftChars="257" w:hanging="540"/>
        <w:rPr>
          <w:rFonts w:hint="eastAsia" w:asciiTheme="minorEastAsia" w:hAnsiTheme="minorEastAsia" w:eastAsiaTheme="minorEastAsia" w:cstheme="minorEastAsia"/>
          <w:color w:val="auto"/>
          <w:sz w:val="24"/>
          <w:highlight w:val="none"/>
        </w:rPr>
      </w:pPr>
    </w:p>
    <w:p w14:paraId="72A35D08">
      <w:pPr>
        <w:pStyle w:val="16"/>
        <w:numPr>
          <w:ilvl w:val="0"/>
          <w:numId w:val="0"/>
        </w:numPr>
        <w:tabs>
          <w:tab w:val="left" w:pos="5580"/>
        </w:tabs>
        <w:spacing w:line="240" w:lineRule="atLeas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注:此表中，每包的</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总价应和</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分项报价表的总价相一致。</w:t>
      </w:r>
    </w:p>
    <w:p w14:paraId="60C156D1">
      <w:pPr>
        <w:jc w:val="center"/>
        <w:rPr>
          <w:rFonts w:hint="eastAsia" w:asciiTheme="minorEastAsia" w:hAnsiTheme="minorEastAsia" w:eastAsiaTheme="minorEastAsia" w:cstheme="minorEastAsia"/>
          <w:b/>
          <w:bCs/>
          <w:color w:val="auto"/>
          <w:sz w:val="24"/>
          <w:szCs w:val="24"/>
          <w:highlight w:val="none"/>
          <w:u w:val="none"/>
          <w:lang w:val="en-US" w:eastAsia="zh-CN"/>
        </w:rPr>
      </w:pPr>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b/>
          <w:bCs/>
          <w:color w:val="auto"/>
          <w:sz w:val="24"/>
          <w:szCs w:val="24"/>
          <w:highlight w:val="none"/>
          <w:u w:val="none"/>
          <w:lang w:val="en-US" w:eastAsia="zh-CN"/>
        </w:rPr>
        <w:t>2、磋商申请</w:t>
      </w:r>
    </w:p>
    <w:p w14:paraId="6B26CBD3">
      <w:pPr>
        <w:pStyle w:val="8"/>
        <w:rPr>
          <w:rFonts w:hint="eastAsia" w:asciiTheme="minorEastAsia" w:hAnsiTheme="minorEastAsia" w:eastAsiaTheme="minorEastAsia" w:cstheme="minorEastAsia"/>
          <w:color w:val="auto"/>
          <w:sz w:val="24"/>
          <w:szCs w:val="24"/>
          <w:highlight w:val="none"/>
          <w:lang w:val="en-US" w:eastAsia="zh-CN"/>
        </w:rPr>
      </w:pPr>
    </w:p>
    <w:p w14:paraId="0D89E6B0">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人名称）：</w:t>
      </w:r>
    </w:p>
    <w:p w14:paraId="6F1D8A09">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1．我方已仔细研究了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文件的全部内容，愿意以人民币（大写）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总报价，工期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日历天，按合同约定实施和完成承包工程，修补工程中的任何缺陷，工程质量达到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73E44A19">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2．我方承诺在</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有效期内不修改、撤销</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w:t>
      </w:r>
    </w:p>
    <w:p w14:paraId="3CE59E92">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3.已详细审查全部磋商文件，包括所有补充通知（如有），完全理解并同意放弃对这方面有不明、误解和质疑的权力。</w:t>
      </w:r>
    </w:p>
    <w:p w14:paraId="65FBF0F2">
      <w:pPr>
        <w:spacing w:line="44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4.按照贵方可能要求，提供与其投标响应有关的一切数据或资料，完全理解贵方不一定接受最低价的投标响应或收到的任何投标响应。</w:t>
      </w:r>
    </w:p>
    <w:p w14:paraId="0D69D9F0">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．随同本</w:t>
      </w:r>
      <w:r>
        <w:rPr>
          <w:rFonts w:hint="eastAsia" w:asciiTheme="minorEastAsia" w:hAnsiTheme="minorEastAsia" w:eastAsiaTheme="minorEastAsia" w:cstheme="minorEastAsia"/>
          <w:color w:val="auto"/>
          <w:sz w:val="24"/>
          <w:szCs w:val="24"/>
          <w:highlight w:val="none"/>
          <w:lang w:val="en-US" w:eastAsia="zh-CN"/>
        </w:rPr>
        <w:t>申请</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保证金一份，金额为人民币（大写）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133F453">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．如我方中标：</w:t>
      </w:r>
    </w:p>
    <w:p w14:paraId="6B63BB9B">
      <w:pPr>
        <w:spacing w:line="440" w:lineRule="exact"/>
        <w:ind w:firstLine="820" w:firstLineChars="3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（1）我方承诺在收到</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通知书后，在</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通知书规定的期限内与你方签订合同。</w:t>
      </w:r>
    </w:p>
    <w:p w14:paraId="09BD816D">
      <w:pPr>
        <w:spacing w:line="440" w:lineRule="exact"/>
        <w:ind w:firstLine="820" w:firstLineChars="3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（2）随同本</w:t>
      </w:r>
      <w:r>
        <w:rPr>
          <w:rFonts w:hint="eastAsia" w:asciiTheme="minorEastAsia" w:hAnsiTheme="minorEastAsia" w:eastAsiaTheme="minorEastAsia" w:cstheme="minorEastAsia"/>
          <w:color w:val="auto"/>
          <w:sz w:val="24"/>
          <w:szCs w:val="24"/>
          <w:highlight w:val="none"/>
          <w:lang w:val="en-US" w:eastAsia="zh-CN"/>
        </w:rPr>
        <w:t>磋商申请</w:t>
      </w:r>
      <w:r>
        <w:rPr>
          <w:rFonts w:hint="eastAsia" w:asciiTheme="minorEastAsia" w:hAnsiTheme="minorEastAsia" w:eastAsiaTheme="minorEastAsia" w:cstheme="minorEastAsia"/>
          <w:color w:val="auto"/>
          <w:sz w:val="24"/>
          <w:szCs w:val="24"/>
          <w:highlight w:val="none"/>
        </w:rPr>
        <w:t>递交的附录属于合同文件的组成部分。</w:t>
      </w:r>
    </w:p>
    <w:p w14:paraId="7A481BD9">
      <w:pPr>
        <w:spacing w:line="440" w:lineRule="exact"/>
        <w:ind w:firstLine="820" w:firstLineChars="3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（3）我方承诺按照</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文件规定向你方递交履约担保。</w:t>
      </w:r>
    </w:p>
    <w:p w14:paraId="617D7775">
      <w:pPr>
        <w:spacing w:line="440" w:lineRule="exact"/>
        <w:ind w:firstLine="820" w:firstLineChars="3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（4）我方承诺在合同约定的期限内完成并移交全部合同工程。</w:t>
      </w:r>
    </w:p>
    <w:p w14:paraId="61158775">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（其他补充说明）。</w:t>
      </w:r>
    </w:p>
    <w:p w14:paraId="78828E1E">
      <w:pPr>
        <w:spacing w:line="440" w:lineRule="exact"/>
        <w:rPr>
          <w:rFonts w:hint="eastAsia" w:asciiTheme="minorEastAsia" w:hAnsiTheme="minorEastAsia" w:eastAsiaTheme="minorEastAsia" w:cstheme="minorEastAsia"/>
          <w:color w:val="auto"/>
          <w:sz w:val="24"/>
          <w:szCs w:val="24"/>
          <w:highlight w:val="none"/>
        </w:rPr>
      </w:pPr>
    </w:p>
    <w:p w14:paraId="437E9C66">
      <w:pPr>
        <w:spacing w:line="440" w:lineRule="exact"/>
        <w:ind w:firstLine="4200" w:firstLineChars="17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48AE2C37">
      <w:pPr>
        <w:spacing w:line="440" w:lineRule="exact"/>
        <w:ind w:firstLine="4200" w:firstLineChars="17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w:t>
      </w:r>
    </w:p>
    <w:p w14:paraId="0F1E1C2A">
      <w:pPr>
        <w:spacing w:line="440" w:lineRule="exact"/>
        <w:ind w:firstLine="4200" w:firstLineChars="17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p>
    <w:p w14:paraId="2F57ACBE">
      <w:pPr>
        <w:spacing w:line="440" w:lineRule="exact"/>
        <w:ind w:firstLine="4200" w:firstLineChars="17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w:t>
      </w:r>
      <w:r>
        <w:rPr>
          <w:rFonts w:hint="eastAsia" w:asciiTheme="minorEastAsia" w:hAnsiTheme="minorEastAsia" w:eastAsiaTheme="minorEastAsia" w:cstheme="minorEastAsia"/>
          <w:color w:val="auto"/>
          <w:sz w:val="24"/>
          <w:szCs w:val="24"/>
          <w:highlight w:val="none"/>
          <w:u w:val="single"/>
        </w:rPr>
        <w:t xml:space="preserve">                                     </w:t>
      </w:r>
    </w:p>
    <w:p w14:paraId="51FB1B0E">
      <w:pPr>
        <w:spacing w:line="440" w:lineRule="exact"/>
        <w:ind w:firstLine="4200" w:firstLineChars="17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u w:val="single"/>
        </w:rPr>
        <w:t xml:space="preserve">                                     </w:t>
      </w:r>
    </w:p>
    <w:p w14:paraId="20987AFE">
      <w:pPr>
        <w:spacing w:line="440" w:lineRule="exact"/>
        <w:ind w:firstLine="4200" w:firstLineChars="17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r>
        <w:rPr>
          <w:rFonts w:hint="eastAsia" w:asciiTheme="minorEastAsia" w:hAnsiTheme="minorEastAsia" w:eastAsiaTheme="minorEastAsia" w:cstheme="minorEastAsia"/>
          <w:color w:val="auto"/>
          <w:sz w:val="24"/>
          <w:szCs w:val="24"/>
          <w:highlight w:val="none"/>
          <w:u w:val="single"/>
        </w:rPr>
        <w:t xml:space="preserve">                                     </w:t>
      </w:r>
    </w:p>
    <w:p w14:paraId="598EF68D">
      <w:pPr>
        <w:spacing w:line="440" w:lineRule="exact"/>
        <w:ind w:firstLine="4200" w:firstLineChars="17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r>
        <w:rPr>
          <w:rFonts w:hint="eastAsia" w:asciiTheme="minorEastAsia" w:hAnsiTheme="minorEastAsia" w:eastAsiaTheme="minorEastAsia" w:cstheme="minorEastAsia"/>
          <w:color w:val="auto"/>
          <w:sz w:val="24"/>
          <w:szCs w:val="24"/>
          <w:highlight w:val="none"/>
          <w:u w:val="single"/>
        </w:rPr>
        <w:t xml:space="preserve">                                 </w:t>
      </w:r>
    </w:p>
    <w:p w14:paraId="5A7BC4D9">
      <w:pPr>
        <w:spacing w:line="440" w:lineRule="exact"/>
        <w:ind w:firstLine="4200" w:firstLineChars="1750"/>
        <w:rPr>
          <w:rFonts w:hint="eastAsia" w:asciiTheme="minorEastAsia" w:hAnsiTheme="minorEastAsia" w:eastAsiaTheme="minorEastAsia" w:cstheme="minorEastAsia"/>
          <w:color w:val="auto"/>
          <w:sz w:val="24"/>
          <w:szCs w:val="24"/>
          <w:highlight w:val="none"/>
        </w:rPr>
      </w:pPr>
    </w:p>
    <w:p w14:paraId="4E0C595E">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b/>
          <w:bCs/>
          <w:color w:val="auto"/>
          <w:sz w:val="24"/>
          <w:szCs w:val="24"/>
          <w:highlight w:val="none"/>
        </w:rPr>
        <w:t>附</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录</w:t>
      </w:r>
    </w:p>
    <w:p w14:paraId="6531C54D">
      <w:pPr>
        <w:spacing w:line="44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 xml:space="preserve">名称： </w:t>
      </w:r>
      <w:r>
        <w:rPr>
          <w:rFonts w:hint="eastAsia" w:asciiTheme="minorEastAsia" w:hAnsiTheme="minorEastAsia" w:eastAsiaTheme="minorEastAsia" w:cstheme="minorEastAsia"/>
          <w:color w:val="auto"/>
          <w:sz w:val="24"/>
          <w:szCs w:val="24"/>
          <w:highlight w:val="none"/>
          <w:lang w:val="en-US" w:eastAsia="zh-CN"/>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152"/>
        <w:gridCol w:w="1876"/>
        <w:gridCol w:w="2628"/>
        <w:gridCol w:w="1064"/>
      </w:tblGrid>
      <w:tr w14:paraId="7518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14:paraId="3A9E960A">
            <w:pPr>
              <w:spacing w:line="4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3152" w:type="dxa"/>
            <w:noWrap w:val="0"/>
            <w:vAlign w:val="center"/>
          </w:tcPr>
          <w:p w14:paraId="4E54A552">
            <w:pPr>
              <w:spacing w:line="4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条款内容</w:t>
            </w:r>
          </w:p>
        </w:tc>
        <w:tc>
          <w:tcPr>
            <w:tcW w:w="1876" w:type="dxa"/>
            <w:noWrap w:val="0"/>
            <w:vAlign w:val="center"/>
          </w:tcPr>
          <w:p w14:paraId="4250805F">
            <w:pPr>
              <w:spacing w:line="4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采购</w:t>
            </w:r>
            <w:r>
              <w:rPr>
                <w:rFonts w:hint="eastAsia" w:asciiTheme="minorEastAsia" w:hAnsiTheme="minorEastAsia" w:eastAsiaTheme="minorEastAsia" w:cstheme="minorEastAsia"/>
                <w:b/>
                <w:color w:val="auto"/>
                <w:sz w:val="24"/>
                <w:szCs w:val="24"/>
                <w:highlight w:val="none"/>
              </w:rPr>
              <w:t>人要求</w:t>
            </w:r>
          </w:p>
        </w:tc>
        <w:tc>
          <w:tcPr>
            <w:tcW w:w="2628" w:type="dxa"/>
            <w:noWrap w:val="0"/>
            <w:vAlign w:val="center"/>
          </w:tcPr>
          <w:p w14:paraId="5336BD4E">
            <w:pPr>
              <w:spacing w:line="4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供应商</w:t>
            </w:r>
            <w:r>
              <w:rPr>
                <w:rFonts w:hint="eastAsia" w:asciiTheme="minorEastAsia" w:hAnsiTheme="minorEastAsia" w:eastAsiaTheme="minorEastAsia" w:cstheme="minorEastAsia"/>
                <w:b/>
                <w:color w:val="auto"/>
                <w:sz w:val="24"/>
                <w:szCs w:val="24"/>
                <w:highlight w:val="none"/>
              </w:rPr>
              <w:t>承诺</w:t>
            </w:r>
          </w:p>
        </w:tc>
        <w:tc>
          <w:tcPr>
            <w:tcW w:w="1064" w:type="dxa"/>
            <w:noWrap w:val="0"/>
            <w:vAlign w:val="center"/>
          </w:tcPr>
          <w:p w14:paraId="414AE5A4">
            <w:pPr>
              <w:spacing w:line="4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备注</w:t>
            </w:r>
          </w:p>
        </w:tc>
      </w:tr>
      <w:tr w14:paraId="029A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14:paraId="51A09749">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152" w:type="dxa"/>
            <w:noWrap w:val="0"/>
            <w:vAlign w:val="center"/>
          </w:tcPr>
          <w:p w14:paraId="5C88C82A">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1876" w:type="dxa"/>
            <w:noWrap w:val="0"/>
            <w:vAlign w:val="center"/>
          </w:tcPr>
          <w:p w14:paraId="75D67896">
            <w:pPr>
              <w:spacing w:line="39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lang w:val="en-US" w:eastAsia="zh-CN"/>
              </w:rPr>
              <w:t>资料</w:t>
            </w:r>
            <w:r>
              <w:rPr>
                <w:rFonts w:hint="eastAsia" w:asciiTheme="minorEastAsia" w:hAnsiTheme="minorEastAsia" w:eastAsiaTheme="minorEastAsia" w:cstheme="minorEastAsia"/>
                <w:color w:val="auto"/>
                <w:sz w:val="24"/>
                <w:szCs w:val="24"/>
                <w:highlight w:val="none"/>
              </w:rPr>
              <w:t>表</w:t>
            </w:r>
          </w:p>
        </w:tc>
        <w:tc>
          <w:tcPr>
            <w:tcW w:w="2628" w:type="dxa"/>
            <w:noWrap w:val="0"/>
            <w:vAlign w:val="center"/>
          </w:tcPr>
          <w:p w14:paraId="34A0F289">
            <w:pPr>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p>
        </w:tc>
        <w:tc>
          <w:tcPr>
            <w:tcW w:w="1064" w:type="dxa"/>
            <w:noWrap w:val="0"/>
            <w:vAlign w:val="center"/>
          </w:tcPr>
          <w:p w14:paraId="168D5EC2">
            <w:pPr>
              <w:spacing w:line="440" w:lineRule="exact"/>
              <w:jc w:val="center"/>
              <w:rPr>
                <w:rFonts w:hint="eastAsia" w:asciiTheme="minorEastAsia" w:hAnsiTheme="minorEastAsia" w:eastAsiaTheme="minorEastAsia" w:cstheme="minorEastAsia"/>
                <w:color w:val="auto"/>
                <w:sz w:val="24"/>
                <w:szCs w:val="24"/>
                <w:highlight w:val="none"/>
              </w:rPr>
            </w:pPr>
          </w:p>
        </w:tc>
      </w:tr>
      <w:tr w14:paraId="16E9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27" w:type="dxa"/>
            <w:noWrap w:val="0"/>
            <w:vAlign w:val="center"/>
          </w:tcPr>
          <w:p w14:paraId="2FF6385D">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3152" w:type="dxa"/>
            <w:noWrap w:val="0"/>
            <w:vAlign w:val="center"/>
          </w:tcPr>
          <w:p w14:paraId="6440E4AE">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工期</w:t>
            </w:r>
          </w:p>
        </w:tc>
        <w:tc>
          <w:tcPr>
            <w:tcW w:w="1876" w:type="dxa"/>
            <w:noWrap w:val="0"/>
            <w:vAlign w:val="center"/>
          </w:tcPr>
          <w:p w14:paraId="7880ECBE">
            <w:pPr>
              <w:spacing w:line="39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45日历天</w:t>
            </w:r>
          </w:p>
        </w:tc>
        <w:tc>
          <w:tcPr>
            <w:tcW w:w="2628" w:type="dxa"/>
            <w:noWrap w:val="0"/>
            <w:vAlign w:val="center"/>
          </w:tcPr>
          <w:p w14:paraId="0BA74FF5">
            <w:pPr>
              <w:spacing w:line="44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天数：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日历天</w:t>
            </w:r>
          </w:p>
        </w:tc>
        <w:tc>
          <w:tcPr>
            <w:tcW w:w="1064" w:type="dxa"/>
            <w:noWrap w:val="0"/>
            <w:vAlign w:val="center"/>
          </w:tcPr>
          <w:p w14:paraId="1BBAA310">
            <w:pPr>
              <w:spacing w:line="440" w:lineRule="exact"/>
              <w:jc w:val="center"/>
              <w:rPr>
                <w:rFonts w:hint="eastAsia" w:asciiTheme="minorEastAsia" w:hAnsiTheme="minorEastAsia" w:eastAsiaTheme="minorEastAsia" w:cstheme="minorEastAsia"/>
                <w:color w:val="auto"/>
                <w:sz w:val="24"/>
                <w:szCs w:val="24"/>
                <w:highlight w:val="none"/>
              </w:rPr>
            </w:pPr>
          </w:p>
        </w:tc>
      </w:tr>
      <w:tr w14:paraId="0917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7" w:type="dxa"/>
            <w:noWrap w:val="0"/>
            <w:vAlign w:val="center"/>
          </w:tcPr>
          <w:p w14:paraId="65D557F2">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3152" w:type="dxa"/>
            <w:noWrap w:val="0"/>
            <w:vAlign w:val="center"/>
          </w:tcPr>
          <w:p w14:paraId="3F17CFFB">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质量标准</w:t>
            </w:r>
          </w:p>
        </w:tc>
        <w:tc>
          <w:tcPr>
            <w:tcW w:w="1876" w:type="dxa"/>
            <w:noWrap w:val="0"/>
            <w:vAlign w:val="center"/>
          </w:tcPr>
          <w:p w14:paraId="7A90F768">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合格</w:t>
            </w:r>
          </w:p>
        </w:tc>
        <w:tc>
          <w:tcPr>
            <w:tcW w:w="2628" w:type="dxa"/>
            <w:noWrap w:val="0"/>
            <w:vAlign w:val="center"/>
          </w:tcPr>
          <w:p w14:paraId="7FD189BF">
            <w:pPr>
              <w:spacing w:line="440" w:lineRule="exact"/>
              <w:rPr>
                <w:rFonts w:hint="eastAsia" w:asciiTheme="minorEastAsia" w:hAnsiTheme="minorEastAsia" w:eastAsiaTheme="minorEastAsia" w:cstheme="minorEastAsia"/>
                <w:color w:val="auto"/>
                <w:sz w:val="24"/>
                <w:szCs w:val="24"/>
                <w:highlight w:val="none"/>
                <w:u w:val="single"/>
              </w:rPr>
            </w:pPr>
          </w:p>
        </w:tc>
        <w:tc>
          <w:tcPr>
            <w:tcW w:w="1064" w:type="dxa"/>
            <w:noWrap w:val="0"/>
            <w:vAlign w:val="center"/>
          </w:tcPr>
          <w:p w14:paraId="35EA1106">
            <w:pPr>
              <w:spacing w:line="440" w:lineRule="exact"/>
              <w:jc w:val="center"/>
              <w:rPr>
                <w:rFonts w:hint="eastAsia" w:asciiTheme="minorEastAsia" w:hAnsiTheme="minorEastAsia" w:eastAsiaTheme="minorEastAsia" w:cstheme="minorEastAsia"/>
                <w:color w:val="auto"/>
                <w:sz w:val="24"/>
                <w:szCs w:val="24"/>
                <w:highlight w:val="none"/>
              </w:rPr>
            </w:pPr>
          </w:p>
        </w:tc>
      </w:tr>
      <w:tr w14:paraId="7B69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14:paraId="54063216">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3152" w:type="dxa"/>
            <w:noWrap w:val="0"/>
            <w:vAlign w:val="center"/>
          </w:tcPr>
          <w:p w14:paraId="7FCA4E7A">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分包</w:t>
            </w:r>
          </w:p>
        </w:tc>
        <w:tc>
          <w:tcPr>
            <w:tcW w:w="1876" w:type="dxa"/>
            <w:noWrap w:val="0"/>
            <w:vAlign w:val="center"/>
          </w:tcPr>
          <w:p w14:paraId="04BD34A8">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2628" w:type="dxa"/>
            <w:noWrap w:val="0"/>
            <w:vAlign w:val="center"/>
          </w:tcPr>
          <w:p w14:paraId="1C19AD87">
            <w:pPr>
              <w:spacing w:line="440" w:lineRule="exact"/>
              <w:rPr>
                <w:rFonts w:hint="eastAsia" w:asciiTheme="minorEastAsia" w:hAnsiTheme="minorEastAsia" w:eastAsiaTheme="minorEastAsia" w:cstheme="minorEastAsia"/>
                <w:color w:val="auto"/>
                <w:sz w:val="24"/>
                <w:szCs w:val="24"/>
                <w:highlight w:val="none"/>
              </w:rPr>
            </w:pPr>
          </w:p>
        </w:tc>
        <w:tc>
          <w:tcPr>
            <w:tcW w:w="1064" w:type="dxa"/>
            <w:noWrap w:val="0"/>
            <w:vAlign w:val="center"/>
          </w:tcPr>
          <w:p w14:paraId="063D4D6F">
            <w:pPr>
              <w:spacing w:line="440" w:lineRule="exact"/>
              <w:jc w:val="center"/>
              <w:rPr>
                <w:rFonts w:hint="eastAsia" w:asciiTheme="minorEastAsia" w:hAnsiTheme="minorEastAsia" w:eastAsiaTheme="minorEastAsia" w:cstheme="minorEastAsia"/>
                <w:color w:val="auto"/>
                <w:sz w:val="24"/>
                <w:szCs w:val="24"/>
                <w:highlight w:val="none"/>
              </w:rPr>
            </w:pPr>
          </w:p>
        </w:tc>
      </w:tr>
      <w:tr w14:paraId="3586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noWrap w:val="0"/>
            <w:vAlign w:val="center"/>
          </w:tcPr>
          <w:p w14:paraId="28DFB7B1">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3152" w:type="dxa"/>
            <w:noWrap w:val="0"/>
            <w:vAlign w:val="center"/>
          </w:tcPr>
          <w:p w14:paraId="7C8ED6F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延误工期赔偿费金额(每天)</w:t>
            </w:r>
          </w:p>
        </w:tc>
        <w:tc>
          <w:tcPr>
            <w:tcW w:w="1876" w:type="dxa"/>
            <w:noWrap w:val="0"/>
            <w:vAlign w:val="center"/>
          </w:tcPr>
          <w:p w14:paraId="31FEE7CE">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000</w:t>
            </w:r>
            <w:r>
              <w:rPr>
                <w:rFonts w:hint="eastAsia" w:asciiTheme="minorEastAsia" w:hAnsiTheme="minorEastAsia" w:eastAsiaTheme="minorEastAsia" w:cstheme="minorEastAsia"/>
                <w:color w:val="auto"/>
                <w:sz w:val="24"/>
                <w:szCs w:val="24"/>
                <w:highlight w:val="none"/>
                <w:lang w:val="en-US" w:eastAsia="zh-CN"/>
              </w:rPr>
              <w:t>元</w:t>
            </w:r>
          </w:p>
        </w:tc>
        <w:tc>
          <w:tcPr>
            <w:tcW w:w="2628" w:type="dxa"/>
            <w:noWrap w:val="0"/>
            <w:vAlign w:val="center"/>
          </w:tcPr>
          <w:p w14:paraId="01F62B2C">
            <w:pPr>
              <w:spacing w:line="440" w:lineRule="exact"/>
              <w:jc w:val="center"/>
              <w:rPr>
                <w:rFonts w:hint="eastAsia" w:asciiTheme="minorEastAsia" w:hAnsiTheme="minorEastAsia" w:eastAsiaTheme="minorEastAsia" w:cstheme="minorEastAsia"/>
                <w:color w:val="auto"/>
                <w:sz w:val="24"/>
                <w:szCs w:val="24"/>
                <w:highlight w:val="none"/>
              </w:rPr>
            </w:pPr>
          </w:p>
        </w:tc>
        <w:tc>
          <w:tcPr>
            <w:tcW w:w="1064" w:type="dxa"/>
            <w:noWrap w:val="0"/>
            <w:vAlign w:val="center"/>
          </w:tcPr>
          <w:p w14:paraId="74422055">
            <w:pPr>
              <w:spacing w:line="440" w:lineRule="exact"/>
              <w:jc w:val="center"/>
              <w:rPr>
                <w:rFonts w:hint="eastAsia" w:asciiTheme="minorEastAsia" w:hAnsiTheme="minorEastAsia" w:eastAsiaTheme="minorEastAsia" w:cstheme="minorEastAsia"/>
                <w:color w:val="auto"/>
                <w:sz w:val="24"/>
                <w:szCs w:val="24"/>
                <w:highlight w:val="none"/>
              </w:rPr>
            </w:pPr>
          </w:p>
        </w:tc>
      </w:tr>
      <w:tr w14:paraId="4289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7" w:type="dxa"/>
            <w:noWrap w:val="0"/>
            <w:vAlign w:val="center"/>
          </w:tcPr>
          <w:p w14:paraId="136DB7B1">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3152" w:type="dxa"/>
            <w:noWrap w:val="0"/>
            <w:vAlign w:val="center"/>
          </w:tcPr>
          <w:p w14:paraId="3FF91124">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延误工期赔偿费的最大限额</w:t>
            </w:r>
          </w:p>
        </w:tc>
        <w:tc>
          <w:tcPr>
            <w:tcW w:w="1876" w:type="dxa"/>
            <w:noWrap w:val="0"/>
            <w:vAlign w:val="center"/>
          </w:tcPr>
          <w:p w14:paraId="72180BD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合同价款的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0％</w:t>
            </w:r>
          </w:p>
        </w:tc>
        <w:tc>
          <w:tcPr>
            <w:tcW w:w="2628" w:type="dxa"/>
            <w:noWrap w:val="0"/>
            <w:vAlign w:val="center"/>
          </w:tcPr>
          <w:p w14:paraId="5AB7ED86">
            <w:pPr>
              <w:spacing w:line="440" w:lineRule="exact"/>
              <w:jc w:val="center"/>
              <w:rPr>
                <w:rFonts w:hint="eastAsia" w:asciiTheme="minorEastAsia" w:hAnsiTheme="minorEastAsia" w:eastAsiaTheme="minorEastAsia" w:cstheme="minorEastAsia"/>
                <w:color w:val="auto"/>
                <w:sz w:val="24"/>
                <w:szCs w:val="24"/>
                <w:highlight w:val="none"/>
              </w:rPr>
            </w:pPr>
          </w:p>
        </w:tc>
        <w:tc>
          <w:tcPr>
            <w:tcW w:w="1064" w:type="dxa"/>
            <w:noWrap w:val="0"/>
            <w:vAlign w:val="center"/>
          </w:tcPr>
          <w:p w14:paraId="1CF7E3C9">
            <w:pPr>
              <w:spacing w:line="440" w:lineRule="exact"/>
              <w:jc w:val="center"/>
              <w:rPr>
                <w:rFonts w:hint="eastAsia" w:asciiTheme="minorEastAsia" w:hAnsiTheme="minorEastAsia" w:eastAsiaTheme="minorEastAsia" w:cstheme="minorEastAsia"/>
                <w:color w:val="auto"/>
                <w:sz w:val="24"/>
                <w:szCs w:val="24"/>
                <w:highlight w:val="none"/>
              </w:rPr>
            </w:pPr>
          </w:p>
        </w:tc>
      </w:tr>
      <w:tr w14:paraId="3D05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27" w:type="dxa"/>
            <w:noWrap w:val="0"/>
            <w:vAlign w:val="center"/>
          </w:tcPr>
          <w:p w14:paraId="66E3A5F1">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3152" w:type="dxa"/>
            <w:noWrap w:val="0"/>
            <w:vAlign w:val="center"/>
          </w:tcPr>
          <w:p w14:paraId="064A5041">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1876" w:type="dxa"/>
            <w:noWrap w:val="0"/>
            <w:vAlign w:val="center"/>
          </w:tcPr>
          <w:p w14:paraId="659AAE8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中标价的</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p>
        </w:tc>
        <w:tc>
          <w:tcPr>
            <w:tcW w:w="2628" w:type="dxa"/>
            <w:noWrap w:val="0"/>
            <w:vAlign w:val="center"/>
          </w:tcPr>
          <w:p w14:paraId="0EE19268">
            <w:pPr>
              <w:spacing w:line="440" w:lineRule="exact"/>
              <w:rPr>
                <w:rFonts w:hint="eastAsia" w:asciiTheme="minorEastAsia" w:hAnsiTheme="minorEastAsia" w:eastAsiaTheme="minorEastAsia" w:cstheme="minorEastAsia"/>
                <w:color w:val="auto"/>
                <w:sz w:val="24"/>
                <w:szCs w:val="24"/>
                <w:highlight w:val="none"/>
              </w:rPr>
            </w:pPr>
          </w:p>
        </w:tc>
        <w:tc>
          <w:tcPr>
            <w:tcW w:w="1064" w:type="dxa"/>
            <w:noWrap w:val="0"/>
            <w:vAlign w:val="center"/>
          </w:tcPr>
          <w:p w14:paraId="5C8FB3A7">
            <w:pPr>
              <w:spacing w:line="440" w:lineRule="exact"/>
              <w:jc w:val="center"/>
              <w:rPr>
                <w:rFonts w:hint="eastAsia" w:asciiTheme="minorEastAsia" w:hAnsiTheme="minorEastAsia" w:eastAsiaTheme="minorEastAsia" w:cstheme="minorEastAsia"/>
                <w:color w:val="auto"/>
                <w:sz w:val="24"/>
                <w:szCs w:val="24"/>
                <w:highlight w:val="none"/>
              </w:rPr>
            </w:pPr>
          </w:p>
        </w:tc>
      </w:tr>
      <w:tr w14:paraId="2B00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7" w:type="dxa"/>
            <w:noWrap w:val="0"/>
            <w:vAlign w:val="center"/>
          </w:tcPr>
          <w:p w14:paraId="6CCEE047">
            <w:pPr>
              <w:spacing w:line="44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8</w:t>
            </w:r>
          </w:p>
        </w:tc>
        <w:tc>
          <w:tcPr>
            <w:tcW w:w="3152" w:type="dxa"/>
            <w:noWrap w:val="0"/>
            <w:vAlign w:val="center"/>
          </w:tcPr>
          <w:p w14:paraId="5C0008EB">
            <w:pPr>
              <w:spacing w:line="44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工程质量保修期限</w:t>
            </w:r>
          </w:p>
        </w:tc>
        <w:tc>
          <w:tcPr>
            <w:tcW w:w="1876" w:type="dxa"/>
            <w:noWrap w:val="0"/>
            <w:vAlign w:val="center"/>
          </w:tcPr>
          <w:p w14:paraId="030D7BAB">
            <w:pPr>
              <w:spacing w:line="440" w:lineRule="exact"/>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1年</w:t>
            </w:r>
          </w:p>
        </w:tc>
        <w:tc>
          <w:tcPr>
            <w:tcW w:w="2628" w:type="dxa"/>
            <w:noWrap w:val="0"/>
            <w:vAlign w:val="center"/>
          </w:tcPr>
          <w:p w14:paraId="7F848BEE">
            <w:pPr>
              <w:spacing w:line="440" w:lineRule="exact"/>
              <w:rPr>
                <w:rFonts w:hint="eastAsia" w:asciiTheme="minorEastAsia" w:hAnsiTheme="minorEastAsia" w:eastAsiaTheme="minorEastAsia" w:cstheme="minorEastAsia"/>
                <w:color w:val="auto"/>
                <w:kern w:val="2"/>
                <w:sz w:val="24"/>
                <w:szCs w:val="24"/>
                <w:highlight w:val="none"/>
                <w:lang w:val="en-US" w:eastAsia="zh-CN" w:bidi="ar-SA"/>
              </w:rPr>
            </w:pPr>
          </w:p>
        </w:tc>
        <w:tc>
          <w:tcPr>
            <w:tcW w:w="1064" w:type="dxa"/>
            <w:noWrap w:val="0"/>
            <w:vAlign w:val="center"/>
          </w:tcPr>
          <w:p w14:paraId="3F044080">
            <w:pPr>
              <w:spacing w:line="440" w:lineRule="exact"/>
              <w:jc w:val="center"/>
              <w:rPr>
                <w:rFonts w:hint="eastAsia" w:asciiTheme="minorEastAsia" w:hAnsiTheme="minorEastAsia" w:eastAsiaTheme="minorEastAsia" w:cstheme="minorEastAsia"/>
                <w:color w:val="auto"/>
                <w:sz w:val="24"/>
                <w:szCs w:val="24"/>
                <w:highlight w:val="none"/>
              </w:rPr>
            </w:pPr>
          </w:p>
        </w:tc>
      </w:tr>
      <w:tr w14:paraId="2A7C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7" w:type="dxa"/>
            <w:noWrap w:val="0"/>
            <w:vAlign w:val="center"/>
          </w:tcPr>
          <w:p w14:paraId="03FBDE8E">
            <w:pPr>
              <w:spacing w:line="44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8.1</w:t>
            </w:r>
          </w:p>
        </w:tc>
        <w:tc>
          <w:tcPr>
            <w:tcW w:w="3152" w:type="dxa"/>
            <w:noWrap w:val="0"/>
            <w:vAlign w:val="center"/>
          </w:tcPr>
          <w:p w14:paraId="74B3ED0E">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保温工程、屋面防水工程、有防水要求的卫生间、房间和外墙面的防渗漏</w:t>
            </w:r>
          </w:p>
        </w:tc>
        <w:tc>
          <w:tcPr>
            <w:tcW w:w="1876" w:type="dxa"/>
            <w:noWrap w:val="0"/>
            <w:vAlign w:val="center"/>
          </w:tcPr>
          <w:p w14:paraId="39C8A4EF">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保修期 5 年</w:t>
            </w:r>
          </w:p>
        </w:tc>
        <w:tc>
          <w:tcPr>
            <w:tcW w:w="2628" w:type="dxa"/>
            <w:noWrap w:val="0"/>
            <w:vAlign w:val="center"/>
          </w:tcPr>
          <w:p w14:paraId="086E0F72">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保修期   年</w:t>
            </w:r>
          </w:p>
        </w:tc>
        <w:tc>
          <w:tcPr>
            <w:tcW w:w="1064" w:type="dxa"/>
            <w:noWrap w:val="0"/>
            <w:vAlign w:val="center"/>
          </w:tcPr>
          <w:p w14:paraId="2DB5E276">
            <w:pPr>
              <w:spacing w:line="440" w:lineRule="exact"/>
              <w:jc w:val="center"/>
              <w:rPr>
                <w:rFonts w:hint="eastAsia" w:asciiTheme="minorEastAsia" w:hAnsiTheme="minorEastAsia" w:eastAsiaTheme="minorEastAsia" w:cstheme="minorEastAsia"/>
                <w:color w:val="auto"/>
                <w:sz w:val="24"/>
                <w:szCs w:val="24"/>
                <w:highlight w:val="none"/>
              </w:rPr>
            </w:pPr>
          </w:p>
        </w:tc>
      </w:tr>
      <w:tr w14:paraId="2648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7" w:type="dxa"/>
            <w:noWrap w:val="0"/>
            <w:vAlign w:val="center"/>
          </w:tcPr>
          <w:p w14:paraId="516101AC">
            <w:pPr>
              <w:spacing w:line="44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8.2</w:t>
            </w:r>
          </w:p>
        </w:tc>
        <w:tc>
          <w:tcPr>
            <w:tcW w:w="3152" w:type="dxa"/>
            <w:noWrap w:val="0"/>
            <w:vAlign w:val="center"/>
          </w:tcPr>
          <w:p w14:paraId="1375861E">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电气管线、给排水管道、设备安装工程</w:t>
            </w:r>
          </w:p>
        </w:tc>
        <w:tc>
          <w:tcPr>
            <w:tcW w:w="1876" w:type="dxa"/>
            <w:noWrap w:val="0"/>
            <w:vAlign w:val="center"/>
          </w:tcPr>
          <w:p w14:paraId="179470A2">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保修期 2 年</w:t>
            </w:r>
          </w:p>
        </w:tc>
        <w:tc>
          <w:tcPr>
            <w:tcW w:w="2628" w:type="dxa"/>
            <w:noWrap w:val="0"/>
            <w:vAlign w:val="center"/>
          </w:tcPr>
          <w:p w14:paraId="6D97FA2B">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保修期   年</w:t>
            </w:r>
          </w:p>
        </w:tc>
        <w:tc>
          <w:tcPr>
            <w:tcW w:w="1064" w:type="dxa"/>
            <w:noWrap w:val="0"/>
            <w:vAlign w:val="center"/>
          </w:tcPr>
          <w:p w14:paraId="681A2BFF">
            <w:pPr>
              <w:spacing w:line="440" w:lineRule="exact"/>
              <w:jc w:val="center"/>
              <w:rPr>
                <w:rFonts w:hint="eastAsia" w:asciiTheme="minorEastAsia" w:hAnsiTheme="minorEastAsia" w:eastAsiaTheme="minorEastAsia" w:cstheme="minorEastAsia"/>
                <w:color w:val="auto"/>
                <w:sz w:val="24"/>
                <w:szCs w:val="24"/>
                <w:highlight w:val="none"/>
              </w:rPr>
            </w:pPr>
          </w:p>
        </w:tc>
      </w:tr>
      <w:tr w14:paraId="5C4E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7" w:type="dxa"/>
            <w:noWrap w:val="0"/>
            <w:vAlign w:val="center"/>
          </w:tcPr>
          <w:p w14:paraId="35C29FE5">
            <w:pPr>
              <w:spacing w:line="44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8.3</w:t>
            </w:r>
          </w:p>
        </w:tc>
        <w:tc>
          <w:tcPr>
            <w:tcW w:w="3152" w:type="dxa"/>
            <w:noWrap w:val="0"/>
            <w:vAlign w:val="center"/>
          </w:tcPr>
          <w:p w14:paraId="7C1E5031">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供热与供冷系统工程</w:t>
            </w:r>
          </w:p>
        </w:tc>
        <w:tc>
          <w:tcPr>
            <w:tcW w:w="1876" w:type="dxa"/>
            <w:noWrap w:val="0"/>
            <w:vAlign w:val="center"/>
          </w:tcPr>
          <w:p w14:paraId="16FEC343">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保修期 2 个采暖与供冷期</w:t>
            </w:r>
          </w:p>
        </w:tc>
        <w:tc>
          <w:tcPr>
            <w:tcW w:w="2628" w:type="dxa"/>
            <w:noWrap w:val="0"/>
            <w:vAlign w:val="center"/>
          </w:tcPr>
          <w:p w14:paraId="28A5463F">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保修  个采暖供冷期</w:t>
            </w:r>
          </w:p>
        </w:tc>
        <w:tc>
          <w:tcPr>
            <w:tcW w:w="1064" w:type="dxa"/>
            <w:noWrap w:val="0"/>
            <w:vAlign w:val="center"/>
          </w:tcPr>
          <w:p w14:paraId="2257018C">
            <w:pPr>
              <w:spacing w:line="440" w:lineRule="exact"/>
              <w:jc w:val="center"/>
              <w:rPr>
                <w:rFonts w:hint="eastAsia" w:asciiTheme="minorEastAsia" w:hAnsiTheme="minorEastAsia" w:eastAsiaTheme="minorEastAsia" w:cstheme="minorEastAsia"/>
                <w:color w:val="auto"/>
                <w:sz w:val="24"/>
                <w:szCs w:val="24"/>
                <w:highlight w:val="none"/>
              </w:rPr>
            </w:pPr>
          </w:p>
        </w:tc>
      </w:tr>
      <w:tr w14:paraId="30EA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7" w:type="dxa"/>
            <w:noWrap w:val="0"/>
            <w:vAlign w:val="center"/>
          </w:tcPr>
          <w:p w14:paraId="5E470C7D">
            <w:pPr>
              <w:spacing w:line="44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8.4</w:t>
            </w:r>
          </w:p>
        </w:tc>
        <w:tc>
          <w:tcPr>
            <w:tcW w:w="3152" w:type="dxa"/>
            <w:noWrap w:val="0"/>
            <w:vAlign w:val="center"/>
          </w:tcPr>
          <w:p w14:paraId="687CA588">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装修工程</w:t>
            </w:r>
          </w:p>
        </w:tc>
        <w:tc>
          <w:tcPr>
            <w:tcW w:w="1876" w:type="dxa"/>
            <w:noWrap w:val="0"/>
            <w:vAlign w:val="center"/>
          </w:tcPr>
          <w:p w14:paraId="1A5617C6">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保修期 2 年</w:t>
            </w:r>
          </w:p>
        </w:tc>
        <w:tc>
          <w:tcPr>
            <w:tcW w:w="2628" w:type="dxa"/>
            <w:noWrap w:val="0"/>
            <w:vAlign w:val="center"/>
          </w:tcPr>
          <w:p w14:paraId="6F24AB20">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保修期   年</w:t>
            </w:r>
          </w:p>
        </w:tc>
        <w:tc>
          <w:tcPr>
            <w:tcW w:w="1064" w:type="dxa"/>
            <w:noWrap w:val="0"/>
            <w:vAlign w:val="center"/>
          </w:tcPr>
          <w:p w14:paraId="7010EC88">
            <w:pPr>
              <w:spacing w:line="440" w:lineRule="exact"/>
              <w:jc w:val="center"/>
              <w:rPr>
                <w:rFonts w:hint="eastAsia" w:asciiTheme="minorEastAsia" w:hAnsiTheme="minorEastAsia" w:eastAsiaTheme="minorEastAsia" w:cstheme="minorEastAsia"/>
                <w:color w:val="auto"/>
                <w:sz w:val="24"/>
                <w:szCs w:val="24"/>
                <w:highlight w:val="none"/>
              </w:rPr>
            </w:pPr>
          </w:p>
        </w:tc>
      </w:tr>
      <w:tr w14:paraId="02CD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7" w:type="dxa"/>
            <w:noWrap w:val="0"/>
            <w:vAlign w:val="center"/>
          </w:tcPr>
          <w:p w14:paraId="04BFBB1C">
            <w:pPr>
              <w:spacing w:line="44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8.5</w:t>
            </w:r>
          </w:p>
        </w:tc>
        <w:tc>
          <w:tcPr>
            <w:tcW w:w="3152" w:type="dxa"/>
            <w:noWrap w:val="0"/>
            <w:vAlign w:val="center"/>
          </w:tcPr>
          <w:p w14:paraId="05522BBC">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其他</w:t>
            </w:r>
          </w:p>
        </w:tc>
        <w:tc>
          <w:tcPr>
            <w:tcW w:w="1876" w:type="dxa"/>
            <w:noWrap w:val="0"/>
            <w:vAlign w:val="center"/>
          </w:tcPr>
          <w:p w14:paraId="5E87CFB9">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按国家、行业或地方标准执行</w:t>
            </w:r>
          </w:p>
        </w:tc>
        <w:tc>
          <w:tcPr>
            <w:tcW w:w="2628" w:type="dxa"/>
            <w:noWrap w:val="0"/>
            <w:vAlign w:val="center"/>
          </w:tcPr>
          <w:p w14:paraId="23FD6379">
            <w:pPr>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064" w:type="dxa"/>
            <w:noWrap w:val="0"/>
            <w:vAlign w:val="center"/>
          </w:tcPr>
          <w:p w14:paraId="75950F69">
            <w:pPr>
              <w:spacing w:line="440" w:lineRule="exact"/>
              <w:jc w:val="center"/>
              <w:rPr>
                <w:rFonts w:hint="eastAsia" w:asciiTheme="minorEastAsia" w:hAnsiTheme="minorEastAsia" w:eastAsiaTheme="minorEastAsia" w:cstheme="minorEastAsia"/>
                <w:color w:val="auto"/>
                <w:sz w:val="24"/>
                <w:szCs w:val="24"/>
                <w:highlight w:val="none"/>
              </w:rPr>
            </w:pPr>
          </w:p>
        </w:tc>
      </w:tr>
    </w:tbl>
    <w:p w14:paraId="005042FB">
      <w:pPr>
        <w:pStyle w:val="8"/>
        <w:rPr>
          <w:rFonts w:hint="eastAsia" w:asciiTheme="minorEastAsia" w:hAnsiTheme="minorEastAsia" w:eastAsiaTheme="minorEastAsia" w:cstheme="minorEastAsia"/>
          <w:color w:val="auto"/>
          <w:sz w:val="24"/>
          <w:szCs w:val="24"/>
          <w:highlight w:val="none"/>
          <w:lang w:val="en-US" w:eastAsia="zh-CN"/>
        </w:rPr>
      </w:pPr>
    </w:p>
    <w:p w14:paraId="5460EDEB">
      <w:pPr>
        <w:spacing w:line="360" w:lineRule="auto"/>
        <w:ind w:left="630" w:hanging="720" w:hanging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说明：上述内容由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自行填写，可按响应</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文件或优于</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文件的要求填写。</w:t>
      </w:r>
    </w:p>
    <w:p w14:paraId="6206AE5C">
      <w:pPr>
        <w:spacing w:line="440" w:lineRule="exact"/>
        <w:rPr>
          <w:rFonts w:hint="eastAsia" w:asciiTheme="minorEastAsia" w:hAnsiTheme="minorEastAsia" w:eastAsiaTheme="minorEastAsia" w:cstheme="minorEastAsia"/>
          <w:color w:val="auto"/>
          <w:sz w:val="24"/>
          <w:szCs w:val="24"/>
          <w:highlight w:val="none"/>
        </w:rPr>
      </w:pPr>
    </w:p>
    <w:p w14:paraId="0EFDDA38">
      <w:pPr>
        <w:spacing w:line="440" w:lineRule="exact"/>
        <w:rPr>
          <w:rFonts w:hint="eastAsia" w:asciiTheme="minorEastAsia" w:hAnsiTheme="minorEastAsia" w:eastAsiaTheme="minorEastAsia" w:cstheme="minorEastAsia"/>
          <w:color w:val="auto"/>
          <w:sz w:val="24"/>
          <w:szCs w:val="24"/>
          <w:highlight w:val="none"/>
        </w:rPr>
      </w:pPr>
    </w:p>
    <w:p w14:paraId="53BA0EA2">
      <w:pPr>
        <w:spacing w:line="440" w:lineRule="exact"/>
        <w:rPr>
          <w:rFonts w:hint="eastAsia" w:asciiTheme="minorEastAsia" w:hAnsiTheme="minorEastAsia" w:eastAsiaTheme="minorEastAsia" w:cstheme="minorEastAsia"/>
          <w:color w:val="auto"/>
          <w:sz w:val="24"/>
          <w:szCs w:val="24"/>
          <w:highlight w:val="none"/>
        </w:rPr>
      </w:pPr>
    </w:p>
    <w:p w14:paraId="36D24338">
      <w:pPr>
        <w:spacing w:line="440" w:lineRule="exact"/>
        <w:rPr>
          <w:rFonts w:hint="eastAsia" w:asciiTheme="minorEastAsia" w:hAnsiTheme="minorEastAsia" w:eastAsiaTheme="minorEastAsia" w:cstheme="minorEastAsia"/>
          <w:color w:val="auto"/>
          <w:sz w:val="24"/>
          <w:szCs w:val="24"/>
          <w:highlight w:val="none"/>
        </w:rPr>
      </w:pPr>
    </w:p>
    <w:p w14:paraId="2BCDA55D">
      <w:pPr>
        <w:spacing w:line="440" w:lineRule="exact"/>
        <w:rPr>
          <w:rFonts w:hint="eastAsia" w:asciiTheme="minorEastAsia" w:hAnsiTheme="minorEastAsia" w:eastAsiaTheme="minorEastAsia" w:cstheme="minorEastAsia"/>
          <w:color w:val="auto"/>
          <w:sz w:val="24"/>
          <w:szCs w:val="24"/>
          <w:highlight w:val="none"/>
        </w:rPr>
      </w:pPr>
    </w:p>
    <w:p w14:paraId="7E7C1B9D">
      <w:pPr>
        <w:spacing w:line="440" w:lineRule="exact"/>
        <w:rPr>
          <w:rFonts w:hint="eastAsia" w:asciiTheme="minorEastAsia" w:hAnsiTheme="minorEastAsia" w:eastAsiaTheme="minorEastAsia" w:cstheme="minorEastAsia"/>
          <w:color w:val="auto"/>
          <w:sz w:val="24"/>
          <w:szCs w:val="24"/>
          <w:highlight w:val="none"/>
        </w:rPr>
      </w:pPr>
    </w:p>
    <w:p w14:paraId="6C046A8A">
      <w:pPr>
        <w:pStyle w:val="125"/>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1"/>
          <w:szCs w:val="21"/>
          <w:highlight w:val="none"/>
        </w:rPr>
        <w:br w:type="page"/>
      </w:r>
      <w:bookmarkStart w:id="296" w:name="_Toc15813"/>
      <w:r>
        <w:rPr>
          <w:rFonts w:hint="eastAsia" w:asciiTheme="minorEastAsia" w:hAnsiTheme="minorEastAsia" w:eastAsiaTheme="minorEastAsia" w:cstheme="minorEastAsia"/>
          <w:b/>
          <w:color w:val="auto"/>
          <w:sz w:val="24"/>
          <w:szCs w:val="24"/>
          <w:highlight w:val="none"/>
          <w:lang w:val="en-US" w:eastAsia="zh-CN"/>
        </w:rPr>
        <w:t>3、资格审查资料；</w:t>
      </w:r>
      <w:bookmarkEnd w:id="296"/>
    </w:p>
    <w:p w14:paraId="538E77FA">
      <w:pPr>
        <w:spacing w:line="440" w:lineRule="exact"/>
        <w:rPr>
          <w:rFonts w:hint="eastAsia" w:asciiTheme="minorEastAsia" w:hAnsiTheme="minorEastAsia" w:eastAsiaTheme="minorEastAsia" w:cstheme="minorEastAsia"/>
          <w:color w:val="auto"/>
          <w:szCs w:val="21"/>
          <w:highlight w:val="none"/>
        </w:rPr>
      </w:pPr>
    </w:p>
    <w:p w14:paraId="5FEB15A0">
      <w:pPr>
        <w:pStyle w:val="16"/>
        <w:tabs>
          <w:tab w:val="left" w:pos="5580"/>
        </w:tabs>
        <w:spacing w:line="360" w:lineRule="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3.1</w:t>
      </w:r>
      <w:r>
        <w:rPr>
          <w:rFonts w:hint="eastAsia" w:hAnsi="宋体" w:cs="宋体"/>
          <w:b/>
          <w:bCs/>
          <w:color w:val="000000"/>
          <w:sz w:val="24"/>
          <w:lang w:val="en-US" w:eastAsia="zh-CN"/>
        </w:rPr>
        <w:t>具有有效的营业执照</w:t>
      </w:r>
      <w:r>
        <w:rPr>
          <w:rFonts w:hint="eastAsia" w:ascii="宋体" w:hAnsi="宋体" w:eastAsia="宋体" w:cs="宋体"/>
          <w:b/>
          <w:bCs/>
          <w:color w:val="000000"/>
          <w:sz w:val="24"/>
          <w:lang w:val="en-US" w:eastAsia="zh-CN"/>
        </w:rPr>
        <w:t>。</w:t>
      </w:r>
    </w:p>
    <w:p w14:paraId="2554ADA0">
      <w:pPr>
        <w:pStyle w:val="16"/>
        <w:tabs>
          <w:tab w:val="left" w:pos="55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说明：1）法人或者非法人组织营业执照等证明文件复印件（须加盖本单位章）或自然人的身份证明复印件;</w:t>
      </w:r>
    </w:p>
    <w:p w14:paraId="1FEE2ABA">
      <w:pPr>
        <w:pStyle w:val="16"/>
        <w:tabs>
          <w:tab w:val="left" w:pos="5580"/>
        </w:tabs>
        <w:spacing w:line="360" w:lineRule="auto"/>
        <w:ind w:firstLine="720" w:firstLineChars="300"/>
        <w:rPr>
          <w:rFonts w:hint="eastAsia" w:ascii="宋体" w:hAnsi="宋体" w:eastAsia="宋体" w:cs="宋体"/>
          <w:sz w:val="24"/>
        </w:rPr>
      </w:pPr>
      <w:r>
        <w:rPr>
          <w:rFonts w:hint="eastAsia" w:ascii="宋体" w:hAnsi="宋体" w:eastAsia="宋体" w:cs="宋体"/>
          <w:color w:val="000000"/>
          <w:sz w:val="24"/>
        </w:rPr>
        <w:t>2）</w:t>
      </w:r>
      <w:r>
        <w:rPr>
          <w:rFonts w:hint="eastAsia" w:ascii="宋体" w:hAnsi="宋体" w:eastAsia="宋体" w:cs="宋体"/>
          <w:color w:val="000000"/>
          <w:sz w:val="24"/>
          <w:lang w:eastAsia="zh-CN"/>
        </w:rPr>
        <w:t>供应商</w:t>
      </w:r>
      <w:r>
        <w:rPr>
          <w:rFonts w:hint="eastAsia" w:ascii="宋体" w:hAnsi="宋体" w:eastAsia="宋体" w:cs="宋体"/>
          <w:color w:val="000000"/>
          <w:sz w:val="24"/>
        </w:rPr>
        <w:t>必须满足《中华人民共和国政府采购法》第二十二条要求，法定代表人（或企业负责人）授权书（见</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格式二，自然人无需提供）。</w:t>
      </w:r>
    </w:p>
    <w:p w14:paraId="7B6A9FBA">
      <w:pPr>
        <w:adjustRightInd w:val="0"/>
        <w:snapToGrid w:val="0"/>
        <w:spacing w:before="312" w:beforeLines="100" w:after="312" w:afterLines="100" w:line="360" w:lineRule="auto"/>
        <w:jc w:val="both"/>
        <w:rPr>
          <w:rFonts w:hint="eastAsia" w:ascii="宋体" w:hAnsi="宋体" w:eastAsia="宋体" w:cs="宋体"/>
          <w:b/>
          <w:bCs/>
          <w:sz w:val="24"/>
          <w:lang w:val="en-US" w:eastAsia="zh-CN"/>
        </w:rPr>
      </w:pPr>
    </w:p>
    <w:p w14:paraId="5D3E24C9">
      <w:pPr>
        <w:numPr>
          <w:ilvl w:val="0"/>
          <w:numId w:val="0"/>
        </w:numPr>
        <w:spacing w:before="26"/>
        <w:ind w:left="10" w:leftChars="0" w:right="112" w:rightChars="0" w:hanging="1" w:firstLineChars="0"/>
        <w:rPr>
          <w:rFonts w:hint="eastAsia" w:ascii="宋体" w:hAnsi="宋体" w:eastAsia="宋体" w:cs="宋体"/>
          <w:b/>
          <w:bCs/>
          <w:color w:val="000000"/>
          <w:kern w:val="2"/>
          <w:sz w:val="24"/>
          <w:szCs w:val="22"/>
          <w:highlight w:val="none"/>
          <w:lang w:val="en-US" w:eastAsia="zh-CN" w:bidi="ar-SA"/>
        </w:rPr>
      </w:pPr>
      <w:bookmarkStart w:id="297" w:name="_Toc22494201"/>
      <w:bookmarkStart w:id="298" w:name="_Toc39671742"/>
      <w:r>
        <w:rPr>
          <w:rFonts w:hint="eastAsia" w:ascii="仿宋" w:hAnsi="仿宋" w:eastAsia="仿宋" w:cs="仿宋"/>
          <w:b/>
          <w:bCs/>
          <w:spacing w:val="7"/>
          <w:sz w:val="23"/>
          <w:szCs w:val="23"/>
          <w:highlight w:val="none"/>
          <w:lang w:val="en-US" w:eastAsia="zh-CN"/>
        </w:rPr>
        <w:t>3.2</w:t>
      </w:r>
      <w:r>
        <w:rPr>
          <w:rFonts w:hint="eastAsia" w:ascii="宋体" w:hAnsi="宋体" w:eastAsia="宋体" w:cs="宋体"/>
          <w:b/>
          <w:bCs/>
          <w:color w:val="000000"/>
          <w:kern w:val="2"/>
          <w:sz w:val="24"/>
          <w:szCs w:val="22"/>
          <w:highlight w:val="none"/>
          <w:lang w:val="en-US" w:eastAsia="zh-CN" w:bidi="ar-SA"/>
        </w:rPr>
        <w:t>供应商单位法人响应的提供法人身份证明，被授权人响应的提供法人授权委托书和身份证明</w:t>
      </w:r>
    </w:p>
    <w:p w14:paraId="2901D5D0">
      <w:pPr>
        <w:pStyle w:val="11"/>
        <w:spacing w:line="275" w:lineRule="auto"/>
        <w:rPr>
          <w:highlight w:val="none"/>
        </w:rPr>
      </w:pPr>
    </w:p>
    <w:p w14:paraId="7C9D394F">
      <w:pPr>
        <w:adjustRightInd w:val="0"/>
        <w:snapToGrid w:val="0"/>
        <w:spacing w:before="312" w:beforeLines="100" w:after="312" w:afterLines="100" w:line="360" w:lineRule="auto"/>
        <w:jc w:val="center"/>
        <w:outlineLvl w:val="2"/>
        <w:rPr>
          <w:rFonts w:hint="eastAsia" w:ascii="仿宋" w:hAnsi="仿宋" w:eastAsia="仿宋" w:cs="仿宋"/>
          <w:b/>
          <w:bCs/>
          <w:sz w:val="24"/>
          <w:highlight w:val="none"/>
        </w:rPr>
      </w:pPr>
      <w:bookmarkStart w:id="299" w:name="_Toc9138"/>
      <w:bookmarkStart w:id="300" w:name="_Toc11612"/>
      <w:r>
        <w:rPr>
          <w:rFonts w:hint="eastAsia" w:ascii="仿宋" w:hAnsi="仿宋" w:eastAsia="仿宋" w:cs="仿宋"/>
          <w:b/>
          <w:bCs/>
          <w:sz w:val="24"/>
          <w:highlight w:val="none"/>
          <w:lang w:val="en-US" w:eastAsia="zh-CN"/>
        </w:rPr>
        <w:t>3.1</w:t>
      </w:r>
      <w:r>
        <w:rPr>
          <w:rFonts w:hint="eastAsia" w:ascii="仿宋" w:hAnsi="仿宋" w:eastAsia="仿宋" w:cs="仿宋"/>
          <w:b/>
          <w:bCs/>
          <w:sz w:val="24"/>
          <w:highlight w:val="none"/>
        </w:rPr>
        <w:t>法定代表人身份证明</w:t>
      </w:r>
      <w:bookmarkEnd w:id="299"/>
      <w:bookmarkEnd w:id="300"/>
    </w:p>
    <w:p w14:paraId="12515E6E">
      <w:pPr>
        <w:adjustRightInd w:val="0"/>
        <w:snapToGrid w:val="0"/>
        <w:spacing w:before="312" w:beforeLines="100" w:after="312" w:afterLines="100" w:line="360" w:lineRule="auto"/>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同志，现任我单位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职务，为法定代表人，就（</w:t>
      </w:r>
      <w:r>
        <w:rPr>
          <w:rFonts w:hint="eastAsia" w:ascii="仿宋" w:hAnsi="仿宋" w:eastAsia="仿宋" w:cs="仿宋"/>
          <w:sz w:val="24"/>
          <w:highlight w:val="none"/>
          <w:lang w:eastAsia="zh-CN"/>
        </w:rPr>
        <w:t>项目名称</w:t>
      </w:r>
      <w:r>
        <w:rPr>
          <w:rFonts w:hint="eastAsia" w:ascii="仿宋" w:hAnsi="仿宋" w:eastAsia="仿宋" w:cs="仿宋"/>
          <w:sz w:val="24"/>
          <w:highlight w:val="none"/>
        </w:rPr>
        <w:t>）的（合同名称）</w:t>
      </w:r>
      <w:r>
        <w:rPr>
          <w:rFonts w:hint="eastAsia" w:ascii="仿宋" w:hAnsi="仿宋" w:eastAsia="仿宋" w:cs="仿宋"/>
          <w:sz w:val="24"/>
          <w:highlight w:val="none"/>
          <w:lang w:eastAsia="zh-CN"/>
        </w:rPr>
        <w:t>响应</w:t>
      </w:r>
      <w:r>
        <w:rPr>
          <w:rFonts w:hint="eastAsia" w:ascii="仿宋" w:hAnsi="仿宋" w:eastAsia="仿宋" w:cs="仿宋"/>
          <w:sz w:val="24"/>
          <w:highlight w:val="none"/>
        </w:rPr>
        <w:t>，以我单位名义处理一切与之有关的事务。特此证明。</w:t>
      </w:r>
    </w:p>
    <w:p w14:paraId="31689E12">
      <w:pPr>
        <w:adjustRightInd w:val="0"/>
        <w:snapToGrid w:val="0"/>
        <w:spacing w:before="312" w:beforeLines="100" w:after="312" w:afterLines="100" w:line="360" w:lineRule="auto"/>
        <w:rPr>
          <w:rFonts w:hint="eastAsia" w:ascii="仿宋" w:hAnsi="仿宋" w:eastAsia="仿宋" w:cs="仿宋"/>
          <w:b/>
          <w:bCs/>
          <w:sz w:val="24"/>
          <w:highlight w:val="none"/>
          <w:lang w:eastAsia="zh-CN"/>
        </w:rPr>
      </w:pPr>
      <w:r>
        <w:rPr>
          <w:rFonts w:hint="eastAsia" w:ascii="仿宋" w:hAnsi="仿宋" w:eastAsia="仿宋" w:cs="仿宋"/>
          <w:b/>
          <w:bCs/>
          <w:sz w:val="24"/>
          <w:highlight w:val="none"/>
        </w:rPr>
        <w:t>附：法定代表人身份证正反面</w:t>
      </w:r>
      <w:r>
        <w:rPr>
          <w:rFonts w:hint="eastAsia" w:ascii="仿宋" w:hAnsi="仿宋" w:eastAsia="仿宋" w:cs="仿宋"/>
          <w:b/>
          <w:bCs/>
          <w:sz w:val="24"/>
          <w:highlight w:val="none"/>
          <w:lang w:eastAsia="zh-CN"/>
        </w:rPr>
        <w:t>（正面为国徽面）</w:t>
      </w:r>
    </w:p>
    <w:p w14:paraId="6018F13C">
      <w:pPr>
        <w:pStyle w:val="3"/>
        <w:spacing w:before="0" w:line="240" w:lineRule="atLeast"/>
        <w:ind w:left="1079" w:leftChars="257" w:hanging="540"/>
        <w:outlineLvl w:val="9"/>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7456" behindDoc="0" locked="0" layoutInCell="1" allowOverlap="1">
                <wp:simplePos x="0" y="0"/>
                <wp:positionH relativeFrom="column">
                  <wp:posOffset>365760</wp:posOffset>
                </wp:positionH>
                <wp:positionV relativeFrom="paragraph">
                  <wp:posOffset>-44450</wp:posOffset>
                </wp:positionV>
                <wp:extent cx="2313305" cy="993140"/>
                <wp:effectExtent l="5080" t="5080" r="5715" b="11430"/>
                <wp:wrapNone/>
                <wp:docPr id="13" name="矩形 13"/>
                <wp:cNvGraphicFramePr/>
                <a:graphic xmlns:a="http://schemas.openxmlformats.org/drawingml/2006/main">
                  <a:graphicData uri="http://schemas.microsoft.com/office/word/2010/wordprocessingShape">
                    <wps:wsp>
                      <wps:cNvSpPr/>
                      <wps:spPr>
                        <a:xfrm>
                          <a:off x="0" y="0"/>
                          <a:ext cx="2313305" cy="993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8EBD8C">
                            <w:pPr>
                              <w:ind w:firstLine="480" w:firstLineChars="200"/>
                              <w:rPr>
                                <w:rFonts w:hint="eastAsia" w:hAnsi="宋体" w:cs="宋体"/>
                                <w:sz w:val="24"/>
                                <w:lang w:val="en-US" w:eastAsia="zh-CN"/>
                              </w:rPr>
                            </w:pPr>
                          </w:p>
                          <w:p w14:paraId="53947BED">
                            <w:pPr>
                              <w:adjustRightInd w:val="0"/>
                              <w:snapToGrid w:val="0"/>
                              <w:spacing w:before="312" w:beforeLines="100" w:after="312" w:afterLines="100" w:line="360" w:lineRule="auto"/>
                              <w:rPr>
                                <w:rFonts w:hint="eastAsia" w:ascii="仿宋" w:hAnsi="仿宋" w:eastAsia="仿宋" w:cs="仿宋"/>
                                <w:sz w:val="24"/>
                              </w:rPr>
                            </w:pPr>
                            <w:r>
                              <w:rPr>
                                <w:rFonts w:hint="eastAsia" w:ascii="仿宋" w:hAnsi="仿宋" w:eastAsia="仿宋" w:cs="仿宋"/>
                                <w:sz w:val="24"/>
                                <w:lang w:val="en-US" w:eastAsia="zh-CN"/>
                              </w:rPr>
                              <w:t>法定代表人</w:t>
                            </w:r>
                            <w:r>
                              <w:rPr>
                                <w:rFonts w:hint="eastAsia" w:ascii="仿宋" w:hAnsi="仿宋" w:eastAsia="仿宋" w:cs="仿宋"/>
                                <w:sz w:val="24"/>
                              </w:rPr>
                              <w:t>身份证正面</w:t>
                            </w:r>
                          </w:p>
                          <w:p w14:paraId="11BCB6DF"/>
                        </w:txbxContent>
                      </wps:txbx>
                      <wps:bodyPr upright="1"/>
                    </wps:wsp>
                  </a:graphicData>
                </a:graphic>
              </wp:anchor>
            </w:drawing>
          </mc:Choice>
          <mc:Fallback>
            <w:pict>
              <v:rect id="_x0000_s1026" o:spid="_x0000_s1026" o:spt="1" style="position:absolute;left:0pt;margin-left:28.8pt;margin-top:-3.5pt;height:78.2pt;width:182.15pt;z-index:251667456;mso-width-relative:page;mso-height-relative:page;" fillcolor="#FFFFFF" filled="t" stroked="t" coordsize="21600,21600" o:gfxdata="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676XE1wAAAAkBAAAPAAAAAAAAAAEAIAAAACIAAABkcnMv&#10;ZG93bnJldi54bWxQSwECFAAUAAAACACHTuJACKUPPwQCAAArBAAADgAAAAAAAAABACAAAAAmAQAA&#10;ZHJzL2Uyb0RvYy54bWxQSwUGAAAAAAYABgBZAQAAnAUAAAAA&#10;">
                <v:fill on="t" focussize="0,0"/>
                <v:stroke color="#000000" joinstyle="miter"/>
                <v:imagedata o:title=""/>
                <o:lock v:ext="edit" aspectratio="f"/>
                <v:textbox>
                  <w:txbxContent>
                    <w:p w14:paraId="588EBD8C">
                      <w:pPr>
                        <w:ind w:firstLine="480" w:firstLineChars="200"/>
                        <w:rPr>
                          <w:rFonts w:hint="eastAsia" w:hAnsi="宋体" w:cs="宋体"/>
                          <w:sz w:val="24"/>
                          <w:lang w:val="en-US" w:eastAsia="zh-CN"/>
                        </w:rPr>
                      </w:pPr>
                    </w:p>
                    <w:p w14:paraId="53947BED">
                      <w:pPr>
                        <w:adjustRightInd w:val="0"/>
                        <w:snapToGrid w:val="0"/>
                        <w:spacing w:before="312" w:beforeLines="100" w:after="312" w:afterLines="100" w:line="360" w:lineRule="auto"/>
                        <w:rPr>
                          <w:rFonts w:hint="eastAsia" w:ascii="仿宋" w:hAnsi="仿宋" w:eastAsia="仿宋" w:cs="仿宋"/>
                          <w:sz w:val="24"/>
                        </w:rPr>
                      </w:pPr>
                      <w:r>
                        <w:rPr>
                          <w:rFonts w:hint="eastAsia" w:ascii="仿宋" w:hAnsi="仿宋" w:eastAsia="仿宋" w:cs="仿宋"/>
                          <w:sz w:val="24"/>
                          <w:lang w:val="en-US" w:eastAsia="zh-CN"/>
                        </w:rPr>
                        <w:t>法定代表人</w:t>
                      </w:r>
                      <w:r>
                        <w:rPr>
                          <w:rFonts w:hint="eastAsia" w:ascii="仿宋" w:hAnsi="仿宋" w:eastAsia="仿宋" w:cs="仿宋"/>
                          <w:sz w:val="24"/>
                        </w:rPr>
                        <w:t>身份证正面</w:t>
                      </w:r>
                    </w:p>
                    <w:p w14:paraId="11BCB6DF"/>
                  </w:txbxContent>
                </v:textbox>
              </v:rect>
            </w:pict>
          </mc:Fallback>
        </mc:AlternateContent>
      </w:r>
    </w:p>
    <w:p w14:paraId="5A7FC653">
      <w:pPr>
        <w:pStyle w:val="8"/>
        <w:rPr>
          <w:rFonts w:hint="eastAsia" w:ascii="仿宋" w:hAnsi="仿宋" w:eastAsia="仿宋" w:cs="仿宋"/>
          <w:sz w:val="24"/>
          <w:highlight w:val="none"/>
        </w:rPr>
      </w:pPr>
    </w:p>
    <w:p w14:paraId="1D4F80D9">
      <w:pPr>
        <w:rPr>
          <w:rFonts w:hint="eastAsia" w:ascii="仿宋" w:hAnsi="仿宋" w:eastAsia="仿宋" w:cs="仿宋"/>
          <w:sz w:val="24"/>
          <w:highlight w:val="none"/>
        </w:rPr>
      </w:pPr>
    </w:p>
    <w:p w14:paraId="0BD00920">
      <w:pPr>
        <w:pStyle w:val="8"/>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6432" behindDoc="0" locked="0" layoutInCell="1" allowOverlap="1">
                <wp:simplePos x="0" y="0"/>
                <wp:positionH relativeFrom="column">
                  <wp:posOffset>2844800</wp:posOffset>
                </wp:positionH>
                <wp:positionV relativeFrom="paragraph">
                  <wp:posOffset>-622935</wp:posOffset>
                </wp:positionV>
                <wp:extent cx="2313305" cy="993140"/>
                <wp:effectExtent l="5080" t="5080" r="5715" b="11430"/>
                <wp:wrapNone/>
                <wp:docPr id="104" name="矩形 104"/>
                <wp:cNvGraphicFramePr/>
                <a:graphic xmlns:a="http://schemas.openxmlformats.org/drawingml/2006/main">
                  <a:graphicData uri="http://schemas.microsoft.com/office/word/2010/wordprocessingShape">
                    <wps:wsp>
                      <wps:cNvSpPr/>
                      <wps:spPr>
                        <a:xfrm>
                          <a:off x="0" y="0"/>
                          <a:ext cx="2313305" cy="993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08B861">
                            <w:pPr>
                              <w:ind w:firstLine="482" w:firstLineChars="200"/>
                              <w:rPr>
                                <w:rFonts w:hint="eastAsia" w:hAnsi="宋体" w:cs="宋体"/>
                                <w:b/>
                                <w:bCs/>
                                <w:sz w:val="24"/>
                                <w:lang w:val="en-US" w:eastAsia="zh-CN"/>
                              </w:rPr>
                            </w:pPr>
                          </w:p>
                          <w:p w14:paraId="5EAA104D">
                            <w:pPr>
                              <w:adjustRightInd w:val="0"/>
                              <w:snapToGrid w:val="0"/>
                              <w:spacing w:before="312" w:beforeLines="100" w:after="312" w:afterLines="100"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法定代表人身份证反面</w:t>
                            </w:r>
                          </w:p>
                          <w:p w14:paraId="07193EEB">
                            <w:pPr>
                              <w:rPr>
                                <w:b/>
                                <w:bCs/>
                              </w:rPr>
                            </w:pPr>
                          </w:p>
                        </w:txbxContent>
                      </wps:txbx>
                      <wps:bodyPr upright="1"/>
                    </wps:wsp>
                  </a:graphicData>
                </a:graphic>
              </wp:anchor>
            </w:drawing>
          </mc:Choice>
          <mc:Fallback>
            <w:pict>
              <v:rect id="_x0000_s1026" o:spid="_x0000_s1026" o:spt="1" style="position:absolute;left:0pt;margin-left:224pt;margin-top:-49.05pt;height:78.2pt;width:182.15pt;z-index:251666432;mso-width-relative:page;mso-height-relative:page;" fillcolor="#FFFFFF" filled="t" stroked="t" coordsize="21600,21600" o:gfxdata="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5u9I/2QAAAAoBAAAPAAAAAAAAAAEAIAAAACIAAABk&#10;cnMvZG93bnJldi54bWxQSwECFAAUAAAACACHTuJA/ldXdQUCAAAtBAAADgAAAAAAAAABACAAAAAo&#10;AQAAZHJzL2Uyb0RvYy54bWxQSwUGAAAAAAYABgBZAQAAnwUAAAAA&#10;">
                <v:fill on="t" focussize="0,0"/>
                <v:stroke color="#000000" joinstyle="miter"/>
                <v:imagedata o:title=""/>
                <o:lock v:ext="edit" aspectratio="f"/>
                <v:textbox>
                  <w:txbxContent>
                    <w:p w14:paraId="3708B861">
                      <w:pPr>
                        <w:ind w:firstLine="482" w:firstLineChars="200"/>
                        <w:rPr>
                          <w:rFonts w:hint="eastAsia" w:hAnsi="宋体" w:cs="宋体"/>
                          <w:b/>
                          <w:bCs/>
                          <w:sz w:val="24"/>
                          <w:lang w:val="en-US" w:eastAsia="zh-CN"/>
                        </w:rPr>
                      </w:pPr>
                    </w:p>
                    <w:p w14:paraId="5EAA104D">
                      <w:pPr>
                        <w:adjustRightInd w:val="0"/>
                        <w:snapToGrid w:val="0"/>
                        <w:spacing w:before="312" w:beforeLines="100" w:after="312" w:afterLines="100"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法定代表人身份证反面</w:t>
                      </w:r>
                    </w:p>
                    <w:p w14:paraId="07193EEB">
                      <w:pPr>
                        <w:rPr>
                          <w:b/>
                          <w:bCs/>
                        </w:rPr>
                      </w:pPr>
                    </w:p>
                  </w:txbxContent>
                </v:textbox>
              </v:rect>
            </w:pict>
          </mc:Fallback>
        </mc:AlternateContent>
      </w:r>
    </w:p>
    <w:p w14:paraId="11F8C4DE">
      <w:pPr>
        <w:rPr>
          <w:rFonts w:hint="eastAsia" w:ascii="仿宋" w:hAnsi="仿宋" w:eastAsia="仿宋" w:cs="仿宋"/>
          <w:sz w:val="24"/>
          <w:highlight w:val="none"/>
        </w:rPr>
      </w:pPr>
    </w:p>
    <w:p w14:paraId="470224D7">
      <w:pPr>
        <w:pStyle w:val="8"/>
        <w:rPr>
          <w:rFonts w:hint="eastAsia" w:ascii="仿宋" w:hAnsi="仿宋" w:eastAsia="仿宋" w:cs="仿宋"/>
          <w:sz w:val="24"/>
          <w:highlight w:val="none"/>
        </w:rPr>
      </w:pPr>
    </w:p>
    <w:p w14:paraId="461EA211">
      <w:pPr>
        <w:rPr>
          <w:rFonts w:hint="eastAsia" w:ascii="仿宋" w:hAnsi="仿宋" w:eastAsia="仿宋" w:cs="仿宋"/>
          <w:highlight w:val="none"/>
        </w:rPr>
      </w:pPr>
    </w:p>
    <w:p w14:paraId="59F87872">
      <w:pPr>
        <w:pStyle w:val="16"/>
        <w:tabs>
          <w:tab w:val="left" w:pos="5580"/>
        </w:tabs>
        <w:spacing w:line="240" w:lineRule="atLeast"/>
        <w:ind w:left="-539" w:leftChars="-257" w:firstLine="900" w:firstLineChars="375"/>
        <w:rPr>
          <w:rFonts w:hint="eastAsia" w:ascii="仿宋" w:hAnsi="仿宋" w:eastAsia="仿宋" w:cs="仿宋"/>
          <w:sz w:val="24"/>
          <w:highlight w:val="none"/>
          <w:u w:val="single"/>
        </w:rPr>
      </w:pPr>
      <w:r>
        <w:rPr>
          <w:rFonts w:hint="eastAsia" w:ascii="仿宋" w:hAnsi="仿宋" w:eastAsia="仿宋" w:cs="仿宋"/>
          <w:color w:val="000000"/>
          <w:sz w:val="24"/>
          <w:highlight w:val="none"/>
          <w:lang w:eastAsia="zh-CN"/>
        </w:rPr>
        <w:t>供应商</w:t>
      </w:r>
      <w:r>
        <w:rPr>
          <w:rFonts w:hint="eastAsia" w:ascii="仿宋" w:hAnsi="仿宋" w:eastAsia="仿宋" w:cs="仿宋"/>
          <w:sz w:val="24"/>
          <w:highlight w:val="none"/>
        </w:rPr>
        <w:t>（盖单位章）：</w:t>
      </w:r>
      <w:r>
        <w:rPr>
          <w:rFonts w:hint="eastAsia" w:ascii="仿宋" w:hAnsi="仿宋" w:eastAsia="仿宋" w:cs="仿宋"/>
          <w:sz w:val="24"/>
          <w:highlight w:val="none"/>
          <w:u w:val="single"/>
        </w:rPr>
        <w:t xml:space="preserve">                          </w:t>
      </w:r>
    </w:p>
    <w:p w14:paraId="69F4E545">
      <w:pPr>
        <w:pStyle w:val="16"/>
        <w:tabs>
          <w:tab w:val="left" w:pos="5580"/>
        </w:tabs>
        <w:spacing w:line="240" w:lineRule="atLeast"/>
        <w:ind w:left="-539" w:leftChars="-257" w:firstLine="900" w:firstLineChars="375"/>
        <w:rPr>
          <w:rFonts w:hint="eastAsia" w:ascii="仿宋" w:hAnsi="仿宋" w:eastAsia="仿宋" w:cs="仿宋"/>
          <w:sz w:val="24"/>
          <w:highlight w:val="none"/>
        </w:rPr>
      </w:pPr>
      <w:r>
        <w:rPr>
          <w:rFonts w:hint="eastAsia" w:ascii="仿宋" w:hAnsi="仿宋" w:eastAsia="仿宋" w:cs="仿宋"/>
          <w:sz w:val="24"/>
          <w:highlight w:val="none"/>
        </w:rPr>
        <w:t>法定代表人(签字或签章)：</w:t>
      </w:r>
      <w:r>
        <w:rPr>
          <w:rFonts w:hint="eastAsia" w:ascii="仿宋" w:hAnsi="仿宋" w:eastAsia="仿宋" w:cs="仿宋"/>
          <w:sz w:val="24"/>
          <w:highlight w:val="none"/>
          <w:u w:val="single"/>
        </w:rPr>
        <w:t xml:space="preserve">                      </w:t>
      </w:r>
    </w:p>
    <w:p w14:paraId="0DBC5C6C">
      <w:pPr>
        <w:pStyle w:val="16"/>
        <w:tabs>
          <w:tab w:val="left" w:pos="5580"/>
        </w:tabs>
        <w:spacing w:line="240" w:lineRule="atLeas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14:paraId="66FD134E">
      <w:pPr>
        <w:pStyle w:val="16"/>
        <w:tabs>
          <w:tab w:val="left" w:pos="5580"/>
        </w:tabs>
        <w:spacing w:line="240" w:lineRule="atLeas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14:paraId="55157303">
      <w:pPr>
        <w:pStyle w:val="16"/>
        <w:tabs>
          <w:tab w:val="left" w:pos="5580"/>
        </w:tabs>
        <w:spacing w:line="240" w:lineRule="atLeast"/>
        <w:ind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rPr>
        <w:t>传　　　　真：</w:t>
      </w:r>
      <w:r>
        <w:rPr>
          <w:rFonts w:hint="eastAsia" w:ascii="仿宋" w:hAnsi="仿宋" w:eastAsia="仿宋" w:cs="仿宋"/>
          <w:sz w:val="24"/>
          <w:highlight w:val="none"/>
          <w:u w:val="single"/>
        </w:rPr>
        <w:t xml:space="preserve">                                </w:t>
      </w:r>
    </w:p>
    <w:p w14:paraId="47B3ABBA">
      <w:pPr>
        <w:pStyle w:val="16"/>
        <w:tabs>
          <w:tab w:val="left" w:pos="5580"/>
        </w:tabs>
        <w:spacing w:line="240" w:lineRule="atLeas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14:paraId="732DAE53">
      <w:pPr>
        <w:pStyle w:val="16"/>
        <w:tabs>
          <w:tab w:val="left" w:pos="5580"/>
        </w:tabs>
        <w:spacing w:line="360" w:lineRule="auto"/>
        <w:rPr>
          <w:rFonts w:hint="eastAsia" w:ascii="仿宋" w:hAnsi="仿宋" w:eastAsia="仿宋" w:cs="仿宋"/>
          <w:color w:val="000000"/>
          <w:sz w:val="24"/>
          <w:highlight w:val="none"/>
        </w:rPr>
      </w:pPr>
    </w:p>
    <w:p w14:paraId="2C0D847A">
      <w:pPr>
        <w:pStyle w:val="16"/>
        <w:tabs>
          <w:tab w:val="left" w:pos="5580"/>
        </w:tabs>
        <w:spacing w:line="360" w:lineRule="auto"/>
        <w:ind w:left="1079" w:leftChars="257" w:hanging="540"/>
        <w:rPr>
          <w:rFonts w:hint="eastAsia" w:ascii="仿宋" w:hAnsi="仿宋" w:eastAsia="仿宋" w:cs="仿宋"/>
          <w:color w:val="000000"/>
          <w:highlight w:val="none"/>
          <w:u w:val="none"/>
        </w:rPr>
      </w:pPr>
      <w:r>
        <w:rPr>
          <w:rFonts w:hint="eastAsia" w:ascii="仿宋" w:hAnsi="仿宋" w:eastAsia="仿宋" w:cs="仿宋"/>
          <w:color w:val="000000"/>
          <w:sz w:val="24"/>
          <w:highlight w:val="none"/>
        </w:rPr>
        <w:t xml:space="preserve">  </w:t>
      </w:r>
    </w:p>
    <w:p w14:paraId="4E5ECB35">
      <w:pPr>
        <w:pStyle w:val="4"/>
        <w:spacing w:before="0" w:after="0" w:line="360" w:lineRule="auto"/>
        <w:jc w:val="center"/>
        <w:rPr>
          <w:rFonts w:hint="eastAsia" w:ascii="仿宋" w:hAnsi="仿宋" w:eastAsia="仿宋" w:cs="仿宋"/>
          <w:color w:val="000000"/>
          <w:highlight w:val="none"/>
        </w:rPr>
      </w:pPr>
      <w:bookmarkStart w:id="301" w:name="_Toc9544"/>
      <w:bookmarkStart w:id="302" w:name="_Toc31879"/>
      <w:r>
        <w:rPr>
          <w:rFonts w:hint="eastAsia" w:ascii="仿宋" w:hAnsi="仿宋" w:eastAsia="仿宋" w:cs="仿宋"/>
          <w:color w:val="000000"/>
          <w:highlight w:val="none"/>
          <w:u w:val="none"/>
        </w:rPr>
        <w:t>3</w:t>
      </w:r>
      <w:r>
        <w:rPr>
          <w:rFonts w:hint="eastAsia" w:ascii="仿宋" w:hAnsi="仿宋" w:eastAsia="仿宋" w:cs="仿宋"/>
          <w:color w:val="000000"/>
          <w:highlight w:val="none"/>
          <w:u w:val="none"/>
          <w:lang w:val="en-US" w:eastAsia="zh-CN"/>
        </w:rPr>
        <w:t>.2</w:t>
      </w:r>
      <w:r>
        <w:rPr>
          <w:rFonts w:hint="eastAsia" w:ascii="仿宋" w:hAnsi="仿宋" w:eastAsia="仿宋" w:cs="仿宋"/>
          <w:color w:val="000000"/>
          <w:highlight w:val="none"/>
          <w:u w:val="none"/>
        </w:rPr>
        <w:t xml:space="preserve"> 法定代表人（或企业负责人）授权委托书(</w:t>
      </w:r>
      <w:r>
        <w:rPr>
          <w:rFonts w:hint="eastAsia" w:ascii="仿宋" w:hAnsi="仿宋" w:eastAsia="仿宋" w:cs="仿宋"/>
          <w:color w:val="000000"/>
          <w:highlight w:val="none"/>
          <w:u w:val="none"/>
          <w:lang w:eastAsia="zh-CN"/>
        </w:rPr>
        <w:t>响应文件</w:t>
      </w:r>
      <w:r>
        <w:rPr>
          <w:rFonts w:hint="eastAsia" w:ascii="仿宋" w:hAnsi="仿宋" w:eastAsia="仿宋" w:cs="仿宋"/>
          <w:color w:val="000000"/>
          <w:highlight w:val="none"/>
          <w:u w:val="none"/>
        </w:rPr>
        <w:t>格式二)</w:t>
      </w:r>
      <w:bookmarkEnd w:id="301"/>
      <w:bookmarkEnd w:id="302"/>
    </w:p>
    <w:p w14:paraId="2B8494C3">
      <w:pPr>
        <w:pStyle w:val="16"/>
        <w:tabs>
          <w:tab w:val="left" w:pos="5580"/>
        </w:tabs>
        <w:spacing w:line="240" w:lineRule="atLeast"/>
        <w:rPr>
          <w:rFonts w:hint="eastAsia" w:ascii="仿宋" w:hAnsi="仿宋" w:eastAsia="仿宋" w:cs="仿宋"/>
          <w:sz w:val="24"/>
          <w:highlight w:val="none"/>
        </w:rPr>
      </w:pPr>
      <w:r>
        <w:rPr>
          <w:rFonts w:hint="eastAsia" w:ascii="仿宋" w:hAnsi="仿宋" w:eastAsia="仿宋" w:cs="仿宋"/>
          <w:color w:val="000000"/>
          <w:sz w:val="24"/>
          <w:highlight w:val="none"/>
        </w:rPr>
        <w:cr/>
      </w:r>
      <w:r>
        <w:rPr>
          <w:rFonts w:hint="eastAsia" w:ascii="仿宋" w:hAnsi="仿宋" w:eastAsia="仿宋" w:cs="仿宋"/>
          <w:color w:val="000000"/>
          <w:sz w:val="24"/>
          <w:highlight w:val="none"/>
        </w:rPr>
        <w:t xml:space="preserve">   </w:t>
      </w:r>
      <w:r>
        <w:rPr>
          <w:rFonts w:hint="eastAsia" w:ascii="仿宋" w:hAnsi="仿宋" w:eastAsia="仿宋" w:cs="仿宋"/>
          <w:sz w:val="24"/>
          <w:highlight w:val="none"/>
        </w:rPr>
        <w:t xml:space="preserve"> 本授权书声明：注册于（国家或地区的名称）的（</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）的在下面签字的（法人代表姓名、职务）代表我单位授权（单位名称）的在下面签字的（被授权人的姓名、职务）为我单位的合法代理人，就（</w:t>
      </w:r>
      <w:r>
        <w:rPr>
          <w:rFonts w:hint="eastAsia" w:ascii="仿宋" w:hAnsi="仿宋" w:eastAsia="仿宋" w:cs="仿宋"/>
          <w:sz w:val="24"/>
          <w:highlight w:val="none"/>
          <w:lang w:eastAsia="zh-CN"/>
        </w:rPr>
        <w:t>项目名称</w:t>
      </w:r>
      <w:r>
        <w:rPr>
          <w:rFonts w:hint="eastAsia" w:ascii="仿宋" w:hAnsi="仿宋" w:eastAsia="仿宋" w:cs="仿宋"/>
          <w:sz w:val="24"/>
          <w:highlight w:val="none"/>
        </w:rPr>
        <w:t>）的（合同名称）</w:t>
      </w:r>
      <w:r>
        <w:rPr>
          <w:rFonts w:hint="eastAsia" w:ascii="仿宋" w:hAnsi="仿宋" w:eastAsia="仿宋" w:cs="仿宋"/>
          <w:sz w:val="24"/>
          <w:highlight w:val="none"/>
          <w:lang w:eastAsia="zh-CN"/>
        </w:rPr>
        <w:t>响应</w:t>
      </w:r>
      <w:r>
        <w:rPr>
          <w:rFonts w:hint="eastAsia" w:ascii="仿宋" w:hAnsi="仿宋" w:eastAsia="仿宋" w:cs="仿宋"/>
          <w:sz w:val="24"/>
          <w:highlight w:val="none"/>
        </w:rPr>
        <w:t>，以我单位名义处理一切与之有关的事务。</w:t>
      </w:r>
      <w:r>
        <w:rPr>
          <w:rFonts w:hint="eastAsia" w:ascii="仿宋" w:hAnsi="仿宋" w:eastAsia="仿宋" w:cs="仿宋"/>
          <w:sz w:val="24"/>
          <w:highlight w:val="none"/>
        </w:rPr>
        <w:cr/>
      </w:r>
      <w:r>
        <w:rPr>
          <w:rFonts w:hint="eastAsia" w:ascii="仿宋" w:hAnsi="仿宋" w:eastAsia="仿宋" w:cs="仿宋"/>
          <w:sz w:val="24"/>
          <w:highlight w:val="none"/>
        </w:rPr>
        <w:t>　　</w:t>
      </w:r>
    </w:p>
    <w:p w14:paraId="4CE79426">
      <w:pPr>
        <w:spacing w:before="62" w:line="225" w:lineRule="auto"/>
        <w:ind w:left="650"/>
        <w:rPr>
          <w:rFonts w:hint="eastAsia" w:ascii="仿宋" w:hAnsi="仿宋" w:eastAsia="仿宋" w:cs="仿宋"/>
          <w:sz w:val="24"/>
          <w:highlight w:val="none"/>
        </w:rPr>
      </w:pPr>
      <w:r>
        <w:rPr>
          <w:rFonts w:hint="eastAsia" w:ascii="仿宋" w:hAnsi="仿宋" w:eastAsia="仿宋" w:cs="仿宋"/>
          <w:sz w:val="24"/>
          <w:highlight w:val="none"/>
        </w:rPr>
        <w:t>本授权书于           年     月     日签字生效,特此声明。</w:t>
      </w:r>
      <w:r>
        <w:rPr>
          <w:rFonts w:hint="eastAsia" w:ascii="仿宋" w:hAnsi="仿宋" w:eastAsia="仿宋" w:cs="仿宋"/>
          <w:sz w:val="24"/>
          <w:highlight w:val="none"/>
        </w:rPr>
        <w:cr/>
      </w:r>
      <w:r>
        <w:rPr>
          <w:rFonts w:hint="eastAsia" w:ascii="仿宋" w:hAnsi="仿宋" w:eastAsia="仿宋" w:cs="仿宋"/>
          <w:sz w:val="24"/>
          <w:highlight w:val="none"/>
        </w:rPr>
        <w:cr/>
      </w:r>
      <w:r>
        <w:rPr>
          <w:rFonts w:hint="eastAsia" w:ascii="仿宋" w:hAnsi="仿宋" w:eastAsia="仿宋" w:cs="仿宋"/>
          <w:sz w:val="24"/>
          <w:highlight w:val="none"/>
        </w:rPr>
        <w:t>委托期限</w:t>
      </w:r>
      <w:r>
        <w:rPr>
          <w:rFonts w:hint="eastAsia" w:ascii="仿宋" w:hAnsi="仿宋" w:eastAsia="仿宋" w:cs="仿宋"/>
          <w:sz w:val="24"/>
          <w:highlight w:val="none"/>
          <w:u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CB0D0EF">
      <w:pPr>
        <w:spacing w:before="62" w:line="225" w:lineRule="auto"/>
        <w:ind w:left="650"/>
        <w:rPr>
          <w:rFonts w:hint="eastAsia" w:ascii="仿宋" w:hAnsi="仿宋" w:eastAsia="仿宋" w:cs="仿宋"/>
          <w:sz w:val="24"/>
          <w:highlight w:val="none"/>
        </w:rPr>
      </w:pPr>
      <w:r>
        <w:rPr>
          <w:rFonts w:hint="eastAsia" w:ascii="仿宋" w:hAnsi="仿宋" w:eastAsia="仿宋" w:cs="仿宋"/>
          <w:sz w:val="24"/>
          <w:highlight w:val="none"/>
        </w:rPr>
        <w:t>代理人无转委托权。</w:t>
      </w:r>
    </w:p>
    <w:p w14:paraId="4529BFF0">
      <w:pPr>
        <w:pStyle w:val="16"/>
        <w:tabs>
          <w:tab w:val="left" w:pos="5580"/>
        </w:tabs>
        <w:spacing w:line="240" w:lineRule="atLeast"/>
        <w:ind w:left="-539" w:leftChars="-257" w:firstLine="900" w:firstLineChars="375"/>
        <w:rPr>
          <w:rFonts w:hint="eastAsia" w:ascii="仿宋" w:hAnsi="仿宋" w:eastAsia="仿宋" w:cs="仿宋"/>
          <w:sz w:val="24"/>
          <w:highlight w:val="none"/>
        </w:rPr>
      </w:pPr>
    </w:p>
    <w:p w14:paraId="1AE4CFD8">
      <w:pPr>
        <w:pStyle w:val="16"/>
        <w:tabs>
          <w:tab w:val="left" w:pos="5580"/>
        </w:tabs>
        <w:spacing w:line="240" w:lineRule="atLeast"/>
        <w:ind w:left="-539" w:leftChars="-257" w:firstLine="900" w:firstLineChars="375"/>
        <w:rPr>
          <w:rFonts w:hint="eastAsia" w:ascii="仿宋" w:hAnsi="仿宋" w:eastAsia="仿宋" w:cs="仿宋"/>
          <w:sz w:val="24"/>
          <w:highlight w:val="none"/>
        </w:rPr>
      </w:pPr>
    </w:p>
    <w:p w14:paraId="3AD97DA8">
      <w:pPr>
        <w:pStyle w:val="16"/>
        <w:tabs>
          <w:tab w:val="left" w:pos="5580"/>
        </w:tabs>
        <w:spacing w:line="240" w:lineRule="atLeast"/>
        <w:ind w:left="-539" w:leftChars="-257" w:firstLine="900" w:firstLineChars="375"/>
        <w:rPr>
          <w:rFonts w:hint="eastAsia" w:ascii="仿宋" w:hAnsi="仿宋" w:eastAsia="仿宋" w:cs="仿宋"/>
          <w:sz w:val="24"/>
          <w:highlight w:val="none"/>
        </w:rPr>
      </w:pPr>
      <w:r>
        <w:rPr>
          <w:rFonts w:hint="eastAsia" w:ascii="仿宋" w:hAnsi="仿宋" w:eastAsia="仿宋" w:cs="仿宋"/>
          <w:sz w:val="24"/>
          <w:highlight w:val="none"/>
        </w:rPr>
        <w:t>附：法定代表人身份证正反面及</w:t>
      </w:r>
      <w:r>
        <w:rPr>
          <w:rFonts w:hint="eastAsia" w:ascii="仿宋" w:hAnsi="仿宋" w:eastAsia="仿宋" w:cs="仿宋"/>
          <w:sz w:val="24"/>
          <w:highlight w:val="none"/>
          <w:lang w:eastAsia="zh-CN"/>
        </w:rPr>
        <w:t>被</w:t>
      </w:r>
      <w:r>
        <w:rPr>
          <w:rFonts w:hint="eastAsia" w:ascii="仿宋" w:hAnsi="仿宋" w:eastAsia="仿宋" w:cs="仿宋"/>
          <w:sz w:val="24"/>
          <w:highlight w:val="none"/>
        </w:rPr>
        <w:t>授权人身份证正反面</w:t>
      </w:r>
      <w:r>
        <w:rPr>
          <w:rFonts w:hint="eastAsia" w:ascii="仿宋" w:hAnsi="仿宋" w:eastAsia="仿宋" w:cs="仿宋"/>
          <w:sz w:val="24"/>
          <w:highlight w:val="none"/>
          <w:lang w:eastAsia="zh-CN"/>
        </w:rPr>
        <w:t>（正面为国徽面）</w:t>
      </w:r>
    </w:p>
    <w:tbl>
      <w:tblPr>
        <w:tblStyle w:val="38"/>
        <w:tblpPr w:leftFromText="180" w:rightFromText="180" w:vertAnchor="text" w:horzAnchor="page" w:tblpX="1501" w:tblpY="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0"/>
      </w:tblGrid>
      <w:tr w14:paraId="064E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4200" w:type="dxa"/>
            <w:noWrap w:val="0"/>
            <w:vAlign w:val="top"/>
          </w:tcPr>
          <w:p w14:paraId="0DFE607E">
            <w:pPr>
              <w:pStyle w:val="16"/>
              <w:widowControl w:val="0"/>
              <w:tabs>
                <w:tab w:val="left" w:pos="5580"/>
              </w:tabs>
              <w:spacing w:line="240" w:lineRule="atLeast"/>
              <w:jc w:val="center"/>
              <w:rPr>
                <w:rFonts w:hint="eastAsia" w:ascii="仿宋" w:hAnsi="仿宋" w:eastAsia="仿宋" w:cs="仿宋"/>
                <w:sz w:val="24"/>
                <w:highlight w:val="none"/>
                <w:vertAlign w:val="baseline"/>
              </w:rPr>
            </w:pPr>
            <w:r>
              <w:rPr>
                <w:rFonts w:hint="eastAsia" w:ascii="仿宋" w:hAnsi="仿宋" w:eastAsia="仿宋" w:cs="仿宋"/>
                <w:sz w:val="24"/>
                <w:highlight w:val="none"/>
                <w:lang w:val="en-US" w:eastAsia="zh-CN"/>
              </w:rPr>
              <w:t>法定代表人</w:t>
            </w:r>
            <w:r>
              <w:rPr>
                <w:rFonts w:hint="eastAsia" w:ascii="仿宋" w:hAnsi="仿宋" w:eastAsia="仿宋" w:cs="仿宋"/>
                <w:sz w:val="24"/>
                <w:highlight w:val="none"/>
              </w:rPr>
              <w:t>身份证正面</w:t>
            </w:r>
          </w:p>
        </w:tc>
      </w:tr>
    </w:tbl>
    <w:tbl>
      <w:tblPr>
        <w:tblStyle w:val="38"/>
        <w:tblpPr w:leftFromText="180" w:rightFromText="180" w:vertAnchor="text" w:horzAnchor="page" w:tblpX="6085" w:tblpY="3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0"/>
      </w:tblGrid>
      <w:tr w14:paraId="3835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4280" w:type="dxa"/>
            <w:noWrap w:val="0"/>
            <w:vAlign w:val="top"/>
          </w:tcPr>
          <w:p w14:paraId="74BCB7A5">
            <w:pPr>
              <w:pStyle w:val="16"/>
              <w:widowControl w:val="0"/>
              <w:tabs>
                <w:tab w:val="left" w:pos="5580"/>
              </w:tabs>
              <w:spacing w:line="240" w:lineRule="atLeast"/>
              <w:jc w:val="center"/>
              <w:rPr>
                <w:rFonts w:hint="eastAsia" w:ascii="仿宋" w:hAnsi="仿宋" w:eastAsia="仿宋" w:cs="仿宋"/>
                <w:sz w:val="24"/>
                <w:highlight w:val="none"/>
                <w:vertAlign w:val="baseline"/>
              </w:rPr>
            </w:pPr>
            <w:r>
              <w:rPr>
                <w:rFonts w:hint="eastAsia" w:ascii="仿宋" w:hAnsi="仿宋" w:eastAsia="仿宋" w:cs="仿宋"/>
                <w:sz w:val="24"/>
                <w:highlight w:val="none"/>
                <w:lang w:val="en-US" w:eastAsia="zh-CN"/>
              </w:rPr>
              <w:t>法定代表人</w:t>
            </w:r>
            <w:r>
              <w:rPr>
                <w:rFonts w:hint="eastAsia" w:ascii="仿宋" w:hAnsi="仿宋" w:eastAsia="仿宋" w:cs="仿宋"/>
                <w:sz w:val="24"/>
                <w:highlight w:val="none"/>
              </w:rPr>
              <w:t>身份证</w:t>
            </w:r>
            <w:r>
              <w:rPr>
                <w:rFonts w:hint="eastAsia" w:ascii="仿宋" w:hAnsi="仿宋" w:eastAsia="仿宋" w:cs="仿宋"/>
                <w:sz w:val="24"/>
                <w:highlight w:val="none"/>
                <w:lang w:eastAsia="zh-CN"/>
              </w:rPr>
              <w:t>反</w:t>
            </w:r>
            <w:r>
              <w:rPr>
                <w:rFonts w:hint="eastAsia" w:ascii="仿宋" w:hAnsi="仿宋" w:eastAsia="仿宋" w:cs="仿宋"/>
                <w:sz w:val="24"/>
                <w:highlight w:val="none"/>
              </w:rPr>
              <w:t>面</w:t>
            </w:r>
          </w:p>
        </w:tc>
      </w:tr>
    </w:tbl>
    <w:p w14:paraId="7AD0B218">
      <w:pPr>
        <w:pStyle w:val="16"/>
        <w:tabs>
          <w:tab w:val="left" w:pos="5580"/>
        </w:tabs>
        <w:spacing w:line="240" w:lineRule="atLeast"/>
        <w:ind w:left="-539" w:leftChars="-257" w:firstLine="900" w:firstLineChars="375"/>
        <w:jc w:val="center"/>
        <w:rPr>
          <w:rFonts w:hint="eastAsia" w:ascii="仿宋" w:hAnsi="仿宋" w:eastAsia="仿宋" w:cs="仿宋"/>
          <w:sz w:val="24"/>
          <w:highlight w:val="none"/>
        </w:rPr>
      </w:pPr>
    </w:p>
    <w:tbl>
      <w:tblPr>
        <w:tblStyle w:val="38"/>
        <w:tblpPr w:leftFromText="180" w:rightFromText="180" w:vertAnchor="text" w:horzAnchor="page" w:tblpX="1530" w:tblpY="24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0"/>
      </w:tblGrid>
      <w:tr w14:paraId="1509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4180" w:type="dxa"/>
            <w:noWrap w:val="0"/>
            <w:vAlign w:val="top"/>
          </w:tcPr>
          <w:p w14:paraId="109C8B2E">
            <w:pPr>
              <w:widowControl w:val="0"/>
              <w:jc w:val="center"/>
              <w:rPr>
                <w:rFonts w:hint="eastAsia" w:ascii="仿宋" w:hAnsi="仿宋" w:eastAsia="仿宋" w:cs="仿宋"/>
                <w:sz w:val="24"/>
                <w:highlight w:val="none"/>
                <w:vertAlign w:val="baseline"/>
              </w:rPr>
            </w:pPr>
            <w:r>
              <w:rPr>
                <w:rFonts w:hint="eastAsia" w:ascii="仿宋" w:hAnsi="仿宋" w:eastAsia="仿宋" w:cs="仿宋"/>
                <w:sz w:val="24"/>
                <w:highlight w:val="none"/>
                <w:lang w:val="en-US" w:eastAsia="zh-CN"/>
              </w:rPr>
              <w:t>被授权人</w:t>
            </w:r>
            <w:r>
              <w:rPr>
                <w:rFonts w:hint="eastAsia" w:ascii="仿宋" w:hAnsi="仿宋" w:eastAsia="仿宋" w:cs="仿宋"/>
                <w:sz w:val="24"/>
                <w:highlight w:val="none"/>
              </w:rPr>
              <w:t>身份证</w:t>
            </w:r>
            <w:r>
              <w:rPr>
                <w:rFonts w:hint="eastAsia" w:ascii="仿宋" w:hAnsi="仿宋" w:eastAsia="仿宋" w:cs="仿宋"/>
                <w:sz w:val="24"/>
                <w:highlight w:val="none"/>
                <w:lang w:eastAsia="zh-CN"/>
              </w:rPr>
              <w:t>正</w:t>
            </w:r>
            <w:r>
              <w:rPr>
                <w:rFonts w:hint="eastAsia" w:ascii="仿宋" w:hAnsi="仿宋" w:eastAsia="仿宋" w:cs="仿宋"/>
                <w:sz w:val="24"/>
                <w:highlight w:val="none"/>
              </w:rPr>
              <w:t>面</w:t>
            </w:r>
          </w:p>
        </w:tc>
      </w:tr>
    </w:tbl>
    <w:p w14:paraId="0E5DE987">
      <w:pPr>
        <w:pStyle w:val="16"/>
        <w:tabs>
          <w:tab w:val="left" w:pos="5580"/>
        </w:tabs>
        <w:spacing w:line="240" w:lineRule="atLeast"/>
        <w:ind w:left="-539" w:leftChars="-257" w:firstLine="900" w:firstLineChars="375"/>
        <w:jc w:val="center"/>
        <w:rPr>
          <w:rFonts w:hint="eastAsia" w:ascii="仿宋" w:hAnsi="仿宋" w:eastAsia="仿宋" w:cs="仿宋"/>
          <w:sz w:val="24"/>
          <w:highlight w:val="none"/>
          <w:lang w:eastAsia="zh-CN"/>
        </w:rPr>
      </w:pPr>
    </w:p>
    <w:p w14:paraId="33105E04">
      <w:pPr>
        <w:pStyle w:val="16"/>
        <w:tabs>
          <w:tab w:val="left" w:pos="5580"/>
        </w:tabs>
        <w:spacing w:line="240" w:lineRule="atLeast"/>
        <w:ind w:left="-539" w:leftChars="-257" w:firstLine="900" w:firstLineChars="375"/>
        <w:rPr>
          <w:rFonts w:hint="eastAsia" w:ascii="仿宋" w:hAnsi="仿宋" w:eastAsia="仿宋" w:cs="仿宋"/>
          <w:sz w:val="24"/>
          <w:highlight w:val="none"/>
        </w:rPr>
      </w:pPr>
    </w:p>
    <w:tbl>
      <w:tblPr>
        <w:tblStyle w:val="38"/>
        <w:tblpPr w:leftFromText="180" w:rightFromText="180" w:vertAnchor="text" w:horzAnchor="page" w:tblpX="6075" w:tblpY="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0"/>
      </w:tblGrid>
      <w:tr w14:paraId="64B9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3" w:hRule="atLeast"/>
        </w:trPr>
        <w:tc>
          <w:tcPr>
            <w:tcW w:w="4280" w:type="dxa"/>
            <w:noWrap w:val="0"/>
            <w:vAlign w:val="top"/>
          </w:tcPr>
          <w:p w14:paraId="6109229B">
            <w:pPr>
              <w:pStyle w:val="16"/>
              <w:widowControl w:val="0"/>
              <w:tabs>
                <w:tab w:val="left" w:pos="5580"/>
              </w:tabs>
              <w:spacing w:line="240" w:lineRule="atLeast"/>
              <w:jc w:val="center"/>
              <w:rPr>
                <w:rFonts w:hint="eastAsia" w:ascii="仿宋" w:hAnsi="仿宋" w:eastAsia="仿宋" w:cs="仿宋"/>
                <w:sz w:val="24"/>
                <w:highlight w:val="none"/>
                <w:vertAlign w:val="baseline"/>
              </w:rPr>
            </w:pPr>
            <w:r>
              <w:rPr>
                <w:rFonts w:hint="eastAsia" w:ascii="仿宋" w:hAnsi="仿宋" w:eastAsia="仿宋" w:cs="仿宋"/>
                <w:sz w:val="24"/>
                <w:highlight w:val="none"/>
                <w:lang w:val="en-US" w:eastAsia="zh-CN"/>
              </w:rPr>
              <w:t>被授权人</w:t>
            </w:r>
            <w:r>
              <w:rPr>
                <w:rFonts w:hint="eastAsia" w:ascii="仿宋" w:hAnsi="仿宋" w:eastAsia="仿宋" w:cs="仿宋"/>
                <w:sz w:val="24"/>
                <w:highlight w:val="none"/>
              </w:rPr>
              <w:t>身份证</w:t>
            </w:r>
            <w:r>
              <w:rPr>
                <w:rFonts w:hint="eastAsia" w:ascii="仿宋" w:hAnsi="仿宋" w:eastAsia="仿宋" w:cs="仿宋"/>
                <w:sz w:val="24"/>
                <w:highlight w:val="none"/>
                <w:lang w:eastAsia="zh-CN"/>
              </w:rPr>
              <w:t>反</w:t>
            </w:r>
            <w:r>
              <w:rPr>
                <w:rFonts w:hint="eastAsia" w:ascii="仿宋" w:hAnsi="仿宋" w:eastAsia="仿宋" w:cs="仿宋"/>
                <w:sz w:val="24"/>
                <w:highlight w:val="none"/>
              </w:rPr>
              <w:t>面</w:t>
            </w:r>
          </w:p>
        </w:tc>
      </w:tr>
    </w:tbl>
    <w:p w14:paraId="6CBE6CCB">
      <w:pPr>
        <w:pStyle w:val="16"/>
        <w:tabs>
          <w:tab w:val="left" w:pos="5580"/>
        </w:tabs>
        <w:spacing w:line="240" w:lineRule="atLeast"/>
        <w:rPr>
          <w:rFonts w:hint="eastAsia" w:ascii="仿宋" w:hAnsi="仿宋" w:eastAsia="仿宋" w:cs="仿宋"/>
          <w:sz w:val="24"/>
          <w:highlight w:val="none"/>
        </w:rPr>
      </w:pPr>
    </w:p>
    <w:p w14:paraId="771C179F">
      <w:pPr>
        <w:pStyle w:val="16"/>
        <w:tabs>
          <w:tab w:val="left" w:pos="5580"/>
        </w:tabs>
        <w:spacing w:line="240" w:lineRule="atLeast"/>
        <w:ind w:left="-539" w:leftChars="-257" w:firstLine="900" w:firstLineChars="375"/>
        <w:rPr>
          <w:rFonts w:hint="eastAsia" w:ascii="仿宋" w:hAnsi="仿宋" w:eastAsia="仿宋" w:cs="仿宋"/>
          <w:sz w:val="24"/>
          <w:highlight w:val="none"/>
        </w:rPr>
      </w:pPr>
    </w:p>
    <w:p w14:paraId="392B66E1">
      <w:pPr>
        <w:pStyle w:val="16"/>
        <w:tabs>
          <w:tab w:val="left" w:pos="5580"/>
        </w:tabs>
        <w:spacing w:line="240" w:lineRule="atLeast"/>
        <w:ind w:left="-539" w:leftChars="-257" w:firstLine="900" w:firstLineChars="375"/>
        <w:rPr>
          <w:rFonts w:hint="eastAsia" w:ascii="仿宋" w:hAnsi="仿宋" w:eastAsia="仿宋" w:cs="仿宋"/>
          <w:sz w:val="24"/>
          <w:highlight w:val="none"/>
        </w:rPr>
      </w:pPr>
    </w:p>
    <w:p w14:paraId="65AB2DAE">
      <w:pPr>
        <w:pStyle w:val="16"/>
        <w:tabs>
          <w:tab w:val="left" w:pos="5580"/>
        </w:tabs>
        <w:spacing w:line="240" w:lineRule="atLeast"/>
        <w:ind w:left="-539" w:leftChars="-257" w:firstLine="900" w:firstLineChars="375"/>
        <w:rPr>
          <w:rFonts w:hint="eastAsia" w:ascii="仿宋" w:hAnsi="仿宋" w:eastAsia="仿宋" w:cs="仿宋"/>
          <w:sz w:val="24"/>
          <w:highlight w:val="none"/>
        </w:rPr>
      </w:pPr>
    </w:p>
    <w:p w14:paraId="0BE61D93">
      <w:pPr>
        <w:pStyle w:val="16"/>
        <w:tabs>
          <w:tab w:val="left" w:pos="5580"/>
        </w:tabs>
        <w:spacing w:line="240" w:lineRule="atLeast"/>
        <w:ind w:left="-539" w:leftChars="-257" w:firstLine="900" w:firstLineChars="375"/>
        <w:rPr>
          <w:rFonts w:hint="eastAsia" w:ascii="仿宋" w:hAnsi="仿宋" w:eastAsia="仿宋" w:cs="仿宋"/>
          <w:sz w:val="24"/>
          <w:highlight w:val="none"/>
          <w:u w:val="single"/>
        </w:rPr>
      </w:pPr>
      <w:r>
        <w:rPr>
          <w:rFonts w:hint="eastAsia" w:ascii="仿宋" w:hAnsi="仿宋" w:eastAsia="仿宋" w:cs="仿宋"/>
          <w:color w:val="000000"/>
          <w:sz w:val="24"/>
          <w:highlight w:val="none"/>
          <w:lang w:eastAsia="zh-CN"/>
        </w:rPr>
        <w:t>供应商</w:t>
      </w:r>
      <w:r>
        <w:rPr>
          <w:rFonts w:hint="eastAsia" w:ascii="仿宋" w:hAnsi="仿宋" w:eastAsia="仿宋" w:cs="仿宋"/>
          <w:sz w:val="24"/>
          <w:highlight w:val="none"/>
        </w:rPr>
        <w:t>（盖单位章）：</w:t>
      </w:r>
      <w:r>
        <w:rPr>
          <w:rFonts w:hint="eastAsia" w:ascii="仿宋" w:hAnsi="仿宋" w:eastAsia="仿宋" w:cs="仿宋"/>
          <w:sz w:val="24"/>
          <w:highlight w:val="none"/>
          <w:u w:val="single"/>
        </w:rPr>
        <w:t xml:space="preserve">                                        </w:t>
      </w:r>
    </w:p>
    <w:p w14:paraId="54E01C36">
      <w:pPr>
        <w:pStyle w:val="16"/>
        <w:tabs>
          <w:tab w:val="left" w:pos="5580"/>
        </w:tabs>
        <w:spacing w:line="240" w:lineRule="atLeast"/>
        <w:ind w:left="-539" w:leftChars="-257" w:firstLine="900" w:firstLineChars="375"/>
        <w:rPr>
          <w:rFonts w:hint="eastAsia" w:ascii="仿宋" w:hAnsi="仿宋" w:eastAsia="仿宋" w:cs="仿宋"/>
          <w:sz w:val="24"/>
          <w:highlight w:val="none"/>
          <w:u w:val="single"/>
        </w:rPr>
      </w:pPr>
      <w:r>
        <w:rPr>
          <w:rFonts w:hint="eastAsia" w:ascii="仿宋" w:hAnsi="仿宋" w:eastAsia="仿宋" w:cs="仿宋"/>
          <w:sz w:val="24"/>
          <w:highlight w:val="none"/>
        </w:rPr>
        <w:t>法定代表人(签字或签章)：</w:t>
      </w:r>
      <w:r>
        <w:rPr>
          <w:rFonts w:hint="eastAsia" w:ascii="仿宋" w:hAnsi="仿宋" w:eastAsia="仿宋" w:cs="仿宋"/>
          <w:sz w:val="24"/>
          <w:highlight w:val="none"/>
          <w:u w:val="single"/>
        </w:rPr>
        <w:t xml:space="preserve">                                    </w:t>
      </w:r>
    </w:p>
    <w:p w14:paraId="04D1BB7F">
      <w:pPr>
        <w:pStyle w:val="16"/>
        <w:tabs>
          <w:tab w:val="left" w:pos="5580"/>
        </w:tabs>
        <w:spacing w:line="240" w:lineRule="atLeast"/>
        <w:ind w:left="-539" w:leftChars="-257" w:firstLine="900" w:firstLineChars="375"/>
        <w:rPr>
          <w:rFonts w:hint="eastAsia" w:ascii="仿宋" w:hAnsi="仿宋" w:eastAsia="仿宋" w:cs="仿宋"/>
          <w:sz w:val="24"/>
          <w:highlight w:val="none"/>
          <w:u w:val="single"/>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p>
    <w:p w14:paraId="14940298">
      <w:pPr>
        <w:pStyle w:val="16"/>
        <w:tabs>
          <w:tab w:val="left" w:pos="5580"/>
        </w:tabs>
        <w:spacing w:line="240" w:lineRule="atLeast"/>
        <w:ind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rPr>
        <w:t>委托代理人（签字）：</w:t>
      </w:r>
      <w:r>
        <w:rPr>
          <w:rFonts w:hint="eastAsia" w:ascii="仿宋" w:hAnsi="仿宋" w:eastAsia="仿宋" w:cs="仿宋"/>
          <w:sz w:val="24"/>
          <w:highlight w:val="none"/>
          <w:u w:val="single"/>
        </w:rPr>
        <w:t xml:space="preserve">                                </w:t>
      </w:r>
    </w:p>
    <w:p w14:paraId="73D6EB77">
      <w:pPr>
        <w:pStyle w:val="16"/>
        <w:tabs>
          <w:tab w:val="left" w:pos="5580"/>
        </w:tabs>
        <w:spacing w:line="240" w:lineRule="atLeas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727AC3A1">
      <w:pPr>
        <w:pStyle w:val="16"/>
        <w:tabs>
          <w:tab w:val="left" w:pos="5580"/>
        </w:tabs>
        <w:spacing w:line="240" w:lineRule="atLeas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详细通讯地址：</w:t>
      </w:r>
      <w:r>
        <w:rPr>
          <w:rFonts w:hint="eastAsia" w:ascii="仿宋" w:hAnsi="仿宋" w:eastAsia="仿宋" w:cs="仿宋"/>
          <w:sz w:val="24"/>
          <w:highlight w:val="none"/>
          <w:u w:val="single"/>
        </w:rPr>
        <w:t xml:space="preserve">                                </w:t>
      </w:r>
    </w:p>
    <w:p w14:paraId="35390EDF">
      <w:pPr>
        <w:pStyle w:val="16"/>
        <w:tabs>
          <w:tab w:val="left" w:pos="5580"/>
        </w:tabs>
        <w:spacing w:line="240" w:lineRule="atLeas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邮 政 编 码 ：</w:t>
      </w:r>
      <w:r>
        <w:rPr>
          <w:rFonts w:hint="eastAsia" w:ascii="仿宋" w:hAnsi="仿宋" w:eastAsia="仿宋" w:cs="仿宋"/>
          <w:sz w:val="24"/>
          <w:highlight w:val="none"/>
          <w:u w:val="single"/>
        </w:rPr>
        <w:t xml:space="preserve">                                </w:t>
      </w:r>
    </w:p>
    <w:p w14:paraId="1E1A4DE4">
      <w:pPr>
        <w:pStyle w:val="16"/>
        <w:tabs>
          <w:tab w:val="left" w:pos="5580"/>
        </w:tabs>
        <w:spacing w:line="240" w:lineRule="atLeast"/>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传　　　　真：</w:t>
      </w:r>
      <w:r>
        <w:rPr>
          <w:rFonts w:hint="eastAsia" w:ascii="仿宋" w:hAnsi="仿宋" w:eastAsia="仿宋" w:cs="仿宋"/>
          <w:sz w:val="24"/>
          <w:highlight w:val="none"/>
          <w:u w:val="single"/>
        </w:rPr>
        <w:t xml:space="preserve">                                </w:t>
      </w:r>
    </w:p>
    <w:p w14:paraId="47CA00BF">
      <w:pPr>
        <w:pStyle w:val="16"/>
        <w:tabs>
          <w:tab w:val="left" w:pos="5580"/>
        </w:tabs>
        <w:spacing w:line="240" w:lineRule="atLeast"/>
        <w:ind w:firstLine="360" w:firstLineChars="150"/>
        <w:rPr>
          <w:rFonts w:hint="eastAsia" w:ascii="仿宋" w:hAnsi="仿宋" w:eastAsia="仿宋" w:cs="仿宋"/>
          <w:color w:val="000000"/>
          <w:highlight w:val="none"/>
        </w:rPr>
      </w:pPr>
      <w:r>
        <w:rPr>
          <w:rFonts w:hint="eastAsia" w:ascii="仿宋" w:hAnsi="仿宋" w:eastAsia="仿宋" w:cs="仿宋"/>
          <w:sz w:val="24"/>
          <w:highlight w:val="none"/>
        </w:rPr>
        <w:t>电　　　　话：</w:t>
      </w:r>
      <w:r>
        <w:rPr>
          <w:rFonts w:hint="eastAsia" w:ascii="仿宋" w:hAnsi="仿宋" w:eastAsia="仿宋" w:cs="仿宋"/>
          <w:sz w:val="24"/>
          <w:highlight w:val="none"/>
          <w:u w:val="single"/>
        </w:rPr>
        <w:t xml:space="preserve">                                </w:t>
      </w:r>
    </w:p>
    <w:p w14:paraId="0162DE20">
      <w:pPr>
        <w:spacing w:before="49" w:line="229" w:lineRule="auto"/>
        <w:jc w:val="right"/>
        <w:rPr>
          <w:rFonts w:ascii="仿宋" w:hAnsi="仿宋" w:eastAsia="仿宋" w:cs="仿宋"/>
          <w:b/>
          <w:bCs/>
          <w:spacing w:val="6"/>
          <w:sz w:val="23"/>
          <w:szCs w:val="23"/>
          <w:highlight w:val="none"/>
        </w:rPr>
      </w:pPr>
    </w:p>
    <w:bookmarkEnd w:id="297"/>
    <w:bookmarkEnd w:id="298"/>
    <w:p w14:paraId="19F3434C">
      <w:pPr>
        <w:numPr>
          <w:ilvl w:val="0"/>
          <w:numId w:val="0"/>
        </w:numPr>
        <w:outlineLvl w:val="1"/>
        <w:rPr>
          <w:rFonts w:hint="eastAsia" w:asciiTheme="minorEastAsia" w:hAnsiTheme="minorEastAsia" w:eastAsiaTheme="minorEastAsia" w:cstheme="minorEastAsia"/>
          <w:b/>
          <w:bCs/>
          <w:color w:val="auto"/>
          <w:kern w:val="2"/>
          <w:sz w:val="24"/>
          <w:szCs w:val="24"/>
          <w:highlight w:val="none"/>
          <w:lang w:val="en-US" w:eastAsia="zh-CN" w:bidi="ar-SA"/>
        </w:rPr>
      </w:pPr>
      <w:bookmarkStart w:id="303" w:name="_Toc23026"/>
      <w:bookmarkStart w:id="304" w:name="_Toc26564"/>
    </w:p>
    <w:p w14:paraId="7807DB6C">
      <w:pPr>
        <w:numPr>
          <w:ilvl w:val="0"/>
          <w:numId w:val="0"/>
        </w:numPr>
        <w:outlineLvl w:val="1"/>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3.3</w:t>
      </w:r>
      <w:bookmarkEnd w:id="303"/>
      <w:r>
        <w:rPr>
          <w:rFonts w:hint="eastAsia" w:asciiTheme="minorEastAsia" w:hAnsiTheme="minorEastAsia" w:eastAsiaTheme="minorEastAsia" w:cstheme="minorEastAsia"/>
          <w:b/>
          <w:bCs/>
          <w:color w:val="auto"/>
          <w:kern w:val="2"/>
          <w:sz w:val="24"/>
          <w:szCs w:val="24"/>
          <w:highlight w:val="none"/>
          <w:lang w:val="en-US" w:eastAsia="zh-CN" w:bidi="ar-SA"/>
        </w:rPr>
        <w:t>供应商需具备【建筑工程施工总承包叁级】(含)以上资质，有安全生产许可证且在有效期内；项目负责人资质要求：【建筑工程】专业二级（含）以上注册建造师执业资格，具备有效的安全生产考核合格证书，且未担任其他在施建设工程项目的项目负责人、项目经理。</w:t>
      </w:r>
    </w:p>
    <w:p w14:paraId="3931F418">
      <w:pPr>
        <w:pStyle w:val="54"/>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说明：相应资质证书、资格证书提供可扫描二维码的复印件并加盖单位公章。</w:t>
      </w:r>
    </w:p>
    <w:p w14:paraId="21688171">
      <w:pPr>
        <w:numPr>
          <w:ilvl w:val="0"/>
          <w:numId w:val="0"/>
        </w:numPr>
        <w:outlineLvl w:val="1"/>
        <w:rPr>
          <w:rFonts w:hint="eastAsia" w:asciiTheme="minorEastAsia" w:hAnsiTheme="minorEastAsia" w:eastAsiaTheme="minorEastAsia" w:cstheme="minorEastAsia"/>
          <w:b/>
          <w:bCs/>
          <w:color w:val="auto"/>
          <w:kern w:val="2"/>
          <w:sz w:val="24"/>
          <w:szCs w:val="24"/>
          <w:highlight w:val="none"/>
          <w:lang w:val="en-US" w:eastAsia="zh-CN" w:bidi="ar-SA"/>
        </w:rPr>
      </w:pPr>
      <w:bookmarkStart w:id="305" w:name="_Toc20082"/>
      <w:r>
        <w:rPr>
          <w:rFonts w:hint="eastAsia" w:asciiTheme="minorEastAsia" w:hAnsiTheme="minorEastAsia" w:eastAsiaTheme="minorEastAsia" w:cstheme="minorEastAsia"/>
          <w:b/>
          <w:bCs/>
          <w:color w:val="auto"/>
          <w:kern w:val="2"/>
          <w:sz w:val="24"/>
          <w:szCs w:val="24"/>
          <w:highlight w:val="none"/>
          <w:lang w:val="en-US" w:eastAsia="zh-CN" w:bidi="ar-SA"/>
        </w:rPr>
        <w:t>3.4</w:t>
      </w:r>
      <w:bookmarkEnd w:id="305"/>
      <w:r>
        <w:rPr>
          <w:rFonts w:hint="eastAsia" w:asciiTheme="minorEastAsia" w:hAnsiTheme="minorEastAsia" w:eastAsiaTheme="minorEastAsia" w:cstheme="minorEastAsia"/>
          <w:b/>
          <w:bCs/>
          <w:color w:val="auto"/>
          <w:kern w:val="2"/>
          <w:sz w:val="24"/>
          <w:szCs w:val="24"/>
          <w:highlight w:val="none"/>
          <w:lang w:val="en-US" w:eastAsia="zh-CN" w:bidi="ar-SA"/>
        </w:rPr>
        <w:t>税务局开具的依法缴纳近三个月内任意一个月的税收证明的良好记录，依法免税应提供相应文件证明。</w:t>
      </w:r>
    </w:p>
    <w:p w14:paraId="0F5099F7">
      <w:pPr>
        <w:pStyle w:val="16"/>
        <w:tabs>
          <w:tab w:val="left" w:pos="5580"/>
        </w:tabs>
        <w:spacing w:line="240" w:lineRule="atLeast"/>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说明 ：</w:t>
      </w:r>
      <w:r>
        <w:rPr>
          <w:rFonts w:hint="eastAsia" w:ascii="宋体" w:hAnsi="宋体" w:eastAsia="宋体" w:cs="宋体"/>
          <w:b w:val="0"/>
          <w:bCs w:val="0"/>
          <w:kern w:val="0"/>
          <w:sz w:val="24"/>
          <w:szCs w:val="24"/>
          <w:highlight w:val="none"/>
          <w:lang w:val="en-US" w:eastAsia="zh-CN" w:bidi="ar"/>
        </w:rPr>
        <w:t>1.“提供税务部门出具的</w:t>
      </w:r>
      <w:r>
        <w:rPr>
          <w:rFonts w:hint="eastAsia" w:hAnsi="宋体" w:cs="宋体"/>
          <w:b w:val="0"/>
          <w:bCs w:val="0"/>
          <w:kern w:val="0"/>
          <w:sz w:val="24"/>
          <w:szCs w:val="24"/>
          <w:highlight w:val="none"/>
          <w:lang w:val="en-US" w:eastAsia="zh-CN" w:bidi="ar"/>
        </w:rPr>
        <w:t>近三个月</w:t>
      </w:r>
      <w:r>
        <w:rPr>
          <w:rFonts w:hint="eastAsia" w:ascii="宋体" w:hAnsi="宋体" w:eastAsia="宋体" w:cs="宋体"/>
          <w:b w:val="0"/>
          <w:bCs w:val="0"/>
          <w:kern w:val="0"/>
          <w:sz w:val="24"/>
          <w:szCs w:val="24"/>
          <w:highlight w:val="none"/>
          <w:lang w:val="en-US" w:eastAsia="zh-CN" w:bidi="ar"/>
        </w:rPr>
        <w:t>任意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58FC8588">
      <w:pPr>
        <w:pStyle w:val="16"/>
        <w:numPr>
          <w:ilvl w:val="0"/>
          <w:numId w:val="0"/>
        </w:numPr>
        <w:tabs>
          <w:tab w:val="left" w:pos="5580"/>
        </w:tabs>
        <w:spacing w:line="240" w:lineRule="atLeast"/>
        <w:ind w:leftChars="200"/>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复印件上应加盖本单位章。</w:t>
      </w:r>
    </w:p>
    <w:p w14:paraId="4901DA77">
      <w:pPr>
        <w:pStyle w:val="16"/>
        <w:numPr>
          <w:ilvl w:val="0"/>
          <w:numId w:val="0"/>
        </w:numPr>
        <w:tabs>
          <w:tab w:val="left" w:pos="5580"/>
        </w:tabs>
        <w:spacing w:line="240" w:lineRule="atLeast"/>
        <w:rPr>
          <w:rFonts w:hint="eastAsia" w:ascii="宋体" w:hAnsi="宋体" w:eastAsia="宋体" w:cs="宋体"/>
          <w:b/>
          <w:bCs/>
          <w:color w:val="000000"/>
          <w:sz w:val="24"/>
          <w:lang w:val="en-US" w:eastAsia="zh-CN"/>
        </w:rPr>
      </w:pPr>
    </w:p>
    <w:p w14:paraId="3EE4AACC">
      <w:pPr>
        <w:pStyle w:val="16"/>
        <w:numPr>
          <w:ilvl w:val="0"/>
          <w:numId w:val="0"/>
        </w:numPr>
        <w:tabs>
          <w:tab w:val="left" w:pos="5580"/>
        </w:tabs>
        <w:spacing w:line="240" w:lineRule="atLeast"/>
        <w:rPr>
          <w:rFonts w:hint="eastAsia" w:ascii="宋体" w:hAnsi="宋体" w:eastAsia="宋体" w:cs="宋体"/>
          <w:b/>
          <w:bCs/>
          <w:color w:val="000000"/>
          <w:sz w:val="24"/>
          <w:lang w:val="en-US" w:eastAsia="zh-CN"/>
        </w:rPr>
      </w:pPr>
    </w:p>
    <w:p w14:paraId="1604D49D">
      <w:pPr>
        <w:pStyle w:val="16"/>
        <w:tabs>
          <w:tab w:val="left" w:pos="5580"/>
        </w:tabs>
        <w:spacing w:line="240" w:lineRule="atLeas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3.5</w:t>
      </w:r>
      <w:r>
        <w:rPr>
          <w:rFonts w:hint="eastAsia" w:hAnsi="宋体" w:cs="宋体"/>
          <w:b/>
          <w:bCs/>
          <w:sz w:val="24"/>
          <w:szCs w:val="24"/>
          <w:lang w:val="en-US" w:eastAsia="zh-CN"/>
        </w:rPr>
        <w:t>提供本单位近三个月任意一个月的社保缴纳证明</w:t>
      </w:r>
      <w:r>
        <w:rPr>
          <w:rFonts w:hint="eastAsia" w:ascii="宋体" w:hAnsi="宋体" w:eastAsia="宋体" w:cs="宋体"/>
          <w:b/>
          <w:bCs/>
          <w:sz w:val="24"/>
          <w:szCs w:val="24"/>
          <w:lang w:val="en-US" w:eastAsia="zh-CN"/>
        </w:rPr>
        <w:t>；</w:t>
      </w:r>
    </w:p>
    <w:p w14:paraId="49919C13">
      <w:pPr>
        <w:pStyle w:val="16"/>
        <w:tabs>
          <w:tab w:val="left" w:pos="5580"/>
        </w:tabs>
        <w:spacing w:line="240" w:lineRule="atLeast"/>
        <w:ind w:firstLine="240" w:firstLineChars="100"/>
        <w:rPr>
          <w:rFonts w:hint="eastAsia" w:ascii="宋体" w:hAnsi="宋体" w:eastAsia="宋体" w:cs="宋体"/>
          <w:sz w:val="24"/>
          <w:szCs w:val="24"/>
        </w:rPr>
      </w:pPr>
      <w:r>
        <w:rPr>
          <w:rFonts w:hint="eastAsia" w:ascii="宋体" w:hAnsi="宋体" w:eastAsia="宋体" w:cs="宋体"/>
          <w:sz w:val="24"/>
          <w:szCs w:val="24"/>
        </w:rPr>
        <w:t>说明：1.按照</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须知资料表</w:t>
      </w:r>
      <w:r>
        <w:rPr>
          <w:rFonts w:hint="eastAsia" w:ascii="宋体" w:hAnsi="宋体" w:eastAsia="宋体" w:cs="宋体"/>
          <w:sz w:val="24"/>
          <w:szCs w:val="24"/>
        </w:rPr>
        <w:t>中的规定提供复印件。</w:t>
      </w:r>
    </w:p>
    <w:p w14:paraId="2EC6A63A">
      <w:pPr>
        <w:pStyle w:val="16"/>
        <w:tabs>
          <w:tab w:val="left" w:pos="5580"/>
        </w:tabs>
        <w:spacing w:line="240" w:lineRule="atLeast"/>
        <w:ind w:left="1079" w:leftChars="257" w:hanging="540"/>
        <w:rPr>
          <w:rFonts w:hint="eastAsia" w:ascii="宋体" w:hAnsi="宋体" w:eastAsia="宋体" w:cs="宋体"/>
          <w:sz w:val="24"/>
          <w:szCs w:val="24"/>
        </w:rPr>
      </w:pPr>
      <w:r>
        <w:rPr>
          <w:rFonts w:hint="eastAsia" w:ascii="宋体" w:hAnsi="宋体" w:eastAsia="宋体" w:cs="宋体"/>
          <w:sz w:val="24"/>
          <w:szCs w:val="24"/>
        </w:rPr>
        <w:t xml:space="preserve">      2.复印件上应加盖本单位章。</w:t>
      </w:r>
    </w:p>
    <w:p w14:paraId="09E5C7CC">
      <w:pPr>
        <w:pStyle w:val="4"/>
        <w:numPr>
          <w:ilvl w:val="0"/>
          <w:numId w:val="0"/>
        </w:numPr>
        <w:rPr>
          <w:rFonts w:hint="eastAsia" w:ascii="宋体" w:hAnsi="宋体" w:eastAsia="宋体" w:cs="宋体"/>
          <w:sz w:val="24"/>
          <w:highlight w:val="none"/>
          <w:u w:val="none"/>
          <w:lang w:val="en-US" w:eastAsia="zh-CN"/>
        </w:rPr>
      </w:pPr>
      <w:r>
        <w:rPr>
          <w:rFonts w:hint="eastAsia" w:ascii="宋体" w:hAnsi="宋体" w:eastAsia="宋体" w:cs="宋体"/>
          <w:b/>
          <w:bCs/>
          <w:sz w:val="24"/>
          <w:highlight w:val="none"/>
          <w:u w:val="none"/>
          <w:lang w:val="en-US" w:eastAsia="zh-CN"/>
        </w:rPr>
        <w:t>3.6提供针对本次项目《反商业贿赂承诺书》</w:t>
      </w:r>
    </w:p>
    <w:p w14:paraId="466F457B">
      <w:pPr>
        <w:pStyle w:val="16"/>
        <w:tabs>
          <w:tab w:val="left" w:pos="5580"/>
        </w:tabs>
        <w:spacing w:line="240" w:lineRule="atLeast"/>
        <w:ind w:left="1079" w:leftChars="257" w:hanging="540"/>
        <w:rPr>
          <w:rFonts w:hint="eastAsia" w:ascii="宋体" w:hAnsi="宋体" w:eastAsia="宋体" w:cs="宋体"/>
          <w:sz w:val="24"/>
          <w:szCs w:val="24"/>
        </w:rPr>
      </w:pPr>
      <w:r>
        <w:rPr>
          <w:rFonts w:hint="eastAsia" w:ascii="宋体" w:hAnsi="宋体" w:eastAsia="宋体" w:cs="宋体"/>
          <w:b/>
          <w:bCs/>
          <w:lang w:val="en-US" w:eastAsia="zh-CN"/>
        </w:rPr>
        <w:t xml:space="preserve">    </w:t>
      </w:r>
      <w:r>
        <w:rPr>
          <w:rFonts w:hint="eastAsia" w:ascii="宋体" w:hAnsi="宋体" w:eastAsia="宋体" w:cs="宋体"/>
          <w:sz w:val="24"/>
          <w:szCs w:val="24"/>
        </w:rPr>
        <w:t>说明：1.</w:t>
      </w:r>
      <w:r>
        <w:rPr>
          <w:rFonts w:hint="eastAsia" w:ascii="宋体" w:hAnsi="宋体" w:eastAsia="宋体" w:cs="宋体"/>
          <w:color w:val="000000"/>
          <w:sz w:val="24"/>
          <w:lang w:eastAsia="zh-CN"/>
        </w:rPr>
        <w:t>供应商</w:t>
      </w:r>
      <w:r>
        <w:rPr>
          <w:rFonts w:hint="eastAsia" w:ascii="宋体" w:hAnsi="宋体" w:eastAsia="宋体" w:cs="宋体"/>
          <w:sz w:val="24"/>
          <w:szCs w:val="24"/>
        </w:rPr>
        <w:t>应按照相关法规规定如实作出</w:t>
      </w:r>
      <w:r>
        <w:rPr>
          <w:rFonts w:hint="eastAsia" w:ascii="宋体" w:hAnsi="宋体" w:eastAsia="宋体" w:cs="宋体"/>
          <w:sz w:val="24"/>
          <w:szCs w:val="24"/>
          <w:lang w:eastAsia="zh-CN"/>
        </w:rPr>
        <w:t>承诺</w:t>
      </w:r>
      <w:r>
        <w:rPr>
          <w:rFonts w:hint="eastAsia" w:ascii="宋体" w:hAnsi="宋体" w:eastAsia="宋体" w:cs="宋体"/>
          <w:sz w:val="24"/>
          <w:szCs w:val="24"/>
        </w:rPr>
        <w:t>。</w:t>
      </w:r>
    </w:p>
    <w:p w14:paraId="626EA7FC">
      <w:pPr>
        <w:pStyle w:val="16"/>
        <w:numPr>
          <w:ilvl w:val="0"/>
          <w:numId w:val="11"/>
        </w:numPr>
        <w:tabs>
          <w:tab w:val="left" w:pos="5580"/>
        </w:tabs>
        <w:spacing w:line="240" w:lineRule="atLeast"/>
        <w:ind w:left="644" w:leftChars="307" w:firstLine="600" w:firstLineChars="250"/>
        <w:rPr>
          <w:rFonts w:hint="eastAsia" w:ascii="宋体" w:hAnsi="宋体" w:eastAsia="宋体" w:cs="宋体"/>
          <w:sz w:val="24"/>
          <w:szCs w:val="24"/>
        </w:rPr>
      </w:pPr>
      <w:r>
        <w:rPr>
          <w:rFonts w:hint="eastAsia" w:ascii="宋体" w:hAnsi="宋体" w:eastAsia="宋体" w:cs="宋体"/>
          <w:sz w:val="24"/>
          <w:szCs w:val="24"/>
        </w:rPr>
        <w:t>按照</w:t>
      </w:r>
      <w:r>
        <w:rPr>
          <w:rFonts w:hint="eastAsia" w:ascii="宋体" w:hAnsi="宋体" w:eastAsia="宋体" w:cs="宋体"/>
          <w:sz w:val="24"/>
          <w:szCs w:val="24"/>
          <w:lang w:eastAsia="zh-CN"/>
        </w:rPr>
        <w:t>磋商</w:t>
      </w:r>
      <w:r>
        <w:rPr>
          <w:rFonts w:hint="eastAsia" w:ascii="宋体" w:hAnsi="宋体" w:eastAsia="宋体" w:cs="宋体"/>
          <w:sz w:val="24"/>
          <w:szCs w:val="24"/>
        </w:rPr>
        <w:t>文件的规定加盖单位章（自然人无需盖章，需要签字）。</w:t>
      </w:r>
    </w:p>
    <w:p w14:paraId="56A87698">
      <w:pPr>
        <w:numPr>
          <w:ilvl w:val="0"/>
          <w:numId w:val="0"/>
        </w:numPr>
        <w:spacing w:line="360" w:lineRule="auto"/>
        <w:rPr>
          <w:rFonts w:hint="eastAsia" w:ascii="宋体" w:hAnsi="宋体" w:eastAsia="宋体" w:cs="宋体"/>
          <w:b/>
          <w:bCs w:val="0"/>
          <w:i w:val="0"/>
          <w:iCs w:val="0"/>
          <w:color w:val="auto"/>
          <w:kern w:val="2"/>
          <w:sz w:val="24"/>
          <w:szCs w:val="24"/>
          <w:highlight w:val="none"/>
          <w:lang w:val="en-US" w:eastAsia="zh-CN" w:bidi="ar-SA"/>
        </w:rPr>
      </w:pPr>
    </w:p>
    <w:p w14:paraId="2DDC5CE6">
      <w:pPr>
        <w:numPr>
          <w:ilvl w:val="0"/>
          <w:numId w:val="0"/>
        </w:numPr>
        <w:outlineLvl w:val="1"/>
        <w:rPr>
          <w:rFonts w:hint="eastAsia" w:asciiTheme="minorEastAsia" w:hAnsiTheme="minorEastAsia" w:eastAsiaTheme="minorEastAsia" w:cstheme="minorEastAsia"/>
          <w:b/>
          <w:bCs/>
          <w:color w:val="auto"/>
          <w:kern w:val="2"/>
          <w:sz w:val="24"/>
          <w:szCs w:val="24"/>
          <w:highlight w:val="none"/>
          <w:lang w:val="en-US" w:eastAsia="zh-CN" w:bidi="ar-SA"/>
        </w:rPr>
      </w:pPr>
      <w:bookmarkStart w:id="306" w:name="_Toc32056"/>
      <w:r>
        <w:rPr>
          <w:rFonts w:hint="eastAsia" w:asciiTheme="minorEastAsia" w:hAnsiTheme="minorEastAsia" w:eastAsiaTheme="minorEastAsia" w:cstheme="minorEastAsia"/>
          <w:b/>
          <w:bCs/>
          <w:color w:val="auto"/>
          <w:kern w:val="2"/>
          <w:sz w:val="24"/>
          <w:szCs w:val="24"/>
          <w:highlight w:val="none"/>
          <w:lang w:val="en-US" w:eastAsia="zh-CN" w:bidi="ar-SA"/>
        </w:rPr>
        <w:t>3.7参加政府采购活动前3年内在经营活动中没有重大违法记录的书面声明。</w:t>
      </w:r>
      <w:bookmarkEnd w:id="306"/>
    </w:p>
    <w:p w14:paraId="47BCA423">
      <w:pPr>
        <w:pStyle w:val="16"/>
        <w:tabs>
          <w:tab w:val="left" w:pos="5580"/>
        </w:tabs>
        <w:spacing w:line="240" w:lineRule="atLeast"/>
        <w:ind w:left="1079" w:leftChars="257" w:hanging="540"/>
        <w:rPr>
          <w:rFonts w:hint="eastAsia" w:ascii="宋体" w:hAnsi="宋体" w:eastAsia="宋体" w:cs="宋体"/>
          <w:sz w:val="24"/>
          <w:szCs w:val="24"/>
        </w:rPr>
      </w:pPr>
      <w:r>
        <w:rPr>
          <w:rFonts w:hint="eastAsia" w:ascii="宋体" w:hAnsi="宋体" w:eastAsia="宋体" w:cs="宋体"/>
          <w:sz w:val="24"/>
          <w:szCs w:val="24"/>
        </w:rPr>
        <w:t>说明：1.</w:t>
      </w:r>
      <w:r>
        <w:rPr>
          <w:rFonts w:hint="eastAsia" w:ascii="宋体" w:hAnsi="宋体" w:eastAsia="宋体" w:cs="宋体"/>
          <w:color w:val="000000"/>
          <w:sz w:val="24"/>
          <w:lang w:eastAsia="zh-CN"/>
        </w:rPr>
        <w:t>供应商</w:t>
      </w:r>
      <w:r>
        <w:rPr>
          <w:rFonts w:hint="eastAsia" w:ascii="宋体" w:hAnsi="宋体" w:eastAsia="宋体" w:cs="宋体"/>
          <w:sz w:val="24"/>
          <w:szCs w:val="24"/>
        </w:rPr>
        <w:t>应按照相关法规规定如实作出说明。</w:t>
      </w:r>
    </w:p>
    <w:p w14:paraId="777EA044">
      <w:pPr>
        <w:pStyle w:val="16"/>
        <w:tabs>
          <w:tab w:val="left" w:pos="5580"/>
        </w:tabs>
        <w:spacing w:line="240" w:lineRule="atLeast"/>
        <w:ind w:left="644" w:leftChars="307" w:firstLine="600" w:firstLineChars="250"/>
        <w:rPr>
          <w:rFonts w:hint="eastAsia" w:ascii="宋体" w:hAnsi="宋体" w:eastAsia="宋体" w:cs="宋体"/>
          <w:sz w:val="24"/>
          <w:szCs w:val="24"/>
        </w:rPr>
      </w:pPr>
      <w:r>
        <w:rPr>
          <w:rFonts w:hint="eastAsia" w:ascii="宋体" w:hAnsi="宋体" w:eastAsia="宋体" w:cs="宋体"/>
          <w:sz w:val="24"/>
          <w:szCs w:val="24"/>
        </w:rPr>
        <w:t>2．按照</w:t>
      </w:r>
      <w:r>
        <w:rPr>
          <w:rFonts w:hint="eastAsia" w:ascii="宋体" w:hAnsi="宋体" w:eastAsia="宋体" w:cs="宋体"/>
          <w:sz w:val="24"/>
          <w:szCs w:val="24"/>
          <w:lang w:eastAsia="zh-CN"/>
        </w:rPr>
        <w:t>磋商</w:t>
      </w:r>
      <w:r>
        <w:rPr>
          <w:rFonts w:hint="eastAsia" w:ascii="宋体" w:hAnsi="宋体" w:eastAsia="宋体" w:cs="宋体"/>
          <w:sz w:val="24"/>
          <w:szCs w:val="24"/>
        </w:rPr>
        <w:t>文件的规定加盖单位章（自然人无需盖章，需要签字）。</w:t>
      </w:r>
    </w:p>
    <w:p w14:paraId="2802227E">
      <w:pPr>
        <w:numPr>
          <w:ilvl w:val="0"/>
          <w:numId w:val="0"/>
        </w:numPr>
        <w:outlineLvl w:val="1"/>
        <w:rPr>
          <w:rFonts w:hint="eastAsia" w:asciiTheme="minorEastAsia" w:hAnsiTheme="minorEastAsia" w:eastAsiaTheme="minorEastAsia" w:cstheme="minorEastAsia"/>
          <w:color w:val="auto"/>
          <w:kern w:val="2"/>
          <w:sz w:val="24"/>
          <w:szCs w:val="24"/>
          <w:highlight w:val="none"/>
          <w:lang w:val="en-US" w:eastAsia="zh-CN" w:bidi="ar-SA"/>
        </w:rPr>
      </w:pPr>
    </w:p>
    <w:p w14:paraId="679ACEBB">
      <w:pPr>
        <w:numPr>
          <w:ilvl w:val="0"/>
          <w:numId w:val="0"/>
        </w:numPr>
        <w:outlineLvl w:val="1"/>
        <w:rPr>
          <w:rFonts w:hint="eastAsia" w:asciiTheme="minorEastAsia" w:hAnsiTheme="minorEastAsia" w:eastAsiaTheme="minorEastAsia" w:cstheme="minorEastAsia"/>
          <w:b/>
          <w:bCs/>
          <w:color w:val="auto"/>
          <w:kern w:val="2"/>
          <w:sz w:val="24"/>
          <w:szCs w:val="24"/>
          <w:highlight w:val="none"/>
          <w:lang w:val="en-US" w:eastAsia="zh-CN" w:bidi="ar-SA"/>
        </w:rPr>
      </w:pPr>
      <w:bookmarkStart w:id="307" w:name="_Toc15561"/>
      <w:r>
        <w:rPr>
          <w:rFonts w:hint="eastAsia" w:asciiTheme="minorEastAsia" w:hAnsiTheme="minorEastAsia" w:eastAsiaTheme="minorEastAsia" w:cstheme="minorEastAsia"/>
          <w:b/>
          <w:bCs/>
          <w:color w:val="auto"/>
          <w:kern w:val="2"/>
          <w:sz w:val="24"/>
          <w:szCs w:val="24"/>
          <w:highlight w:val="none"/>
          <w:lang w:val="en-US" w:eastAsia="zh-CN" w:bidi="ar-SA"/>
        </w:rPr>
        <w:t>3.8提供2024年度的财务审计报告（注册成立未满一年新公司提供银行资信证明）。</w:t>
      </w:r>
      <w:bookmarkEnd w:id="307"/>
    </w:p>
    <w:p w14:paraId="1C15E6AA">
      <w:pPr>
        <w:pStyle w:val="8"/>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rPr>
        <w:t>说明：</w:t>
      </w:r>
    </w:p>
    <w:p w14:paraId="4AA42FC3">
      <w:pPr>
        <w:pStyle w:val="8"/>
        <w:rPr>
          <w:rFonts w:hint="eastAsia" w:ascii="宋体" w:hAnsi="宋体" w:eastAsia="宋体" w:cs="宋体"/>
          <w:color w:val="000000"/>
          <w:kern w:val="2"/>
          <w:szCs w:val="24"/>
          <w:highlight w:val="none"/>
        </w:rPr>
      </w:pPr>
      <w:r>
        <w:rPr>
          <w:rFonts w:hint="eastAsia" w:ascii="宋体" w:hAnsi="宋体" w:eastAsia="宋体" w:cs="宋体"/>
          <w:color w:val="000000"/>
          <w:kern w:val="2"/>
          <w:szCs w:val="24"/>
          <w:highlight w:val="none"/>
          <w:lang w:val="en-US" w:eastAsia="zh-CN"/>
        </w:rPr>
        <w:t>1.</w:t>
      </w:r>
      <w:r>
        <w:rPr>
          <w:rFonts w:hint="eastAsia" w:ascii="宋体" w:hAnsi="宋体" w:eastAsia="宋体" w:cs="宋体"/>
          <w:color w:val="000000"/>
          <w:kern w:val="2"/>
          <w:szCs w:val="24"/>
          <w:highlight w:val="none"/>
        </w:rPr>
        <w:t>如提供本单位会计师事务所出具的财务审计报告书影印件须加盖公司财务章。</w:t>
      </w:r>
    </w:p>
    <w:p w14:paraId="6D46899B">
      <w:pPr>
        <w:pStyle w:val="8"/>
        <w:rPr>
          <w:rFonts w:hint="eastAsia" w:ascii="宋体" w:hAnsi="宋体" w:eastAsia="宋体" w:cs="宋体"/>
          <w:color w:val="000000"/>
          <w:kern w:val="2"/>
          <w:szCs w:val="24"/>
        </w:rPr>
      </w:pPr>
      <w:r>
        <w:rPr>
          <w:rFonts w:hint="eastAsia" w:ascii="宋体" w:hAnsi="宋体" w:eastAsia="宋体" w:cs="宋体"/>
          <w:color w:val="000000"/>
          <w:kern w:val="2"/>
          <w:szCs w:val="24"/>
          <w:lang w:val="en-US" w:eastAsia="zh-CN"/>
        </w:rPr>
        <w:t>2.</w:t>
      </w:r>
      <w:r>
        <w:rPr>
          <w:rFonts w:hint="eastAsia" w:ascii="宋体" w:hAnsi="宋体" w:eastAsia="宋体" w:cs="宋体"/>
          <w:color w:val="000000"/>
          <w:kern w:val="2"/>
          <w:szCs w:val="24"/>
        </w:rPr>
        <w:t>如提供银行出具的证明文件。银行证明文件可提供原件，也可提供银行在开标日前三个月内开具证明文件的复印件。若提供的是复印件，采购单位保留审核原件的权利。银行出具的证明文件应能说明该</w:t>
      </w:r>
      <w:r>
        <w:rPr>
          <w:rFonts w:hint="eastAsia" w:ascii="宋体" w:hAnsi="宋体" w:eastAsia="宋体" w:cs="宋体"/>
          <w:color w:val="000000"/>
          <w:kern w:val="2"/>
          <w:szCs w:val="24"/>
          <w:lang w:eastAsia="zh-CN"/>
        </w:rPr>
        <w:t>供应商</w:t>
      </w:r>
      <w:r>
        <w:rPr>
          <w:rFonts w:hint="eastAsia" w:ascii="宋体" w:hAnsi="宋体" w:eastAsia="宋体" w:cs="宋体"/>
          <w:color w:val="000000"/>
          <w:kern w:val="2"/>
          <w:szCs w:val="24"/>
        </w:rPr>
        <w:t>与银行之间业务往来正常，企业信誉良好等。</w:t>
      </w:r>
    </w:p>
    <w:p w14:paraId="74F6497D">
      <w:pPr>
        <w:numPr>
          <w:ilvl w:val="0"/>
          <w:numId w:val="0"/>
        </w:numPr>
        <w:outlineLvl w:val="1"/>
        <w:rPr>
          <w:rFonts w:hint="eastAsia" w:asciiTheme="minorEastAsia" w:hAnsiTheme="minorEastAsia" w:eastAsiaTheme="minorEastAsia" w:cstheme="minorEastAsia"/>
          <w:b/>
          <w:bCs/>
          <w:color w:val="auto"/>
          <w:kern w:val="2"/>
          <w:sz w:val="24"/>
          <w:szCs w:val="24"/>
          <w:highlight w:val="none"/>
          <w:lang w:val="en-US" w:eastAsia="zh-CN" w:bidi="ar-SA"/>
        </w:rPr>
      </w:pPr>
    </w:p>
    <w:p w14:paraId="37DA4334">
      <w:pPr>
        <w:numPr>
          <w:ilvl w:val="0"/>
          <w:numId w:val="0"/>
        </w:numPr>
        <w:outlineLvl w:val="1"/>
        <w:rPr>
          <w:rFonts w:hint="eastAsia" w:asciiTheme="minorEastAsia" w:hAnsiTheme="minorEastAsia" w:eastAsiaTheme="minorEastAsia" w:cstheme="minorEastAsia"/>
          <w:b/>
          <w:bCs/>
          <w:color w:val="auto"/>
          <w:kern w:val="2"/>
          <w:sz w:val="24"/>
          <w:szCs w:val="24"/>
          <w:highlight w:val="none"/>
          <w:lang w:val="en-US" w:eastAsia="zh-CN" w:bidi="ar-SA"/>
        </w:rPr>
      </w:pPr>
      <w:bookmarkStart w:id="308" w:name="_Toc2140"/>
      <w:r>
        <w:rPr>
          <w:rFonts w:hint="eastAsia" w:asciiTheme="minorEastAsia" w:hAnsiTheme="minorEastAsia" w:eastAsiaTheme="minorEastAsia" w:cstheme="minorEastAsia"/>
          <w:b/>
          <w:bCs/>
          <w:color w:val="auto"/>
          <w:kern w:val="2"/>
          <w:sz w:val="24"/>
          <w:szCs w:val="24"/>
          <w:highlight w:val="none"/>
          <w:lang w:val="en-US" w:eastAsia="zh-CN" w:bidi="ar-SA"/>
        </w:rPr>
        <w:t>3.9供应商须提供在①“信用中国网（www.creditchina.gov.cn）”被列入失信被执行人、企业经营异常名录、重大税收违法案件当事人名单、政府采购严重违法失信名单（尚在处罚期内的）；②“中国政府采购网（www.ccgp.gov.cn）”被列入政府采购严重违法失信行为记录名单的（尚在处罚期内的）；③“国家企业信用信息公示系统（http://www.gsxt.gov.cn）”列入经营异常名录信息、列入严重违法失信企业名单（黑名单）信息及企业信用信息公示报告；（提供查询结果网页截图并加盖供应商公章）。</w:t>
      </w:r>
      <w:bookmarkEnd w:id="308"/>
    </w:p>
    <w:p w14:paraId="0C10F127">
      <w:pPr>
        <w:pStyle w:val="16"/>
        <w:tabs>
          <w:tab w:val="left" w:pos="5580"/>
        </w:tabs>
        <w:spacing w:line="240" w:lineRule="atLeast"/>
        <w:ind w:firstLine="480" w:firstLineChars="200"/>
        <w:rPr>
          <w:rFonts w:hint="eastAsia" w:ascii="宋体" w:hAnsi="宋体" w:eastAsia="宋体" w:cs="宋体"/>
          <w:color w:val="000000"/>
          <w:sz w:val="24"/>
        </w:rPr>
      </w:pPr>
      <w:r>
        <w:rPr>
          <w:rFonts w:hint="eastAsia" w:ascii="宋体" w:hAnsi="宋体" w:eastAsia="宋体" w:cs="宋体"/>
          <w:color w:val="000000"/>
          <w:sz w:val="24"/>
        </w:rPr>
        <w:t>说明：</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供应商</w:t>
      </w:r>
      <w:r>
        <w:rPr>
          <w:rFonts w:hint="eastAsia" w:ascii="宋体" w:hAnsi="宋体" w:eastAsia="宋体" w:cs="宋体"/>
          <w:color w:val="000000"/>
          <w:sz w:val="24"/>
        </w:rPr>
        <w:t>应按照相关法规规定如实作出说明。</w:t>
      </w:r>
    </w:p>
    <w:p w14:paraId="43C77310">
      <w:pPr>
        <w:pStyle w:val="16"/>
        <w:numPr>
          <w:ilvl w:val="0"/>
          <w:numId w:val="0"/>
        </w:numPr>
        <w:tabs>
          <w:tab w:val="left" w:pos="5580"/>
        </w:tabs>
        <w:spacing w:line="240" w:lineRule="atLeast"/>
        <w:ind w:left="1260" w:leftChars="0"/>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按照</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文件的规定加盖单位章（自然人无需盖章，需要签字）。</w:t>
      </w:r>
    </w:p>
    <w:p w14:paraId="33E38DF5">
      <w:pPr>
        <w:numPr>
          <w:ilvl w:val="0"/>
          <w:numId w:val="0"/>
        </w:numPr>
        <w:outlineLvl w:val="1"/>
        <w:rPr>
          <w:rFonts w:hint="eastAsia" w:asciiTheme="minorEastAsia" w:hAnsiTheme="minorEastAsia" w:eastAsiaTheme="minorEastAsia" w:cstheme="minorEastAsia"/>
          <w:color w:val="auto"/>
          <w:kern w:val="2"/>
          <w:sz w:val="24"/>
          <w:szCs w:val="24"/>
          <w:highlight w:val="none"/>
          <w:lang w:val="en-US" w:eastAsia="zh-CN" w:bidi="ar-SA"/>
        </w:rPr>
      </w:pPr>
    </w:p>
    <w:p w14:paraId="3020E016">
      <w:pPr>
        <w:numPr>
          <w:ilvl w:val="0"/>
          <w:numId w:val="0"/>
        </w:numPr>
        <w:outlineLvl w:val="1"/>
        <w:rPr>
          <w:rFonts w:hint="eastAsia" w:asciiTheme="minorEastAsia" w:hAnsiTheme="minorEastAsia" w:eastAsiaTheme="minorEastAsia" w:cstheme="minorEastAsia"/>
          <w:b/>
          <w:bCs/>
          <w:color w:val="auto"/>
          <w:kern w:val="2"/>
          <w:sz w:val="24"/>
          <w:szCs w:val="24"/>
          <w:highlight w:val="none"/>
          <w:lang w:val="en-US" w:eastAsia="zh-CN" w:bidi="ar-SA"/>
        </w:rPr>
      </w:pPr>
      <w:bookmarkStart w:id="309" w:name="_Toc31995"/>
      <w:r>
        <w:rPr>
          <w:rFonts w:hint="eastAsia" w:asciiTheme="minorEastAsia" w:hAnsiTheme="minorEastAsia" w:eastAsiaTheme="minorEastAsia" w:cstheme="minorEastAsia"/>
          <w:b/>
          <w:bCs/>
          <w:color w:val="auto"/>
          <w:kern w:val="2"/>
          <w:sz w:val="24"/>
          <w:szCs w:val="24"/>
          <w:highlight w:val="none"/>
          <w:lang w:val="en-US" w:eastAsia="zh-CN" w:bidi="ar-SA"/>
        </w:rPr>
        <w:t>3.10</w:t>
      </w:r>
      <w:bookmarkEnd w:id="309"/>
      <w:r>
        <w:rPr>
          <w:rFonts w:hint="eastAsia" w:asciiTheme="minorEastAsia" w:hAnsiTheme="minorEastAsia" w:eastAsiaTheme="minorEastAsia" w:cstheme="minorEastAsia"/>
          <w:b/>
          <w:bCs/>
          <w:color w:val="auto"/>
          <w:kern w:val="2"/>
          <w:sz w:val="24"/>
          <w:szCs w:val="24"/>
          <w:highlight w:val="none"/>
          <w:lang w:val="en-US" w:eastAsia="zh-CN" w:bidi="ar-SA"/>
        </w:rPr>
        <w:t>项目负责人及项目班子成员在新疆建设云平台可承揽业务；登录新疆工程建设云（http//jsy.xjjs.gov.cn/dataservice/index）可查询注册企业基本信息和人员信息（提供上述网页个人页面截图打印并加盖公章），且在人员、设备、资金等方面具有承担本工程的能力。</w:t>
      </w:r>
    </w:p>
    <w:p w14:paraId="4F03C25F">
      <w:pPr>
        <w:pStyle w:val="54"/>
        <w:rPr>
          <w:rFonts w:hint="eastAsia" w:ascii="宋体" w:hAnsi="宋体" w:eastAsia="宋体" w:cs="宋体"/>
          <w:b w:val="0"/>
          <w:bCs w:val="0"/>
          <w:kern w:val="0"/>
          <w:sz w:val="24"/>
          <w:szCs w:val="24"/>
          <w:highlight w:val="none"/>
          <w:lang w:val="en-US" w:eastAsia="zh-CN" w:bidi="ar"/>
        </w:rPr>
      </w:pPr>
      <w:r>
        <w:rPr>
          <w:rFonts w:hint="eastAsia" w:ascii="宋体" w:hAnsi="宋体" w:eastAsia="宋体" w:cs="宋体"/>
          <w:b w:val="0"/>
          <w:bCs w:val="0"/>
          <w:kern w:val="0"/>
          <w:sz w:val="24"/>
          <w:szCs w:val="24"/>
          <w:highlight w:val="none"/>
          <w:lang w:val="en-US" w:eastAsia="zh-CN" w:bidi="ar"/>
        </w:rPr>
        <w:t>说明：</w:t>
      </w:r>
      <w:r>
        <w:rPr>
          <w:rFonts w:hint="eastAsia" w:eastAsia="宋体" w:cs="宋体"/>
          <w:b w:val="0"/>
          <w:bCs w:val="0"/>
          <w:kern w:val="0"/>
          <w:sz w:val="24"/>
          <w:szCs w:val="24"/>
          <w:highlight w:val="none"/>
          <w:lang w:val="en-US" w:eastAsia="zh-CN" w:bidi="ar"/>
        </w:rPr>
        <w:t>1.</w:t>
      </w:r>
      <w:r>
        <w:rPr>
          <w:rFonts w:hint="eastAsia" w:ascii="宋体" w:hAnsi="宋体" w:eastAsia="宋体" w:cs="宋体"/>
          <w:b w:val="0"/>
          <w:bCs w:val="0"/>
          <w:kern w:val="0"/>
          <w:sz w:val="24"/>
          <w:szCs w:val="24"/>
          <w:highlight w:val="none"/>
          <w:lang w:val="en-US" w:eastAsia="zh-CN" w:bidi="ar"/>
        </w:rPr>
        <w:t>相应资质证书、资格证书提供可扫描二维码的复印件并加盖单位公章。</w:t>
      </w:r>
    </w:p>
    <w:p w14:paraId="648FB2A8">
      <w:pPr>
        <w:pStyle w:val="54"/>
        <w:rPr>
          <w:rFonts w:hint="default" w:ascii="宋体" w:hAnsi="宋体" w:eastAsia="宋体" w:cs="宋体"/>
          <w:b w:val="0"/>
          <w:bCs w:val="0"/>
          <w:kern w:val="0"/>
          <w:sz w:val="24"/>
          <w:szCs w:val="24"/>
          <w:highlight w:val="none"/>
          <w:lang w:val="en-US" w:eastAsia="zh-CN" w:bidi="ar"/>
        </w:rPr>
      </w:pPr>
      <w:r>
        <w:rPr>
          <w:rFonts w:hint="eastAsia" w:eastAsia="宋体" w:cs="宋体"/>
          <w:b w:val="0"/>
          <w:bCs w:val="0"/>
          <w:kern w:val="0"/>
          <w:sz w:val="24"/>
          <w:szCs w:val="24"/>
          <w:highlight w:val="none"/>
          <w:lang w:val="en-US" w:eastAsia="zh-CN" w:bidi="ar"/>
        </w:rPr>
        <w:t xml:space="preserve">     2.相应网页截图加盖公章。</w:t>
      </w:r>
    </w:p>
    <w:p w14:paraId="797ED422">
      <w:pPr>
        <w:pStyle w:val="53"/>
        <w:rPr>
          <w:rFonts w:hint="eastAsia"/>
          <w:lang w:val="en-US" w:eastAsia="zh-CN"/>
        </w:rPr>
      </w:pPr>
    </w:p>
    <w:p w14:paraId="2C9A339B">
      <w:pPr>
        <w:pStyle w:val="36"/>
        <w:ind w:left="0" w:leftChars="0" w:firstLine="0" w:firstLineChars="0"/>
        <w:rPr>
          <w:rFonts w:hint="eastAsia"/>
          <w:lang w:val="en-US" w:eastAsia="zh-CN"/>
        </w:rPr>
      </w:pPr>
      <w:r>
        <w:rPr>
          <w:rFonts w:hint="eastAsia" w:asciiTheme="minorEastAsia" w:hAnsiTheme="minorEastAsia" w:eastAsiaTheme="minorEastAsia" w:cstheme="minorEastAsia"/>
          <w:b/>
          <w:bCs/>
          <w:sz w:val="24"/>
          <w:lang w:val="en-US" w:eastAsia="zh-CN"/>
        </w:rPr>
        <w:t>3.11 缴纳磋商保证金有效凭证（打款凭证）；</w:t>
      </w:r>
    </w:p>
    <w:p w14:paraId="2AF6E741">
      <w:pPr>
        <w:pStyle w:val="53"/>
        <w:rPr>
          <w:rFonts w:hint="eastAsia"/>
        </w:rPr>
      </w:pPr>
    </w:p>
    <w:p w14:paraId="1FAF8541">
      <w:pPr>
        <w:pStyle w:val="54"/>
        <w:rPr>
          <w:rFonts w:hint="eastAsia" w:ascii="宋体" w:hAnsi="宋体" w:eastAsia="宋体" w:cs="宋体"/>
          <w:color w:val="auto"/>
          <w:sz w:val="24"/>
          <w:lang w:val="en-US" w:eastAsia="zh-CN"/>
        </w:rPr>
      </w:pPr>
    </w:p>
    <w:p w14:paraId="2A2AE5EA">
      <w:pPr>
        <w:pStyle w:val="54"/>
        <w:rPr>
          <w:rFonts w:hint="eastAsia" w:ascii="宋体" w:hAnsi="宋体" w:eastAsia="宋体" w:cs="宋体"/>
          <w:color w:val="auto"/>
          <w:sz w:val="24"/>
          <w:lang w:val="en-US" w:eastAsia="zh-CN"/>
        </w:rPr>
      </w:pPr>
    </w:p>
    <w:p w14:paraId="3ED0C662">
      <w:pPr>
        <w:pStyle w:val="54"/>
        <w:rPr>
          <w:rFonts w:hint="eastAsia" w:ascii="宋体" w:hAnsi="宋体" w:eastAsia="宋体" w:cs="宋体"/>
          <w:color w:val="auto"/>
          <w:sz w:val="24"/>
          <w:lang w:val="en-US" w:eastAsia="zh-CN"/>
        </w:rPr>
      </w:pPr>
    </w:p>
    <w:p w14:paraId="4FD32099">
      <w:pPr>
        <w:pStyle w:val="54"/>
        <w:rPr>
          <w:rFonts w:hint="eastAsia" w:ascii="宋体" w:hAnsi="宋体" w:eastAsia="宋体" w:cs="宋体"/>
          <w:color w:val="auto"/>
          <w:sz w:val="24"/>
          <w:lang w:val="en-US" w:eastAsia="zh-CN"/>
        </w:rPr>
      </w:pPr>
    </w:p>
    <w:p w14:paraId="547CB5F8">
      <w:pPr>
        <w:pStyle w:val="54"/>
        <w:rPr>
          <w:rFonts w:hint="eastAsia" w:ascii="宋体" w:hAnsi="宋体" w:eastAsia="宋体" w:cs="宋体"/>
          <w:color w:val="auto"/>
          <w:sz w:val="24"/>
          <w:lang w:val="en-US" w:eastAsia="zh-CN"/>
        </w:rPr>
      </w:pPr>
    </w:p>
    <w:p w14:paraId="6CFDEF5E">
      <w:pPr>
        <w:pStyle w:val="54"/>
        <w:rPr>
          <w:rFonts w:hint="eastAsia" w:ascii="宋体" w:hAnsi="宋体" w:eastAsia="宋体" w:cs="宋体"/>
          <w:color w:val="auto"/>
          <w:sz w:val="24"/>
          <w:lang w:val="en-US" w:eastAsia="zh-CN"/>
        </w:rPr>
      </w:pPr>
    </w:p>
    <w:p w14:paraId="7B6FC3B1">
      <w:pPr>
        <w:pStyle w:val="54"/>
        <w:rPr>
          <w:rFonts w:hint="eastAsia" w:ascii="宋体" w:hAnsi="宋体" w:eastAsia="宋体" w:cs="宋体"/>
          <w:color w:val="auto"/>
          <w:sz w:val="24"/>
          <w:lang w:val="en-US" w:eastAsia="zh-CN"/>
        </w:rPr>
      </w:pPr>
    </w:p>
    <w:p w14:paraId="4DA99A29">
      <w:pPr>
        <w:pStyle w:val="54"/>
        <w:rPr>
          <w:rFonts w:hint="eastAsia" w:ascii="宋体" w:hAnsi="宋体" w:eastAsia="宋体" w:cs="宋体"/>
          <w:color w:val="auto"/>
          <w:sz w:val="24"/>
          <w:lang w:val="en-US" w:eastAsia="zh-CN"/>
        </w:rPr>
      </w:pPr>
    </w:p>
    <w:p w14:paraId="40C8E1CD">
      <w:pPr>
        <w:pStyle w:val="54"/>
        <w:rPr>
          <w:rFonts w:hint="eastAsia" w:ascii="宋体" w:hAnsi="宋体" w:eastAsia="宋体" w:cs="宋体"/>
          <w:color w:val="auto"/>
          <w:sz w:val="24"/>
          <w:lang w:val="en-US" w:eastAsia="zh-CN"/>
        </w:rPr>
      </w:pPr>
    </w:p>
    <w:p w14:paraId="72FFD7EC">
      <w:pPr>
        <w:pStyle w:val="54"/>
        <w:rPr>
          <w:rFonts w:hint="eastAsia" w:ascii="宋体" w:hAnsi="宋体" w:eastAsia="宋体" w:cs="宋体"/>
          <w:color w:val="auto"/>
          <w:sz w:val="24"/>
          <w:lang w:val="en-US" w:eastAsia="zh-CN"/>
        </w:rPr>
      </w:pPr>
    </w:p>
    <w:p w14:paraId="06D7A6DC">
      <w:pPr>
        <w:pStyle w:val="125"/>
        <w:numPr>
          <w:ilvl w:val="0"/>
          <w:numId w:val="0"/>
        </w:numPr>
        <w:jc w:val="center"/>
        <w:rPr>
          <w:rFonts w:hint="eastAsia" w:asciiTheme="minorEastAsia" w:hAnsiTheme="minorEastAsia" w:eastAsiaTheme="minorEastAsia" w:cstheme="minorEastAsia"/>
          <w:b/>
          <w:color w:val="auto"/>
          <w:sz w:val="24"/>
          <w:szCs w:val="24"/>
          <w:highlight w:val="none"/>
        </w:rPr>
      </w:pPr>
      <w:bookmarkStart w:id="310" w:name="_Toc30342"/>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项目管理机构</w:t>
      </w:r>
      <w:bookmarkEnd w:id="304"/>
      <w:bookmarkEnd w:id="310"/>
    </w:p>
    <w:p w14:paraId="3E15B28A">
      <w:pPr>
        <w:pStyle w:val="125"/>
        <w:numPr>
          <w:ilvl w:val="0"/>
          <w:numId w:val="0"/>
        </w:numPr>
        <w:jc w:val="both"/>
        <w:outlineLvl w:val="9"/>
        <w:rPr>
          <w:rFonts w:hint="eastAsia" w:asciiTheme="minorEastAsia" w:hAnsiTheme="minorEastAsia" w:eastAsiaTheme="minorEastAsia" w:cstheme="minorEastAsia"/>
          <w:b/>
          <w:color w:val="auto"/>
          <w:sz w:val="24"/>
          <w:szCs w:val="24"/>
          <w:highlight w:val="none"/>
        </w:rPr>
      </w:pPr>
    </w:p>
    <w:p w14:paraId="76ED290C">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（现场技术力量配备）</w:t>
      </w:r>
    </w:p>
    <w:p w14:paraId="5C3322D5">
      <w:pPr>
        <w:pStyle w:val="126"/>
        <w:numPr>
          <w:ilvl w:val="0"/>
          <w:numId w:val="0"/>
        </w:numPr>
        <w:ind w:leftChars="0"/>
        <w:rPr>
          <w:rFonts w:hint="eastAsia" w:asciiTheme="minorEastAsia" w:hAnsiTheme="minorEastAsia" w:eastAsiaTheme="minorEastAsia" w:cstheme="minorEastAsia"/>
          <w:b w:val="0"/>
          <w:bCs w:val="0"/>
          <w:color w:val="auto"/>
          <w:sz w:val="24"/>
          <w:szCs w:val="24"/>
          <w:highlight w:val="none"/>
          <w:u w:val="none"/>
        </w:rPr>
      </w:pPr>
      <w:r>
        <w:rPr>
          <w:rFonts w:hint="eastAsia" w:asciiTheme="minorEastAsia" w:hAnsiTheme="minorEastAsia" w:eastAsiaTheme="minorEastAsia" w:cstheme="minorEastAsia"/>
          <w:b w:val="0"/>
          <w:bCs w:val="0"/>
          <w:color w:val="auto"/>
          <w:sz w:val="24"/>
          <w:szCs w:val="24"/>
          <w:highlight w:val="none"/>
          <w:u w:val="none"/>
          <w:lang w:val="en-US" w:eastAsia="zh-CN"/>
        </w:rPr>
        <w:t>4.1</w:t>
      </w:r>
      <w:r>
        <w:rPr>
          <w:rFonts w:hint="eastAsia" w:asciiTheme="minorEastAsia" w:hAnsiTheme="minorEastAsia" w:eastAsiaTheme="minorEastAsia" w:cstheme="minorEastAsia"/>
          <w:b w:val="0"/>
          <w:bCs w:val="0"/>
          <w:color w:val="auto"/>
          <w:sz w:val="24"/>
          <w:szCs w:val="24"/>
          <w:highlight w:val="none"/>
          <w:u w:val="none"/>
        </w:rPr>
        <w:t>项目管理机构</w:t>
      </w:r>
      <w:r>
        <w:rPr>
          <w:rFonts w:hint="eastAsia" w:asciiTheme="minorEastAsia" w:hAnsiTheme="minorEastAsia" w:eastAsiaTheme="minorEastAsia" w:cstheme="minorEastAsia"/>
          <w:b w:val="0"/>
          <w:bCs w:val="0"/>
          <w:color w:val="auto"/>
          <w:sz w:val="24"/>
          <w:szCs w:val="24"/>
          <w:highlight w:val="none"/>
          <w:u w:val="none"/>
          <w:lang w:val="en-US" w:eastAsia="zh-CN"/>
        </w:rPr>
        <w:t>人员</w:t>
      </w:r>
      <w:r>
        <w:rPr>
          <w:rFonts w:hint="eastAsia" w:asciiTheme="minorEastAsia" w:hAnsiTheme="minorEastAsia" w:eastAsiaTheme="minorEastAsia" w:cstheme="minorEastAsia"/>
          <w:b w:val="0"/>
          <w:bCs w:val="0"/>
          <w:color w:val="auto"/>
          <w:sz w:val="24"/>
          <w:szCs w:val="24"/>
          <w:highlight w:val="none"/>
          <w:u w:val="none"/>
        </w:rPr>
        <w:t>组成表</w:t>
      </w:r>
    </w:p>
    <w:p w14:paraId="0DB4759D">
      <w:pPr>
        <w:pStyle w:val="126"/>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val="en-US" w:eastAsia="zh-CN"/>
        </w:rPr>
        <w:t>项目名称</w:t>
      </w:r>
      <w:r>
        <w:rPr>
          <w:rFonts w:hint="eastAsia" w:asciiTheme="minorEastAsia" w:hAnsiTheme="minorEastAsia" w:eastAsiaTheme="minorEastAsia" w:cstheme="minorEastAsia"/>
          <w:color w:val="auto"/>
          <w:sz w:val="24"/>
          <w:szCs w:val="24"/>
          <w:highlight w:val="none"/>
          <w:u w:val="none"/>
        </w:rPr>
        <w:t>：</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124"/>
        <w:gridCol w:w="906"/>
        <w:gridCol w:w="1251"/>
        <w:gridCol w:w="1432"/>
        <w:gridCol w:w="1541"/>
        <w:gridCol w:w="1504"/>
        <w:gridCol w:w="724"/>
      </w:tblGrid>
      <w:tr w14:paraId="3C23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restart"/>
            <w:noWrap w:val="0"/>
            <w:vAlign w:val="center"/>
          </w:tcPr>
          <w:p w14:paraId="5DA47A32">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tc>
        <w:tc>
          <w:tcPr>
            <w:tcW w:w="1124" w:type="dxa"/>
            <w:vMerge w:val="restart"/>
            <w:noWrap w:val="0"/>
            <w:vAlign w:val="center"/>
          </w:tcPr>
          <w:p w14:paraId="52E02563">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906" w:type="dxa"/>
            <w:vMerge w:val="restart"/>
            <w:noWrap w:val="0"/>
            <w:vAlign w:val="center"/>
          </w:tcPr>
          <w:p w14:paraId="7ADE5B5B">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职称</w:t>
            </w:r>
          </w:p>
        </w:tc>
        <w:tc>
          <w:tcPr>
            <w:tcW w:w="5728" w:type="dxa"/>
            <w:gridSpan w:val="4"/>
            <w:noWrap w:val="0"/>
            <w:vAlign w:val="center"/>
          </w:tcPr>
          <w:p w14:paraId="18ADC9BC">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执业或职业资格证明</w:t>
            </w:r>
          </w:p>
        </w:tc>
        <w:tc>
          <w:tcPr>
            <w:tcW w:w="724" w:type="dxa"/>
            <w:noWrap w:val="0"/>
            <w:vAlign w:val="center"/>
          </w:tcPr>
          <w:p w14:paraId="235AB943">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2C50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33" w:type="dxa"/>
            <w:vMerge w:val="continue"/>
            <w:noWrap w:val="0"/>
            <w:vAlign w:val="center"/>
          </w:tcPr>
          <w:p w14:paraId="675DC71E">
            <w:pPr>
              <w:rPr>
                <w:rFonts w:hint="eastAsia" w:asciiTheme="minorEastAsia" w:hAnsiTheme="minorEastAsia" w:eastAsiaTheme="minorEastAsia" w:cstheme="minorEastAsia"/>
                <w:color w:val="auto"/>
                <w:sz w:val="24"/>
                <w:szCs w:val="24"/>
                <w:highlight w:val="none"/>
              </w:rPr>
            </w:pPr>
          </w:p>
        </w:tc>
        <w:tc>
          <w:tcPr>
            <w:tcW w:w="1124" w:type="dxa"/>
            <w:vMerge w:val="continue"/>
            <w:noWrap w:val="0"/>
            <w:vAlign w:val="center"/>
          </w:tcPr>
          <w:p w14:paraId="4D4727EC">
            <w:pPr>
              <w:rPr>
                <w:rFonts w:hint="eastAsia" w:asciiTheme="minorEastAsia" w:hAnsiTheme="minorEastAsia" w:eastAsiaTheme="minorEastAsia" w:cstheme="minorEastAsia"/>
                <w:color w:val="auto"/>
                <w:sz w:val="24"/>
                <w:szCs w:val="24"/>
                <w:highlight w:val="none"/>
              </w:rPr>
            </w:pPr>
          </w:p>
        </w:tc>
        <w:tc>
          <w:tcPr>
            <w:tcW w:w="906" w:type="dxa"/>
            <w:vMerge w:val="continue"/>
            <w:noWrap w:val="0"/>
            <w:vAlign w:val="center"/>
          </w:tcPr>
          <w:p w14:paraId="559F70AA">
            <w:pPr>
              <w:rPr>
                <w:rFonts w:hint="eastAsia" w:asciiTheme="minorEastAsia" w:hAnsiTheme="minorEastAsia" w:eastAsiaTheme="minorEastAsia" w:cstheme="minorEastAsia"/>
                <w:color w:val="auto"/>
                <w:sz w:val="24"/>
                <w:szCs w:val="24"/>
                <w:highlight w:val="none"/>
              </w:rPr>
            </w:pPr>
          </w:p>
        </w:tc>
        <w:tc>
          <w:tcPr>
            <w:tcW w:w="1251" w:type="dxa"/>
            <w:noWrap w:val="0"/>
            <w:vAlign w:val="center"/>
          </w:tcPr>
          <w:p w14:paraId="57C0C18F">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证书名称</w:t>
            </w:r>
          </w:p>
        </w:tc>
        <w:tc>
          <w:tcPr>
            <w:tcW w:w="1432" w:type="dxa"/>
            <w:noWrap w:val="0"/>
            <w:vAlign w:val="center"/>
          </w:tcPr>
          <w:p w14:paraId="2C71BA9B">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级别</w:t>
            </w:r>
          </w:p>
        </w:tc>
        <w:tc>
          <w:tcPr>
            <w:tcW w:w="1541" w:type="dxa"/>
            <w:noWrap w:val="0"/>
            <w:vAlign w:val="center"/>
          </w:tcPr>
          <w:p w14:paraId="189CFE32">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证号</w:t>
            </w:r>
          </w:p>
        </w:tc>
        <w:tc>
          <w:tcPr>
            <w:tcW w:w="1504" w:type="dxa"/>
            <w:noWrap w:val="0"/>
            <w:vAlign w:val="center"/>
          </w:tcPr>
          <w:p w14:paraId="00776B73">
            <w:pPr>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w:t>
            </w:r>
          </w:p>
        </w:tc>
        <w:tc>
          <w:tcPr>
            <w:tcW w:w="724" w:type="dxa"/>
            <w:noWrap w:val="0"/>
            <w:vAlign w:val="center"/>
          </w:tcPr>
          <w:p w14:paraId="7BB2B2AD">
            <w:pPr>
              <w:spacing w:line="440" w:lineRule="exact"/>
              <w:jc w:val="center"/>
              <w:rPr>
                <w:rFonts w:hint="eastAsia" w:asciiTheme="minorEastAsia" w:hAnsiTheme="minorEastAsia" w:eastAsiaTheme="minorEastAsia" w:cstheme="minorEastAsia"/>
                <w:color w:val="auto"/>
                <w:sz w:val="24"/>
                <w:szCs w:val="24"/>
                <w:highlight w:val="none"/>
              </w:rPr>
            </w:pPr>
          </w:p>
        </w:tc>
      </w:tr>
      <w:tr w14:paraId="2419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0"/>
            <w:vAlign w:val="center"/>
          </w:tcPr>
          <w:p w14:paraId="1A7D6345">
            <w:pPr>
              <w:spacing w:line="440" w:lineRule="exact"/>
              <w:jc w:val="center"/>
              <w:rPr>
                <w:rFonts w:hint="eastAsia" w:asciiTheme="minorEastAsia" w:hAnsiTheme="minorEastAsia" w:eastAsiaTheme="minorEastAsia" w:cstheme="minorEastAsia"/>
                <w:color w:val="auto"/>
                <w:sz w:val="24"/>
                <w:szCs w:val="24"/>
                <w:highlight w:val="none"/>
              </w:rPr>
            </w:pPr>
          </w:p>
        </w:tc>
        <w:tc>
          <w:tcPr>
            <w:tcW w:w="1124" w:type="dxa"/>
            <w:noWrap w:val="0"/>
            <w:vAlign w:val="center"/>
          </w:tcPr>
          <w:p w14:paraId="5A2E03EF">
            <w:pPr>
              <w:spacing w:line="440" w:lineRule="exact"/>
              <w:jc w:val="center"/>
              <w:rPr>
                <w:rFonts w:hint="eastAsia" w:asciiTheme="minorEastAsia" w:hAnsiTheme="minorEastAsia" w:eastAsiaTheme="minorEastAsia" w:cstheme="minorEastAsia"/>
                <w:color w:val="auto"/>
                <w:sz w:val="24"/>
                <w:szCs w:val="24"/>
                <w:highlight w:val="none"/>
              </w:rPr>
            </w:pPr>
          </w:p>
        </w:tc>
        <w:tc>
          <w:tcPr>
            <w:tcW w:w="906" w:type="dxa"/>
            <w:noWrap w:val="0"/>
            <w:vAlign w:val="center"/>
          </w:tcPr>
          <w:p w14:paraId="4C5C44DA">
            <w:pPr>
              <w:spacing w:line="440" w:lineRule="exact"/>
              <w:jc w:val="center"/>
              <w:rPr>
                <w:rFonts w:hint="eastAsia" w:asciiTheme="minorEastAsia" w:hAnsiTheme="minorEastAsia" w:eastAsiaTheme="minorEastAsia" w:cstheme="minorEastAsia"/>
                <w:color w:val="auto"/>
                <w:sz w:val="24"/>
                <w:szCs w:val="24"/>
                <w:highlight w:val="none"/>
              </w:rPr>
            </w:pPr>
          </w:p>
        </w:tc>
        <w:tc>
          <w:tcPr>
            <w:tcW w:w="1251" w:type="dxa"/>
            <w:noWrap w:val="0"/>
            <w:vAlign w:val="center"/>
          </w:tcPr>
          <w:p w14:paraId="730C3D68">
            <w:pPr>
              <w:spacing w:line="440" w:lineRule="exact"/>
              <w:jc w:val="center"/>
              <w:rPr>
                <w:rFonts w:hint="eastAsia" w:asciiTheme="minorEastAsia" w:hAnsiTheme="minorEastAsia" w:eastAsiaTheme="minorEastAsia" w:cstheme="minorEastAsia"/>
                <w:color w:val="auto"/>
                <w:sz w:val="24"/>
                <w:szCs w:val="24"/>
                <w:highlight w:val="none"/>
              </w:rPr>
            </w:pPr>
          </w:p>
        </w:tc>
        <w:tc>
          <w:tcPr>
            <w:tcW w:w="1432" w:type="dxa"/>
            <w:noWrap w:val="0"/>
            <w:vAlign w:val="center"/>
          </w:tcPr>
          <w:p w14:paraId="41740918">
            <w:pPr>
              <w:spacing w:line="440" w:lineRule="exact"/>
              <w:jc w:val="center"/>
              <w:rPr>
                <w:rFonts w:hint="eastAsia" w:asciiTheme="minorEastAsia" w:hAnsiTheme="minorEastAsia" w:eastAsiaTheme="minorEastAsia" w:cstheme="minorEastAsia"/>
                <w:color w:val="auto"/>
                <w:sz w:val="24"/>
                <w:szCs w:val="24"/>
                <w:highlight w:val="none"/>
              </w:rPr>
            </w:pPr>
          </w:p>
        </w:tc>
        <w:tc>
          <w:tcPr>
            <w:tcW w:w="1541" w:type="dxa"/>
            <w:noWrap w:val="0"/>
            <w:vAlign w:val="center"/>
          </w:tcPr>
          <w:p w14:paraId="4A09BC1A">
            <w:pPr>
              <w:spacing w:line="440" w:lineRule="exact"/>
              <w:jc w:val="center"/>
              <w:rPr>
                <w:rFonts w:hint="eastAsia" w:asciiTheme="minorEastAsia" w:hAnsiTheme="minorEastAsia" w:eastAsiaTheme="minorEastAsia" w:cstheme="minorEastAsia"/>
                <w:color w:val="auto"/>
                <w:sz w:val="24"/>
                <w:szCs w:val="24"/>
                <w:highlight w:val="none"/>
              </w:rPr>
            </w:pPr>
          </w:p>
        </w:tc>
        <w:tc>
          <w:tcPr>
            <w:tcW w:w="1504" w:type="dxa"/>
            <w:noWrap w:val="0"/>
            <w:vAlign w:val="center"/>
          </w:tcPr>
          <w:p w14:paraId="3AFA043B">
            <w:pPr>
              <w:spacing w:line="440" w:lineRule="exact"/>
              <w:jc w:val="center"/>
              <w:rPr>
                <w:rFonts w:hint="eastAsia" w:asciiTheme="minorEastAsia" w:hAnsiTheme="minorEastAsia" w:eastAsiaTheme="minorEastAsia" w:cstheme="minorEastAsia"/>
                <w:color w:val="auto"/>
                <w:sz w:val="24"/>
                <w:szCs w:val="24"/>
                <w:highlight w:val="none"/>
              </w:rPr>
            </w:pPr>
          </w:p>
        </w:tc>
        <w:tc>
          <w:tcPr>
            <w:tcW w:w="724" w:type="dxa"/>
            <w:noWrap w:val="0"/>
            <w:vAlign w:val="center"/>
          </w:tcPr>
          <w:p w14:paraId="5454599B">
            <w:pPr>
              <w:spacing w:line="440" w:lineRule="exact"/>
              <w:jc w:val="center"/>
              <w:rPr>
                <w:rFonts w:hint="eastAsia" w:asciiTheme="minorEastAsia" w:hAnsiTheme="minorEastAsia" w:eastAsiaTheme="minorEastAsia" w:cstheme="minorEastAsia"/>
                <w:color w:val="auto"/>
                <w:sz w:val="24"/>
                <w:szCs w:val="24"/>
                <w:highlight w:val="none"/>
              </w:rPr>
            </w:pPr>
          </w:p>
        </w:tc>
      </w:tr>
      <w:tr w14:paraId="6EEA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0"/>
            <w:vAlign w:val="center"/>
          </w:tcPr>
          <w:p w14:paraId="68B9371A">
            <w:pPr>
              <w:jc w:val="center"/>
              <w:rPr>
                <w:rFonts w:hint="eastAsia" w:asciiTheme="minorEastAsia" w:hAnsiTheme="minorEastAsia" w:eastAsiaTheme="minorEastAsia" w:cstheme="minorEastAsia"/>
                <w:bCs/>
                <w:color w:val="auto"/>
                <w:sz w:val="24"/>
                <w:szCs w:val="24"/>
                <w:highlight w:val="none"/>
              </w:rPr>
            </w:pPr>
          </w:p>
        </w:tc>
        <w:tc>
          <w:tcPr>
            <w:tcW w:w="1124" w:type="dxa"/>
            <w:noWrap w:val="0"/>
            <w:vAlign w:val="top"/>
          </w:tcPr>
          <w:p w14:paraId="77853C0B">
            <w:pPr>
              <w:spacing w:line="440" w:lineRule="exact"/>
              <w:jc w:val="center"/>
              <w:rPr>
                <w:rFonts w:hint="eastAsia" w:asciiTheme="minorEastAsia" w:hAnsiTheme="minorEastAsia" w:eastAsiaTheme="minorEastAsia" w:cstheme="minorEastAsia"/>
                <w:color w:val="auto"/>
                <w:sz w:val="24"/>
                <w:szCs w:val="24"/>
                <w:highlight w:val="none"/>
              </w:rPr>
            </w:pPr>
          </w:p>
        </w:tc>
        <w:tc>
          <w:tcPr>
            <w:tcW w:w="906" w:type="dxa"/>
            <w:noWrap w:val="0"/>
            <w:vAlign w:val="top"/>
          </w:tcPr>
          <w:p w14:paraId="686D765B">
            <w:pPr>
              <w:spacing w:line="440" w:lineRule="exact"/>
              <w:jc w:val="center"/>
              <w:rPr>
                <w:rFonts w:hint="eastAsia" w:asciiTheme="minorEastAsia" w:hAnsiTheme="minorEastAsia" w:eastAsiaTheme="minorEastAsia" w:cstheme="minorEastAsia"/>
                <w:color w:val="auto"/>
                <w:sz w:val="24"/>
                <w:szCs w:val="24"/>
                <w:highlight w:val="none"/>
              </w:rPr>
            </w:pPr>
          </w:p>
        </w:tc>
        <w:tc>
          <w:tcPr>
            <w:tcW w:w="1251" w:type="dxa"/>
            <w:noWrap w:val="0"/>
            <w:vAlign w:val="top"/>
          </w:tcPr>
          <w:p w14:paraId="65A75965">
            <w:pPr>
              <w:spacing w:line="440" w:lineRule="exact"/>
              <w:jc w:val="center"/>
              <w:rPr>
                <w:rFonts w:hint="eastAsia" w:asciiTheme="minorEastAsia" w:hAnsiTheme="minorEastAsia" w:eastAsiaTheme="minorEastAsia" w:cstheme="minorEastAsia"/>
                <w:color w:val="auto"/>
                <w:sz w:val="24"/>
                <w:szCs w:val="24"/>
                <w:highlight w:val="none"/>
              </w:rPr>
            </w:pPr>
          </w:p>
        </w:tc>
        <w:tc>
          <w:tcPr>
            <w:tcW w:w="1432" w:type="dxa"/>
            <w:noWrap w:val="0"/>
            <w:vAlign w:val="top"/>
          </w:tcPr>
          <w:p w14:paraId="1A6DDA36">
            <w:pPr>
              <w:spacing w:line="440" w:lineRule="exact"/>
              <w:jc w:val="center"/>
              <w:rPr>
                <w:rFonts w:hint="eastAsia" w:asciiTheme="minorEastAsia" w:hAnsiTheme="minorEastAsia" w:eastAsiaTheme="minorEastAsia" w:cstheme="minorEastAsia"/>
                <w:color w:val="auto"/>
                <w:sz w:val="24"/>
                <w:szCs w:val="24"/>
                <w:highlight w:val="none"/>
              </w:rPr>
            </w:pPr>
          </w:p>
        </w:tc>
        <w:tc>
          <w:tcPr>
            <w:tcW w:w="1541" w:type="dxa"/>
            <w:noWrap w:val="0"/>
            <w:vAlign w:val="top"/>
          </w:tcPr>
          <w:p w14:paraId="701E5A79">
            <w:pPr>
              <w:spacing w:line="440" w:lineRule="exact"/>
              <w:jc w:val="center"/>
              <w:rPr>
                <w:rFonts w:hint="eastAsia" w:asciiTheme="minorEastAsia" w:hAnsiTheme="minorEastAsia" w:eastAsiaTheme="minorEastAsia" w:cstheme="minorEastAsia"/>
                <w:color w:val="auto"/>
                <w:sz w:val="24"/>
                <w:szCs w:val="24"/>
                <w:highlight w:val="none"/>
              </w:rPr>
            </w:pPr>
          </w:p>
        </w:tc>
        <w:tc>
          <w:tcPr>
            <w:tcW w:w="1504" w:type="dxa"/>
            <w:noWrap w:val="0"/>
            <w:vAlign w:val="top"/>
          </w:tcPr>
          <w:p w14:paraId="49CD7772">
            <w:pPr>
              <w:spacing w:line="440" w:lineRule="exact"/>
              <w:jc w:val="center"/>
              <w:rPr>
                <w:rFonts w:hint="eastAsia" w:asciiTheme="minorEastAsia" w:hAnsiTheme="minorEastAsia" w:eastAsiaTheme="minorEastAsia" w:cstheme="minorEastAsia"/>
                <w:color w:val="auto"/>
                <w:sz w:val="24"/>
                <w:szCs w:val="24"/>
                <w:highlight w:val="none"/>
              </w:rPr>
            </w:pPr>
          </w:p>
        </w:tc>
        <w:tc>
          <w:tcPr>
            <w:tcW w:w="724" w:type="dxa"/>
            <w:noWrap w:val="0"/>
            <w:vAlign w:val="top"/>
          </w:tcPr>
          <w:p w14:paraId="4DFB090A">
            <w:pPr>
              <w:spacing w:line="440" w:lineRule="exact"/>
              <w:jc w:val="center"/>
              <w:rPr>
                <w:rFonts w:hint="eastAsia" w:asciiTheme="minorEastAsia" w:hAnsiTheme="minorEastAsia" w:eastAsiaTheme="minorEastAsia" w:cstheme="minorEastAsia"/>
                <w:color w:val="auto"/>
                <w:sz w:val="24"/>
                <w:szCs w:val="24"/>
                <w:highlight w:val="none"/>
              </w:rPr>
            </w:pPr>
          </w:p>
        </w:tc>
      </w:tr>
      <w:tr w14:paraId="124B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0"/>
            <w:vAlign w:val="center"/>
          </w:tcPr>
          <w:p w14:paraId="3182B835">
            <w:pPr>
              <w:jc w:val="center"/>
              <w:rPr>
                <w:rFonts w:hint="eastAsia" w:asciiTheme="minorEastAsia" w:hAnsiTheme="minorEastAsia" w:eastAsiaTheme="minorEastAsia" w:cstheme="minorEastAsia"/>
                <w:bCs/>
                <w:color w:val="auto"/>
                <w:sz w:val="24"/>
                <w:szCs w:val="24"/>
                <w:highlight w:val="none"/>
              </w:rPr>
            </w:pPr>
          </w:p>
        </w:tc>
        <w:tc>
          <w:tcPr>
            <w:tcW w:w="1124" w:type="dxa"/>
            <w:noWrap w:val="0"/>
            <w:vAlign w:val="top"/>
          </w:tcPr>
          <w:p w14:paraId="5ABD5F78">
            <w:pPr>
              <w:spacing w:line="440" w:lineRule="exact"/>
              <w:jc w:val="center"/>
              <w:rPr>
                <w:rFonts w:hint="eastAsia" w:asciiTheme="minorEastAsia" w:hAnsiTheme="minorEastAsia" w:eastAsiaTheme="minorEastAsia" w:cstheme="minorEastAsia"/>
                <w:color w:val="auto"/>
                <w:sz w:val="24"/>
                <w:szCs w:val="24"/>
                <w:highlight w:val="none"/>
              </w:rPr>
            </w:pPr>
          </w:p>
        </w:tc>
        <w:tc>
          <w:tcPr>
            <w:tcW w:w="906" w:type="dxa"/>
            <w:noWrap w:val="0"/>
            <w:vAlign w:val="top"/>
          </w:tcPr>
          <w:p w14:paraId="650BF838">
            <w:pPr>
              <w:spacing w:line="440" w:lineRule="exact"/>
              <w:jc w:val="center"/>
              <w:rPr>
                <w:rFonts w:hint="eastAsia" w:asciiTheme="minorEastAsia" w:hAnsiTheme="minorEastAsia" w:eastAsiaTheme="minorEastAsia" w:cstheme="minorEastAsia"/>
                <w:color w:val="auto"/>
                <w:sz w:val="24"/>
                <w:szCs w:val="24"/>
                <w:highlight w:val="none"/>
              </w:rPr>
            </w:pPr>
          </w:p>
        </w:tc>
        <w:tc>
          <w:tcPr>
            <w:tcW w:w="1251" w:type="dxa"/>
            <w:noWrap w:val="0"/>
            <w:vAlign w:val="top"/>
          </w:tcPr>
          <w:p w14:paraId="35542ABC">
            <w:pPr>
              <w:spacing w:line="440" w:lineRule="exact"/>
              <w:jc w:val="center"/>
              <w:rPr>
                <w:rFonts w:hint="eastAsia" w:asciiTheme="minorEastAsia" w:hAnsiTheme="minorEastAsia" w:eastAsiaTheme="minorEastAsia" w:cstheme="minorEastAsia"/>
                <w:color w:val="auto"/>
                <w:sz w:val="24"/>
                <w:szCs w:val="24"/>
                <w:highlight w:val="none"/>
              </w:rPr>
            </w:pPr>
          </w:p>
        </w:tc>
        <w:tc>
          <w:tcPr>
            <w:tcW w:w="1432" w:type="dxa"/>
            <w:noWrap w:val="0"/>
            <w:vAlign w:val="top"/>
          </w:tcPr>
          <w:p w14:paraId="313023EA">
            <w:pPr>
              <w:spacing w:line="440" w:lineRule="exact"/>
              <w:jc w:val="center"/>
              <w:rPr>
                <w:rFonts w:hint="eastAsia" w:asciiTheme="minorEastAsia" w:hAnsiTheme="minorEastAsia" w:eastAsiaTheme="minorEastAsia" w:cstheme="minorEastAsia"/>
                <w:color w:val="auto"/>
                <w:sz w:val="24"/>
                <w:szCs w:val="24"/>
                <w:highlight w:val="none"/>
              </w:rPr>
            </w:pPr>
          </w:p>
        </w:tc>
        <w:tc>
          <w:tcPr>
            <w:tcW w:w="1541" w:type="dxa"/>
            <w:noWrap w:val="0"/>
            <w:vAlign w:val="top"/>
          </w:tcPr>
          <w:p w14:paraId="18E1F862">
            <w:pPr>
              <w:spacing w:line="440" w:lineRule="exact"/>
              <w:jc w:val="center"/>
              <w:rPr>
                <w:rFonts w:hint="eastAsia" w:asciiTheme="minorEastAsia" w:hAnsiTheme="minorEastAsia" w:eastAsiaTheme="minorEastAsia" w:cstheme="minorEastAsia"/>
                <w:color w:val="auto"/>
                <w:sz w:val="24"/>
                <w:szCs w:val="24"/>
                <w:highlight w:val="none"/>
              </w:rPr>
            </w:pPr>
          </w:p>
        </w:tc>
        <w:tc>
          <w:tcPr>
            <w:tcW w:w="1504" w:type="dxa"/>
            <w:noWrap w:val="0"/>
            <w:vAlign w:val="top"/>
          </w:tcPr>
          <w:p w14:paraId="488A8CEC">
            <w:pPr>
              <w:spacing w:line="440" w:lineRule="exact"/>
              <w:jc w:val="center"/>
              <w:rPr>
                <w:rFonts w:hint="eastAsia" w:asciiTheme="minorEastAsia" w:hAnsiTheme="minorEastAsia" w:eastAsiaTheme="minorEastAsia" w:cstheme="minorEastAsia"/>
                <w:color w:val="auto"/>
                <w:sz w:val="24"/>
                <w:szCs w:val="24"/>
                <w:highlight w:val="none"/>
              </w:rPr>
            </w:pPr>
          </w:p>
        </w:tc>
        <w:tc>
          <w:tcPr>
            <w:tcW w:w="724" w:type="dxa"/>
            <w:noWrap w:val="0"/>
            <w:vAlign w:val="top"/>
          </w:tcPr>
          <w:p w14:paraId="7EDF2A8C">
            <w:pPr>
              <w:spacing w:line="440" w:lineRule="exact"/>
              <w:jc w:val="center"/>
              <w:rPr>
                <w:rFonts w:hint="eastAsia" w:asciiTheme="minorEastAsia" w:hAnsiTheme="minorEastAsia" w:eastAsiaTheme="minorEastAsia" w:cstheme="minorEastAsia"/>
                <w:color w:val="auto"/>
                <w:sz w:val="24"/>
                <w:szCs w:val="24"/>
                <w:highlight w:val="none"/>
              </w:rPr>
            </w:pPr>
          </w:p>
        </w:tc>
      </w:tr>
      <w:tr w14:paraId="195E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0"/>
            <w:vAlign w:val="center"/>
          </w:tcPr>
          <w:p w14:paraId="131C8473">
            <w:pPr>
              <w:jc w:val="center"/>
              <w:rPr>
                <w:rFonts w:hint="eastAsia" w:asciiTheme="minorEastAsia" w:hAnsiTheme="minorEastAsia" w:eastAsiaTheme="minorEastAsia" w:cstheme="minorEastAsia"/>
                <w:bCs/>
                <w:color w:val="auto"/>
                <w:sz w:val="24"/>
                <w:szCs w:val="24"/>
                <w:highlight w:val="none"/>
              </w:rPr>
            </w:pPr>
          </w:p>
        </w:tc>
        <w:tc>
          <w:tcPr>
            <w:tcW w:w="1124" w:type="dxa"/>
            <w:noWrap w:val="0"/>
            <w:vAlign w:val="top"/>
          </w:tcPr>
          <w:p w14:paraId="24FE82C7">
            <w:pPr>
              <w:spacing w:line="440" w:lineRule="exact"/>
              <w:jc w:val="center"/>
              <w:rPr>
                <w:rFonts w:hint="eastAsia" w:asciiTheme="minorEastAsia" w:hAnsiTheme="minorEastAsia" w:eastAsiaTheme="minorEastAsia" w:cstheme="minorEastAsia"/>
                <w:color w:val="auto"/>
                <w:sz w:val="24"/>
                <w:szCs w:val="24"/>
                <w:highlight w:val="none"/>
              </w:rPr>
            </w:pPr>
          </w:p>
        </w:tc>
        <w:tc>
          <w:tcPr>
            <w:tcW w:w="906" w:type="dxa"/>
            <w:noWrap w:val="0"/>
            <w:vAlign w:val="top"/>
          </w:tcPr>
          <w:p w14:paraId="6335F55A">
            <w:pPr>
              <w:spacing w:line="440" w:lineRule="exact"/>
              <w:jc w:val="center"/>
              <w:rPr>
                <w:rFonts w:hint="eastAsia" w:asciiTheme="minorEastAsia" w:hAnsiTheme="minorEastAsia" w:eastAsiaTheme="minorEastAsia" w:cstheme="minorEastAsia"/>
                <w:color w:val="auto"/>
                <w:sz w:val="24"/>
                <w:szCs w:val="24"/>
                <w:highlight w:val="none"/>
              </w:rPr>
            </w:pPr>
          </w:p>
        </w:tc>
        <w:tc>
          <w:tcPr>
            <w:tcW w:w="1251" w:type="dxa"/>
            <w:noWrap w:val="0"/>
            <w:vAlign w:val="top"/>
          </w:tcPr>
          <w:p w14:paraId="267C8EAB">
            <w:pPr>
              <w:spacing w:line="440" w:lineRule="exact"/>
              <w:jc w:val="center"/>
              <w:rPr>
                <w:rFonts w:hint="eastAsia" w:asciiTheme="minorEastAsia" w:hAnsiTheme="minorEastAsia" w:eastAsiaTheme="minorEastAsia" w:cstheme="minorEastAsia"/>
                <w:color w:val="auto"/>
                <w:sz w:val="24"/>
                <w:szCs w:val="24"/>
                <w:highlight w:val="none"/>
              </w:rPr>
            </w:pPr>
          </w:p>
        </w:tc>
        <w:tc>
          <w:tcPr>
            <w:tcW w:w="1432" w:type="dxa"/>
            <w:noWrap w:val="0"/>
            <w:vAlign w:val="top"/>
          </w:tcPr>
          <w:p w14:paraId="2E733FC9">
            <w:pPr>
              <w:spacing w:line="440" w:lineRule="exact"/>
              <w:jc w:val="center"/>
              <w:rPr>
                <w:rFonts w:hint="eastAsia" w:asciiTheme="minorEastAsia" w:hAnsiTheme="minorEastAsia" w:eastAsiaTheme="minorEastAsia" w:cstheme="minorEastAsia"/>
                <w:color w:val="auto"/>
                <w:sz w:val="24"/>
                <w:szCs w:val="24"/>
                <w:highlight w:val="none"/>
              </w:rPr>
            </w:pPr>
          </w:p>
        </w:tc>
        <w:tc>
          <w:tcPr>
            <w:tcW w:w="1541" w:type="dxa"/>
            <w:noWrap w:val="0"/>
            <w:vAlign w:val="top"/>
          </w:tcPr>
          <w:p w14:paraId="6524067B">
            <w:pPr>
              <w:spacing w:line="440" w:lineRule="exact"/>
              <w:jc w:val="center"/>
              <w:rPr>
                <w:rFonts w:hint="eastAsia" w:asciiTheme="minorEastAsia" w:hAnsiTheme="minorEastAsia" w:eastAsiaTheme="minorEastAsia" w:cstheme="minorEastAsia"/>
                <w:color w:val="auto"/>
                <w:sz w:val="24"/>
                <w:szCs w:val="24"/>
                <w:highlight w:val="none"/>
              </w:rPr>
            </w:pPr>
          </w:p>
        </w:tc>
        <w:tc>
          <w:tcPr>
            <w:tcW w:w="1504" w:type="dxa"/>
            <w:noWrap w:val="0"/>
            <w:vAlign w:val="top"/>
          </w:tcPr>
          <w:p w14:paraId="17F8310F">
            <w:pPr>
              <w:spacing w:line="440" w:lineRule="exact"/>
              <w:jc w:val="center"/>
              <w:rPr>
                <w:rFonts w:hint="eastAsia" w:asciiTheme="minorEastAsia" w:hAnsiTheme="minorEastAsia" w:eastAsiaTheme="minorEastAsia" w:cstheme="minorEastAsia"/>
                <w:color w:val="auto"/>
                <w:sz w:val="24"/>
                <w:szCs w:val="24"/>
                <w:highlight w:val="none"/>
              </w:rPr>
            </w:pPr>
          </w:p>
        </w:tc>
        <w:tc>
          <w:tcPr>
            <w:tcW w:w="724" w:type="dxa"/>
            <w:noWrap w:val="0"/>
            <w:vAlign w:val="top"/>
          </w:tcPr>
          <w:p w14:paraId="32E54DF7">
            <w:pPr>
              <w:spacing w:line="440" w:lineRule="exact"/>
              <w:jc w:val="center"/>
              <w:rPr>
                <w:rFonts w:hint="eastAsia" w:asciiTheme="minorEastAsia" w:hAnsiTheme="minorEastAsia" w:eastAsiaTheme="minorEastAsia" w:cstheme="minorEastAsia"/>
                <w:color w:val="auto"/>
                <w:sz w:val="24"/>
                <w:szCs w:val="24"/>
                <w:highlight w:val="none"/>
              </w:rPr>
            </w:pPr>
          </w:p>
        </w:tc>
      </w:tr>
      <w:tr w14:paraId="10C2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3" w:type="dxa"/>
            <w:noWrap w:val="0"/>
            <w:vAlign w:val="center"/>
          </w:tcPr>
          <w:p w14:paraId="466162AC">
            <w:pPr>
              <w:jc w:val="center"/>
              <w:rPr>
                <w:rFonts w:hint="eastAsia" w:asciiTheme="minorEastAsia" w:hAnsiTheme="minorEastAsia" w:eastAsiaTheme="minorEastAsia" w:cstheme="minorEastAsia"/>
                <w:bCs/>
                <w:color w:val="auto"/>
                <w:sz w:val="24"/>
                <w:szCs w:val="24"/>
                <w:highlight w:val="none"/>
                <w:lang w:val="en-US" w:eastAsia="zh-CN"/>
              </w:rPr>
            </w:pPr>
          </w:p>
        </w:tc>
        <w:tc>
          <w:tcPr>
            <w:tcW w:w="1124" w:type="dxa"/>
            <w:noWrap w:val="0"/>
            <w:vAlign w:val="top"/>
          </w:tcPr>
          <w:p w14:paraId="270257DA">
            <w:pPr>
              <w:spacing w:line="440" w:lineRule="exact"/>
              <w:jc w:val="center"/>
              <w:rPr>
                <w:rFonts w:hint="eastAsia" w:asciiTheme="minorEastAsia" w:hAnsiTheme="minorEastAsia" w:eastAsiaTheme="minorEastAsia" w:cstheme="minorEastAsia"/>
                <w:color w:val="auto"/>
                <w:sz w:val="24"/>
                <w:szCs w:val="24"/>
                <w:highlight w:val="none"/>
              </w:rPr>
            </w:pPr>
          </w:p>
        </w:tc>
        <w:tc>
          <w:tcPr>
            <w:tcW w:w="906" w:type="dxa"/>
            <w:noWrap w:val="0"/>
            <w:vAlign w:val="top"/>
          </w:tcPr>
          <w:p w14:paraId="77FD6718">
            <w:pPr>
              <w:spacing w:line="440" w:lineRule="exact"/>
              <w:jc w:val="center"/>
              <w:rPr>
                <w:rFonts w:hint="eastAsia" w:asciiTheme="minorEastAsia" w:hAnsiTheme="minorEastAsia" w:eastAsiaTheme="minorEastAsia" w:cstheme="minorEastAsia"/>
                <w:color w:val="auto"/>
                <w:sz w:val="24"/>
                <w:szCs w:val="24"/>
                <w:highlight w:val="none"/>
              </w:rPr>
            </w:pPr>
          </w:p>
        </w:tc>
        <w:tc>
          <w:tcPr>
            <w:tcW w:w="1251" w:type="dxa"/>
            <w:noWrap w:val="0"/>
            <w:vAlign w:val="top"/>
          </w:tcPr>
          <w:p w14:paraId="54A516A8">
            <w:pPr>
              <w:spacing w:line="440" w:lineRule="exact"/>
              <w:jc w:val="center"/>
              <w:rPr>
                <w:rFonts w:hint="eastAsia" w:asciiTheme="minorEastAsia" w:hAnsiTheme="minorEastAsia" w:eastAsiaTheme="minorEastAsia" w:cstheme="minorEastAsia"/>
                <w:color w:val="auto"/>
                <w:sz w:val="24"/>
                <w:szCs w:val="24"/>
                <w:highlight w:val="none"/>
              </w:rPr>
            </w:pPr>
          </w:p>
        </w:tc>
        <w:tc>
          <w:tcPr>
            <w:tcW w:w="1432" w:type="dxa"/>
            <w:noWrap w:val="0"/>
            <w:vAlign w:val="top"/>
          </w:tcPr>
          <w:p w14:paraId="52FF14B0">
            <w:pPr>
              <w:spacing w:line="440" w:lineRule="exact"/>
              <w:jc w:val="center"/>
              <w:rPr>
                <w:rFonts w:hint="eastAsia" w:asciiTheme="minorEastAsia" w:hAnsiTheme="minorEastAsia" w:eastAsiaTheme="minorEastAsia" w:cstheme="minorEastAsia"/>
                <w:color w:val="auto"/>
                <w:sz w:val="24"/>
                <w:szCs w:val="24"/>
                <w:highlight w:val="none"/>
              </w:rPr>
            </w:pPr>
          </w:p>
        </w:tc>
        <w:tc>
          <w:tcPr>
            <w:tcW w:w="1541" w:type="dxa"/>
            <w:noWrap w:val="0"/>
            <w:vAlign w:val="top"/>
          </w:tcPr>
          <w:p w14:paraId="67E2FE18">
            <w:pPr>
              <w:spacing w:line="440" w:lineRule="exact"/>
              <w:jc w:val="center"/>
              <w:rPr>
                <w:rFonts w:hint="eastAsia" w:asciiTheme="minorEastAsia" w:hAnsiTheme="minorEastAsia" w:eastAsiaTheme="minorEastAsia" w:cstheme="minorEastAsia"/>
                <w:color w:val="auto"/>
                <w:sz w:val="24"/>
                <w:szCs w:val="24"/>
                <w:highlight w:val="none"/>
              </w:rPr>
            </w:pPr>
          </w:p>
        </w:tc>
        <w:tc>
          <w:tcPr>
            <w:tcW w:w="1504" w:type="dxa"/>
            <w:noWrap w:val="0"/>
            <w:vAlign w:val="top"/>
          </w:tcPr>
          <w:p w14:paraId="59CBFFDD">
            <w:pPr>
              <w:spacing w:line="440" w:lineRule="exact"/>
              <w:jc w:val="center"/>
              <w:rPr>
                <w:rFonts w:hint="eastAsia" w:asciiTheme="minorEastAsia" w:hAnsiTheme="minorEastAsia" w:eastAsiaTheme="minorEastAsia" w:cstheme="minorEastAsia"/>
                <w:color w:val="auto"/>
                <w:sz w:val="24"/>
                <w:szCs w:val="24"/>
                <w:highlight w:val="none"/>
              </w:rPr>
            </w:pPr>
          </w:p>
        </w:tc>
        <w:tc>
          <w:tcPr>
            <w:tcW w:w="724" w:type="dxa"/>
            <w:noWrap w:val="0"/>
            <w:vAlign w:val="top"/>
          </w:tcPr>
          <w:p w14:paraId="55AD5F1E">
            <w:pPr>
              <w:spacing w:line="440" w:lineRule="exact"/>
              <w:jc w:val="center"/>
              <w:rPr>
                <w:rFonts w:hint="eastAsia" w:asciiTheme="minorEastAsia" w:hAnsiTheme="minorEastAsia" w:eastAsiaTheme="minorEastAsia" w:cstheme="minorEastAsia"/>
                <w:color w:val="auto"/>
                <w:sz w:val="24"/>
                <w:szCs w:val="24"/>
                <w:highlight w:val="none"/>
              </w:rPr>
            </w:pPr>
          </w:p>
        </w:tc>
      </w:tr>
      <w:tr w14:paraId="7F5F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0"/>
            <w:vAlign w:val="top"/>
          </w:tcPr>
          <w:p w14:paraId="1C27C2FE">
            <w:pPr>
              <w:spacing w:line="440" w:lineRule="exact"/>
              <w:jc w:val="center"/>
              <w:rPr>
                <w:rFonts w:hint="eastAsia" w:asciiTheme="minorEastAsia" w:hAnsiTheme="minorEastAsia" w:eastAsiaTheme="minorEastAsia" w:cstheme="minorEastAsia"/>
                <w:color w:val="auto"/>
                <w:sz w:val="24"/>
                <w:szCs w:val="24"/>
                <w:highlight w:val="none"/>
              </w:rPr>
            </w:pPr>
          </w:p>
        </w:tc>
        <w:tc>
          <w:tcPr>
            <w:tcW w:w="1124" w:type="dxa"/>
            <w:noWrap w:val="0"/>
            <w:vAlign w:val="top"/>
          </w:tcPr>
          <w:p w14:paraId="14ED1110">
            <w:pPr>
              <w:spacing w:line="440" w:lineRule="exact"/>
              <w:jc w:val="center"/>
              <w:rPr>
                <w:rFonts w:hint="eastAsia" w:asciiTheme="minorEastAsia" w:hAnsiTheme="minorEastAsia" w:eastAsiaTheme="minorEastAsia" w:cstheme="minorEastAsia"/>
                <w:color w:val="auto"/>
                <w:sz w:val="24"/>
                <w:szCs w:val="24"/>
                <w:highlight w:val="none"/>
              </w:rPr>
            </w:pPr>
          </w:p>
        </w:tc>
        <w:tc>
          <w:tcPr>
            <w:tcW w:w="906" w:type="dxa"/>
            <w:noWrap w:val="0"/>
            <w:vAlign w:val="top"/>
          </w:tcPr>
          <w:p w14:paraId="3D66D253">
            <w:pPr>
              <w:spacing w:line="440" w:lineRule="exact"/>
              <w:jc w:val="center"/>
              <w:rPr>
                <w:rFonts w:hint="eastAsia" w:asciiTheme="minorEastAsia" w:hAnsiTheme="minorEastAsia" w:eastAsiaTheme="minorEastAsia" w:cstheme="minorEastAsia"/>
                <w:color w:val="auto"/>
                <w:sz w:val="24"/>
                <w:szCs w:val="24"/>
                <w:highlight w:val="none"/>
              </w:rPr>
            </w:pPr>
          </w:p>
        </w:tc>
        <w:tc>
          <w:tcPr>
            <w:tcW w:w="1251" w:type="dxa"/>
            <w:noWrap w:val="0"/>
            <w:vAlign w:val="top"/>
          </w:tcPr>
          <w:p w14:paraId="676AC3B6">
            <w:pPr>
              <w:spacing w:line="440" w:lineRule="exact"/>
              <w:jc w:val="center"/>
              <w:rPr>
                <w:rFonts w:hint="eastAsia" w:asciiTheme="minorEastAsia" w:hAnsiTheme="minorEastAsia" w:eastAsiaTheme="minorEastAsia" w:cstheme="minorEastAsia"/>
                <w:color w:val="auto"/>
                <w:sz w:val="24"/>
                <w:szCs w:val="24"/>
                <w:highlight w:val="none"/>
              </w:rPr>
            </w:pPr>
          </w:p>
        </w:tc>
        <w:tc>
          <w:tcPr>
            <w:tcW w:w="1432" w:type="dxa"/>
            <w:noWrap w:val="0"/>
            <w:vAlign w:val="top"/>
          </w:tcPr>
          <w:p w14:paraId="0E6A0778">
            <w:pPr>
              <w:spacing w:line="440" w:lineRule="exact"/>
              <w:jc w:val="center"/>
              <w:rPr>
                <w:rFonts w:hint="eastAsia" w:asciiTheme="minorEastAsia" w:hAnsiTheme="minorEastAsia" w:eastAsiaTheme="minorEastAsia" w:cstheme="minorEastAsia"/>
                <w:color w:val="auto"/>
                <w:sz w:val="24"/>
                <w:szCs w:val="24"/>
                <w:highlight w:val="none"/>
              </w:rPr>
            </w:pPr>
          </w:p>
        </w:tc>
        <w:tc>
          <w:tcPr>
            <w:tcW w:w="1541" w:type="dxa"/>
            <w:noWrap w:val="0"/>
            <w:vAlign w:val="top"/>
          </w:tcPr>
          <w:p w14:paraId="24DCB23B">
            <w:pPr>
              <w:spacing w:line="440" w:lineRule="exact"/>
              <w:jc w:val="center"/>
              <w:rPr>
                <w:rFonts w:hint="eastAsia" w:asciiTheme="minorEastAsia" w:hAnsiTheme="minorEastAsia" w:eastAsiaTheme="minorEastAsia" w:cstheme="minorEastAsia"/>
                <w:color w:val="auto"/>
                <w:sz w:val="24"/>
                <w:szCs w:val="24"/>
                <w:highlight w:val="none"/>
              </w:rPr>
            </w:pPr>
          </w:p>
        </w:tc>
        <w:tc>
          <w:tcPr>
            <w:tcW w:w="1504" w:type="dxa"/>
            <w:noWrap w:val="0"/>
            <w:vAlign w:val="top"/>
          </w:tcPr>
          <w:p w14:paraId="560828E2">
            <w:pPr>
              <w:spacing w:line="440" w:lineRule="exact"/>
              <w:jc w:val="center"/>
              <w:rPr>
                <w:rFonts w:hint="eastAsia" w:asciiTheme="minorEastAsia" w:hAnsiTheme="minorEastAsia" w:eastAsiaTheme="minorEastAsia" w:cstheme="minorEastAsia"/>
                <w:color w:val="auto"/>
                <w:sz w:val="24"/>
                <w:szCs w:val="24"/>
                <w:highlight w:val="none"/>
              </w:rPr>
            </w:pPr>
          </w:p>
        </w:tc>
        <w:tc>
          <w:tcPr>
            <w:tcW w:w="724" w:type="dxa"/>
            <w:noWrap w:val="0"/>
            <w:vAlign w:val="top"/>
          </w:tcPr>
          <w:p w14:paraId="5C841932">
            <w:pPr>
              <w:spacing w:line="440" w:lineRule="exact"/>
              <w:jc w:val="center"/>
              <w:rPr>
                <w:rFonts w:hint="eastAsia" w:asciiTheme="minorEastAsia" w:hAnsiTheme="minorEastAsia" w:eastAsiaTheme="minorEastAsia" w:cstheme="minorEastAsia"/>
                <w:color w:val="auto"/>
                <w:sz w:val="24"/>
                <w:szCs w:val="24"/>
                <w:highlight w:val="none"/>
              </w:rPr>
            </w:pPr>
          </w:p>
        </w:tc>
      </w:tr>
      <w:tr w14:paraId="05DB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0"/>
            <w:vAlign w:val="top"/>
          </w:tcPr>
          <w:p w14:paraId="0BF59ED7">
            <w:pPr>
              <w:spacing w:line="440" w:lineRule="exact"/>
              <w:jc w:val="center"/>
              <w:rPr>
                <w:rFonts w:hint="eastAsia" w:asciiTheme="minorEastAsia" w:hAnsiTheme="minorEastAsia" w:eastAsiaTheme="minorEastAsia" w:cstheme="minorEastAsia"/>
                <w:bCs/>
                <w:color w:val="auto"/>
                <w:sz w:val="24"/>
                <w:szCs w:val="24"/>
                <w:highlight w:val="none"/>
                <w:lang w:val="en-US" w:eastAsia="zh-CN"/>
              </w:rPr>
            </w:pPr>
          </w:p>
        </w:tc>
        <w:tc>
          <w:tcPr>
            <w:tcW w:w="1124" w:type="dxa"/>
            <w:noWrap w:val="0"/>
            <w:vAlign w:val="top"/>
          </w:tcPr>
          <w:p w14:paraId="230153BB">
            <w:pPr>
              <w:spacing w:line="440" w:lineRule="exact"/>
              <w:jc w:val="center"/>
              <w:rPr>
                <w:rFonts w:hint="eastAsia" w:asciiTheme="minorEastAsia" w:hAnsiTheme="minorEastAsia" w:eastAsiaTheme="minorEastAsia" w:cstheme="minorEastAsia"/>
                <w:color w:val="auto"/>
                <w:sz w:val="24"/>
                <w:szCs w:val="24"/>
                <w:highlight w:val="none"/>
              </w:rPr>
            </w:pPr>
          </w:p>
        </w:tc>
        <w:tc>
          <w:tcPr>
            <w:tcW w:w="906" w:type="dxa"/>
            <w:noWrap w:val="0"/>
            <w:vAlign w:val="top"/>
          </w:tcPr>
          <w:p w14:paraId="1DFD2A9A">
            <w:pPr>
              <w:spacing w:line="440" w:lineRule="exact"/>
              <w:jc w:val="center"/>
              <w:rPr>
                <w:rFonts w:hint="eastAsia" w:asciiTheme="minorEastAsia" w:hAnsiTheme="minorEastAsia" w:eastAsiaTheme="minorEastAsia" w:cstheme="minorEastAsia"/>
                <w:color w:val="auto"/>
                <w:sz w:val="24"/>
                <w:szCs w:val="24"/>
                <w:highlight w:val="none"/>
              </w:rPr>
            </w:pPr>
          </w:p>
        </w:tc>
        <w:tc>
          <w:tcPr>
            <w:tcW w:w="1251" w:type="dxa"/>
            <w:noWrap w:val="0"/>
            <w:vAlign w:val="top"/>
          </w:tcPr>
          <w:p w14:paraId="24D97395">
            <w:pPr>
              <w:spacing w:line="440" w:lineRule="exact"/>
              <w:jc w:val="center"/>
              <w:rPr>
                <w:rFonts w:hint="eastAsia" w:asciiTheme="minorEastAsia" w:hAnsiTheme="minorEastAsia" w:eastAsiaTheme="minorEastAsia" w:cstheme="minorEastAsia"/>
                <w:color w:val="auto"/>
                <w:sz w:val="24"/>
                <w:szCs w:val="24"/>
                <w:highlight w:val="none"/>
              </w:rPr>
            </w:pPr>
          </w:p>
        </w:tc>
        <w:tc>
          <w:tcPr>
            <w:tcW w:w="1432" w:type="dxa"/>
            <w:noWrap w:val="0"/>
            <w:vAlign w:val="top"/>
          </w:tcPr>
          <w:p w14:paraId="34F3D402">
            <w:pPr>
              <w:spacing w:line="440" w:lineRule="exact"/>
              <w:jc w:val="center"/>
              <w:rPr>
                <w:rFonts w:hint="eastAsia" w:asciiTheme="minorEastAsia" w:hAnsiTheme="minorEastAsia" w:eastAsiaTheme="minorEastAsia" w:cstheme="minorEastAsia"/>
                <w:color w:val="auto"/>
                <w:sz w:val="24"/>
                <w:szCs w:val="24"/>
                <w:highlight w:val="none"/>
              </w:rPr>
            </w:pPr>
          </w:p>
        </w:tc>
        <w:tc>
          <w:tcPr>
            <w:tcW w:w="1541" w:type="dxa"/>
            <w:noWrap w:val="0"/>
            <w:vAlign w:val="top"/>
          </w:tcPr>
          <w:p w14:paraId="0E5DBACD">
            <w:pPr>
              <w:spacing w:line="440" w:lineRule="exact"/>
              <w:jc w:val="center"/>
              <w:rPr>
                <w:rFonts w:hint="eastAsia" w:asciiTheme="minorEastAsia" w:hAnsiTheme="minorEastAsia" w:eastAsiaTheme="minorEastAsia" w:cstheme="minorEastAsia"/>
                <w:color w:val="auto"/>
                <w:sz w:val="24"/>
                <w:szCs w:val="24"/>
                <w:highlight w:val="none"/>
              </w:rPr>
            </w:pPr>
          </w:p>
        </w:tc>
        <w:tc>
          <w:tcPr>
            <w:tcW w:w="1504" w:type="dxa"/>
            <w:noWrap w:val="0"/>
            <w:vAlign w:val="top"/>
          </w:tcPr>
          <w:p w14:paraId="07AD8F7E">
            <w:pPr>
              <w:spacing w:line="440" w:lineRule="exact"/>
              <w:jc w:val="center"/>
              <w:rPr>
                <w:rFonts w:hint="eastAsia" w:asciiTheme="minorEastAsia" w:hAnsiTheme="minorEastAsia" w:eastAsiaTheme="minorEastAsia" w:cstheme="minorEastAsia"/>
                <w:color w:val="auto"/>
                <w:sz w:val="24"/>
                <w:szCs w:val="24"/>
                <w:highlight w:val="none"/>
              </w:rPr>
            </w:pPr>
          </w:p>
        </w:tc>
        <w:tc>
          <w:tcPr>
            <w:tcW w:w="724" w:type="dxa"/>
            <w:noWrap w:val="0"/>
            <w:vAlign w:val="top"/>
          </w:tcPr>
          <w:p w14:paraId="034F74FD">
            <w:pPr>
              <w:spacing w:line="440" w:lineRule="exact"/>
              <w:jc w:val="center"/>
              <w:rPr>
                <w:rFonts w:hint="eastAsia" w:asciiTheme="minorEastAsia" w:hAnsiTheme="minorEastAsia" w:eastAsiaTheme="minorEastAsia" w:cstheme="minorEastAsia"/>
                <w:color w:val="auto"/>
                <w:sz w:val="24"/>
                <w:szCs w:val="24"/>
                <w:highlight w:val="none"/>
              </w:rPr>
            </w:pPr>
          </w:p>
        </w:tc>
      </w:tr>
      <w:tr w14:paraId="07BE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0"/>
            <w:vAlign w:val="top"/>
          </w:tcPr>
          <w:p w14:paraId="25F6FAE3">
            <w:pPr>
              <w:spacing w:line="440" w:lineRule="exact"/>
              <w:jc w:val="center"/>
              <w:rPr>
                <w:rFonts w:hint="eastAsia" w:asciiTheme="minorEastAsia" w:hAnsiTheme="minorEastAsia" w:eastAsiaTheme="minorEastAsia" w:cstheme="minorEastAsia"/>
                <w:color w:val="auto"/>
                <w:sz w:val="24"/>
                <w:szCs w:val="24"/>
                <w:highlight w:val="none"/>
              </w:rPr>
            </w:pPr>
          </w:p>
        </w:tc>
        <w:tc>
          <w:tcPr>
            <w:tcW w:w="1124" w:type="dxa"/>
            <w:noWrap w:val="0"/>
            <w:vAlign w:val="top"/>
          </w:tcPr>
          <w:p w14:paraId="56C3A360">
            <w:pPr>
              <w:spacing w:line="440" w:lineRule="exact"/>
              <w:jc w:val="center"/>
              <w:rPr>
                <w:rFonts w:hint="eastAsia" w:asciiTheme="minorEastAsia" w:hAnsiTheme="minorEastAsia" w:eastAsiaTheme="minorEastAsia" w:cstheme="minorEastAsia"/>
                <w:color w:val="auto"/>
                <w:sz w:val="24"/>
                <w:szCs w:val="24"/>
                <w:highlight w:val="none"/>
              </w:rPr>
            </w:pPr>
          </w:p>
        </w:tc>
        <w:tc>
          <w:tcPr>
            <w:tcW w:w="906" w:type="dxa"/>
            <w:noWrap w:val="0"/>
            <w:vAlign w:val="top"/>
          </w:tcPr>
          <w:p w14:paraId="22C17D7C">
            <w:pPr>
              <w:spacing w:line="440" w:lineRule="exact"/>
              <w:jc w:val="center"/>
              <w:rPr>
                <w:rFonts w:hint="eastAsia" w:asciiTheme="minorEastAsia" w:hAnsiTheme="minorEastAsia" w:eastAsiaTheme="minorEastAsia" w:cstheme="minorEastAsia"/>
                <w:color w:val="auto"/>
                <w:sz w:val="24"/>
                <w:szCs w:val="24"/>
                <w:highlight w:val="none"/>
              </w:rPr>
            </w:pPr>
          </w:p>
        </w:tc>
        <w:tc>
          <w:tcPr>
            <w:tcW w:w="1251" w:type="dxa"/>
            <w:noWrap w:val="0"/>
            <w:vAlign w:val="top"/>
          </w:tcPr>
          <w:p w14:paraId="2361A923">
            <w:pPr>
              <w:spacing w:line="440" w:lineRule="exact"/>
              <w:jc w:val="center"/>
              <w:rPr>
                <w:rFonts w:hint="eastAsia" w:asciiTheme="minorEastAsia" w:hAnsiTheme="minorEastAsia" w:eastAsiaTheme="minorEastAsia" w:cstheme="minorEastAsia"/>
                <w:color w:val="auto"/>
                <w:sz w:val="24"/>
                <w:szCs w:val="24"/>
                <w:highlight w:val="none"/>
              </w:rPr>
            </w:pPr>
          </w:p>
        </w:tc>
        <w:tc>
          <w:tcPr>
            <w:tcW w:w="1432" w:type="dxa"/>
            <w:noWrap w:val="0"/>
            <w:vAlign w:val="top"/>
          </w:tcPr>
          <w:p w14:paraId="2E729311">
            <w:pPr>
              <w:spacing w:line="440" w:lineRule="exact"/>
              <w:jc w:val="center"/>
              <w:rPr>
                <w:rFonts w:hint="eastAsia" w:asciiTheme="minorEastAsia" w:hAnsiTheme="minorEastAsia" w:eastAsiaTheme="minorEastAsia" w:cstheme="minorEastAsia"/>
                <w:color w:val="auto"/>
                <w:sz w:val="24"/>
                <w:szCs w:val="24"/>
                <w:highlight w:val="none"/>
              </w:rPr>
            </w:pPr>
          </w:p>
        </w:tc>
        <w:tc>
          <w:tcPr>
            <w:tcW w:w="1541" w:type="dxa"/>
            <w:noWrap w:val="0"/>
            <w:vAlign w:val="top"/>
          </w:tcPr>
          <w:p w14:paraId="6510718A">
            <w:pPr>
              <w:spacing w:line="440" w:lineRule="exact"/>
              <w:jc w:val="center"/>
              <w:rPr>
                <w:rFonts w:hint="eastAsia" w:asciiTheme="minorEastAsia" w:hAnsiTheme="minorEastAsia" w:eastAsiaTheme="minorEastAsia" w:cstheme="minorEastAsia"/>
                <w:color w:val="auto"/>
                <w:sz w:val="24"/>
                <w:szCs w:val="24"/>
                <w:highlight w:val="none"/>
              </w:rPr>
            </w:pPr>
          </w:p>
        </w:tc>
        <w:tc>
          <w:tcPr>
            <w:tcW w:w="1504" w:type="dxa"/>
            <w:noWrap w:val="0"/>
            <w:vAlign w:val="top"/>
          </w:tcPr>
          <w:p w14:paraId="3490A7D1">
            <w:pPr>
              <w:spacing w:line="440" w:lineRule="exact"/>
              <w:jc w:val="center"/>
              <w:rPr>
                <w:rFonts w:hint="eastAsia" w:asciiTheme="minorEastAsia" w:hAnsiTheme="minorEastAsia" w:eastAsiaTheme="minorEastAsia" w:cstheme="minorEastAsia"/>
                <w:color w:val="auto"/>
                <w:sz w:val="24"/>
                <w:szCs w:val="24"/>
                <w:highlight w:val="none"/>
              </w:rPr>
            </w:pPr>
          </w:p>
        </w:tc>
        <w:tc>
          <w:tcPr>
            <w:tcW w:w="724" w:type="dxa"/>
            <w:noWrap w:val="0"/>
            <w:vAlign w:val="top"/>
          </w:tcPr>
          <w:p w14:paraId="535933ED">
            <w:pPr>
              <w:spacing w:line="440" w:lineRule="exact"/>
              <w:jc w:val="center"/>
              <w:rPr>
                <w:rFonts w:hint="eastAsia" w:asciiTheme="minorEastAsia" w:hAnsiTheme="minorEastAsia" w:eastAsiaTheme="minorEastAsia" w:cstheme="minorEastAsia"/>
                <w:color w:val="auto"/>
                <w:sz w:val="24"/>
                <w:szCs w:val="24"/>
                <w:highlight w:val="none"/>
              </w:rPr>
            </w:pPr>
          </w:p>
        </w:tc>
      </w:tr>
      <w:tr w14:paraId="014A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0"/>
            <w:vAlign w:val="top"/>
          </w:tcPr>
          <w:p w14:paraId="7322FC5B">
            <w:pPr>
              <w:spacing w:line="440" w:lineRule="exact"/>
              <w:jc w:val="center"/>
              <w:rPr>
                <w:rFonts w:hint="eastAsia" w:asciiTheme="minorEastAsia" w:hAnsiTheme="minorEastAsia" w:eastAsiaTheme="minorEastAsia" w:cstheme="minorEastAsia"/>
                <w:color w:val="auto"/>
                <w:sz w:val="24"/>
                <w:szCs w:val="24"/>
                <w:highlight w:val="none"/>
              </w:rPr>
            </w:pPr>
          </w:p>
        </w:tc>
        <w:tc>
          <w:tcPr>
            <w:tcW w:w="1124" w:type="dxa"/>
            <w:noWrap w:val="0"/>
            <w:vAlign w:val="top"/>
          </w:tcPr>
          <w:p w14:paraId="29F406B5">
            <w:pPr>
              <w:spacing w:line="440" w:lineRule="exact"/>
              <w:jc w:val="center"/>
              <w:rPr>
                <w:rFonts w:hint="eastAsia" w:asciiTheme="minorEastAsia" w:hAnsiTheme="minorEastAsia" w:eastAsiaTheme="minorEastAsia" w:cstheme="minorEastAsia"/>
                <w:color w:val="auto"/>
                <w:sz w:val="24"/>
                <w:szCs w:val="24"/>
                <w:highlight w:val="none"/>
              </w:rPr>
            </w:pPr>
          </w:p>
        </w:tc>
        <w:tc>
          <w:tcPr>
            <w:tcW w:w="906" w:type="dxa"/>
            <w:noWrap w:val="0"/>
            <w:vAlign w:val="top"/>
          </w:tcPr>
          <w:p w14:paraId="7F227BDA">
            <w:pPr>
              <w:spacing w:line="440" w:lineRule="exact"/>
              <w:jc w:val="center"/>
              <w:rPr>
                <w:rFonts w:hint="eastAsia" w:asciiTheme="minorEastAsia" w:hAnsiTheme="minorEastAsia" w:eastAsiaTheme="minorEastAsia" w:cstheme="minorEastAsia"/>
                <w:color w:val="auto"/>
                <w:sz w:val="24"/>
                <w:szCs w:val="24"/>
                <w:highlight w:val="none"/>
              </w:rPr>
            </w:pPr>
          </w:p>
        </w:tc>
        <w:tc>
          <w:tcPr>
            <w:tcW w:w="1251" w:type="dxa"/>
            <w:noWrap w:val="0"/>
            <w:vAlign w:val="top"/>
          </w:tcPr>
          <w:p w14:paraId="37ACDDCF">
            <w:pPr>
              <w:spacing w:line="440" w:lineRule="exact"/>
              <w:jc w:val="center"/>
              <w:rPr>
                <w:rFonts w:hint="eastAsia" w:asciiTheme="minorEastAsia" w:hAnsiTheme="minorEastAsia" w:eastAsiaTheme="minorEastAsia" w:cstheme="minorEastAsia"/>
                <w:color w:val="auto"/>
                <w:sz w:val="24"/>
                <w:szCs w:val="24"/>
                <w:highlight w:val="none"/>
              </w:rPr>
            </w:pPr>
          </w:p>
        </w:tc>
        <w:tc>
          <w:tcPr>
            <w:tcW w:w="1432" w:type="dxa"/>
            <w:noWrap w:val="0"/>
            <w:vAlign w:val="top"/>
          </w:tcPr>
          <w:p w14:paraId="638DB74B">
            <w:pPr>
              <w:spacing w:line="440" w:lineRule="exact"/>
              <w:jc w:val="center"/>
              <w:rPr>
                <w:rFonts w:hint="eastAsia" w:asciiTheme="minorEastAsia" w:hAnsiTheme="minorEastAsia" w:eastAsiaTheme="minorEastAsia" w:cstheme="minorEastAsia"/>
                <w:color w:val="auto"/>
                <w:sz w:val="24"/>
                <w:szCs w:val="24"/>
                <w:highlight w:val="none"/>
              </w:rPr>
            </w:pPr>
          </w:p>
        </w:tc>
        <w:tc>
          <w:tcPr>
            <w:tcW w:w="1541" w:type="dxa"/>
            <w:noWrap w:val="0"/>
            <w:vAlign w:val="top"/>
          </w:tcPr>
          <w:p w14:paraId="2B0FCEEF">
            <w:pPr>
              <w:spacing w:line="440" w:lineRule="exact"/>
              <w:jc w:val="center"/>
              <w:rPr>
                <w:rFonts w:hint="eastAsia" w:asciiTheme="minorEastAsia" w:hAnsiTheme="minorEastAsia" w:eastAsiaTheme="minorEastAsia" w:cstheme="minorEastAsia"/>
                <w:color w:val="auto"/>
                <w:sz w:val="24"/>
                <w:szCs w:val="24"/>
                <w:highlight w:val="none"/>
              </w:rPr>
            </w:pPr>
          </w:p>
        </w:tc>
        <w:tc>
          <w:tcPr>
            <w:tcW w:w="1504" w:type="dxa"/>
            <w:noWrap w:val="0"/>
            <w:vAlign w:val="top"/>
          </w:tcPr>
          <w:p w14:paraId="47FD1E4A">
            <w:pPr>
              <w:spacing w:line="440" w:lineRule="exact"/>
              <w:jc w:val="center"/>
              <w:rPr>
                <w:rFonts w:hint="eastAsia" w:asciiTheme="minorEastAsia" w:hAnsiTheme="minorEastAsia" w:eastAsiaTheme="minorEastAsia" w:cstheme="minorEastAsia"/>
                <w:color w:val="auto"/>
                <w:sz w:val="24"/>
                <w:szCs w:val="24"/>
                <w:highlight w:val="none"/>
              </w:rPr>
            </w:pPr>
          </w:p>
        </w:tc>
        <w:tc>
          <w:tcPr>
            <w:tcW w:w="724" w:type="dxa"/>
            <w:noWrap w:val="0"/>
            <w:vAlign w:val="top"/>
          </w:tcPr>
          <w:p w14:paraId="47AFE634">
            <w:pPr>
              <w:spacing w:line="440" w:lineRule="exact"/>
              <w:jc w:val="center"/>
              <w:rPr>
                <w:rFonts w:hint="eastAsia" w:asciiTheme="minorEastAsia" w:hAnsiTheme="minorEastAsia" w:eastAsiaTheme="minorEastAsia" w:cstheme="minorEastAsia"/>
                <w:color w:val="auto"/>
                <w:sz w:val="24"/>
                <w:szCs w:val="24"/>
                <w:highlight w:val="none"/>
              </w:rPr>
            </w:pPr>
          </w:p>
        </w:tc>
      </w:tr>
    </w:tbl>
    <w:p w14:paraId="0D66E798">
      <w:pPr>
        <w:spacing w:line="440" w:lineRule="exact"/>
        <w:ind w:left="210" w:left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注：1、本工程一旦我单位中标，将配备上述项目管理人员。上述填报内容真实，如不真实，将按照有关规定接受处理。</w:t>
      </w:r>
    </w:p>
    <w:p w14:paraId="0E2C3CD0">
      <w:pPr>
        <w:numPr>
          <w:ilvl w:val="0"/>
          <w:numId w:val="12"/>
        </w:numPr>
        <w:spacing w:line="440" w:lineRule="exact"/>
        <w:ind w:left="210" w:leftChars="100" w:firstLine="480"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承包人若需要更换本工程</w:t>
      </w:r>
      <w:r>
        <w:rPr>
          <w:rFonts w:hint="eastAsia" w:asciiTheme="minorEastAsia" w:hAnsiTheme="minorEastAsia" w:eastAsiaTheme="minorEastAsia" w:cstheme="minorEastAsia"/>
          <w:b/>
          <w:color w:val="auto"/>
          <w:kern w:val="0"/>
          <w:sz w:val="24"/>
          <w:szCs w:val="24"/>
          <w:highlight w:val="none"/>
          <w:lang w:val="en-US" w:eastAsia="zh-CN"/>
        </w:rPr>
        <w:t>响应</w:t>
      </w:r>
      <w:r>
        <w:rPr>
          <w:rFonts w:hint="eastAsia" w:asciiTheme="minorEastAsia" w:hAnsiTheme="minorEastAsia" w:eastAsiaTheme="minorEastAsia" w:cstheme="minorEastAsia"/>
          <w:b/>
          <w:color w:val="auto"/>
          <w:kern w:val="0"/>
          <w:sz w:val="24"/>
          <w:szCs w:val="24"/>
          <w:highlight w:val="none"/>
        </w:rPr>
        <w:t>文件中原有人员时须经发包人同意。未经发包人同意，承包人更换人员应承担违约责任</w:t>
      </w:r>
      <w:r>
        <w:rPr>
          <w:rFonts w:hint="eastAsia" w:asciiTheme="minorEastAsia" w:hAnsiTheme="minorEastAsia" w:eastAsiaTheme="minorEastAsia" w:cstheme="minorEastAsia"/>
          <w:b/>
          <w:color w:val="auto"/>
          <w:kern w:val="0"/>
          <w:sz w:val="24"/>
          <w:szCs w:val="24"/>
          <w:highlight w:val="none"/>
          <w:lang w:eastAsia="zh-CN"/>
        </w:rPr>
        <w:t>，</w:t>
      </w:r>
      <w:r>
        <w:rPr>
          <w:rFonts w:hint="eastAsia" w:asciiTheme="minorEastAsia" w:hAnsiTheme="minorEastAsia" w:eastAsiaTheme="minorEastAsia" w:cstheme="minorEastAsia"/>
          <w:b/>
          <w:color w:val="auto"/>
          <w:kern w:val="0"/>
          <w:sz w:val="24"/>
          <w:szCs w:val="24"/>
          <w:highlight w:val="none"/>
        </w:rPr>
        <w:t>并且按照中标价</w:t>
      </w:r>
      <w:r>
        <w:rPr>
          <w:rFonts w:hint="eastAsia" w:asciiTheme="minorEastAsia" w:hAnsiTheme="minorEastAsia" w:eastAsiaTheme="minorEastAsia" w:cstheme="minorEastAsia"/>
          <w:b/>
          <w:color w:val="auto"/>
          <w:kern w:val="0"/>
          <w:sz w:val="24"/>
          <w:szCs w:val="24"/>
          <w:highlight w:val="none"/>
          <w:u w:val="single"/>
        </w:rPr>
        <w:t xml:space="preserve"> </w:t>
      </w:r>
      <w:r>
        <w:rPr>
          <w:rFonts w:hint="eastAsia" w:asciiTheme="minorEastAsia" w:hAnsiTheme="minorEastAsia" w:eastAsiaTheme="minorEastAsia" w:cstheme="minorEastAsia"/>
          <w:b/>
          <w:bCs/>
          <w:color w:val="auto"/>
          <w:kern w:val="0"/>
          <w:sz w:val="24"/>
          <w:szCs w:val="24"/>
          <w:highlight w:val="none"/>
          <w:u w:val="single"/>
        </w:rPr>
        <w:t>5</w:t>
      </w:r>
      <w:r>
        <w:rPr>
          <w:rFonts w:hint="eastAsia" w:asciiTheme="minorEastAsia" w:hAnsiTheme="minorEastAsia" w:eastAsiaTheme="minorEastAsia" w:cstheme="minorEastAsia"/>
          <w:b/>
          <w:color w:val="auto"/>
          <w:kern w:val="0"/>
          <w:sz w:val="24"/>
          <w:szCs w:val="24"/>
          <w:highlight w:val="none"/>
          <w:u w:val="single"/>
        </w:rPr>
        <w:t xml:space="preserve"> </w:t>
      </w:r>
      <w:r>
        <w:rPr>
          <w:rFonts w:hint="eastAsia" w:asciiTheme="minorEastAsia" w:hAnsiTheme="minorEastAsia" w:eastAsiaTheme="minorEastAsia" w:cstheme="minorEastAsia"/>
          <w:b/>
          <w:bCs/>
          <w:color w:val="auto"/>
          <w:kern w:val="0"/>
          <w:sz w:val="24"/>
          <w:szCs w:val="24"/>
          <w:highlight w:val="none"/>
        </w:rPr>
        <w:t>％</w:t>
      </w:r>
      <w:r>
        <w:rPr>
          <w:rFonts w:hint="eastAsia" w:asciiTheme="minorEastAsia" w:hAnsiTheme="minorEastAsia" w:eastAsiaTheme="minorEastAsia" w:cstheme="minorEastAsia"/>
          <w:b/>
          <w:color w:val="auto"/>
          <w:kern w:val="0"/>
          <w:sz w:val="24"/>
          <w:szCs w:val="24"/>
          <w:highlight w:val="none"/>
        </w:rPr>
        <w:t xml:space="preserve"> 给发包人支付违约金。</w:t>
      </w:r>
    </w:p>
    <w:p w14:paraId="58E645A0">
      <w:pPr>
        <w:numPr>
          <w:ilvl w:val="0"/>
          <w:numId w:val="0"/>
        </w:numPr>
        <w:spacing w:line="440" w:lineRule="exact"/>
        <w:ind w:leftChars="300"/>
        <w:rPr>
          <w:rFonts w:hint="eastAsia" w:asciiTheme="minorEastAsia" w:hAnsiTheme="minorEastAsia" w:eastAsiaTheme="minorEastAsia" w:cstheme="minorEastAsia"/>
          <w:color w:val="auto"/>
          <w:sz w:val="24"/>
          <w:szCs w:val="24"/>
          <w:highlight w:val="none"/>
        </w:rPr>
      </w:pPr>
    </w:p>
    <w:p w14:paraId="7DCA8618">
      <w:pPr>
        <w:numPr>
          <w:ilvl w:val="0"/>
          <w:numId w:val="0"/>
        </w:numPr>
        <w:spacing w:line="44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lang w:val="en-US" w:eastAsia="zh-CN"/>
        </w:rPr>
        <w:t>4.2</w:t>
      </w:r>
      <w:r>
        <w:rPr>
          <w:rFonts w:hint="eastAsia" w:asciiTheme="minorEastAsia" w:hAnsiTheme="minorEastAsia" w:eastAsiaTheme="minorEastAsia" w:cstheme="minorEastAsia"/>
          <w:color w:val="auto"/>
          <w:sz w:val="24"/>
          <w:szCs w:val="24"/>
          <w:highlight w:val="none"/>
        </w:rPr>
        <w:t>主要人员简历表</w:t>
      </w:r>
    </w:p>
    <w:p w14:paraId="45E148DC">
      <w:pPr>
        <w:spacing w:line="42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4.2.1</w:t>
      </w:r>
      <w:r>
        <w:rPr>
          <w:rFonts w:hint="eastAsia" w:asciiTheme="minorEastAsia" w:hAnsiTheme="minorEastAsia" w:eastAsiaTheme="minorEastAsia" w:cstheme="minorEastAsia"/>
          <w:color w:val="auto"/>
          <w:sz w:val="24"/>
          <w:szCs w:val="24"/>
          <w:highlight w:val="none"/>
        </w:rPr>
        <w:t>项目经理简历表</w:t>
      </w:r>
    </w:p>
    <w:p w14:paraId="7FCC5060">
      <w:pPr>
        <w:spacing w:line="4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项目经理应附建造师注册证书、安全生产考核证书、身份证、职称证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如有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、学历证</w:t>
      </w:r>
      <w:r>
        <w:rPr>
          <w:rFonts w:hint="eastAsia" w:asciiTheme="minorEastAsia" w:hAnsiTheme="minorEastAsia" w:eastAsiaTheme="minorEastAsia" w:cstheme="minorEastAsia"/>
          <w:color w:val="auto"/>
          <w:sz w:val="24"/>
          <w:szCs w:val="24"/>
          <w:highlight w:val="none"/>
          <w:lang w:val="en-US" w:eastAsia="zh-CN"/>
        </w:rPr>
        <w:t>等资料</w:t>
      </w:r>
      <w:r>
        <w:rPr>
          <w:rFonts w:hint="eastAsia" w:asciiTheme="minorEastAsia" w:hAnsiTheme="minorEastAsia" w:eastAsiaTheme="minorEastAsia" w:cstheme="minorEastAsia"/>
          <w:color w:val="auto"/>
          <w:sz w:val="24"/>
          <w:szCs w:val="24"/>
          <w:highlight w:val="none"/>
        </w:rPr>
        <w:t>复印件及未担任其他在施建设工程项目项目经理的承诺书，管理过的项目业绩须附中标通知书、合同协议书复印件。类似项目限于以项目经理身份参与的项目。</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441"/>
      </w:tblGrid>
      <w:tr w14:paraId="077E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5AA5ED9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p>
        </w:tc>
        <w:tc>
          <w:tcPr>
            <w:tcW w:w="1035" w:type="dxa"/>
            <w:noWrap w:val="0"/>
            <w:vAlign w:val="center"/>
          </w:tcPr>
          <w:p w14:paraId="3D0ED89D">
            <w:pPr>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3978B9B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龄</w:t>
            </w:r>
          </w:p>
        </w:tc>
        <w:tc>
          <w:tcPr>
            <w:tcW w:w="1275" w:type="dxa"/>
            <w:noWrap w:val="0"/>
            <w:vAlign w:val="center"/>
          </w:tcPr>
          <w:p w14:paraId="062CDABC">
            <w:pPr>
              <w:jc w:val="center"/>
              <w:rPr>
                <w:rFonts w:hint="eastAsia" w:asciiTheme="minorEastAsia" w:hAnsiTheme="minorEastAsia" w:eastAsiaTheme="minorEastAsia" w:cstheme="minorEastAsia"/>
                <w:color w:val="auto"/>
                <w:sz w:val="24"/>
                <w:szCs w:val="24"/>
                <w:highlight w:val="none"/>
              </w:rPr>
            </w:pPr>
          </w:p>
        </w:tc>
        <w:tc>
          <w:tcPr>
            <w:tcW w:w="1843" w:type="dxa"/>
            <w:noWrap w:val="0"/>
            <w:vAlign w:val="center"/>
          </w:tcPr>
          <w:p w14:paraId="68FDBDD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学历</w:t>
            </w:r>
          </w:p>
        </w:tc>
        <w:tc>
          <w:tcPr>
            <w:tcW w:w="2441" w:type="dxa"/>
            <w:noWrap w:val="0"/>
            <w:vAlign w:val="center"/>
          </w:tcPr>
          <w:p w14:paraId="796E34BE">
            <w:pPr>
              <w:jc w:val="center"/>
              <w:rPr>
                <w:rFonts w:hint="eastAsia" w:asciiTheme="minorEastAsia" w:hAnsiTheme="minorEastAsia" w:eastAsiaTheme="minorEastAsia" w:cstheme="minorEastAsia"/>
                <w:color w:val="auto"/>
                <w:sz w:val="24"/>
                <w:szCs w:val="24"/>
                <w:highlight w:val="none"/>
              </w:rPr>
            </w:pPr>
          </w:p>
        </w:tc>
      </w:tr>
      <w:tr w14:paraId="72A1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1D61644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称</w:t>
            </w:r>
          </w:p>
        </w:tc>
        <w:tc>
          <w:tcPr>
            <w:tcW w:w="1035" w:type="dxa"/>
            <w:noWrap w:val="0"/>
            <w:vAlign w:val="center"/>
          </w:tcPr>
          <w:p w14:paraId="40E8FC8B">
            <w:pPr>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4E01A6E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务</w:t>
            </w:r>
          </w:p>
        </w:tc>
        <w:tc>
          <w:tcPr>
            <w:tcW w:w="1275" w:type="dxa"/>
            <w:noWrap w:val="0"/>
            <w:vAlign w:val="center"/>
          </w:tcPr>
          <w:p w14:paraId="3597CDA7">
            <w:pPr>
              <w:jc w:val="center"/>
              <w:rPr>
                <w:rFonts w:hint="eastAsia" w:asciiTheme="minorEastAsia" w:hAnsiTheme="minorEastAsia" w:eastAsiaTheme="minorEastAsia" w:cstheme="minorEastAsia"/>
                <w:color w:val="auto"/>
                <w:sz w:val="24"/>
                <w:szCs w:val="24"/>
                <w:highlight w:val="none"/>
              </w:rPr>
            </w:pPr>
          </w:p>
        </w:tc>
        <w:tc>
          <w:tcPr>
            <w:tcW w:w="1843" w:type="dxa"/>
            <w:noWrap w:val="0"/>
            <w:vAlign w:val="center"/>
          </w:tcPr>
          <w:p w14:paraId="7E30999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拟在本工程任职</w:t>
            </w:r>
          </w:p>
        </w:tc>
        <w:tc>
          <w:tcPr>
            <w:tcW w:w="2441" w:type="dxa"/>
            <w:noWrap w:val="0"/>
            <w:vAlign w:val="center"/>
          </w:tcPr>
          <w:p w14:paraId="3F90012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r>
      <w:tr w14:paraId="4258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noWrap w:val="0"/>
            <w:vAlign w:val="center"/>
          </w:tcPr>
          <w:p w14:paraId="65B2830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注册建造师执业资格等级</w:t>
            </w:r>
          </w:p>
        </w:tc>
        <w:tc>
          <w:tcPr>
            <w:tcW w:w="1275" w:type="dxa"/>
            <w:noWrap w:val="0"/>
            <w:vAlign w:val="center"/>
          </w:tcPr>
          <w:p w14:paraId="11B8492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级</w:t>
            </w:r>
          </w:p>
        </w:tc>
        <w:tc>
          <w:tcPr>
            <w:tcW w:w="1843" w:type="dxa"/>
            <w:noWrap w:val="0"/>
            <w:vAlign w:val="center"/>
          </w:tcPr>
          <w:p w14:paraId="783E22D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建造师专业</w:t>
            </w:r>
          </w:p>
        </w:tc>
        <w:tc>
          <w:tcPr>
            <w:tcW w:w="2441" w:type="dxa"/>
            <w:noWrap w:val="0"/>
            <w:vAlign w:val="center"/>
          </w:tcPr>
          <w:p w14:paraId="354CA50D">
            <w:pPr>
              <w:jc w:val="center"/>
              <w:rPr>
                <w:rFonts w:hint="eastAsia" w:asciiTheme="minorEastAsia" w:hAnsiTheme="minorEastAsia" w:eastAsiaTheme="minorEastAsia" w:cstheme="minorEastAsia"/>
                <w:color w:val="auto"/>
                <w:sz w:val="24"/>
                <w:szCs w:val="24"/>
                <w:highlight w:val="none"/>
              </w:rPr>
            </w:pPr>
          </w:p>
        </w:tc>
      </w:tr>
      <w:tr w14:paraId="3964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noWrap w:val="0"/>
            <w:vAlign w:val="center"/>
          </w:tcPr>
          <w:p w14:paraId="0201CF8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安全生产考核合格证书</w:t>
            </w:r>
          </w:p>
        </w:tc>
        <w:tc>
          <w:tcPr>
            <w:tcW w:w="5559" w:type="dxa"/>
            <w:gridSpan w:val="3"/>
            <w:noWrap w:val="0"/>
            <w:vAlign w:val="center"/>
          </w:tcPr>
          <w:p w14:paraId="2B202463">
            <w:pPr>
              <w:jc w:val="center"/>
              <w:rPr>
                <w:rFonts w:hint="eastAsia" w:asciiTheme="minorEastAsia" w:hAnsiTheme="minorEastAsia" w:eastAsiaTheme="minorEastAsia" w:cstheme="minorEastAsia"/>
                <w:color w:val="auto"/>
                <w:sz w:val="24"/>
                <w:szCs w:val="24"/>
                <w:highlight w:val="none"/>
              </w:rPr>
            </w:pPr>
          </w:p>
        </w:tc>
      </w:tr>
      <w:tr w14:paraId="7328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230DE64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毕业学校</w:t>
            </w:r>
          </w:p>
        </w:tc>
        <w:tc>
          <w:tcPr>
            <w:tcW w:w="7728" w:type="dxa"/>
            <w:gridSpan w:val="5"/>
            <w:noWrap w:val="0"/>
            <w:vAlign w:val="center"/>
          </w:tcPr>
          <w:p w14:paraId="352477C2">
            <w:pPr>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年毕业于                  学校            专业</w:t>
            </w:r>
          </w:p>
        </w:tc>
      </w:tr>
      <w:tr w14:paraId="7493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0" w:type="dxa"/>
            <w:gridSpan w:val="6"/>
            <w:noWrap w:val="0"/>
            <w:vAlign w:val="center"/>
          </w:tcPr>
          <w:p w14:paraId="2BFEB1A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主要工作经历</w:t>
            </w:r>
          </w:p>
        </w:tc>
      </w:tr>
      <w:tr w14:paraId="4A62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50C929F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时  间</w:t>
            </w:r>
          </w:p>
        </w:tc>
        <w:tc>
          <w:tcPr>
            <w:tcW w:w="3444" w:type="dxa"/>
            <w:gridSpan w:val="3"/>
            <w:noWrap w:val="0"/>
            <w:vAlign w:val="center"/>
          </w:tcPr>
          <w:p w14:paraId="355A96E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参加过的类似项目名称</w:t>
            </w:r>
          </w:p>
        </w:tc>
        <w:tc>
          <w:tcPr>
            <w:tcW w:w="1843" w:type="dxa"/>
            <w:noWrap w:val="0"/>
            <w:vAlign w:val="center"/>
          </w:tcPr>
          <w:p w14:paraId="1F2D3E0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工程概况说明</w:t>
            </w:r>
          </w:p>
        </w:tc>
        <w:tc>
          <w:tcPr>
            <w:tcW w:w="2441" w:type="dxa"/>
            <w:noWrap w:val="0"/>
            <w:vAlign w:val="center"/>
          </w:tcPr>
          <w:p w14:paraId="5CEA9BA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发包人及联系电话</w:t>
            </w:r>
          </w:p>
        </w:tc>
      </w:tr>
      <w:tr w14:paraId="3C45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0D90F8C7">
            <w:pPr>
              <w:jc w:val="center"/>
              <w:rPr>
                <w:rFonts w:hint="eastAsia" w:asciiTheme="minorEastAsia" w:hAnsiTheme="minorEastAsia" w:eastAsiaTheme="minorEastAsia" w:cstheme="minorEastAsia"/>
                <w:color w:val="auto"/>
                <w:sz w:val="24"/>
                <w:szCs w:val="24"/>
                <w:highlight w:val="none"/>
              </w:rPr>
            </w:pPr>
          </w:p>
        </w:tc>
        <w:tc>
          <w:tcPr>
            <w:tcW w:w="1035" w:type="dxa"/>
            <w:noWrap w:val="0"/>
            <w:vAlign w:val="center"/>
          </w:tcPr>
          <w:p w14:paraId="77DC1299">
            <w:pPr>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64209045">
            <w:pPr>
              <w:jc w:val="center"/>
              <w:rPr>
                <w:rFonts w:hint="eastAsia" w:asciiTheme="minorEastAsia" w:hAnsiTheme="minorEastAsia" w:eastAsiaTheme="minorEastAsia" w:cstheme="minorEastAsia"/>
                <w:color w:val="auto"/>
                <w:sz w:val="24"/>
                <w:szCs w:val="24"/>
                <w:highlight w:val="none"/>
              </w:rPr>
            </w:pPr>
          </w:p>
        </w:tc>
        <w:tc>
          <w:tcPr>
            <w:tcW w:w="1275" w:type="dxa"/>
            <w:noWrap w:val="0"/>
            <w:vAlign w:val="center"/>
          </w:tcPr>
          <w:p w14:paraId="0DCC9137">
            <w:pPr>
              <w:jc w:val="center"/>
              <w:rPr>
                <w:rFonts w:hint="eastAsia" w:asciiTheme="minorEastAsia" w:hAnsiTheme="minorEastAsia" w:eastAsiaTheme="minorEastAsia" w:cstheme="minorEastAsia"/>
                <w:color w:val="auto"/>
                <w:sz w:val="24"/>
                <w:szCs w:val="24"/>
                <w:highlight w:val="none"/>
              </w:rPr>
            </w:pPr>
          </w:p>
        </w:tc>
        <w:tc>
          <w:tcPr>
            <w:tcW w:w="1843" w:type="dxa"/>
            <w:noWrap w:val="0"/>
            <w:vAlign w:val="center"/>
          </w:tcPr>
          <w:p w14:paraId="491047F6">
            <w:pPr>
              <w:jc w:val="center"/>
              <w:rPr>
                <w:rFonts w:hint="eastAsia" w:asciiTheme="minorEastAsia" w:hAnsiTheme="minorEastAsia" w:eastAsiaTheme="minorEastAsia" w:cstheme="minorEastAsia"/>
                <w:color w:val="auto"/>
                <w:sz w:val="24"/>
                <w:szCs w:val="24"/>
                <w:highlight w:val="none"/>
              </w:rPr>
            </w:pPr>
          </w:p>
        </w:tc>
        <w:tc>
          <w:tcPr>
            <w:tcW w:w="2441" w:type="dxa"/>
            <w:noWrap w:val="0"/>
            <w:vAlign w:val="center"/>
          </w:tcPr>
          <w:p w14:paraId="4A6C6ED6">
            <w:pPr>
              <w:jc w:val="center"/>
              <w:rPr>
                <w:rFonts w:hint="eastAsia" w:asciiTheme="minorEastAsia" w:hAnsiTheme="minorEastAsia" w:eastAsiaTheme="minorEastAsia" w:cstheme="minorEastAsia"/>
                <w:color w:val="auto"/>
                <w:sz w:val="24"/>
                <w:szCs w:val="24"/>
                <w:highlight w:val="none"/>
              </w:rPr>
            </w:pPr>
          </w:p>
        </w:tc>
      </w:tr>
      <w:tr w14:paraId="77C4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7FCCFC98">
            <w:pPr>
              <w:jc w:val="center"/>
              <w:rPr>
                <w:rFonts w:hint="eastAsia" w:asciiTheme="minorEastAsia" w:hAnsiTheme="minorEastAsia" w:eastAsiaTheme="minorEastAsia" w:cstheme="minorEastAsia"/>
                <w:color w:val="auto"/>
                <w:sz w:val="24"/>
                <w:szCs w:val="24"/>
                <w:highlight w:val="none"/>
              </w:rPr>
            </w:pPr>
          </w:p>
        </w:tc>
        <w:tc>
          <w:tcPr>
            <w:tcW w:w="1035" w:type="dxa"/>
            <w:noWrap w:val="0"/>
            <w:vAlign w:val="center"/>
          </w:tcPr>
          <w:p w14:paraId="3B2D73F9">
            <w:pPr>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20BDE120">
            <w:pPr>
              <w:jc w:val="center"/>
              <w:rPr>
                <w:rFonts w:hint="eastAsia" w:asciiTheme="minorEastAsia" w:hAnsiTheme="minorEastAsia" w:eastAsiaTheme="minorEastAsia" w:cstheme="minorEastAsia"/>
                <w:color w:val="auto"/>
                <w:sz w:val="24"/>
                <w:szCs w:val="24"/>
                <w:highlight w:val="none"/>
              </w:rPr>
            </w:pPr>
          </w:p>
        </w:tc>
        <w:tc>
          <w:tcPr>
            <w:tcW w:w="1275" w:type="dxa"/>
            <w:noWrap w:val="0"/>
            <w:vAlign w:val="center"/>
          </w:tcPr>
          <w:p w14:paraId="16C4DC51">
            <w:pPr>
              <w:jc w:val="center"/>
              <w:rPr>
                <w:rFonts w:hint="eastAsia" w:asciiTheme="minorEastAsia" w:hAnsiTheme="minorEastAsia" w:eastAsiaTheme="minorEastAsia" w:cstheme="minorEastAsia"/>
                <w:color w:val="auto"/>
                <w:sz w:val="24"/>
                <w:szCs w:val="24"/>
                <w:highlight w:val="none"/>
              </w:rPr>
            </w:pPr>
          </w:p>
        </w:tc>
        <w:tc>
          <w:tcPr>
            <w:tcW w:w="1843" w:type="dxa"/>
            <w:noWrap w:val="0"/>
            <w:vAlign w:val="center"/>
          </w:tcPr>
          <w:p w14:paraId="3E5AFB7F">
            <w:pPr>
              <w:jc w:val="center"/>
              <w:rPr>
                <w:rFonts w:hint="eastAsia" w:asciiTheme="minorEastAsia" w:hAnsiTheme="minorEastAsia" w:eastAsiaTheme="minorEastAsia" w:cstheme="minorEastAsia"/>
                <w:color w:val="auto"/>
                <w:sz w:val="24"/>
                <w:szCs w:val="24"/>
                <w:highlight w:val="none"/>
              </w:rPr>
            </w:pPr>
          </w:p>
        </w:tc>
        <w:tc>
          <w:tcPr>
            <w:tcW w:w="2441" w:type="dxa"/>
            <w:noWrap w:val="0"/>
            <w:vAlign w:val="center"/>
          </w:tcPr>
          <w:p w14:paraId="16B665FE">
            <w:pPr>
              <w:jc w:val="center"/>
              <w:rPr>
                <w:rFonts w:hint="eastAsia" w:asciiTheme="minorEastAsia" w:hAnsiTheme="minorEastAsia" w:eastAsiaTheme="minorEastAsia" w:cstheme="minorEastAsia"/>
                <w:color w:val="auto"/>
                <w:sz w:val="24"/>
                <w:szCs w:val="24"/>
                <w:highlight w:val="none"/>
              </w:rPr>
            </w:pPr>
          </w:p>
        </w:tc>
      </w:tr>
      <w:tr w14:paraId="1A35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2660692A">
            <w:pPr>
              <w:jc w:val="center"/>
              <w:rPr>
                <w:rFonts w:hint="eastAsia" w:asciiTheme="minorEastAsia" w:hAnsiTheme="minorEastAsia" w:eastAsiaTheme="minorEastAsia" w:cstheme="minorEastAsia"/>
                <w:color w:val="auto"/>
                <w:sz w:val="24"/>
                <w:szCs w:val="24"/>
                <w:highlight w:val="none"/>
              </w:rPr>
            </w:pPr>
          </w:p>
        </w:tc>
        <w:tc>
          <w:tcPr>
            <w:tcW w:w="1035" w:type="dxa"/>
            <w:noWrap w:val="0"/>
            <w:vAlign w:val="center"/>
          </w:tcPr>
          <w:p w14:paraId="1E6A282A">
            <w:pPr>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57CB011E">
            <w:pPr>
              <w:jc w:val="center"/>
              <w:rPr>
                <w:rFonts w:hint="eastAsia" w:asciiTheme="minorEastAsia" w:hAnsiTheme="minorEastAsia" w:eastAsiaTheme="minorEastAsia" w:cstheme="minorEastAsia"/>
                <w:color w:val="auto"/>
                <w:sz w:val="24"/>
                <w:szCs w:val="24"/>
                <w:highlight w:val="none"/>
              </w:rPr>
            </w:pPr>
          </w:p>
        </w:tc>
        <w:tc>
          <w:tcPr>
            <w:tcW w:w="1275" w:type="dxa"/>
            <w:noWrap w:val="0"/>
            <w:vAlign w:val="center"/>
          </w:tcPr>
          <w:p w14:paraId="54964F8B">
            <w:pPr>
              <w:jc w:val="center"/>
              <w:rPr>
                <w:rFonts w:hint="eastAsia" w:asciiTheme="minorEastAsia" w:hAnsiTheme="minorEastAsia" w:eastAsiaTheme="minorEastAsia" w:cstheme="minorEastAsia"/>
                <w:color w:val="auto"/>
                <w:sz w:val="24"/>
                <w:szCs w:val="24"/>
                <w:highlight w:val="none"/>
              </w:rPr>
            </w:pPr>
          </w:p>
        </w:tc>
        <w:tc>
          <w:tcPr>
            <w:tcW w:w="1843" w:type="dxa"/>
            <w:noWrap w:val="0"/>
            <w:vAlign w:val="center"/>
          </w:tcPr>
          <w:p w14:paraId="3DF9645C">
            <w:pPr>
              <w:jc w:val="center"/>
              <w:rPr>
                <w:rFonts w:hint="eastAsia" w:asciiTheme="minorEastAsia" w:hAnsiTheme="minorEastAsia" w:eastAsiaTheme="minorEastAsia" w:cstheme="minorEastAsia"/>
                <w:color w:val="auto"/>
                <w:sz w:val="24"/>
                <w:szCs w:val="24"/>
                <w:highlight w:val="none"/>
              </w:rPr>
            </w:pPr>
          </w:p>
        </w:tc>
        <w:tc>
          <w:tcPr>
            <w:tcW w:w="2441" w:type="dxa"/>
            <w:noWrap w:val="0"/>
            <w:vAlign w:val="center"/>
          </w:tcPr>
          <w:p w14:paraId="56370552">
            <w:pPr>
              <w:jc w:val="center"/>
              <w:rPr>
                <w:rFonts w:hint="eastAsia" w:asciiTheme="minorEastAsia" w:hAnsiTheme="minorEastAsia" w:eastAsiaTheme="minorEastAsia" w:cstheme="minorEastAsia"/>
                <w:color w:val="auto"/>
                <w:sz w:val="24"/>
                <w:szCs w:val="24"/>
                <w:highlight w:val="none"/>
              </w:rPr>
            </w:pPr>
          </w:p>
        </w:tc>
      </w:tr>
      <w:tr w14:paraId="1073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53B48C1C">
            <w:pPr>
              <w:jc w:val="center"/>
              <w:rPr>
                <w:rFonts w:hint="eastAsia" w:asciiTheme="minorEastAsia" w:hAnsiTheme="minorEastAsia" w:eastAsiaTheme="minorEastAsia" w:cstheme="minorEastAsia"/>
                <w:color w:val="auto"/>
                <w:sz w:val="24"/>
                <w:szCs w:val="24"/>
                <w:highlight w:val="none"/>
              </w:rPr>
            </w:pPr>
          </w:p>
        </w:tc>
        <w:tc>
          <w:tcPr>
            <w:tcW w:w="1035" w:type="dxa"/>
            <w:noWrap w:val="0"/>
            <w:vAlign w:val="center"/>
          </w:tcPr>
          <w:p w14:paraId="368968D8">
            <w:pPr>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4E2AC4D2">
            <w:pPr>
              <w:jc w:val="center"/>
              <w:rPr>
                <w:rFonts w:hint="eastAsia" w:asciiTheme="minorEastAsia" w:hAnsiTheme="minorEastAsia" w:eastAsiaTheme="minorEastAsia" w:cstheme="minorEastAsia"/>
                <w:color w:val="auto"/>
                <w:sz w:val="24"/>
                <w:szCs w:val="24"/>
                <w:highlight w:val="none"/>
              </w:rPr>
            </w:pPr>
          </w:p>
        </w:tc>
        <w:tc>
          <w:tcPr>
            <w:tcW w:w="1275" w:type="dxa"/>
            <w:noWrap w:val="0"/>
            <w:vAlign w:val="center"/>
          </w:tcPr>
          <w:p w14:paraId="016F64AB">
            <w:pPr>
              <w:jc w:val="center"/>
              <w:rPr>
                <w:rFonts w:hint="eastAsia" w:asciiTheme="minorEastAsia" w:hAnsiTheme="minorEastAsia" w:eastAsiaTheme="minorEastAsia" w:cstheme="minorEastAsia"/>
                <w:color w:val="auto"/>
                <w:sz w:val="24"/>
                <w:szCs w:val="24"/>
                <w:highlight w:val="none"/>
              </w:rPr>
            </w:pPr>
          </w:p>
        </w:tc>
        <w:tc>
          <w:tcPr>
            <w:tcW w:w="1843" w:type="dxa"/>
            <w:noWrap w:val="0"/>
            <w:vAlign w:val="center"/>
          </w:tcPr>
          <w:p w14:paraId="488A9E13">
            <w:pPr>
              <w:jc w:val="center"/>
              <w:rPr>
                <w:rFonts w:hint="eastAsia" w:asciiTheme="minorEastAsia" w:hAnsiTheme="minorEastAsia" w:eastAsiaTheme="minorEastAsia" w:cstheme="minorEastAsia"/>
                <w:color w:val="auto"/>
                <w:sz w:val="24"/>
                <w:szCs w:val="24"/>
                <w:highlight w:val="none"/>
              </w:rPr>
            </w:pPr>
          </w:p>
        </w:tc>
        <w:tc>
          <w:tcPr>
            <w:tcW w:w="2441" w:type="dxa"/>
            <w:noWrap w:val="0"/>
            <w:vAlign w:val="center"/>
          </w:tcPr>
          <w:p w14:paraId="65314B8F">
            <w:pPr>
              <w:jc w:val="center"/>
              <w:rPr>
                <w:rFonts w:hint="eastAsia" w:asciiTheme="minorEastAsia" w:hAnsiTheme="minorEastAsia" w:eastAsiaTheme="minorEastAsia" w:cstheme="minorEastAsia"/>
                <w:color w:val="auto"/>
                <w:sz w:val="24"/>
                <w:szCs w:val="24"/>
                <w:highlight w:val="none"/>
              </w:rPr>
            </w:pPr>
          </w:p>
        </w:tc>
      </w:tr>
      <w:tr w14:paraId="3AE3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33AF9A1B">
            <w:pPr>
              <w:jc w:val="center"/>
              <w:rPr>
                <w:rFonts w:hint="eastAsia" w:asciiTheme="minorEastAsia" w:hAnsiTheme="minorEastAsia" w:eastAsiaTheme="minorEastAsia" w:cstheme="minorEastAsia"/>
                <w:color w:val="auto"/>
                <w:sz w:val="24"/>
                <w:szCs w:val="24"/>
                <w:highlight w:val="none"/>
              </w:rPr>
            </w:pPr>
          </w:p>
        </w:tc>
        <w:tc>
          <w:tcPr>
            <w:tcW w:w="1035" w:type="dxa"/>
            <w:noWrap w:val="0"/>
            <w:vAlign w:val="center"/>
          </w:tcPr>
          <w:p w14:paraId="1FDFF23D">
            <w:pPr>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431D69CC">
            <w:pPr>
              <w:jc w:val="center"/>
              <w:rPr>
                <w:rFonts w:hint="eastAsia" w:asciiTheme="minorEastAsia" w:hAnsiTheme="minorEastAsia" w:eastAsiaTheme="minorEastAsia" w:cstheme="minorEastAsia"/>
                <w:color w:val="auto"/>
                <w:sz w:val="24"/>
                <w:szCs w:val="24"/>
                <w:highlight w:val="none"/>
              </w:rPr>
            </w:pPr>
          </w:p>
        </w:tc>
        <w:tc>
          <w:tcPr>
            <w:tcW w:w="1275" w:type="dxa"/>
            <w:noWrap w:val="0"/>
            <w:vAlign w:val="center"/>
          </w:tcPr>
          <w:p w14:paraId="5B549D42">
            <w:pPr>
              <w:jc w:val="center"/>
              <w:rPr>
                <w:rFonts w:hint="eastAsia" w:asciiTheme="minorEastAsia" w:hAnsiTheme="minorEastAsia" w:eastAsiaTheme="minorEastAsia" w:cstheme="minorEastAsia"/>
                <w:color w:val="auto"/>
                <w:sz w:val="24"/>
                <w:szCs w:val="24"/>
                <w:highlight w:val="none"/>
              </w:rPr>
            </w:pPr>
          </w:p>
        </w:tc>
        <w:tc>
          <w:tcPr>
            <w:tcW w:w="1843" w:type="dxa"/>
            <w:noWrap w:val="0"/>
            <w:vAlign w:val="center"/>
          </w:tcPr>
          <w:p w14:paraId="547F69A0">
            <w:pPr>
              <w:jc w:val="center"/>
              <w:rPr>
                <w:rFonts w:hint="eastAsia" w:asciiTheme="minorEastAsia" w:hAnsiTheme="minorEastAsia" w:eastAsiaTheme="minorEastAsia" w:cstheme="minorEastAsia"/>
                <w:color w:val="auto"/>
                <w:sz w:val="24"/>
                <w:szCs w:val="24"/>
                <w:highlight w:val="none"/>
              </w:rPr>
            </w:pPr>
          </w:p>
        </w:tc>
        <w:tc>
          <w:tcPr>
            <w:tcW w:w="2441" w:type="dxa"/>
            <w:noWrap w:val="0"/>
            <w:vAlign w:val="center"/>
          </w:tcPr>
          <w:p w14:paraId="5308B125">
            <w:pPr>
              <w:jc w:val="center"/>
              <w:rPr>
                <w:rFonts w:hint="eastAsia" w:asciiTheme="minorEastAsia" w:hAnsiTheme="minorEastAsia" w:eastAsiaTheme="minorEastAsia" w:cstheme="minorEastAsia"/>
                <w:color w:val="auto"/>
                <w:sz w:val="24"/>
                <w:szCs w:val="24"/>
                <w:highlight w:val="none"/>
              </w:rPr>
            </w:pPr>
          </w:p>
        </w:tc>
      </w:tr>
      <w:tr w14:paraId="3C03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15071B96">
            <w:pPr>
              <w:jc w:val="center"/>
              <w:rPr>
                <w:rFonts w:hint="eastAsia" w:asciiTheme="minorEastAsia" w:hAnsiTheme="minorEastAsia" w:eastAsiaTheme="minorEastAsia" w:cstheme="minorEastAsia"/>
                <w:color w:val="auto"/>
                <w:sz w:val="24"/>
                <w:szCs w:val="24"/>
                <w:highlight w:val="none"/>
              </w:rPr>
            </w:pPr>
          </w:p>
        </w:tc>
        <w:tc>
          <w:tcPr>
            <w:tcW w:w="1035" w:type="dxa"/>
            <w:noWrap w:val="0"/>
            <w:vAlign w:val="center"/>
          </w:tcPr>
          <w:p w14:paraId="293AE212">
            <w:pPr>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5F921E28">
            <w:pPr>
              <w:jc w:val="center"/>
              <w:rPr>
                <w:rFonts w:hint="eastAsia" w:asciiTheme="minorEastAsia" w:hAnsiTheme="minorEastAsia" w:eastAsiaTheme="minorEastAsia" w:cstheme="minorEastAsia"/>
                <w:color w:val="auto"/>
                <w:sz w:val="24"/>
                <w:szCs w:val="24"/>
                <w:highlight w:val="none"/>
              </w:rPr>
            </w:pPr>
          </w:p>
        </w:tc>
        <w:tc>
          <w:tcPr>
            <w:tcW w:w="1275" w:type="dxa"/>
            <w:noWrap w:val="0"/>
            <w:vAlign w:val="center"/>
          </w:tcPr>
          <w:p w14:paraId="1CCB5FD0">
            <w:pPr>
              <w:jc w:val="center"/>
              <w:rPr>
                <w:rFonts w:hint="eastAsia" w:asciiTheme="minorEastAsia" w:hAnsiTheme="minorEastAsia" w:eastAsiaTheme="minorEastAsia" w:cstheme="minorEastAsia"/>
                <w:color w:val="auto"/>
                <w:sz w:val="24"/>
                <w:szCs w:val="24"/>
                <w:highlight w:val="none"/>
              </w:rPr>
            </w:pPr>
          </w:p>
        </w:tc>
        <w:tc>
          <w:tcPr>
            <w:tcW w:w="1843" w:type="dxa"/>
            <w:noWrap w:val="0"/>
            <w:vAlign w:val="center"/>
          </w:tcPr>
          <w:p w14:paraId="50FFCADC">
            <w:pPr>
              <w:jc w:val="center"/>
              <w:rPr>
                <w:rFonts w:hint="eastAsia" w:asciiTheme="minorEastAsia" w:hAnsiTheme="minorEastAsia" w:eastAsiaTheme="minorEastAsia" w:cstheme="minorEastAsia"/>
                <w:color w:val="auto"/>
                <w:sz w:val="24"/>
                <w:szCs w:val="24"/>
                <w:highlight w:val="none"/>
              </w:rPr>
            </w:pPr>
          </w:p>
        </w:tc>
        <w:tc>
          <w:tcPr>
            <w:tcW w:w="2441" w:type="dxa"/>
            <w:noWrap w:val="0"/>
            <w:vAlign w:val="center"/>
          </w:tcPr>
          <w:p w14:paraId="4C2819C2">
            <w:pPr>
              <w:jc w:val="center"/>
              <w:rPr>
                <w:rFonts w:hint="eastAsia" w:asciiTheme="minorEastAsia" w:hAnsiTheme="minorEastAsia" w:eastAsiaTheme="minorEastAsia" w:cstheme="minorEastAsia"/>
                <w:color w:val="auto"/>
                <w:sz w:val="24"/>
                <w:szCs w:val="24"/>
                <w:highlight w:val="none"/>
              </w:rPr>
            </w:pPr>
          </w:p>
        </w:tc>
      </w:tr>
      <w:tr w14:paraId="4926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3319F188">
            <w:pPr>
              <w:jc w:val="center"/>
              <w:rPr>
                <w:rFonts w:hint="eastAsia" w:asciiTheme="minorEastAsia" w:hAnsiTheme="minorEastAsia" w:eastAsiaTheme="minorEastAsia" w:cstheme="minorEastAsia"/>
                <w:color w:val="auto"/>
                <w:sz w:val="24"/>
                <w:szCs w:val="24"/>
                <w:highlight w:val="none"/>
              </w:rPr>
            </w:pPr>
          </w:p>
        </w:tc>
        <w:tc>
          <w:tcPr>
            <w:tcW w:w="1035" w:type="dxa"/>
            <w:noWrap w:val="0"/>
            <w:vAlign w:val="center"/>
          </w:tcPr>
          <w:p w14:paraId="5BD3316E">
            <w:pPr>
              <w:jc w:val="center"/>
              <w:rPr>
                <w:rFonts w:hint="eastAsia" w:asciiTheme="minorEastAsia" w:hAnsiTheme="minorEastAsia" w:eastAsiaTheme="minorEastAsia" w:cstheme="minorEastAsia"/>
                <w:color w:val="auto"/>
                <w:sz w:val="24"/>
                <w:szCs w:val="24"/>
                <w:highlight w:val="none"/>
              </w:rPr>
            </w:pPr>
          </w:p>
        </w:tc>
        <w:tc>
          <w:tcPr>
            <w:tcW w:w="1134" w:type="dxa"/>
            <w:noWrap w:val="0"/>
            <w:vAlign w:val="center"/>
          </w:tcPr>
          <w:p w14:paraId="7A646670">
            <w:pPr>
              <w:jc w:val="center"/>
              <w:rPr>
                <w:rFonts w:hint="eastAsia" w:asciiTheme="minorEastAsia" w:hAnsiTheme="minorEastAsia" w:eastAsiaTheme="minorEastAsia" w:cstheme="minorEastAsia"/>
                <w:color w:val="auto"/>
                <w:sz w:val="24"/>
                <w:szCs w:val="24"/>
                <w:highlight w:val="none"/>
              </w:rPr>
            </w:pPr>
          </w:p>
        </w:tc>
        <w:tc>
          <w:tcPr>
            <w:tcW w:w="1275" w:type="dxa"/>
            <w:noWrap w:val="0"/>
            <w:vAlign w:val="center"/>
          </w:tcPr>
          <w:p w14:paraId="5B481968">
            <w:pPr>
              <w:jc w:val="center"/>
              <w:rPr>
                <w:rFonts w:hint="eastAsia" w:asciiTheme="minorEastAsia" w:hAnsiTheme="minorEastAsia" w:eastAsiaTheme="minorEastAsia" w:cstheme="minorEastAsia"/>
                <w:color w:val="auto"/>
                <w:sz w:val="24"/>
                <w:szCs w:val="24"/>
                <w:highlight w:val="none"/>
              </w:rPr>
            </w:pPr>
          </w:p>
        </w:tc>
        <w:tc>
          <w:tcPr>
            <w:tcW w:w="1843" w:type="dxa"/>
            <w:noWrap w:val="0"/>
            <w:vAlign w:val="center"/>
          </w:tcPr>
          <w:p w14:paraId="26B41FB6">
            <w:pPr>
              <w:jc w:val="center"/>
              <w:rPr>
                <w:rFonts w:hint="eastAsia" w:asciiTheme="minorEastAsia" w:hAnsiTheme="minorEastAsia" w:eastAsiaTheme="minorEastAsia" w:cstheme="minorEastAsia"/>
                <w:color w:val="auto"/>
                <w:sz w:val="24"/>
                <w:szCs w:val="24"/>
                <w:highlight w:val="none"/>
              </w:rPr>
            </w:pPr>
          </w:p>
        </w:tc>
        <w:tc>
          <w:tcPr>
            <w:tcW w:w="2441" w:type="dxa"/>
            <w:noWrap w:val="0"/>
            <w:vAlign w:val="center"/>
          </w:tcPr>
          <w:p w14:paraId="15253A21">
            <w:pPr>
              <w:jc w:val="center"/>
              <w:rPr>
                <w:rFonts w:hint="eastAsia" w:asciiTheme="minorEastAsia" w:hAnsiTheme="minorEastAsia" w:eastAsiaTheme="minorEastAsia" w:cstheme="minorEastAsia"/>
                <w:color w:val="auto"/>
                <w:sz w:val="24"/>
                <w:szCs w:val="24"/>
                <w:highlight w:val="none"/>
              </w:rPr>
            </w:pPr>
          </w:p>
        </w:tc>
      </w:tr>
    </w:tbl>
    <w:p w14:paraId="5F46F9DC">
      <w:pPr>
        <w:pStyle w:val="19"/>
        <w:spacing w:line="240" w:lineRule="auto"/>
        <w:ind w:firstLine="480"/>
        <w:rPr>
          <w:rFonts w:hint="eastAsia" w:asciiTheme="minorEastAsia" w:hAnsiTheme="minorEastAsia" w:eastAsiaTheme="minorEastAsia" w:cstheme="minorEastAsia"/>
          <w:color w:val="auto"/>
          <w:sz w:val="24"/>
          <w:szCs w:val="24"/>
          <w:highlight w:val="none"/>
        </w:rPr>
      </w:pPr>
    </w:p>
    <w:p w14:paraId="47F0BE06">
      <w:pPr>
        <w:pStyle w:val="19"/>
        <w:keepNext w:val="0"/>
        <w:keepLines w:val="0"/>
        <w:pageBreakBefore w:val="0"/>
        <w:widowControl w:val="0"/>
        <w:kinsoku/>
        <w:wordWrap/>
        <w:overflowPunct/>
        <w:topLinePunct w:val="0"/>
        <w:autoSpaceDE/>
        <w:autoSpaceDN/>
        <w:bidi w:val="0"/>
        <w:adjustRightInd/>
        <w:snapToGrid/>
        <w:spacing w:line="400" w:lineRule="exact"/>
        <w:ind w:firstLine="482"/>
        <w:textAlignment w:val="auto"/>
        <w:outlineLvl w:val="9"/>
        <w:rPr>
          <w:rFonts w:hint="eastAsia" w:asciiTheme="minorEastAsia" w:hAnsiTheme="minorEastAsia" w:eastAsiaTheme="minorEastAsia" w:cstheme="minorEastAsia"/>
          <w:b/>
          <w:color w:val="auto"/>
          <w:kern w:val="0"/>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注： 承包人若需要更换本工程响应文件中原有建造师及人员时须经发包人同意。未经发包人同意，承包人更换人员应承担违约责任，并且按照中标价</w:t>
      </w:r>
      <w:r>
        <w:rPr>
          <w:rFonts w:hint="eastAsia" w:asciiTheme="minorEastAsia" w:hAnsiTheme="minorEastAsia" w:eastAsiaTheme="minorEastAsia" w:cstheme="minorEastAsia"/>
          <w:b/>
          <w:color w:val="auto"/>
          <w:kern w:val="0"/>
          <w:sz w:val="24"/>
          <w:szCs w:val="24"/>
          <w:highlight w:val="none"/>
          <w:u w:val="single"/>
          <w:lang w:val="en-US" w:eastAsia="zh-CN" w:bidi="ar-SA"/>
        </w:rPr>
        <w:t xml:space="preserve"> 5 </w:t>
      </w:r>
      <w:r>
        <w:rPr>
          <w:rFonts w:hint="eastAsia" w:asciiTheme="minorEastAsia" w:hAnsiTheme="minorEastAsia" w:eastAsiaTheme="minorEastAsia" w:cstheme="minorEastAsia"/>
          <w:b/>
          <w:color w:val="auto"/>
          <w:kern w:val="0"/>
          <w:sz w:val="24"/>
          <w:szCs w:val="24"/>
          <w:highlight w:val="none"/>
          <w:lang w:val="en-US" w:eastAsia="zh-CN" w:bidi="ar-SA"/>
        </w:rPr>
        <w:t>％ 给发包人支付违约金。</w:t>
      </w:r>
    </w:p>
    <w:p w14:paraId="1AE05574">
      <w:pPr>
        <w:spacing w:line="420" w:lineRule="exac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lang w:val="en-US" w:eastAsia="zh-CN"/>
        </w:rPr>
        <w:t>4.2.2</w:t>
      </w:r>
      <w:r>
        <w:rPr>
          <w:rFonts w:hint="eastAsia" w:asciiTheme="minorEastAsia" w:hAnsiTheme="minorEastAsia" w:eastAsiaTheme="minorEastAsia" w:cstheme="minorEastAsia"/>
          <w:color w:val="auto"/>
          <w:sz w:val="24"/>
          <w:szCs w:val="24"/>
          <w:highlight w:val="none"/>
        </w:rPr>
        <w:t>主要项目管理人员简历表</w:t>
      </w:r>
    </w:p>
    <w:p w14:paraId="19FC1953">
      <w:pPr>
        <w:spacing w:line="4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主要项目管理人员指项目副经理、技术负责人、专职安全生产管理人员等岗位人员。应附注册资格证书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如有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、身份证、职称证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如有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岗位证书等资料</w:t>
      </w:r>
      <w:r>
        <w:rPr>
          <w:rFonts w:hint="eastAsia" w:asciiTheme="minorEastAsia" w:hAnsiTheme="minorEastAsia" w:eastAsiaTheme="minorEastAsia" w:cstheme="minorEastAsia"/>
          <w:color w:val="auto"/>
          <w:sz w:val="24"/>
          <w:szCs w:val="24"/>
          <w:highlight w:val="none"/>
        </w:rPr>
        <w:t>复印件，专职安全生产管理人员应附安全生产考核合格证书</w:t>
      </w:r>
      <w:r>
        <w:rPr>
          <w:rFonts w:hint="eastAsia" w:asciiTheme="minorEastAsia" w:hAnsiTheme="minorEastAsia" w:eastAsiaTheme="minorEastAsia" w:cstheme="minorEastAsia"/>
          <w:color w:val="auto"/>
          <w:sz w:val="24"/>
          <w:szCs w:val="24"/>
          <w:highlight w:val="none"/>
          <w:lang w:val="en-US" w:eastAsia="zh-CN"/>
        </w:rPr>
        <w:t>及岗位证书</w:t>
      </w:r>
      <w:r>
        <w:rPr>
          <w:rFonts w:hint="eastAsia" w:asciiTheme="minorEastAsia" w:hAnsiTheme="minorEastAsia" w:eastAsiaTheme="minorEastAsia" w:cstheme="minorEastAsia"/>
          <w:color w:val="auto"/>
          <w:sz w:val="24"/>
          <w:szCs w:val="24"/>
          <w:highlight w:val="none"/>
        </w:rPr>
        <w:t>，主要业绩须附合同协议书。</w:t>
      </w:r>
    </w:p>
    <w:p w14:paraId="39866529">
      <w:pPr>
        <w:topLinePunct/>
        <w:spacing w:line="440" w:lineRule="exact"/>
        <w:jc w:val="center"/>
        <w:rPr>
          <w:rFonts w:hint="eastAsia" w:asciiTheme="minorEastAsia" w:hAnsiTheme="minorEastAsia" w:eastAsiaTheme="minorEastAsia" w:cstheme="minorEastAsia"/>
          <w:color w:val="auto"/>
          <w:sz w:val="24"/>
          <w:szCs w:val="24"/>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23"/>
        <w:gridCol w:w="3420"/>
        <w:gridCol w:w="1261"/>
        <w:gridCol w:w="2296"/>
      </w:tblGrid>
      <w:tr w14:paraId="399B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8900" w:type="dxa"/>
            <w:gridSpan w:val="5"/>
            <w:noWrap w:val="0"/>
            <w:vAlign w:val="center"/>
          </w:tcPr>
          <w:p w14:paraId="700C00EE">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岗位名称</w:t>
            </w:r>
          </w:p>
        </w:tc>
      </w:tr>
      <w:tr w14:paraId="1AC2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14:paraId="65D10BC4">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3420" w:type="dxa"/>
            <w:noWrap w:val="0"/>
            <w:vAlign w:val="center"/>
          </w:tcPr>
          <w:p w14:paraId="3067E7E2">
            <w:pPr>
              <w:spacing w:line="440" w:lineRule="exact"/>
              <w:rPr>
                <w:rFonts w:hint="eastAsia" w:asciiTheme="minorEastAsia" w:hAnsiTheme="minorEastAsia" w:eastAsiaTheme="minorEastAsia" w:cstheme="minorEastAsia"/>
                <w:color w:val="auto"/>
                <w:sz w:val="24"/>
                <w:szCs w:val="24"/>
                <w:highlight w:val="none"/>
              </w:rPr>
            </w:pPr>
          </w:p>
        </w:tc>
        <w:tc>
          <w:tcPr>
            <w:tcW w:w="1261" w:type="dxa"/>
            <w:noWrap w:val="0"/>
            <w:vAlign w:val="center"/>
          </w:tcPr>
          <w:p w14:paraId="54FC928A">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年龄</w:t>
            </w:r>
          </w:p>
        </w:tc>
        <w:tc>
          <w:tcPr>
            <w:tcW w:w="2296" w:type="dxa"/>
            <w:noWrap w:val="0"/>
            <w:vAlign w:val="center"/>
          </w:tcPr>
          <w:p w14:paraId="6D55605C">
            <w:pPr>
              <w:spacing w:line="440" w:lineRule="exact"/>
              <w:rPr>
                <w:rFonts w:hint="eastAsia" w:asciiTheme="minorEastAsia" w:hAnsiTheme="minorEastAsia" w:eastAsiaTheme="minorEastAsia" w:cstheme="minorEastAsia"/>
                <w:color w:val="auto"/>
                <w:sz w:val="24"/>
                <w:szCs w:val="24"/>
                <w:highlight w:val="none"/>
              </w:rPr>
            </w:pPr>
          </w:p>
        </w:tc>
      </w:tr>
      <w:tr w14:paraId="64ED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09CB41E6">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性别</w:t>
            </w:r>
          </w:p>
        </w:tc>
        <w:tc>
          <w:tcPr>
            <w:tcW w:w="3420" w:type="dxa"/>
            <w:noWrap w:val="0"/>
            <w:vAlign w:val="top"/>
          </w:tcPr>
          <w:p w14:paraId="0D42CE98">
            <w:pPr>
              <w:spacing w:line="440" w:lineRule="exact"/>
              <w:rPr>
                <w:rFonts w:hint="eastAsia" w:asciiTheme="minorEastAsia" w:hAnsiTheme="minorEastAsia" w:eastAsiaTheme="minorEastAsia" w:cstheme="minorEastAsia"/>
                <w:color w:val="auto"/>
                <w:sz w:val="24"/>
                <w:szCs w:val="24"/>
                <w:highlight w:val="none"/>
              </w:rPr>
            </w:pPr>
          </w:p>
        </w:tc>
        <w:tc>
          <w:tcPr>
            <w:tcW w:w="1261" w:type="dxa"/>
            <w:noWrap w:val="0"/>
            <w:vAlign w:val="top"/>
          </w:tcPr>
          <w:p w14:paraId="7C8ECC95">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毕业学校</w:t>
            </w:r>
          </w:p>
        </w:tc>
        <w:tc>
          <w:tcPr>
            <w:tcW w:w="2296" w:type="dxa"/>
            <w:noWrap w:val="0"/>
            <w:vAlign w:val="top"/>
          </w:tcPr>
          <w:p w14:paraId="30920650">
            <w:pPr>
              <w:spacing w:line="440" w:lineRule="exact"/>
              <w:rPr>
                <w:rFonts w:hint="eastAsia" w:asciiTheme="minorEastAsia" w:hAnsiTheme="minorEastAsia" w:eastAsiaTheme="minorEastAsia" w:cstheme="minorEastAsia"/>
                <w:color w:val="auto"/>
                <w:sz w:val="24"/>
                <w:szCs w:val="24"/>
                <w:highlight w:val="none"/>
              </w:rPr>
            </w:pPr>
          </w:p>
        </w:tc>
      </w:tr>
      <w:tr w14:paraId="1C19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35C67B18">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学历和专业</w:t>
            </w:r>
          </w:p>
        </w:tc>
        <w:tc>
          <w:tcPr>
            <w:tcW w:w="3420" w:type="dxa"/>
            <w:noWrap w:val="0"/>
            <w:vAlign w:val="top"/>
          </w:tcPr>
          <w:p w14:paraId="19728DB0">
            <w:pPr>
              <w:spacing w:line="440" w:lineRule="exact"/>
              <w:rPr>
                <w:rFonts w:hint="eastAsia" w:asciiTheme="minorEastAsia" w:hAnsiTheme="minorEastAsia" w:eastAsiaTheme="minorEastAsia" w:cstheme="minorEastAsia"/>
                <w:color w:val="auto"/>
                <w:sz w:val="24"/>
                <w:szCs w:val="24"/>
                <w:highlight w:val="none"/>
              </w:rPr>
            </w:pPr>
          </w:p>
        </w:tc>
        <w:tc>
          <w:tcPr>
            <w:tcW w:w="1261" w:type="dxa"/>
            <w:noWrap w:val="0"/>
            <w:vAlign w:val="top"/>
          </w:tcPr>
          <w:p w14:paraId="5048D48E">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毕业时间</w:t>
            </w:r>
          </w:p>
        </w:tc>
        <w:tc>
          <w:tcPr>
            <w:tcW w:w="2296" w:type="dxa"/>
            <w:noWrap w:val="0"/>
            <w:vAlign w:val="top"/>
          </w:tcPr>
          <w:p w14:paraId="2E19D238">
            <w:pPr>
              <w:spacing w:line="440" w:lineRule="exact"/>
              <w:rPr>
                <w:rFonts w:hint="eastAsia" w:asciiTheme="minorEastAsia" w:hAnsiTheme="minorEastAsia" w:eastAsiaTheme="minorEastAsia" w:cstheme="minorEastAsia"/>
                <w:color w:val="auto"/>
                <w:sz w:val="24"/>
                <w:szCs w:val="24"/>
                <w:highlight w:val="none"/>
              </w:rPr>
            </w:pPr>
          </w:p>
        </w:tc>
      </w:tr>
      <w:tr w14:paraId="56FA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3DFC49A4">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拥有的执业资格</w:t>
            </w:r>
          </w:p>
        </w:tc>
        <w:tc>
          <w:tcPr>
            <w:tcW w:w="3420" w:type="dxa"/>
            <w:noWrap w:val="0"/>
            <w:vAlign w:val="top"/>
          </w:tcPr>
          <w:p w14:paraId="05CF1030">
            <w:pPr>
              <w:spacing w:line="440" w:lineRule="exact"/>
              <w:rPr>
                <w:rFonts w:hint="eastAsia" w:asciiTheme="minorEastAsia" w:hAnsiTheme="minorEastAsia" w:eastAsiaTheme="minorEastAsia" w:cstheme="minorEastAsia"/>
                <w:color w:val="auto"/>
                <w:sz w:val="24"/>
                <w:szCs w:val="24"/>
                <w:highlight w:val="none"/>
              </w:rPr>
            </w:pPr>
          </w:p>
        </w:tc>
        <w:tc>
          <w:tcPr>
            <w:tcW w:w="1261" w:type="dxa"/>
            <w:noWrap w:val="0"/>
            <w:vAlign w:val="top"/>
          </w:tcPr>
          <w:p w14:paraId="10B78D6E">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专业职称</w:t>
            </w:r>
          </w:p>
        </w:tc>
        <w:tc>
          <w:tcPr>
            <w:tcW w:w="2296" w:type="dxa"/>
            <w:noWrap w:val="0"/>
            <w:vAlign w:val="top"/>
          </w:tcPr>
          <w:p w14:paraId="4B9C977A">
            <w:pPr>
              <w:spacing w:line="440" w:lineRule="exact"/>
              <w:rPr>
                <w:rFonts w:hint="eastAsia" w:asciiTheme="minorEastAsia" w:hAnsiTheme="minorEastAsia" w:eastAsiaTheme="minorEastAsia" w:cstheme="minorEastAsia"/>
                <w:color w:val="auto"/>
                <w:sz w:val="24"/>
                <w:szCs w:val="24"/>
                <w:highlight w:val="none"/>
              </w:rPr>
            </w:pPr>
          </w:p>
        </w:tc>
      </w:tr>
      <w:tr w14:paraId="7197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14:paraId="5BF65C4B">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执业资格证书编号</w:t>
            </w:r>
          </w:p>
        </w:tc>
        <w:tc>
          <w:tcPr>
            <w:tcW w:w="3420" w:type="dxa"/>
            <w:noWrap w:val="0"/>
            <w:vAlign w:val="center"/>
          </w:tcPr>
          <w:p w14:paraId="5C164645">
            <w:pPr>
              <w:spacing w:line="440" w:lineRule="exact"/>
              <w:rPr>
                <w:rFonts w:hint="eastAsia" w:asciiTheme="minorEastAsia" w:hAnsiTheme="minorEastAsia" w:eastAsiaTheme="minorEastAsia" w:cstheme="minorEastAsia"/>
                <w:color w:val="auto"/>
                <w:sz w:val="24"/>
                <w:szCs w:val="24"/>
                <w:highlight w:val="none"/>
              </w:rPr>
            </w:pPr>
          </w:p>
        </w:tc>
        <w:tc>
          <w:tcPr>
            <w:tcW w:w="1261" w:type="dxa"/>
            <w:noWrap w:val="0"/>
            <w:vAlign w:val="center"/>
          </w:tcPr>
          <w:p w14:paraId="0434CB36">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工作年限</w:t>
            </w:r>
          </w:p>
        </w:tc>
        <w:tc>
          <w:tcPr>
            <w:tcW w:w="2296" w:type="dxa"/>
            <w:noWrap w:val="0"/>
            <w:vAlign w:val="center"/>
          </w:tcPr>
          <w:p w14:paraId="5D6DE81A">
            <w:pPr>
              <w:spacing w:line="440" w:lineRule="exact"/>
              <w:rPr>
                <w:rFonts w:hint="eastAsia" w:asciiTheme="minorEastAsia" w:hAnsiTheme="minorEastAsia" w:eastAsiaTheme="minorEastAsia" w:cstheme="minorEastAsia"/>
                <w:color w:val="auto"/>
                <w:sz w:val="24"/>
                <w:szCs w:val="24"/>
                <w:highlight w:val="none"/>
              </w:rPr>
            </w:pPr>
          </w:p>
        </w:tc>
      </w:tr>
      <w:tr w14:paraId="68E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00" w:type="dxa"/>
            <w:noWrap w:val="0"/>
            <w:vAlign w:val="center"/>
          </w:tcPr>
          <w:p w14:paraId="2A1460D9">
            <w:pPr>
              <w:spacing w:line="440" w:lineRule="exact"/>
              <w:rPr>
                <w:rFonts w:hint="eastAsia" w:asciiTheme="minorEastAsia" w:hAnsiTheme="minorEastAsia" w:eastAsiaTheme="minorEastAsia" w:cstheme="minorEastAsia"/>
                <w:color w:val="auto"/>
                <w:sz w:val="24"/>
                <w:szCs w:val="24"/>
                <w:highlight w:val="none"/>
              </w:rPr>
            </w:pPr>
          </w:p>
          <w:p w14:paraId="7469A472">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主要工作业绩及担任的主要工作</w:t>
            </w:r>
          </w:p>
          <w:p w14:paraId="74199EFF">
            <w:pPr>
              <w:spacing w:line="440" w:lineRule="exact"/>
              <w:rPr>
                <w:rFonts w:hint="eastAsia" w:asciiTheme="minorEastAsia" w:hAnsiTheme="minorEastAsia" w:eastAsiaTheme="minorEastAsia" w:cstheme="minorEastAsia"/>
                <w:color w:val="auto"/>
                <w:sz w:val="24"/>
                <w:szCs w:val="24"/>
                <w:highlight w:val="none"/>
              </w:rPr>
            </w:pPr>
          </w:p>
        </w:tc>
        <w:tc>
          <w:tcPr>
            <w:tcW w:w="8300" w:type="dxa"/>
            <w:gridSpan w:val="4"/>
            <w:noWrap w:val="0"/>
            <w:vAlign w:val="center"/>
          </w:tcPr>
          <w:p w14:paraId="5787CA8C">
            <w:pPr>
              <w:widowControl/>
              <w:jc w:val="left"/>
              <w:rPr>
                <w:rFonts w:hint="eastAsia" w:asciiTheme="minorEastAsia" w:hAnsiTheme="minorEastAsia" w:eastAsiaTheme="minorEastAsia" w:cstheme="minorEastAsia"/>
                <w:color w:val="auto"/>
                <w:sz w:val="24"/>
                <w:szCs w:val="24"/>
                <w:highlight w:val="none"/>
              </w:rPr>
            </w:pPr>
          </w:p>
          <w:p w14:paraId="5212CC7B">
            <w:pPr>
              <w:widowControl/>
              <w:jc w:val="left"/>
              <w:rPr>
                <w:rFonts w:hint="eastAsia" w:asciiTheme="minorEastAsia" w:hAnsiTheme="minorEastAsia" w:eastAsiaTheme="minorEastAsia" w:cstheme="minorEastAsia"/>
                <w:color w:val="auto"/>
                <w:sz w:val="24"/>
                <w:szCs w:val="24"/>
                <w:highlight w:val="none"/>
              </w:rPr>
            </w:pPr>
          </w:p>
          <w:p w14:paraId="5FECF87A">
            <w:pPr>
              <w:widowControl/>
              <w:jc w:val="left"/>
              <w:rPr>
                <w:rFonts w:hint="eastAsia" w:asciiTheme="minorEastAsia" w:hAnsiTheme="minorEastAsia" w:eastAsiaTheme="minorEastAsia" w:cstheme="minorEastAsia"/>
                <w:color w:val="auto"/>
                <w:sz w:val="24"/>
                <w:szCs w:val="24"/>
                <w:highlight w:val="none"/>
              </w:rPr>
            </w:pPr>
          </w:p>
          <w:p w14:paraId="2E8D6A25">
            <w:pPr>
              <w:widowControl/>
              <w:jc w:val="left"/>
              <w:rPr>
                <w:rFonts w:hint="eastAsia" w:asciiTheme="minorEastAsia" w:hAnsiTheme="minorEastAsia" w:eastAsiaTheme="minorEastAsia" w:cstheme="minorEastAsia"/>
                <w:color w:val="auto"/>
                <w:sz w:val="24"/>
                <w:szCs w:val="24"/>
                <w:highlight w:val="none"/>
              </w:rPr>
            </w:pPr>
          </w:p>
          <w:p w14:paraId="6A0112EC">
            <w:pPr>
              <w:widowControl/>
              <w:jc w:val="left"/>
              <w:rPr>
                <w:rFonts w:hint="eastAsia" w:asciiTheme="minorEastAsia" w:hAnsiTheme="minorEastAsia" w:eastAsiaTheme="minorEastAsia" w:cstheme="minorEastAsia"/>
                <w:color w:val="auto"/>
                <w:sz w:val="24"/>
                <w:szCs w:val="24"/>
                <w:highlight w:val="none"/>
              </w:rPr>
            </w:pPr>
          </w:p>
          <w:p w14:paraId="12636DA8">
            <w:pPr>
              <w:widowControl/>
              <w:jc w:val="left"/>
              <w:rPr>
                <w:rFonts w:hint="eastAsia" w:asciiTheme="minorEastAsia" w:hAnsiTheme="minorEastAsia" w:eastAsiaTheme="minorEastAsia" w:cstheme="minorEastAsia"/>
                <w:color w:val="auto"/>
                <w:sz w:val="24"/>
                <w:szCs w:val="24"/>
                <w:highlight w:val="none"/>
              </w:rPr>
            </w:pPr>
          </w:p>
          <w:p w14:paraId="2658996D">
            <w:pPr>
              <w:widowControl/>
              <w:jc w:val="left"/>
              <w:rPr>
                <w:rFonts w:hint="eastAsia" w:asciiTheme="minorEastAsia" w:hAnsiTheme="minorEastAsia" w:eastAsiaTheme="minorEastAsia" w:cstheme="minorEastAsia"/>
                <w:color w:val="auto"/>
                <w:sz w:val="24"/>
                <w:szCs w:val="24"/>
                <w:highlight w:val="none"/>
              </w:rPr>
            </w:pPr>
          </w:p>
          <w:p w14:paraId="6D839DA5">
            <w:pPr>
              <w:widowControl/>
              <w:jc w:val="left"/>
              <w:rPr>
                <w:rFonts w:hint="eastAsia" w:asciiTheme="minorEastAsia" w:hAnsiTheme="minorEastAsia" w:eastAsiaTheme="minorEastAsia" w:cstheme="minorEastAsia"/>
                <w:color w:val="auto"/>
                <w:sz w:val="24"/>
                <w:szCs w:val="24"/>
                <w:highlight w:val="none"/>
              </w:rPr>
            </w:pPr>
          </w:p>
          <w:p w14:paraId="2C3D23CC">
            <w:pPr>
              <w:widowControl/>
              <w:jc w:val="left"/>
              <w:rPr>
                <w:rFonts w:hint="eastAsia" w:asciiTheme="minorEastAsia" w:hAnsiTheme="minorEastAsia" w:eastAsiaTheme="minorEastAsia" w:cstheme="minorEastAsia"/>
                <w:color w:val="auto"/>
                <w:sz w:val="24"/>
                <w:szCs w:val="24"/>
                <w:highlight w:val="none"/>
              </w:rPr>
            </w:pPr>
          </w:p>
          <w:p w14:paraId="469AB7E5">
            <w:pPr>
              <w:widowControl/>
              <w:jc w:val="left"/>
              <w:rPr>
                <w:rFonts w:hint="eastAsia" w:asciiTheme="minorEastAsia" w:hAnsiTheme="minorEastAsia" w:eastAsiaTheme="minorEastAsia" w:cstheme="minorEastAsia"/>
                <w:color w:val="auto"/>
                <w:sz w:val="24"/>
                <w:szCs w:val="24"/>
                <w:highlight w:val="none"/>
              </w:rPr>
            </w:pPr>
          </w:p>
          <w:p w14:paraId="2B2487FE">
            <w:pPr>
              <w:spacing w:line="440" w:lineRule="exact"/>
              <w:rPr>
                <w:rFonts w:hint="eastAsia" w:asciiTheme="minorEastAsia" w:hAnsiTheme="minorEastAsia" w:eastAsiaTheme="minorEastAsia" w:cstheme="minorEastAsia"/>
                <w:color w:val="auto"/>
                <w:sz w:val="24"/>
                <w:szCs w:val="24"/>
                <w:highlight w:val="none"/>
              </w:rPr>
            </w:pPr>
          </w:p>
        </w:tc>
      </w:tr>
    </w:tbl>
    <w:p w14:paraId="634F655A">
      <w:pPr>
        <w:pStyle w:val="19"/>
        <w:spacing w:line="240" w:lineRule="auto"/>
        <w:rPr>
          <w:rFonts w:hint="eastAsia" w:asciiTheme="minorEastAsia" w:hAnsiTheme="minorEastAsia" w:eastAsiaTheme="minorEastAsia" w:cstheme="minorEastAsia"/>
          <w:color w:val="auto"/>
          <w:sz w:val="24"/>
          <w:szCs w:val="24"/>
          <w:highlight w:val="none"/>
        </w:rPr>
      </w:pPr>
    </w:p>
    <w:p w14:paraId="69A4A27E">
      <w:pPr>
        <w:spacing w:line="440" w:lineRule="exact"/>
        <w:jc w:val="center"/>
        <w:rPr>
          <w:rFonts w:hint="eastAsia" w:asciiTheme="minorEastAsia" w:hAnsiTheme="minorEastAsia" w:eastAsiaTheme="minorEastAsia" w:cstheme="minorEastAsia"/>
          <w:b/>
          <w:color w:val="auto"/>
          <w:sz w:val="24"/>
          <w:szCs w:val="24"/>
          <w:highlight w:val="none"/>
        </w:rPr>
      </w:pPr>
      <w:bookmarkStart w:id="311" w:name="_Toc152042595"/>
      <w:bookmarkStart w:id="312" w:name="_Toc152045806"/>
      <w:bookmarkStart w:id="313" w:name="_Toc179632826"/>
      <w:bookmarkStart w:id="314" w:name="_Toc144974874"/>
      <w:r>
        <w:rPr>
          <w:rFonts w:hint="eastAsia" w:asciiTheme="minorEastAsia" w:hAnsiTheme="minorEastAsia" w:eastAsiaTheme="minorEastAsia" w:cstheme="minorEastAsia"/>
          <w:b/>
          <w:color w:val="auto"/>
          <w:sz w:val="24"/>
          <w:szCs w:val="24"/>
          <w:highlight w:val="none"/>
        </w:rPr>
        <w:br w:type="page"/>
      </w:r>
      <w:bookmarkEnd w:id="311"/>
      <w:bookmarkEnd w:id="312"/>
      <w:bookmarkEnd w:id="313"/>
      <w:bookmarkEnd w:id="314"/>
      <w:r>
        <w:rPr>
          <w:rFonts w:hint="eastAsia" w:asciiTheme="minorEastAsia" w:hAnsiTheme="minorEastAsia" w:eastAsiaTheme="minorEastAsia" w:cstheme="minorEastAsia"/>
          <w:b/>
          <w:color w:val="auto"/>
          <w:sz w:val="24"/>
          <w:szCs w:val="24"/>
          <w:highlight w:val="none"/>
          <w:lang w:val="en-US" w:eastAsia="zh-CN"/>
        </w:rPr>
        <w:t>5、企业情况</w:t>
      </w:r>
    </w:p>
    <w:p w14:paraId="0B8E086C">
      <w:pPr>
        <w:spacing w:before="156" w:beforeLines="50" w:after="312" w:afterLines="100"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5.1</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基本情况表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993"/>
        <w:gridCol w:w="283"/>
        <w:gridCol w:w="195"/>
        <w:gridCol w:w="1246"/>
        <w:gridCol w:w="260"/>
        <w:gridCol w:w="709"/>
        <w:gridCol w:w="1416"/>
      </w:tblGrid>
      <w:tr w14:paraId="0F92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68B7FF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名称</w:t>
            </w:r>
          </w:p>
        </w:tc>
        <w:tc>
          <w:tcPr>
            <w:tcW w:w="7020" w:type="dxa"/>
            <w:gridSpan w:val="9"/>
            <w:noWrap w:val="0"/>
            <w:vAlign w:val="center"/>
          </w:tcPr>
          <w:p w14:paraId="6239A19A">
            <w:pPr>
              <w:jc w:val="center"/>
              <w:rPr>
                <w:rFonts w:hint="eastAsia" w:asciiTheme="minorEastAsia" w:hAnsiTheme="minorEastAsia" w:eastAsiaTheme="minorEastAsia" w:cstheme="minorEastAsia"/>
                <w:color w:val="auto"/>
                <w:sz w:val="24"/>
                <w:szCs w:val="24"/>
                <w:highlight w:val="none"/>
              </w:rPr>
            </w:pPr>
          </w:p>
        </w:tc>
      </w:tr>
      <w:tr w14:paraId="6D67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9276E7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注册地址</w:t>
            </w:r>
          </w:p>
        </w:tc>
        <w:tc>
          <w:tcPr>
            <w:tcW w:w="3389" w:type="dxa"/>
            <w:gridSpan w:val="5"/>
            <w:noWrap w:val="0"/>
            <w:vAlign w:val="center"/>
          </w:tcPr>
          <w:p w14:paraId="17BE9415">
            <w:pPr>
              <w:jc w:val="center"/>
              <w:rPr>
                <w:rFonts w:hint="eastAsia" w:asciiTheme="minorEastAsia" w:hAnsiTheme="minorEastAsia" w:eastAsiaTheme="minorEastAsia" w:cstheme="minorEastAsia"/>
                <w:color w:val="auto"/>
                <w:sz w:val="24"/>
                <w:szCs w:val="24"/>
                <w:highlight w:val="none"/>
              </w:rPr>
            </w:pPr>
          </w:p>
        </w:tc>
        <w:tc>
          <w:tcPr>
            <w:tcW w:w="1246" w:type="dxa"/>
            <w:noWrap w:val="0"/>
            <w:vAlign w:val="center"/>
          </w:tcPr>
          <w:p w14:paraId="4D39EC8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p>
        </w:tc>
        <w:tc>
          <w:tcPr>
            <w:tcW w:w="2385" w:type="dxa"/>
            <w:gridSpan w:val="3"/>
            <w:noWrap w:val="0"/>
            <w:vAlign w:val="center"/>
          </w:tcPr>
          <w:p w14:paraId="0D55A27E">
            <w:pPr>
              <w:jc w:val="center"/>
              <w:rPr>
                <w:rFonts w:hint="eastAsia" w:asciiTheme="minorEastAsia" w:hAnsiTheme="minorEastAsia" w:eastAsiaTheme="minorEastAsia" w:cstheme="minorEastAsia"/>
                <w:color w:val="auto"/>
                <w:sz w:val="24"/>
                <w:szCs w:val="24"/>
                <w:highlight w:val="none"/>
              </w:rPr>
            </w:pPr>
          </w:p>
        </w:tc>
      </w:tr>
      <w:tr w14:paraId="0D7B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14:paraId="2BDFEA0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p>
        </w:tc>
        <w:tc>
          <w:tcPr>
            <w:tcW w:w="897" w:type="dxa"/>
            <w:noWrap w:val="0"/>
            <w:vAlign w:val="center"/>
          </w:tcPr>
          <w:p w14:paraId="32FB17A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tc>
        <w:tc>
          <w:tcPr>
            <w:tcW w:w="2492" w:type="dxa"/>
            <w:gridSpan w:val="4"/>
            <w:noWrap w:val="0"/>
            <w:vAlign w:val="center"/>
          </w:tcPr>
          <w:p w14:paraId="55F93AC9">
            <w:pPr>
              <w:jc w:val="center"/>
              <w:rPr>
                <w:rFonts w:hint="eastAsia" w:asciiTheme="minorEastAsia" w:hAnsiTheme="minorEastAsia" w:eastAsiaTheme="minorEastAsia" w:cstheme="minorEastAsia"/>
                <w:color w:val="auto"/>
                <w:sz w:val="24"/>
                <w:szCs w:val="24"/>
                <w:highlight w:val="none"/>
              </w:rPr>
            </w:pPr>
          </w:p>
        </w:tc>
        <w:tc>
          <w:tcPr>
            <w:tcW w:w="1246" w:type="dxa"/>
            <w:noWrap w:val="0"/>
            <w:vAlign w:val="center"/>
          </w:tcPr>
          <w:p w14:paraId="273AD77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p>
        </w:tc>
        <w:tc>
          <w:tcPr>
            <w:tcW w:w="2385" w:type="dxa"/>
            <w:gridSpan w:val="3"/>
            <w:noWrap w:val="0"/>
            <w:vAlign w:val="center"/>
          </w:tcPr>
          <w:p w14:paraId="36DFF140">
            <w:pPr>
              <w:jc w:val="center"/>
              <w:rPr>
                <w:rFonts w:hint="eastAsia" w:asciiTheme="minorEastAsia" w:hAnsiTheme="minorEastAsia" w:eastAsiaTheme="minorEastAsia" w:cstheme="minorEastAsia"/>
                <w:color w:val="auto"/>
                <w:sz w:val="24"/>
                <w:szCs w:val="24"/>
                <w:highlight w:val="none"/>
              </w:rPr>
            </w:pPr>
          </w:p>
        </w:tc>
      </w:tr>
      <w:tr w14:paraId="0E00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14:paraId="425E9631">
            <w:pPr>
              <w:rPr>
                <w:rFonts w:hint="eastAsia" w:asciiTheme="minorEastAsia" w:hAnsiTheme="minorEastAsia" w:eastAsiaTheme="minorEastAsia" w:cstheme="minorEastAsia"/>
                <w:color w:val="auto"/>
                <w:sz w:val="24"/>
                <w:szCs w:val="24"/>
                <w:highlight w:val="none"/>
              </w:rPr>
            </w:pPr>
          </w:p>
        </w:tc>
        <w:tc>
          <w:tcPr>
            <w:tcW w:w="897" w:type="dxa"/>
            <w:noWrap w:val="0"/>
            <w:vAlign w:val="center"/>
          </w:tcPr>
          <w:p w14:paraId="740F802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p>
        </w:tc>
        <w:tc>
          <w:tcPr>
            <w:tcW w:w="2492" w:type="dxa"/>
            <w:gridSpan w:val="4"/>
            <w:noWrap w:val="0"/>
            <w:vAlign w:val="center"/>
          </w:tcPr>
          <w:p w14:paraId="694DFEF7">
            <w:pPr>
              <w:jc w:val="center"/>
              <w:rPr>
                <w:rFonts w:hint="eastAsia" w:asciiTheme="minorEastAsia" w:hAnsiTheme="minorEastAsia" w:eastAsiaTheme="minorEastAsia" w:cstheme="minorEastAsia"/>
                <w:color w:val="auto"/>
                <w:sz w:val="24"/>
                <w:szCs w:val="24"/>
                <w:highlight w:val="none"/>
              </w:rPr>
            </w:pPr>
          </w:p>
        </w:tc>
        <w:tc>
          <w:tcPr>
            <w:tcW w:w="1246" w:type="dxa"/>
            <w:noWrap w:val="0"/>
            <w:vAlign w:val="center"/>
          </w:tcPr>
          <w:p w14:paraId="454B3DD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  址</w:t>
            </w:r>
          </w:p>
        </w:tc>
        <w:tc>
          <w:tcPr>
            <w:tcW w:w="2385" w:type="dxa"/>
            <w:gridSpan w:val="3"/>
            <w:noWrap w:val="0"/>
            <w:vAlign w:val="center"/>
          </w:tcPr>
          <w:p w14:paraId="474A56CB">
            <w:pPr>
              <w:jc w:val="center"/>
              <w:rPr>
                <w:rFonts w:hint="eastAsia" w:asciiTheme="minorEastAsia" w:hAnsiTheme="minorEastAsia" w:eastAsiaTheme="minorEastAsia" w:cstheme="minorEastAsia"/>
                <w:color w:val="auto"/>
                <w:sz w:val="24"/>
                <w:szCs w:val="24"/>
                <w:highlight w:val="none"/>
              </w:rPr>
            </w:pPr>
          </w:p>
        </w:tc>
      </w:tr>
      <w:tr w14:paraId="2562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2EF903D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组织结构</w:t>
            </w:r>
          </w:p>
        </w:tc>
        <w:tc>
          <w:tcPr>
            <w:tcW w:w="7020" w:type="dxa"/>
            <w:gridSpan w:val="9"/>
            <w:noWrap w:val="0"/>
            <w:vAlign w:val="center"/>
          </w:tcPr>
          <w:p w14:paraId="53BC32C6">
            <w:pPr>
              <w:jc w:val="center"/>
              <w:rPr>
                <w:rFonts w:hint="eastAsia" w:asciiTheme="minorEastAsia" w:hAnsiTheme="minorEastAsia" w:eastAsiaTheme="minorEastAsia" w:cstheme="minorEastAsia"/>
                <w:color w:val="auto"/>
                <w:sz w:val="24"/>
                <w:szCs w:val="24"/>
                <w:highlight w:val="none"/>
              </w:rPr>
            </w:pPr>
          </w:p>
        </w:tc>
      </w:tr>
      <w:tr w14:paraId="6B02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338F81A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p>
        </w:tc>
        <w:tc>
          <w:tcPr>
            <w:tcW w:w="897" w:type="dxa"/>
            <w:noWrap w:val="0"/>
            <w:vAlign w:val="center"/>
          </w:tcPr>
          <w:p w14:paraId="0978F68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1021" w:type="dxa"/>
            <w:noWrap w:val="0"/>
            <w:vAlign w:val="center"/>
          </w:tcPr>
          <w:p w14:paraId="3D3C9340">
            <w:pPr>
              <w:jc w:val="center"/>
              <w:rPr>
                <w:rFonts w:hint="eastAsia" w:asciiTheme="minorEastAsia" w:hAnsiTheme="minorEastAsia" w:eastAsiaTheme="minorEastAsia" w:cstheme="minorEastAsia"/>
                <w:color w:val="auto"/>
                <w:sz w:val="24"/>
                <w:szCs w:val="24"/>
                <w:highlight w:val="none"/>
              </w:rPr>
            </w:pPr>
          </w:p>
        </w:tc>
        <w:tc>
          <w:tcPr>
            <w:tcW w:w="1276" w:type="dxa"/>
            <w:gridSpan w:val="2"/>
            <w:noWrap w:val="0"/>
            <w:vAlign w:val="center"/>
          </w:tcPr>
          <w:p w14:paraId="4832DA3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技术职称</w:t>
            </w:r>
          </w:p>
        </w:tc>
        <w:tc>
          <w:tcPr>
            <w:tcW w:w="1701" w:type="dxa"/>
            <w:gridSpan w:val="3"/>
            <w:noWrap w:val="0"/>
            <w:vAlign w:val="center"/>
          </w:tcPr>
          <w:p w14:paraId="4EF6C5C6">
            <w:pPr>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1C7730F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tc>
        <w:tc>
          <w:tcPr>
            <w:tcW w:w="1416" w:type="dxa"/>
            <w:noWrap w:val="0"/>
            <w:vAlign w:val="center"/>
          </w:tcPr>
          <w:p w14:paraId="4B3E9818">
            <w:pPr>
              <w:jc w:val="center"/>
              <w:rPr>
                <w:rFonts w:hint="eastAsia" w:asciiTheme="minorEastAsia" w:hAnsiTheme="minorEastAsia" w:eastAsiaTheme="minorEastAsia" w:cstheme="minorEastAsia"/>
                <w:color w:val="auto"/>
                <w:sz w:val="24"/>
                <w:szCs w:val="24"/>
                <w:highlight w:val="none"/>
              </w:rPr>
            </w:pPr>
          </w:p>
        </w:tc>
      </w:tr>
      <w:tr w14:paraId="4446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BFD9D0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技术负责人</w:t>
            </w:r>
          </w:p>
        </w:tc>
        <w:tc>
          <w:tcPr>
            <w:tcW w:w="897" w:type="dxa"/>
            <w:noWrap w:val="0"/>
            <w:vAlign w:val="center"/>
          </w:tcPr>
          <w:p w14:paraId="2FA0767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p>
        </w:tc>
        <w:tc>
          <w:tcPr>
            <w:tcW w:w="1021" w:type="dxa"/>
            <w:noWrap w:val="0"/>
            <w:vAlign w:val="center"/>
          </w:tcPr>
          <w:p w14:paraId="47DD6E4C">
            <w:pPr>
              <w:jc w:val="center"/>
              <w:rPr>
                <w:rFonts w:hint="eastAsia" w:asciiTheme="minorEastAsia" w:hAnsiTheme="minorEastAsia" w:eastAsiaTheme="minorEastAsia" w:cstheme="minorEastAsia"/>
                <w:color w:val="auto"/>
                <w:sz w:val="24"/>
                <w:szCs w:val="24"/>
                <w:highlight w:val="none"/>
              </w:rPr>
            </w:pPr>
          </w:p>
        </w:tc>
        <w:tc>
          <w:tcPr>
            <w:tcW w:w="1276" w:type="dxa"/>
            <w:gridSpan w:val="2"/>
            <w:noWrap w:val="0"/>
            <w:vAlign w:val="center"/>
          </w:tcPr>
          <w:p w14:paraId="1FE75EF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技术职称</w:t>
            </w:r>
          </w:p>
        </w:tc>
        <w:tc>
          <w:tcPr>
            <w:tcW w:w="1701" w:type="dxa"/>
            <w:gridSpan w:val="3"/>
            <w:noWrap w:val="0"/>
            <w:vAlign w:val="center"/>
          </w:tcPr>
          <w:p w14:paraId="51FE2563">
            <w:pPr>
              <w:jc w:val="center"/>
              <w:rPr>
                <w:rFonts w:hint="eastAsia" w:asciiTheme="minorEastAsia" w:hAnsiTheme="minorEastAsia" w:eastAsiaTheme="minorEastAsia" w:cstheme="minorEastAsia"/>
                <w:color w:val="auto"/>
                <w:sz w:val="24"/>
                <w:szCs w:val="24"/>
                <w:highlight w:val="none"/>
              </w:rPr>
            </w:pPr>
          </w:p>
        </w:tc>
        <w:tc>
          <w:tcPr>
            <w:tcW w:w="709" w:type="dxa"/>
            <w:noWrap w:val="0"/>
            <w:vAlign w:val="center"/>
          </w:tcPr>
          <w:p w14:paraId="5337272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tc>
        <w:tc>
          <w:tcPr>
            <w:tcW w:w="1416" w:type="dxa"/>
            <w:noWrap w:val="0"/>
            <w:vAlign w:val="center"/>
          </w:tcPr>
          <w:p w14:paraId="0739CE38">
            <w:pPr>
              <w:jc w:val="center"/>
              <w:rPr>
                <w:rFonts w:hint="eastAsia" w:asciiTheme="minorEastAsia" w:hAnsiTheme="minorEastAsia" w:eastAsiaTheme="minorEastAsia" w:cstheme="minorEastAsia"/>
                <w:color w:val="auto"/>
                <w:sz w:val="24"/>
                <w:szCs w:val="24"/>
                <w:highlight w:val="none"/>
              </w:rPr>
            </w:pPr>
          </w:p>
        </w:tc>
      </w:tr>
      <w:tr w14:paraId="33AF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26" w:type="dxa"/>
            <w:noWrap w:val="0"/>
            <w:vAlign w:val="center"/>
          </w:tcPr>
          <w:p w14:paraId="2F7C9C3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成立时间</w:t>
            </w:r>
          </w:p>
        </w:tc>
        <w:tc>
          <w:tcPr>
            <w:tcW w:w="1918" w:type="dxa"/>
            <w:gridSpan w:val="2"/>
            <w:noWrap w:val="0"/>
            <w:vAlign w:val="center"/>
          </w:tcPr>
          <w:p w14:paraId="764FD7AE">
            <w:pPr>
              <w:jc w:val="center"/>
              <w:rPr>
                <w:rFonts w:hint="eastAsia" w:asciiTheme="minorEastAsia" w:hAnsiTheme="minorEastAsia" w:eastAsiaTheme="minorEastAsia" w:cstheme="minorEastAsia"/>
                <w:color w:val="auto"/>
                <w:sz w:val="24"/>
                <w:szCs w:val="24"/>
                <w:highlight w:val="none"/>
              </w:rPr>
            </w:pPr>
          </w:p>
        </w:tc>
        <w:tc>
          <w:tcPr>
            <w:tcW w:w="5102" w:type="dxa"/>
            <w:gridSpan w:val="7"/>
            <w:noWrap w:val="0"/>
            <w:vAlign w:val="center"/>
          </w:tcPr>
          <w:p w14:paraId="1162617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员工总人数：</w:t>
            </w:r>
          </w:p>
        </w:tc>
      </w:tr>
      <w:tr w14:paraId="767E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6" w:type="dxa"/>
            <w:noWrap w:val="0"/>
            <w:vAlign w:val="center"/>
          </w:tcPr>
          <w:p w14:paraId="325AAB3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企业资质等级</w:t>
            </w:r>
          </w:p>
        </w:tc>
        <w:tc>
          <w:tcPr>
            <w:tcW w:w="897" w:type="dxa"/>
            <w:noWrap w:val="0"/>
            <w:vAlign w:val="center"/>
          </w:tcPr>
          <w:p w14:paraId="2E986C8B">
            <w:pPr>
              <w:jc w:val="center"/>
              <w:rPr>
                <w:rFonts w:hint="eastAsia" w:asciiTheme="minorEastAsia" w:hAnsiTheme="minorEastAsia" w:eastAsiaTheme="minorEastAsia" w:cstheme="minorEastAsia"/>
                <w:color w:val="auto"/>
                <w:sz w:val="24"/>
                <w:szCs w:val="24"/>
                <w:highlight w:val="none"/>
              </w:rPr>
            </w:pPr>
          </w:p>
        </w:tc>
        <w:tc>
          <w:tcPr>
            <w:tcW w:w="1021" w:type="dxa"/>
            <w:noWrap w:val="0"/>
            <w:vAlign w:val="center"/>
          </w:tcPr>
          <w:p w14:paraId="5516067B">
            <w:pPr>
              <w:jc w:val="center"/>
              <w:rPr>
                <w:rFonts w:hint="eastAsia" w:asciiTheme="minorEastAsia" w:hAnsiTheme="minorEastAsia" w:eastAsiaTheme="minorEastAsia" w:cstheme="minorEastAsia"/>
                <w:color w:val="auto"/>
                <w:sz w:val="24"/>
                <w:szCs w:val="24"/>
                <w:highlight w:val="none"/>
              </w:rPr>
            </w:pPr>
          </w:p>
        </w:tc>
        <w:tc>
          <w:tcPr>
            <w:tcW w:w="993" w:type="dxa"/>
            <w:vMerge w:val="restart"/>
            <w:noWrap w:val="0"/>
            <w:vAlign w:val="center"/>
          </w:tcPr>
          <w:p w14:paraId="3CBACFE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其中</w:t>
            </w:r>
          </w:p>
        </w:tc>
        <w:tc>
          <w:tcPr>
            <w:tcW w:w="1984" w:type="dxa"/>
            <w:gridSpan w:val="4"/>
            <w:noWrap w:val="0"/>
            <w:vAlign w:val="center"/>
          </w:tcPr>
          <w:p w14:paraId="128C2CA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2125" w:type="dxa"/>
            <w:gridSpan w:val="2"/>
            <w:noWrap w:val="0"/>
            <w:vAlign w:val="center"/>
          </w:tcPr>
          <w:p w14:paraId="254D058E">
            <w:pPr>
              <w:jc w:val="center"/>
              <w:rPr>
                <w:rFonts w:hint="eastAsia" w:asciiTheme="minorEastAsia" w:hAnsiTheme="minorEastAsia" w:eastAsiaTheme="minorEastAsia" w:cstheme="minorEastAsia"/>
                <w:color w:val="auto"/>
                <w:sz w:val="24"/>
                <w:szCs w:val="24"/>
                <w:highlight w:val="none"/>
              </w:rPr>
            </w:pPr>
          </w:p>
        </w:tc>
      </w:tr>
      <w:tr w14:paraId="3E3D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26" w:type="dxa"/>
            <w:noWrap w:val="0"/>
            <w:vAlign w:val="center"/>
          </w:tcPr>
          <w:p w14:paraId="2AD5CEE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营业执照号</w:t>
            </w:r>
          </w:p>
        </w:tc>
        <w:tc>
          <w:tcPr>
            <w:tcW w:w="897" w:type="dxa"/>
            <w:noWrap w:val="0"/>
            <w:vAlign w:val="center"/>
          </w:tcPr>
          <w:p w14:paraId="382860AA">
            <w:pPr>
              <w:jc w:val="center"/>
              <w:rPr>
                <w:rFonts w:hint="eastAsia" w:asciiTheme="minorEastAsia" w:hAnsiTheme="minorEastAsia" w:eastAsiaTheme="minorEastAsia" w:cstheme="minorEastAsia"/>
                <w:color w:val="auto"/>
                <w:sz w:val="24"/>
                <w:szCs w:val="24"/>
                <w:highlight w:val="none"/>
              </w:rPr>
            </w:pPr>
          </w:p>
        </w:tc>
        <w:tc>
          <w:tcPr>
            <w:tcW w:w="1021" w:type="dxa"/>
            <w:noWrap w:val="0"/>
            <w:vAlign w:val="center"/>
          </w:tcPr>
          <w:p w14:paraId="7131F1DF">
            <w:pPr>
              <w:jc w:val="center"/>
              <w:rPr>
                <w:rFonts w:hint="eastAsia" w:asciiTheme="minorEastAsia" w:hAnsiTheme="minorEastAsia" w:eastAsiaTheme="minorEastAsia" w:cstheme="minorEastAsia"/>
                <w:color w:val="auto"/>
                <w:sz w:val="24"/>
                <w:szCs w:val="24"/>
                <w:highlight w:val="none"/>
              </w:rPr>
            </w:pPr>
          </w:p>
        </w:tc>
        <w:tc>
          <w:tcPr>
            <w:tcW w:w="993" w:type="dxa"/>
            <w:vMerge w:val="continue"/>
            <w:noWrap w:val="0"/>
            <w:vAlign w:val="center"/>
          </w:tcPr>
          <w:p w14:paraId="4EAFB512">
            <w:pPr>
              <w:rPr>
                <w:rFonts w:hint="eastAsia" w:asciiTheme="minorEastAsia" w:hAnsiTheme="minorEastAsia" w:eastAsiaTheme="minorEastAsia" w:cstheme="minorEastAsia"/>
                <w:color w:val="auto"/>
                <w:sz w:val="24"/>
                <w:szCs w:val="24"/>
                <w:highlight w:val="none"/>
              </w:rPr>
            </w:pPr>
          </w:p>
        </w:tc>
        <w:tc>
          <w:tcPr>
            <w:tcW w:w="1984" w:type="dxa"/>
            <w:gridSpan w:val="4"/>
            <w:noWrap w:val="0"/>
            <w:vAlign w:val="center"/>
          </w:tcPr>
          <w:p w14:paraId="2B77AFF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高级职称人员</w:t>
            </w:r>
          </w:p>
        </w:tc>
        <w:tc>
          <w:tcPr>
            <w:tcW w:w="2125" w:type="dxa"/>
            <w:gridSpan w:val="2"/>
            <w:noWrap w:val="0"/>
            <w:vAlign w:val="center"/>
          </w:tcPr>
          <w:p w14:paraId="1910043B">
            <w:pPr>
              <w:jc w:val="center"/>
              <w:rPr>
                <w:rFonts w:hint="eastAsia" w:asciiTheme="minorEastAsia" w:hAnsiTheme="minorEastAsia" w:eastAsiaTheme="minorEastAsia" w:cstheme="minorEastAsia"/>
                <w:color w:val="auto"/>
                <w:sz w:val="24"/>
                <w:szCs w:val="24"/>
                <w:highlight w:val="none"/>
              </w:rPr>
            </w:pPr>
          </w:p>
        </w:tc>
      </w:tr>
      <w:tr w14:paraId="1559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626" w:type="dxa"/>
            <w:noWrap w:val="0"/>
            <w:vAlign w:val="center"/>
          </w:tcPr>
          <w:p w14:paraId="0F78522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注册资金</w:t>
            </w:r>
          </w:p>
        </w:tc>
        <w:tc>
          <w:tcPr>
            <w:tcW w:w="897" w:type="dxa"/>
            <w:noWrap w:val="0"/>
            <w:vAlign w:val="center"/>
          </w:tcPr>
          <w:p w14:paraId="0E9C3DF1">
            <w:pPr>
              <w:jc w:val="center"/>
              <w:rPr>
                <w:rFonts w:hint="eastAsia" w:asciiTheme="minorEastAsia" w:hAnsiTheme="minorEastAsia" w:eastAsiaTheme="minorEastAsia" w:cstheme="minorEastAsia"/>
                <w:color w:val="auto"/>
                <w:sz w:val="24"/>
                <w:szCs w:val="24"/>
                <w:highlight w:val="none"/>
              </w:rPr>
            </w:pPr>
          </w:p>
        </w:tc>
        <w:tc>
          <w:tcPr>
            <w:tcW w:w="1021" w:type="dxa"/>
            <w:noWrap w:val="0"/>
            <w:vAlign w:val="center"/>
          </w:tcPr>
          <w:p w14:paraId="174B2981">
            <w:pPr>
              <w:jc w:val="center"/>
              <w:rPr>
                <w:rFonts w:hint="eastAsia" w:asciiTheme="minorEastAsia" w:hAnsiTheme="minorEastAsia" w:eastAsiaTheme="minorEastAsia" w:cstheme="minorEastAsia"/>
                <w:color w:val="auto"/>
                <w:sz w:val="24"/>
                <w:szCs w:val="24"/>
                <w:highlight w:val="none"/>
              </w:rPr>
            </w:pPr>
          </w:p>
        </w:tc>
        <w:tc>
          <w:tcPr>
            <w:tcW w:w="993" w:type="dxa"/>
            <w:vMerge w:val="continue"/>
            <w:noWrap w:val="0"/>
            <w:vAlign w:val="center"/>
          </w:tcPr>
          <w:p w14:paraId="5675B06F">
            <w:pPr>
              <w:rPr>
                <w:rFonts w:hint="eastAsia" w:asciiTheme="minorEastAsia" w:hAnsiTheme="minorEastAsia" w:eastAsiaTheme="minorEastAsia" w:cstheme="minorEastAsia"/>
                <w:color w:val="auto"/>
                <w:sz w:val="24"/>
                <w:szCs w:val="24"/>
                <w:highlight w:val="none"/>
              </w:rPr>
            </w:pPr>
          </w:p>
        </w:tc>
        <w:tc>
          <w:tcPr>
            <w:tcW w:w="1984" w:type="dxa"/>
            <w:gridSpan w:val="4"/>
            <w:noWrap w:val="0"/>
            <w:vAlign w:val="center"/>
          </w:tcPr>
          <w:p w14:paraId="2977AB1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中级职称人员</w:t>
            </w:r>
          </w:p>
        </w:tc>
        <w:tc>
          <w:tcPr>
            <w:tcW w:w="2125" w:type="dxa"/>
            <w:gridSpan w:val="2"/>
            <w:noWrap w:val="0"/>
            <w:vAlign w:val="center"/>
          </w:tcPr>
          <w:p w14:paraId="3DC026C3">
            <w:pPr>
              <w:jc w:val="center"/>
              <w:rPr>
                <w:rFonts w:hint="eastAsia" w:asciiTheme="minorEastAsia" w:hAnsiTheme="minorEastAsia" w:eastAsiaTheme="minorEastAsia" w:cstheme="minorEastAsia"/>
                <w:color w:val="auto"/>
                <w:sz w:val="24"/>
                <w:szCs w:val="24"/>
                <w:highlight w:val="none"/>
              </w:rPr>
            </w:pPr>
          </w:p>
        </w:tc>
      </w:tr>
      <w:tr w14:paraId="4574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6" w:type="dxa"/>
            <w:noWrap w:val="0"/>
            <w:vAlign w:val="center"/>
          </w:tcPr>
          <w:p w14:paraId="6B674BD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开户银行</w:t>
            </w:r>
          </w:p>
        </w:tc>
        <w:tc>
          <w:tcPr>
            <w:tcW w:w="897" w:type="dxa"/>
            <w:noWrap w:val="0"/>
            <w:vAlign w:val="center"/>
          </w:tcPr>
          <w:p w14:paraId="7F51E4FD">
            <w:pPr>
              <w:jc w:val="center"/>
              <w:rPr>
                <w:rFonts w:hint="eastAsia" w:asciiTheme="minorEastAsia" w:hAnsiTheme="minorEastAsia" w:eastAsiaTheme="minorEastAsia" w:cstheme="minorEastAsia"/>
                <w:color w:val="auto"/>
                <w:sz w:val="24"/>
                <w:szCs w:val="24"/>
                <w:highlight w:val="none"/>
              </w:rPr>
            </w:pPr>
          </w:p>
        </w:tc>
        <w:tc>
          <w:tcPr>
            <w:tcW w:w="1021" w:type="dxa"/>
            <w:noWrap w:val="0"/>
            <w:vAlign w:val="center"/>
          </w:tcPr>
          <w:p w14:paraId="6C02E57E">
            <w:pPr>
              <w:jc w:val="center"/>
              <w:rPr>
                <w:rFonts w:hint="eastAsia" w:asciiTheme="minorEastAsia" w:hAnsiTheme="minorEastAsia" w:eastAsiaTheme="minorEastAsia" w:cstheme="minorEastAsia"/>
                <w:color w:val="auto"/>
                <w:sz w:val="24"/>
                <w:szCs w:val="24"/>
                <w:highlight w:val="none"/>
              </w:rPr>
            </w:pPr>
          </w:p>
        </w:tc>
        <w:tc>
          <w:tcPr>
            <w:tcW w:w="993" w:type="dxa"/>
            <w:vMerge w:val="continue"/>
            <w:noWrap w:val="0"/>
            <w:vAlign w:val="center"/>
          </w:tcPr>
          <w:p w14:paraId="71B49546">
            <w:pPr>
              <w:rPr>
                <w:rFonts w:hint="eastAsia" w:asciiTheme="minorEastAsia" w:hAnsiTheme="minorEastAsia" w:eastAsiaTheme="minorEastAsia" w:cstheme="minorEastAsia"/>
                <w:color w:val="auto"/>
                <w:sz w:val="24"/>
                <w:szCs w:val="24"/>
                <w:highlight w:val="none"/>
              </w:rPr>
            </w:pPr>
          </w:p>
        </w:tc>
        <w:tc>
          <w:tcPr>
            <w:tcW w:w="1984" w:type="dxa"/>
            <w:gridSpan w:val="4"/>
            <w:noWrap w:val="0"/>
            <w:vAlign w:val="center"/>
          </w:tcPr>
          <w:p w14:paraId="677612A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初级职称人员</w:t>
            </w:r>
          </w:p>
        </w:tc>
        <w:tc>
          <w:tcPr>
            <w:tcW w:w="2125" w:type="dxa"/>
            <w:gridSpan w:val="2"/>
            <w:noWrap w:val="0"/>
            <w:vAlign w:val="center"/>
          </w:tcPr>
          <w:p w14:paraId="27BB1002">
            <w:pPr>
              <w:jc w:val="center"/>
              <w:rPr>
                <w:rFonts w:hint="eastAsia" w:asciiTheme="minorEastAsia" w:hAnsiTheme="minorEastAsia" w:eastAsiaTheme="minorEastAsia" w:cstheme="minorEastAsia"/>
                <w:color w:val="auto"/>
                <w:sz w:val="24"/>
                <w:szCs w:val="24"/>
                <w:highlight w:val="none"/>
              </w:rPr>
            </w:pPr>
          </w:p>
        </w:tc>
      </w:tr>
      <w:tr w14:paraId="6FB8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26" w:type="dxa"/>
            <w:noWrap w:val="0"/>
            <w:vAlign w:val="center"/>
          </w:tcPr>
          <w:p w14:paraId="169F668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w:t>
            </w:r>
          </w:p>
        </w:tc>
        <w:tc>
          <w:tcPr>
            <w:tcW w:w="897" w:type="dxa"/>
            <w:noWrap w:val="0"/>
            <w:vAlign w:val="center"/>
          </w:tcPr>
          <w:p w14:paraId="07F5997E">
            <w:pPr>
              <w:jc w:val="center"/>
              <w:rPr>
                <w:rFonts w:hint="eastAsia" w:asciiTheme="minorEastAsia" w:hAnsiTheme="minorEastAsia" w:eastAsiaTheme="minorEastAsia" w:cstheme="minorEastAsia"/>
                <w:color w:val="auto"/>
                <w:sz w:val="24"/>
                <w:szCs w:val="24"/>
                <w:highlight w:val="none"/>
              </w:rPr>
            </w:pPr>
          </w:p>
        </w:tc>
        <w:tc>
          <w:tcPr>
            <w:tcW w:w="1021" w:type="dxa"/>
            <w:noWrap w:val="0"/>
            <w:vAlign w:val="center"/>
          </w:tcPr>
          <w:p w14:paraId="1BDC6058">
            <w:pPr>
              <w:jc w:val="center"/>
              <w:rPr>
                <w:rFonts w:hint="eastAsia" w:asciiTheme="minorEastAsia" w:hAnsiTheme="minorEastAsia" w:eastAsiaTheme="minorEastAsia" w:cstheme="minorEastAsia"/>
                <w:color w:val="auto"/>
                <w:sz w:val="24"/>
                <w:szCs w:val="24"/>
                <w:highlight w:val="none"/>
              </w:rPr>
            </w:pPr>
          </w:p>
        </w:tc>
        <w:tc>
          <w:tcPr>
            <w:tcW w:w="993" w:type="dxa"/>
            <w:vMerge w:val="continue"/>
            <w:noWrap w:val="0"/>
            <w:vAlign w:val="center"/>
          </w:tcPr>
          <w:p w14:paraId="5285F799">
            <w:pPr>
              <w:rPr>
                <w:rFonts w:hint="eastAsia" w:asciiTheme="minorEastAsia" w:hAnsiTheme="minorEastAsia" w:eastAsiaTheme="minorEastAsia" w:cstheme="minorEastAsia"/>
                <w:color w:val="auto"/>
                <w:sz w:val="24"/>
                <w:szCs w:val="24"/>
                <w:highlight w:val="none"/>
              </w:rPr>
            </w:pPr>
          </w:p>
        </w:tc>
        <w:tc>
          <w:tcPr>
            <w:tcW w:w="1984" w:type="dxa"/>
            <w:gridSpan w:val="4"/>
            <w:noWrap w:val="0"/>
            <w:vAlign w:val="center"/>
          </w:tcPr>
          <w:p w14:paraId="6DDC0A0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  工</w:t>
            </w:r>
          </w:p>
        </w:tc>
        <w:tc>
          <w:tcPr>
            <w:tcW w:w="2125" w:type="dxa"/>
            <w:gridSpan w:val="2"/>
            <w:noWrap w:val="0"/>
            <w:vAlign w:val="center"/>
          </w:tcPr>
          <w:p w14:paraId="4E985434">
            <w:pPr>
              <w:jc w:val="center"/>
              <w:rPr>
                <w:rFonts w:hint="eastAsia" w:asciiTheme="minorEastAsia" w:hAnsiTheme="minorEastAsia" w:eastAsiaTheme="minorEastAsia" w:cstheme="minorEastAsia"/>
                <w:color w:val="auto"/>
                <w:sz w:val="24"/>
                <w:szCs w:val="24"/>
                <w:highlight w:val="none"/>
              </w:rPr>
            </w:pPr>
          </w:p>
        </w:tc>
      </w:tr>
      <w:tr w14:paraId="4269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626" w:type="dxa"/>
            <w:noWrap w:val="0"/>
            <w:vAlign w:val="center"/>
          </w:tcPr>
          <w:p w14:paraId="3F235EA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经营范围</w:t>
            </w:r>
          </w:p>
        </w:tc>
        <w:tc>
          <w:tcPr>
            <w:tcW w:w="7020" w:type="dxa"/>
            <w:gridSpan w:val="9"/>
            <w:noWrap w:val="0"/>
            <w:vAlign w:val="center"/>
          </w:tcPr>
          <w:p w14:paraId="38E4C5DA">
            <w:pPr>
              <w:jc w:val="center"/>
              <w:rPr>
                <w:rFonts w:hint="eastAsia" w:asciiTheme="minorEastAsia" w:hAnsiTheme="minorEastAsia" w:eastAsiaTheme="minorEastAsia" w:cstheme="minorEastAsia"/>
                <w:color w:val="auto"/>
                <w:sz w:val="24"/>
                <w:szCs w:val="24"/>
                <w:highlight w:val="none"/>
              </w:rPr>
            </w:pPr>
          </w:p>
        </w:tc>
      </w:tr>
      <w:tr w14:paraId="19C6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BB1119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c>
          <w:tcPr>
            <w:tcW w:w="7020" w:type="dxa"/>
            <w:gridSpan w:val="9"/>
            <w:noWrap w:val="0"/>
            <w:vAlign w:val="center"/>
          </w:tcPr>
          <w:p w14:paraId="780CA87C">
            <w:pPr>
              <w:jc w:val="center"/>
              <w:rPr>
                <w:rFonts w:hint="eastAsia" w:asciiTheme="minorEastAsia" w:hAnsiTheme="minorEastAsia" w:eastAsiaTheme="minorEastAsia" w:cstheme="minorEastAsia"/>
                <w:color w:val="auto"/>
                <w:sz w:val="24"/>
                <w:szCs w:val="24"/>
                <w:highlight w:val="none"/>
              </w:rPr>
            </w:pPr>
          </w:p>
        </w:tc>
      </w:tr>
    </w:tbl>
    <w:p w14:paraId="7247DB42">
      <w:pPr>
        <w:topLinePunct/>
        <w:spacing w:line="44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备注：本表后应附</w:t>
      </w:r>
      <w:r>
        <w:rPr>
          <w:rFonts w:hint="eastAsia" w:asciiTheme="minorEastAsia" w:hAnsiTheme="minorEastAsia" w:eastAsiaTheme="minorEastAsia" w:cstheme="minorEastAsia"/>
          <w:b/>
          <w:color w:val="auto"/>
          <w:sz w:val="24"/>
          <w:szCs w:val="24"/>
          <w:highlight w:val="none"/>
          <w:lang w:val="en-US" w:eastAsia="zh-CN"/>
        </w:rPr>
        <w:t>合格有效的</w:t>
      </w:r>
      <w:r>
        <w:rPr>
          <w:rFonts w:hint="eastAsia" w:asciiTheme="minorEastAsia" w:hAnsiTheme="minorEastAsia" w:eastAsiaTheme="minorEastAsia" w:cstheme="minorEastAsia"/>
          <w:b/>
          <w:color w:val="auto"/>
          <w:sz w:val="24"/>
          <w:szCs w:val="24"/>
          <w:highlight w:val="none"/>
        </w:rPr>
        <w:t>企业法人营业执照、企业资质证书、安全生产许可证等材料的复印件。</w:t>
      </w:r>
    </w:p>
    <w:p w14:paraId="05CD01AA">
      <w:pPr>
        <w:pStyle w:val="126"/>
        <w:rPr>
          <w:rFonts w:hint="eastAsia" w:asciiTheme="minorEastAsia" w:hAnsiTheme="minorEastAsia" w:eastAsiaTheme="minorEastAsia" w:cstheme="minorEastAsia"/>
          <w:color w:val="auto"/>
          <w:sz w:val="24"/>
          <w:szCs w:val="24"/>
          <w:highlight w:val="none"/>
          <w:u w:val="none"/>
        </w:rPr>
      </w:pPr>
    </w:p>
    <w:p w14:paraId="79890E89">
      <w:pPr>
        <w:pStyle w:val="126"/>
        <w:rPr>
          <w:rFonts w:hint="eastAsia" w:asciiTheme="minorEastAsia" w:hAnsiTheme="minorEastAsia" w:eastAsiaTheme="minorEastAsia" w:cstheme="minorEastAsia"/>
          <w:color w:val="auto"/>
          <w:sz w:val="24"/>
          <w:szCs w:val="24"/>
          <w:highlight w:val="none"/>
          <w:u w:val="none"/>
        </w:rPr>
      </w:pPr>
    </w:p>
    <w:p w14:paraId="2D889679">
      <w:pPr>
        <w:spacing w:before="156" w:beforeLines="50" w:after="156" w:afterLines="50" w:line="440" w:lineRule="exact"/>
        <w:ind w:firstLine="480" w:firstLineChars="200"/>
        <w:jc w:val="center"/>
        <w:rPr>
          <w:rFonts w:hint="eastAsia" w:asciiTheme="minorEastAsia" w:hAnsiTheme="minorEastAsia" w:eastAsiaTheme="minorEastAsia" w:cstheme="minorEastAsia"/>
          <w:color w:val="auto"/>
          <w:sz w:val="24"/>
          <w:szCs w:val="24"/>
          <w:highlight w:val="yellow"/>
        </w:rPr>
      </w:pPr>
    </w:p>
    <w:p w14:paraId="009862AD">
      <w:pPr>
        <w:spacing w:before="156" w:beforeLines="50" w:after="156" w:afterLines="50" w:line="440" w:lineRule="exact"/>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yellow"/>
        </w:rPr>
        <w:br w:type="page"/>
      </w:r>
      <w:r>
        <w:rPr>
          <w:rFonts w:hint="eastAsia" w:asciiTheme="minorEastAsia" w:hAnsiTheme="minorEastAsia" w:eastAsiaTheme="minorEastAsia" w:cstheme="minorEastAsia"/>
          <w:color w:val="auto"/>
          <w:sz w:val="24"/>
          <w:szCs w:val="24"/>
          <w:highlight w:val="none"/>
          <w:lang w:val="en-US" w:eastAsia="zh-CN"/>
        </w:rPr>
        <w:t>5.2</w:t>
      </w:r>
      <w:r>
        <w:rPr>
          <w:rFonts w:hint="eastAsia" w:asciiTheme="minorEastAsia" w:hAnsiTheme="minorEastAsia" w:eastAsiaTheme="minorEastAsia" w:cstheme="minorEastAsia"/>
          <w:color w:val="auto"/>
          <w:sz w:val="24"/>
          <w:szCs w:val="24"/>
          <w:highlight w:val="none"/>
        </w:rPr>
        <w:t>近</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年完成的类似项目情况表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6116"/>
      </w:tblGrid>
      <w:tr w14:paraId="7C82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4D51D29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6116" w:type="dxa"/>
            <w:noWrap w:val="0"/>
            <w:vAlign w:val="center"/>
          </w:tcPr>
          <w:p w14:paraId="21EFAC38">
            <w:pPr>
              <w:jc w:val="center"/>
              <w:rPr>
                <w:rFonts w:hint="eastAsia" w:asciiTheme="minorEastAsia" w:hAnsiTheme="minorEastAsia" w:eastAsiaTheme="minorEastAsia" w:cstheme="minorEastAsia"/>
                <w:color w:val="auto"/>
                <w:sz w:val="24"/>
                <w:szCs w:val="24"/>
                <w:highlight w:val="none"/>
              </w:rPr>
            </w:pPr>
          </w:p>
        </w:tc>
      </w:tr>
      <w:tr w14:paraId="7F38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4E15639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项目所在地</w:t>
            </w:r>
          </w:p>
        </w:tc>
        <w:tc>
          <w:tcPr>
            <w:tcW w:w="6116" w:type="dxa"/>
            <w:noWrap w:val="0"/>
            <w:vAlign w:val="center"/>
          </w:tcPr>
          <w:p w14:paraId="648DF1FE">
            <w:pPr>
              <w:jc w:val="center"/>
              <w:rPr>
                <w:rFonts w:hint="eastAsia" w:asciiTheme="minorEastAsia" w:hAnsiTheme="minorEastAsia" w:eastAsiaTheme="minorEastAsia" w:cstheme="minorEastAsia"/>
                <w:color w:val="auto"/>
                <w:sz w:val="24"/>
                <w:szCs w:val="24"/>
                <w:highlight w:val="none"/>
              </w:rPr>
            </w:pPr>
          </w:p>
        </w:tc>
      </w:tr>
      <w:tr w14:paraId="647D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6098504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发包人名称</w:t>
            </w:r>
          </w:p>
        </w:tc>
        <w:tc>
          <w:tcPr>
            <w:tcW w:w="6116" w:type="dxa"/>
            <w:noWrap w:val="0"/>
            <w:vAlign w:val="center"/>
          </w:tcPr>
          <w:p w14:paraId="1C5759FB">
            <w:pPr>
              <w:jc w:val="center"/>
              <w:rPr>
                <w:rFonts w:hint="eastAsia" w:asciiTheme="minorEastAsia" w:hAnsiTheme="minorEastAsia" w:eastAsiaTheme="minorEastAsia" w:cstheme="minorEastAsia"/>
                <w:color w:val="auto"/>
                <w:sz w:val="24"/>
                <w:szCs w:val="24"/>
                <w:highlight w:val="none"/>
              </w:rPr>
            </w:pPr>
          </w:p>
        </w:tc>
      </w:tr>
      <w:tr w14:paraId="3C17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7925063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发包人地址</w:t>
            </w:r>
          </w:p>
        </w:tc>
        <w:tc>
          <w:tcPr>
            <w:tcW w:w="6116" w:type="dxa"/>
            <w:noWrap w:val="0"/>
            <w:vAlign w:val="center"/>
          </w:tcPr>
          <w:p w14:paraId="3E1F0B95">
            <w:pPr>
              <w:jc w:val="center"/>
              <w:rPr>
                <w:rFonts w:hint="eastAsia" w:asciiTheme="minorEastAsia" w:hAnsiTheme="minorEastAsia" w:eastAsiaTheme="minorEastAsia" w:cstheme="minorEastAsia"/>
                <w:color w:val="auto"/>
                <w:sz w:val="24"/>
                <w:szCs w:val="24"/>
                <w:highlight w:val="none"/>
              </w:rPr>
            </w:pPr>
          </w:p>
        </w:tc>
      </w:tr>
      <w:tr w14:paraId="1E56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1B4E879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发包人联系人及电话</w:t>
            </w:r>
          </w:p>
        </w:tc>
        <w:tc>
          <w:tcPr>
            <w:tcW w:w="6116" w:type="dxa"/>
            <w:noWrap w:val="0"/>
            <w:vAlign w:val="center"/>
          </w:tcPr>
          <w:p w14:paraId="212D48B8">
            <w:pPr>
              <w:jc w:val="center"/>
              <w:rPr>
                <w:rFonts w:hint="eastAsia" w:asciiTheme="minorEastAsia" w:hAnsiTheme="minorEastAsia" w:eastAsiaTheme="minorEastAsia" w:cstheme="minorEastAsia"/>
                <w:color w:val="auto"/>
                <w:sz w:val="24"/>
                <w:szCs w:val="24"/>
                <w:highlight w:val="none"/>
              </w:rPr>
            </w:pPr>
          </w:p>
        </w:tc>
      </w:tr>
      <w:tr w14:paraId="69E9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101F7CC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合同价格</w:t>
            </w:r>
          </w:p>
        </w:tc>
        <w:tc>
          <w:tcPr>
            <w:tcW w:w="6116" w:type="dxa"/>
            <w:noWrap w:val="0"/>
            <w:vAlign w:val="center"/>
          </w:tcPr>
          <w:p w14:paraId="7106CD15">
            <w:pPr>
              <w:jc w:val="center"/>
              <w:rPr>
                <w:rFonts w:hint="eastAsia" w:asciiTheme="minorEastAsia" w:hAnsiTheme="minorEastAsia" w:eastAsiaTheme="minorEastAsia" w:cstheme="minorEastAsia"/>
                <w:color w:val="auto"/>
                <w:sz w:val="24"/>
                <w:szCs w:val="24"/>
                <w:highlight w:val="none"/>
              </w:rPr>
            </w:pPr>
          </w:p>
        </w:tc>
      </w:tr>
      <w:tr w14:paraId="2955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031F3AC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开工日期</w:t>
            </w:r>
          </w:p>
        </w:tc>
        <w:tc>
          <w:tcPr>
            <w:tcW w:w="6116" w:type="dxa"/>
            <w:noWrap w:val="0"/>
            <w:vAlign w:val="center"/>
          </w:tcPr>
          <w:p w14:paraId="6A028A47">
            <w:pPr>
              <w:jc w:val="center"/>
              <w:rPr>
                <w:rFonts w:hint="eastAsia" w:asciiTheme="minorEastAsia" w:hAnsiTheme="minorEastAsia" w:eastAsiaTheme="minorEastAsia" w:cstheme="minorEastAsia"/>
                <w:color w:val="auto"/>
                <w:sz w:val="24"/>
                <w:szCs w:val="24"/>
                <w:highlight w:val="none"/>
              </w:rPr>
            </w:pPr>
          </w:p>
        </w:tc>
      </w:tr>
      <w:tr w14:paraId="6D83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39ECB11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p>
        </w:tc>
        <w:tc>
          <w:tcPr>
            <w:tcW w:w="6116" w:type="dxa"/>
            <w:noWrap w:val="0"/>
            <w:vAlign w:val="center"/>
          </w:tcPr>
          <w:p w14:paraId="28141280">
            <w:pPr>
              <w:jc w:val="center"/>
              <w:rPr>
                <w:rFonts w:hint="eastAsia" w:asciiTheme="minorEastAsia" w:hAnsiTheme="minorEastAsia" w:eastAsiaTheme="minorEastAsia" w:cstheme="minorEastAsia"/>
                <w:color w:val="auto"/>
                <w:sz w:val="24"/>
                <w:szCs w:val="24"/>
                <w:highlight w:val="none"/>
              </w:rPr>
            </w:pPr>
          </w:p>
        </w:tc>
      </w:tr>
      <w:tr w14:paraId="3DED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436F7E9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承担的工作</w:t>
            </w:r>
          </w:p>
        </w:tc>
        <w:tc>
          <w:tcPr>
            <w:tcW w:w="6116" w:type="dxa"/>
            <w:noWrap w:val="0"/>
            <w:vAlign w:val="center"/>
          </w:tcPr>
          <w:p w14:paraId="4B15F3DC">
            <w:pPr>
              <w:jc w:val="center"/>
              <w:rPr>
                <w:rFonts w:hint="eastAsia" w:asciiTheme="minorEastAsia" w:hAnsiTheme="minorEastAsia" w:eastAsiaTheme="minorEastAsia" w:cstheme="minorEastAsia"/>
                <w:color w:val="auto"/>
                <w:sz w:val="24"/>
                <w:szCs w:val="24"/>
                <w:highlight w:val="none"/>
              </w:rPr>
            </w:pPr>
          </w:p>
        </w:tc>
      </w:tr>
      <w:tr w14:paraId="0CFF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164E5561">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工程质量</w:t>
            </w:r>
          </w:p>
        </w:tc>
        <w:tc>
          <w:tcPr>
            <w:tcW w:w="6116" w:type="dxa"/>
            <w:noWrap w:val="0"/>
            <w:vAlign w:val="center"/>
          </w:tcPr>
          <w:p w14:paraId="07EBCEDD">
            <w:pPr>
              <w:jc w:val="center"/>
              <w:rPr>
                <w:rFonts w:hint="eastAsia" w:asciiTheme="minorEastAsia" w:hAnsiTheme="minorEastAsia" w:eastAsiaTheme="minorEastAsia" w:cstheme="minorEastAsia"/>
                <w:color w:val="auto"/>
                <w:sz w:val="24"/>
                <w:szCs w:val="24"/>
                <w:highlight w:val="none"/>
              </w:rPr>
            </w:pPr>
          </w:p>
        </w:tc>
      </w:tr>
      <w:tr w14:paraId="73E8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52EE3DE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6116" w:type="dxa"/>
            <w:noWrap w:val="0"/>
            <w:vAlign w:val="center"/>
          </w:tcPr>
          <w:p w14:paraId="1680EFA9">
            <w:pPr>
              <w:jc w:val="center"/>
              <w:rPr>
                <w:rFonts w:hint="eastAsia" w:asciiTheme="minorEastAsia" w:hAnsiTheme="minorEastAsia" w:eastAsiaTheme="minorEastAsia" w:cstheme="minorEastAsia"/>
                <w:color w:val="auto"/>
                <w:sz w:val="24"/>
                <w:szCs w:val="24"/>
                <w:highlight w:val="none"/>
              </w:rPr>
            </w:pPr>
          </w:p>
        </w:tc>
      </w:tr>
      <w:tr w14:paraId="05E8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029A7B7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技术负责人</w:t>
            </w:r>
          </w:p>
        </w:tc>
        <w:tc>
          <w:tcPr>
            <w:tcW w:w="6116" w:type="dxa"/>
            <w:noWrap w:val="0"/>
            <w:vAlign w:val="center"/>
          </w:tcPr>
          <w:p w14:paraId="1FDD4AEB">
            <w:pPr>
              <w:jc w:val="center"/>
              <w:rPr>
                <w:rFonts w:hint="eastAsia" w:asciiTheme="minorEastAsia" w:hAnsiTheme="minorEastAsia" w:eastAsiaTheme="minorEastAsia" w:cstheme="minorEastAsia"/>
                <w:color w:val="auto"/>
                <w:sz w:val="24"/>
                <w:szCs w:val="24"/>
                <w:highlight w:val="none"/>
              </w:rPr>
            </w:pPr>
          </w:p>
        </w:tc>
      </w:tr>
      <w:tr w14:paraId="24CD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2B3EBE8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总监理工程师及电话</w:t>
            </w:r>
          </w:p>
        </w:tc>
        <w:tc>
          <w:tcPr>
            <w:tcW w:w="6116" w:type="dxa"/>
            <w:noWrap w:val="0"/>
            <w:vAlign w:val="center"/>
          </w:tcPr>
          <w:p w14:paraId="7F4B8F7D">
            <w:pPr>
              <w:jc w:val="center"/>
              <w:rPr>
                <w:rFonts w:hint="eastAsia" w:asciiTheme="minorEastAsia" w:hAnsiTheme="minorEastAsia" w:eastAsiaTheme="minorEastAsia" w:cstheme="minorEastAsia"/>
                <w:color w:val="auto"/>
                <w:sz w:val="24"/>
                <w:szCs w:val="24"/>
                <w:highlight w:val="none"/>
              </w:rPr>
            </w:pPr>
          </w:p>
        </w:tc>
      </w:tr>
      <w:tr w14:paraId="1CB9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2420" w:type="dxa"/>
            <w:noWrap w:val="0"/>
            <w:vAlign w:val="center"/>
          </w:tcPr>
          <w:p w14:paraId="085450C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项目描述</w:t>
            </w:r>
          </w:p>
        </w:tc>
        <w:tc>
          <w:tcPr>
            <w:tcW w:w="6116" w:type="dxa"/>
            <w:noWrap w:val="0"/>
            <w:vAlign w:val="center"/>
          </w:tcPr>
          <w:p w14:paraId="6CEACB8E">
            <w:pPr>
              <w:jc w:val="center"/>
              <w:rPr>
                <w:rFonts w:hint="eastAsia" w:asciiTheme="minorEastAsia" w:hAnsiTheme="minorEastAsia" w:eastAsiaTheme="minorEastAsia" w:cstheme="minorEastAsia"/>
                <w:color w:val="auto"/>
                <w:sz w:val="24"/>
                <w:szCs w:val="24"/>
                <w:highlight w:val="none"/>
              </w:rPr>
            </w:pPr>
          </w:p>
        </w:tc>
      </w:tr>
      <w:tr w14:paraId="3A2F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420" w:type="dxa"/>
            <w:noWrap w:val="0"/>
            <w:vAlign w:val="center"/>
          </w:tcPr>
          <w:p w14:paraId="2956EE4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c>
          <w:tcPr>
            <w:tcW w:w="6116" w:type="dxa"/>
            <w:noWrap w:val="0"/>
            <w:vAlign w:val="center"/>
          </w:tcPr>
          <w:p w14:paraId="76BC501C">
            <w:pPr>
              <w:jc w:val="center"/>
              <w:rPr>
                <w:rFonts w:hint="eastAsia" w:asciiTheme="minorEastAsia" w:hAnsiTheme="minorEastAsia" w:eastAsiaTheme="minorEastAsia" w:cstheme="minorEastAsia"/>
                <w:color w:val="auto"/>
                <w:sz w:val="24"/>
                <w:szCs w:val="24"/>
                <w:highlight w:val="none"/>
              </w:rPr>
            </w:pPr>
          </w:p>
        </w:tc>
      </w:tr>
    </w:tbl>
    <w:p w14:paraId="2D0A4209">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备注：1、类似项目指</w:t>
      </w:r>
      <w:r>
        <w:rPr>
          <w:rFonts w:hint="eastAsia" w:asciiTheme="minorEastAsia" w:hAnsiTheme="minorEastAsia" w:eastAsiaTheme="minorEastAsia" w:cstheme="minorEastAsia"/>
          <w:color w:val="auto"/>
          <w:sz w:val="24"/>
          <w:szCs w:val="24"/>
          <w:highlight w:val="none"/>
          <w:u w:val="single"/>
        </w:rPr>
        <w:t xml:space="preserve">   规模、使用功能相似     </w:t>
      </w:r>
      <w:r>
        <w:rPr>
          <w:rFonts w:hint="eastAsia" w:asciiTheme="minorEastAsia" w:hAnsiTheme="minorEastAsia" w:eastAsiaTheme="minorEastAsia" w:cstheme="minorEastAsia"/>
          <w:color w:val="auto"/>
          <w:sz w:val="24"/>
          <w:szCs w:val="24"/>
          <w:highlight w:val="none"/>
        </w:rPr>
        <w:t>工程。</w:t>
      </w:r>
    </w:p>
    <w:p w14:paraId="51ED9877">
      <w:pPr>
        <w:spacing w:line="440" w:lineRule="exact"/>
        <w:ind w:firstLine="72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2、本表后附中标通知书、合同协议书的复印件，具体年份要求见</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lang w:eastAsia="zh-CN"/>
        </w:rPr>
        <w:t>资料表</w:t>
      </w:r>
      <w:r>
        <w:rPr>
          <w:rFonts w:hint="eastAsia" w:asciiTheme="minorEastAsia" w:hAnsiTheme="minorEastAsia" w:eastAsiaTheme="minorEastAsia" w:cstheme="minorEastAsia"/>
          <w:color w:val="auto"/>
          <w:sz w:val="24"/>
          <w:szCs w:val="24"/>
          <w:highlight w:val="none"/>
        </w:rPr>
        <w:t>。每张表格只填写一个项目，并标明序号。</w:t>
      </w:r>
    </w:p>
    <w:p w14:paraId="680A8136">
      <w:pPr>
        <w:pStyle w:val="126"/>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none"/>
        </w:rPr>
        <w:br w:type="page"/>
      </w:r>
      <w:r>
        <w:rPr>
          <w:rFonts w:hint="eastAsia" w:asciiTheme="minorEastAsia" w:hAnsiTheme="minorEastAsia" w:eastAsiaTheme="minorEastAsia" w:cstheme="minorEastAsia"/>
          <w:color w:val="auto"/>
          <w:sz w:val="24"/>
          <w:szCs w:val="24"/>
          <w:highlight w:val="none"/>
          <w:u w:val="none"/>
          <w:lang w:val="en-US" w:eastAsia="zh-CN"/>
        </w:rPr>
        <w:t>5.3</w:t>
      </w:r>
      <w:r>
        <w:rPr>
          <w:rFonts w:hint="eastAsia" w:asciiTheme="minorEastAsia" w:hAnsiTheme="minorEastAsia" w:eastAsiaTheme="minorEastAsia" w:cstheme="minorEastAsia"/>
          <w:color w:val="auto"/>
          <w:sz w:val="24"/>
          <w:szCs w:val="24"/>
          <w:highlight w:val="none"/>
          <w:u w:val="none"/>
        </w:rPr>
        <w:t>正在施工的和新承接的项目情况表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02DD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13A03B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6095" w:type="dxa"/>
            <w:noWrap w:val="0"/>
            <w:vAlign w:val="center"/>
          </w:tcPr>
          <w:p w14:paraId="4308A490">
            <w:pPr>
              <w:jc w:val="center"/>
              <w:rPr>
                <w:rFonts w:hint="eastAsia" w:asciiTheme="minorEastAsia" w:hAnsiTheme="minorEastAsia" w:eastAsiaTheme="minorEastAsia" w:cstheme="minorEastAsia"/>
                <w:color w:val="auto"/>
                <w:sz w:val="24"/>
                <w:szCs w:val="24"/>
                <w:highlight w:val="none"/>
              </w:rPr>
            </w:pPr>
          </w:p>
        </w:tc>
      </w:tr>
      <w:tr w14:paraId="018B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69FFFC2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项目所在地</w:t>
            </w:r>
          </w:p>
        </w:tc>
        <w:tc>
          <w:tcPr>
            <w:tcW w:w="6095" w:type="dxa"/>
            <w:noWrap w:val="0"/>
            <w:vAlign w:val="center"/>
          </w:tcPr>
          <w:p w14:paraId="110910B7">
            <w:pPr>
              <w:jc w:val="center"/>
              <w:rPr>
                <w:rFonts w:hint="eastAsia" w:asciiTheme="minorEastAsia" w:hAnsiTheme="minorEastAsia" w:eastAsiaTheme="minorEastAsia" w:cstheme="minorEastAsia"/>
                <w:color w:val="auto"/>
                <w:sz w:val="24"/>
                <w:szCs w:val="24"/>
                <w:highlight w:val="none"/>
              </w:rPr>
            </w:pPr>
          </w:p>
        </w:tc>
      </w:tr>
      <w:tr w14:paraId="3140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6EA909B6">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发包人名称</w:t>
            </w:r>
          </w:p>
        </w:tc>
        <w:tc>
          <w:tcPr>
            <w:tcW w:w="6095" w:type="dxa"/>
            <w:noWrap w:val="0"/>
            <w:vAlign w:val="center"/>
          </w:tcPr>
          <w:p w14:paraId="019CBFE4">
            <w:pPr>
              <w:jc w:val="center"/>
              <w:rPr>
                <w:rFonts w:hint="eastAsia" w:asciiTheme="minorEastAsia" w:hAnsiTheme="minorEastAsia" w:eastAsiaTheme="minorEastAsia" w:cstheme="minorEastAsia"/>
                <w:color w:val="auto"/>
                <w:sz w:val="24"/>
                <w:szCs w:val="24"/>
                <w:highlight w:val="none"/>
              </w:rPr>
            </w:pPr>
          </w:p>
        </w:tc>
      </w:tr>
      <w:tr w14:paraId="65D9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D62C62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发包人地址</w:t>
            </w:r>
          </w:p>
        </w:tc>
        <w:tc>
          <w:tcPr>
            <w:tcW w:w="6095" w:type="dxa"/>
            <w:noWrap w:val="0"/>
            <w:vAlign w:val="center"/>
          </w:tcPr>
          <w:p w14:paraId="7D297810">
            <w:pPr>
              <w:jc w:val="center"/>
              <w:rPr>
                <w:rFonts w:hint="eastAsia" w:asciiTheme="minorEastAsia" w:hAnsiTheme="minorEastAsia" w:eastAsiaTheme="minorEastAsia" w:cstheme="minorEastAsia"/>
                <w:color w:val="auto"/>
                <w:sz w:val="24"/>
                <w:szCs w:val="24"/>
                <w:highlight w:val="none"/>
              </w:rPr>
            </w:pPr>
          </w:p>
        </w:tc>
      </w:tr>
      <w:tr w14:paraId="7355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74AB8C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发包人电话</w:t>
            </w:r>
          </w:p>
        </w:tc>
        <w:tc>
          <w:tcPr>
            <w:tcW w:w="6095" w:type="dxa"/>
            <w:noWrap w:val="0"/>
            <w:vAlign w:val="center"/>
          </w:tcPr>
          <w:p w14:paraId="1FAF7C1C">
            <w:pPr>
              <w:jc w:val="center"/>
              <w:rPr>
                <w:rFonts w:hint="eastAsia" w:asciiTheme="minorEastAsia" w:hAnsiTheme="minorEastAsia" w:eastAsiaTheme="minorEastAsia" w:cstheme="minorEastAsia"/>
                <w:color w:val="auto"/>
                <w:sz w:val="24"/>
                <w:szCs w:val="24"/>
                <w:highlight w:val="none"/>
              </w:rPr>
            </w:pPr>
          </w:p>
        </w:tc>
      </w:tr>
      <w:tr w14:paraId="3C1E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960A60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签约合同价</w:t>
            </w:r>
          </w:p>
        </w:tc>
        <w:tc>
          <w:tcPr>
            <w:tcW w:w="6095" w:type="dxa"/>
            <w:noWrap w:val="0"/>
            <w:vAlign w:val="center"/>
          </w:tcPr>
          <w:p w14:paraId="1154ED79">
            <w:pPr>
              <w:jc w:val="center"/>
              <w:rPr>
                <w:rFonts w:hint="eastAsia" w:asciiTheme="minorEastAsia" w:hAnsiTheme="minorEastAsia" w:eastAsiaTheme="minorEastAsia" w:cstheme="minorEastAsia"/>
                <w:color w:val="auto"/>
                <w:sz w:val="24"/>
                <w:szCs w:val="24"/>
                <w:highlight w:val="none"/>
              </w:rPr>
            </w:pPr>
          </w:p>
        </w:tc>
      </w:tr>
      <w:tr w14:paraId="39E5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B8067B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开工日期</w:t>
            </w:r>
          </w:p>
        </w:tc>
        <w:tc>
          <w:tcPr>
            <w:tcW w:w="6095" w:type="dxa"/>
            <w:noWrap w:val="0"/>
            <w:vAlign w:val="center"/>
          </w:tcPr>
          <w:p w14:paraId="6ED1E22F">
            <w:pPr>
              <w:jc w:val="center"/>
              <w:rPr>
                <w:rFonts w:hint="eastAsia" w:asciiTheme="minorEastAsia" w:hAnsiTheme="minorEastAsia" w:eastAsiaTheme="minorEastAsia" w:cstheme="minorEastAsia"/>
                <w:color w:val="auto"/>
                <w:sz w:val="24"/>
                <w:szCs w:val="24"/>
                <w:highlight w:val="none"/>
              </w:rPr>
            </w:pPr>
          </w:p>
        </w:tc>
      </w:tr>
      <w:tr w14:paraId="62CD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8F96E4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计划竣工日期</w:t>
            </w:r>
          </w:p>
        </w:tc>
        <w:tc>
          <w:tcPr>
            <w:tcW w:w="6095" w:type="dxa"/>
            <w:noWrap w:val="0"/>
            <w:vAlign w:val="center"/>
          </w:tcPr>
          <w:p w14:paraId="45A26749">
            <w:pPr>
              <w:jc w:val="center"/>
              <w:rPr>
                <w:rFonts w:hint="eastAsia" w:asciiTheme="minorEastAsia" w:hAnsiTheme="minorEastAsia" w:eastAsiaTheme="minorEastAsia" w:cstheme="minorEastAsia"/>
                <w:color w:val="auto"/>
                <w:sz w:val="24"/>
                <w:szCs w:val="24"/>
                <w:highlight w:val="none"/>
              </w:rPr>
            </w:pPr>
          </w:p>
        </w:tc>
      </w:tr>
      <w:tr w14:paraId="2C51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F9D7E9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承担的工作</w:t>
            </w:r>
          </w:p>
        </w:tc>
        <w:tc>
          <w:tcPr>
            <w:tcW w:w="6095" w:type="dxa"/>
            <w:noWrap w:val="0"/>
            <w:vAlign w:val="center"/>
          </w:tcPr>
          <w:p w14:paraId="7FC86C4A">
            <w:pPr>
              <w:jc w:val="center"/>
              <w:rPr>
                <w:rFonts w:hint="eastAsia" w:asciiTheme="minorEastAsia" w:hAnsiTheme="minorEastAsia" w:eastAsiaTheme="minorEastAsia" w:cstheme="minorEastAsia"/>
                <w:color w:val="auto"/>
                <w:sz w:val="24"/>
                <w:szCs w:val="24"/>
                <w:highlight w:val="none"/>
              </w:rPr>
            </w:pPr>
          </w:p>
        </w:tc>
      </w:tr>
      <w:tr w14:paraId="2FA1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F6B2A3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工程质量</w:t>
            </w:r>
          </w:p>
        </w:tc>
        <w:tc>
          <w:tcPr>
            <w:tcW w:w="6095" w:type="dxa"/>
            <w:noWrap w:val="0"/>
            <w:vAlign w:val="center"/>
          </w:tcPr>
          <w:p w14:paraId="3787249C">
            <w:pPr>
              <w:jc w:val="center"/>
              <w:rPr>
                <w:rFonts w:hint="eastAsia" w:asciiTheme="minorEastAsia" w:hAnsiTheme="minorEastAsia" w:eastAsiaTheme="minorEastAsia" w:cstheme="minorEastAsia"/>
                <w:color w:val="auto"/>
                <w:sz w:val="24"/>
                <w:szCs w:val="24"/>
                <w:highlight w:val="none"/>
              </w:rPr>
            </w:pPr>
          </w:p>
        </w:tc>
      </w:tr>
      <w:tr w14:paraId="4403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790672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6095" w:type="dxa"/>
            <w:noWrap w:val="0"/>
            <w:vAlign w:val="center"/>
          </w:tcPr>
          <w:p w14:paraId="50EB261A">
            <w:pPr>
              <w:jc w:val="center"/>
              <w:rPr>
                <w:rFonts w:hint="eastAsia" w:asciiTheme="minorEastAsia" w:hAnsiTheme="minorEastAsia" w:eastAsiaTheme="minorEastAsia" w:cstheme="minorEastAsia"/>
                <w:color w:val="auto"/>
                <w:sz w:val="24"/>
                <w:szCs w:val="24"/>
                <w:highlight w:val="none"/>
              </w:rPr>
            </w:pPr>
          </w:p>
        </w:tc>
      </w:tr>
      <w:tr w14:paraId="0104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50EABE7">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技术负责人</w:t>
            </w:r>
          </w:p>
        </w:tc>
        <w:tc>
          <w:tcPr>
            <w:tcW w:w="6095" w:type="dxa"/>
            <w:noWrap w:val="0"/>
            <w:vAlign w:val="center"/>
          </w:tcPr>
          <w:p w14:paraId="1A498699">
            <w:pPr>
              <w:jc w:val="center"/>
              <w:rPr>
                <w:rFonts w:hint="eastAsia" w:asciiTheme="minorEastAsia" w:hAnsiTheme="minorEastAsia" w:eastAsiaTheme="minorEastAsia" w:cstheme="minorEastAsia"/>
                <w:color w:val="auto"/>
                <w:sz w:val="24"/>
                <w:szCs w:val="24"/>
                <w:highlight w:val="none"/>
              </w:rPr>
            </w:pPr>
          </w:p>
        </w:tc>
      </w:tr>
      <w:tr w14:paraId="1EF2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34831E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总监理工程师及电话</w:t>
            </w:r>
          </w:p>
        </w:tc>
        <w:tc>
          <w:tcPr>
            <w:tcW w:w="6095" w:type="dxa"/>
            <w:noWrap w:val="0"/>
            <w:vAlign w:val="center"/>
          </w:tcPr>
          <w:p w14:paraId="161CCFC0">
            <w:pPr>
              <w:jc w:val="center"/>
              <w:rPr>
                <w:rFonts w:hint="eastAsia" w:asciiTheme="minorEastAsia" w:hAnsiTheme="minorEastAsia" w:eastAsiaTheme="minorEastAsia" w:cstheme="minorEastAsia"/>
                <w:color w:val="auto"/>
                <w:sz w:val="24"/>
                <w:szCs w:val="24"/>
                <w:highlight w:val="none"/>
              </w:rPr>
            </w:pPr>
          </w:p>
        </w:tc>
      </w:tr>
      <w:tr w14:paraId="1D03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2410" w:type="dxa"/>
            <w:noWrap w:val="0"/>
            <w:vAlign w:val="center"/>
          </w:tcPr>
          <w:p w14:paraId="1374249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项目描述</w:t>
            </w:r>
          </w:p>
        </w:tc>
        <w:tc>
          <w:tcPr>
            <w:tcW w:w="6095" w:type="dxa"/>
            <w:noWrap w:val="0"/>
            <w:vAlign w:val="center"/>
          </w:tcPr>
          <w:p w14:paraId="179FC20B">
            <w:pPr>
              <w:jc w:val="center"/>
              <w:rPr>
                <w:rFonts w:hint="eastAsia" w:asciiTheme="minorEastAsia" w:hAnsiTheme="minorEastAsia" w:eastAsiaTheme="minorEastAsia" w:cstheme="minorEastAsia"/>
                <w:color w:val="auto"/>
                <w:sz w:val="24"/>
                <w:szCs w:val="24"/>
                <w:highlight w:val="none"/>
              </w:rPr>
            </w:pPr>
          </w:p>
        </w:tc>
      </w:tr>
      <w:tr w14:paraId="78FC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00BC0D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c>
          <w:tcPr>
            <w:tcW w:w="6095" w:type="dxa"/>
            <w:noWrap w:val="0"/>
            <w:vAlign w:val="center"/>
          </w:tcPr>
          <w:p w14:paraId="29CDAFD0">
            <w:pPr>
              <w:jc w:val="center"/>
              <w:rPr>
                <w:rFonts w:hint="eastAsia" w:asciiTheme="minorEastAsia" w:hAnsiTheme="minorEastAsia" w:eastAsiaTheme="minorEastAsia" w:cstheme="minorEastAsia"/>
                <w:color w:val="auto"/>
                <w:sz w:val="24"/>
                <w:szCs w:val="24"/>
                <w:highlight w:val="none"/>
              </w:rPr>
            </w:pPr>
          </w:p>
        </w:tc>
      </w:tr>
    </w:tbl>
    <w:p w14:paraId="0FB7596E">
      <w:pPr>
        <w:spacing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备注：本表后附中标通知书和合同协议书复印件。每张表格只填写一个项目，并标明序号。</w:t>
      </w:r>
    </w:p>
    <w:p w14:paraId="5A26529D">
      <w:pPr>
        <w:spacing w:line="440" w:lineRule="exact"/>
        <w:rPr>
          <w:rFonts w:hint="eastAsia" w:asciiTheme="minorEastAsia" w:hAnsiTheme="minorEastAsia" w:eastAsiaTheme="minorEastAsia" w:cstheme="minorEastAsia"/>
          <w:color w:val="auto"/>
          <w:sz w:val="24"/>
          <w:szCs w:val="24"/>
          <w:highlight w:val="none"/>
        </w:rPr>
      </w:pPr>
    </w:p>
    <w:p w14:paraId="1E0680AC">
      <w:pPr>
        <w:spacing w:line="440" w:lineRule="exact"/>
        <w:rPr>
          <w:rFonts w:hint="eastAsia" w:asciiTheme="minorEastAsia" w:hAnsiTheme="minorEastAsia" w:eastAsiaTheme="minorEastAsia" w:cstheme="minorEastAsia"/>
          <w:color w:val="auto"/>
          <w:sz w:val="24"/>
          <w:szCs w:val="24"/>
          <w:highlight w:val="none"/>
        </w:rPr>
      </w:pPr>
    </w:p>
    <w:p w14:paraId="5BD15655">
      <w:pPr>
        <w:spacing w:line="440" w:lineRule="exact"/>
        <w:rPr>
          <w:rFonts w:hint="eastAsia" w:asciiTheme="minorEastAsia" w:hAnsiTheme="minorEastAsia" w:eastAsiaTheme="minorEastAsia" w:cstheme="minorEastAsia"/>
          <w:color w:val="auto"/>
          <w:sz w:val="24"/>
          <w:szCs w:val="24"/>
          <w:highlight w:val="none"/>
        </w:rPr>
      </w:pPr>
    </w:p>
    <w:p w14:paraId="67AAC19A">
      <w:pPr>
        <w:pStyle w:val="126"/>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val="en-US" w:eastAsia="zh-CN"/>
        </w:rPr>
        <w:t>5.4</w:t>
      </w:r>
      <w:r>
        <w:rPr>
          <w:rFonts w:hint="eastAsia" w:asciiTheme="minorEastAsia" w:hAnsiTheme="minorEastAsia" w:eastAsiaTheme="minorEastAsia" w:cstheme="minorEastAsia"/>
          <w:color w:val="auto"/>
          <w:sz w:val="24"/>
          <w:szCs w:val="24"/>
          <w:highlight w:val="none"/>
          <w:u w:val="none"/>
        </w:rPr>
        <w:t>近</w:t>
      </w:r>
      <w:r>
        <w:rPr>
          <w:rFonts w:hint="eastAsia" w:asciiTheme="minorEastAsia" w:hAnsiTheme="minorEastAsia" w:eastAsiaTheme="minorEastAsia" w:cstheme="minorEastAsia"/>
          <w:color w:val="auto"/>
          <w:sz w:val="24"/>
          <w:szCs w:val="24"/>
          <w:highlight w:val="none"/>
          <w:u w:val="none"/>
          <w:lang w:val="en-US" w:eastAsia="zh-CN"/>
        </w:rPr>
        <w:t>3年</w:t>
      </w:r>
      <w:r>
        <w:rPr>
          <w:rFonts w:hint="eastAsia" w:asciiTheme="minorEastAsia" w:hAnsiTheme="minorEastAsia" w:eastAsiaTheme="minorEastAsia" w:cstheme="minorEastAsia"/>
          <w:color w:val="auto"/>
          <w:sz w:val="24"/>
          <w:szCs w:val="24"/>
          <w:highlight w:val="none"/>
          <w:u w:val="none"/>
        </w:rPr>
        <w:t>发生的诉讼及仲裁情况</w:t>
      </w:r>
    </w:p>
    <w:p w14:paraId="00F7DFA0">
      <w:pPr>
        <w:spacing w:line="440" w:lineRule="exact"/>
        <w:ind w:left="630" w:hanging="720" w:hanging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说明：近年发生的诉讼和仲裁情况仅限于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败诉的，且与履行施工承包合同有关的案件，不包括调解结案以及未裁决的仲裁或未终审判决的诉讼。</w:t>
      </w:r>
    </w:p>
    <w:p w14:paraId="417981C0">
      <w:pPr>
        <w:spacing w:line="440" w:lineRule="exact"/>
        <w:rPr>
          <w:rFonts w:hint="eastAsia" w:asciiTheme="minorEastAsia" w:hAnsiTheme="minorEastAsia" w:eastAsiaTheme="minorEastAsia" w:cstheme="minorEastAsia"/>
          <w:color w:val="auto"/>
          <w:sz w:val="24"/>
          <w:szCs w:val="24"/>
          <w:highlight w:val="none"/>
        </w:rPr>
      </w:pPr>
    </w:p>
    <w:p w14:paraId="53385BFA">
      <w:pPr>
        <w:spacing w:line="440" w:lineRule="exact"/>
        <w:rPr>
          <w:rFonts w:hint="eastAsia" w:asciiTheme="minorEastAsia" w:hAnsiTheme="minorEastAsia" w:eastAsiaTheme="minorEastAsia" w:cstheme="minorEastAsia"/>
          <w:color w:val="auto"/>
          <w:sz w:val="24"/>
          <w:szCs w:val="24"/>
          <w:highlight w:val="none"/>
        </w:rPr>
      </w:pPr>
    </w:p>
    <w:p w14:paraId="686576F3">
      <w:pPr>
        <w:spacing w:line="440" w:lineRule="exact"/>
        <w:rPr>
          <w:rFonts w:hint="eastAsia" w:asciiTheme="minorEastAsia" w:hAnsiTheme="minorEastAsia" w:eastAsiaTheme="minorEastAsia" w:cstheme="minorEastAsia"/>
          <w:color w:val="auto"/>
          <w:sz w:val="24"/>
          <w:szCs w:val="24"/>
          <w:highlight w:val="none"/>
        </w:rPr>
      </w:pPr>
    </w:p>
    <w:p w14:paraId="26537E37">
      <w:pPr>
        <w:spacing w:before="156" w:beforeLines="50" w:after="156" w:afterLines="50" w:line="440" w:lineRule="exact"/>
        <w:ind w:left="630" w:hanging="720" w:hanging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5.5</w:t>
      </w:r>
      <w:r>
        <w:rPr>
          <w:rFonts w:hint="eastAsia" w:asciiTheme="minorEastAsia" w:hAnsiTheme="minorEastAsia" w:eastAsiaTheme="minorEastAsia" w:cstheme="minorEastAsia"/>
          <w:color w:val="auto"/>
          <w:sz w:val="24"/>
          <w:szCs w:val="24"/>
          <w:highlight w:val="none"/>
        </w:rPr>
        <w:t>企业其他信誉情况表</w:t>
      </w:r>
    </w:p>
    <w:p w14:paraId="731193A5">
      <w:pPr>
        <w:spacing w:before="156" w:beforeLines="50" w:after="156" w:afterLines="50" w:line="440" w:lineRule="exact"/>
        <w:ind w:left="630" w:hanging="720" w:hangingChars="300"/>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（年份要求同诉讼及仲裁情况年份要求）</w:t>
      </w:r>
    </w:p>
    <w:p w14:paraId="482F6907">
      <w:pPr>
        <w:spacing w:line="440" w:lineRule="exact"/>
        <w:ind w:left="630" w:hanging="720" w:hanging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近年企业不良行为记录情况</w:t>
      </w:r>
    </w:p>
    <w:p w14:paraId="55198CAA">
      <w:pPr>
        <w:spacing w:line="440" w:lineRule="exact"/>
        <w:ind w:left="630" w:hanging="720" w:hanging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在施工程以及近年已竣工工程合同履行情况</w:t>
      </w:r>
    </w:p>
    <w:p w14:paraId="4469427D">
      <w:pPr>
        <w:numPr>
          <w:ilvl w:val="0"/>
          <w:numId w:val="13"/>
        </w:numPr>
        <w:spacing w:line="440" w:lineRule="exact"/>
        <w:ind w:left="630" w:hanging="720" w:hanging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  他</w:t>
      </w:r>
    </w:p>
    <w:p w14:paraId="1A9B2144">
      <w:pPr>
        <w:spacing w:line="440" w:lineRule="exact"/>
        <w:ind w:left="630" w:hanging="720" w:hangingChars="300"/>
        <w:rPr>
          <w:rFonts w:hint="eastAsia" w:asciiTheme="minorEastAsia" w:hAnsiTheme="minorEastAsia" w:eastAsiaTheme="minorEastAsia" w:cstheme="minorEastAsia"/>
          <w:b w:val="0"/>
          <w:bCs w:val="0"/>
          <w:color w:val="auto"/>
          <w:sz w:val="24"/>
          <w:szCs w:val="24"/>
          <w:highlight w:val="none"/>
          <w:u w:val="none"/>
        </w:rPr>
      </w:pPr>
      <w:r>
        <w:rPr>
          <w:rFonts w:hint="eastAsia" w:asciiTheme="minorEastAsia" w:hAnsiTheme="minorEastAsia" w:eastAsiaTheme="minorEastAsia" w:cstheme="minorEastAsia"/>
          <w:color w:val="auto"/>
          <w:sz w:val="24"/>
          <w:szCs w:val="24"/>
          <w:highlight w:val="none"/>
        </w:rPr>
        <w:t>备注：1、</w:t>
      </w:r>
      <w:r>
        <w:rPr>
          <w:rFonts w:hint="eastAsia" w:asciiTheme="minorEastAsia" w:hAnsiTheme="minorEastAsia" w:eastAsiaTheme="minorEastAsia" w:cstheme="minorEastAsia"/>
          <w:color w:val="auto"/>
          <w:sz w:val="24"/>
          <w:szCs w:val="24"/>
          <w:highlight w:val="none"/>
          <w:lang w:val="en-US" w:eastAsia="zh-CN"/>
        </w:rPr>
        <w:t>供应商自行对信誉良好，没有处于被责令停业、响应资格被取消、财产被接管、冻结、破产状态，最近三年内没有骗取中标和严重违约的记录，未因不良记录被建设行政主管部门或财政部门暂停或取消资格进</w:t>
      </w:r>
      <w:r>
        <w:rPr>
          <w:rFonts w:hint="eastAsia" w:asciiTheme="minorEastAsia" w:hAnsiTheme="minorEastAsia" w:eastAsiaTheme="minorEastAsia" w:cstheme="minorEastAsia"/>
          <w:b w:val="0"/>
          <w:bCs w:val="0"/>
          <w:color w:val="auto"/>
          <w:sz w:val="24"/>
          <w:szCs w:val="24"/>
          <w:highlight w:val="none"/>
          <w:lang w:val="en-US" w:eastAsia="zh-CN"/>
        </w:rPr>
        <w:t>行说明</w:t>
      </w:r>
      <w:r>
        <w:rPr>
          <w:rFonts w:hint="eastAsia" w:asciiTheme="minorEastAsia" w:hAnsiTheme="minorEastAsia" w:eastAsiaTheme="minorEastAsia" w:cstheme="minorEastAsia"/>
          <w:b w:val="0"/>
          <w:bCs w:val="0"/>
          <w:color w:val="auto"/>
          <w:sz w:val="24"/>
          <w:szCs w:val="24"/>
          <w:highlight w:val="none"/>
          <w:u w:val="none"/>
          <w:lang w:val="en-US" w:eastAsia="zh-CN"/>
        </w:rPr>
        <w:t>或承诺，格式不限。</w:t>
      </w:r>
    </w:p>
    <w:p w14:paraId="4D4EA08A">
      <w:pPr>
        <w:numPr>
          <w:ilvl w:val="0"/>
          <w:numId w:val="14"/>
        </w:numPr>
        <w:spacing w:line="440" w:lineRule="exact"/>
        <w:ind w:left="630" w:hanging="720" w:hangingChars="300"/>
        <w:rPr>
          <w:rFonts w:hint="eastAsia" w:asciiTheme="minorEastAsia" w:hAnsiTheme="minorEastAsia" w:eastAsiaTheme="minorEastAsia" w:cstheme="minorEastAsia"/>
          <w:b w:val="0"/>
          <w:bCs w:val="0"/>
          <w:color w:val="auto"/>
          <w:sz w:val="24"/>
          <w:szCs w:val="24"/>
          <w:highlight w:val="none"/>
          <w:u w:val="none"/>
        </w:rPr>
      </w:pPr>
      <w:r>
        <w:rPr>
          <w:rFonts w:hint="eastAsia" w:asciiTheme="minorEastAsia" w:hAnsiTheme="minorEastAsia" w:eastAsiaTheme="minorEastAsia" w:cstheme="minorEastAsia"/>
          <w:b w:val="0"/>
          <w:bCs w:val="0"/>
          <w:color w:val="auto"/>
          <w:sz w:val="24"/>
          <w:szCs w:val="24"/>
          <w:highlight w:val="none"/>
          <w:u w:val="none"/>
          <w:lang w:val="en-US" w:eastAsia="zh-CN"/>
        </w:rPr>
        <w:t>供应商在“信用中国”网站未被列入失信被执行人、重大税收违法案件当事人名单，在中国政府采网未被列入政府采购严重违法失信行为记录名单及新疆政府采购网未被列入严重违法失信行为信息记录及在国家企业信用信息公示系统未被列入严重违法失信企业名单、重大税收违法案件当事人名单。提供上述网页截图打印（打印日期需在公告发布之日起至投标响应截止时间止）并加盖公章。</w:t>
      </w:r>
    </w:p>
    <w:p w14:paraId="7289E6A5">
      <w:pPr>
        <w:spacing w:before="156" w:beforeLines="50" w:after="156" w:afterLines="50" w:line="44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5.6供应商关联单位的说明（格式自拟）</w:t>
      </w:r>
    </w:p>
    <w:p w14:paraId="3F3A64BA">
      <w:pPr>
        <w:spacing w:line="440" w:lineRule="exact"/>
        <w:ind w:left="630" w:hanging="720" w:hanging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说明：供应商应当如实披露与本单位存在下列关联关系的单位名称：</w:t>
      </w:r>
    </w:p>
    <w:p w14:paraId="5B36DEE3">
      <w:pPr>
        <w:spacing w:line="440" w:lineRule="exact"/>
        <w:ind w:left="630" w:hanging="720" w:hanging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（1）与供应商单位负责人为同一人的其他单位；</w:t>
      </w:r>
    </w:p>
    <w:p w14:paraId="64E47E9E">
      <w:pPr>
        <w:spacing w:line="440" w:lineRule="exact"/>
        <w:ind w:left="630" w:hanging="720" w:hangingChars="3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（2）与供应商存在直接控股、管理关系的其他单位。</w:t>
      </w:r>
    </w:p>
    <w:p w14:paraId="671AA7D4">
      <w:pPr>
        <w:pStyle w:val="54"/>
        <w:rPr>
          <w:rFonts w:hint="eastAsia" w:asciiTheme="minorEastAsia" w:hAnsiTheme="minorEastAsia" w:eastAsiaTheme="minorEastAsia" w:cstheme="minorEastAsia"/>
          <w:color w:val="auto"/>
          <w:sz w:val="24"/>
          <w:szCs w:val="24"/>
          <w:highlight w:val="none"/>
        </w:rPr>
        <w:sectPr>
          <w:headerReference r:id="rId7" w:type="default"/>
          <w:footerReference r:id="rId8" w:type="default"/>
          <w:pgSz w:w="11906" w:h="16838"/>
          <w:pgMar w:top="1440" w:right="1080" w:bottom="1440" w:left="1080" w:header="851" w:footer="992" w:gutter="0"/>
          <w:pgNumType w:fmt="decimal" w:start="1"/>
          <w:cols w:space="720" w:num="1"/>
          <w:docGrid w:type="linesAndChars" w:linePitch="312" w:charSpace="0"/>
        </w:sectPr>
      </w:pPr>
    </w:p>
    <w:p w14:paraId="4D4A60F5">
      <w:pPr>
        <w:pStyle w:val="122"/>
        <w:spacing w:line="400" w:lineRule="exact"/>
        <w:ind w:firstLine="3373" w:firstLineChars="1400"/>
        <w:rPr>
          <w:rFonts w:hint="eastAsia" w:asciiTheme="minorEastAsia" w:hAnsiTheme="minorEastAsia" w:eastAsiaTheme="minorEastAsia" w:cstheme="minorEastAsia"/>
          <w:b/>
          <w:bCs/>
          <w:color w:val="auto"/>
          <w:sz w:val="24"/>
          <w:highlight w:val="none"/>
        </w:rPr>
      </w:pPr>
      <w:bookmarkStart w:id="315" w:name="_Toc12319"/>
      <w:bookmarkStart w:id="316" w:name="_Toc518923111"/>
      <w:bookmarkStart w:id="317" w:name="_Toc1351"/>
      <w:bookmarkStart w:id="318" w:name="_Toc1473"/>
      <w:bookmarkStart w:id="319" w:name="_Toc3716"/>
      <w:r>
        <w:rPr>
          <w:rFonts w:hint="eastAsia" w:asciiTheme="minorEastAsia" w:hAnsiTheme="minorEastAsia" w:eastAsiaTheme="minorEastAsia" w:cstheme="minorEastAsia"/>
          <w:b/>
          <w:bCs/>
          <w:color w:val="auto"/>
          <w:sz w:val="24"/>
          <w:highlight w:val="none"/>
          <w:lang w:val="en-US" w:eastAsia="zh-CN"/>
        </w:rPr>
        <w:t>6、</w:t>
      </w:r>
      <w:r>
        <w:rPr>
          <w:rFonts w:hint="eastAsia" w:asciiTheme="minorEastAsia" w:hAnsiTheme="minorEastAsia" w:eastAsiaTheme="minorEastAsia" w:cstheme="minorEastAsia"/>
          <w:b/>
          <w:bCs/>
          <w:color w:val="auto"/>
          <w:sz w:val="24"/>
          <w:highlight w:val="none"/>
        </w:rPr>
        <w:t>中小企业声明函</w:t>
      </w:r>
    </w:p>
    <w:p w14:paraId="2A749AD9">
      <w:pPr>
        <w:spacing w:line="240" w:lineRule="atLeast"/>
        <w:ind w:left="1080" w:leftChars="257" w:hanging="540"/>
        <w:jc w:val="center"/>
        <w:rPr>
          <w:rFonts w:hint="eastAsia" w:asciiTheme="minorEastAsia" w:hAnsiTheme="minorEastAsia" w:eastAsiaTheme="minorEastAsia" w:cstheme="minorEastAsia"/>
          <w:b/>
          <w:color w:val="auto"/>
          <w:kern w:val="0"/>
          <w:sz w:val="24"/>
          <w:szCs w:val="20"/>
          <w:highlight w:val="none"/>
        </w:rPr>
      </w:pPr>
    </w:p>
    <w:p w14:paraId="499DF538">
      <w:pPr>
        <w:keepNext w:val="0"/>
        <w:keepLines w:val="0"/>
        <w:widowControl/>
        <w:suppressLineNumbers w:val="0"/>
        <w:spacing w:line="360" w:lineRule="auto"/>
        <w:ind w:firstLine="480" w:firstLineChars="200"/>
        <w:jc w:val="left"/>
        <w:rPr>
          <w:i w:val="0"/>
          <w:iCs w:val="0"/>
          <w:sz w:val="24"/>
          <w:szCs w:val="24"/>
        </w:rPr>
      </w:pPr>
      <w:r>
        <w:rPr>
          <w:rFonts w:hint="eastAsia" w:ascii="宋体" w:hAnsi="宋体" w:eastAsia="宋体" w:cs="宋体"/>
          <w:i w:val="0"/>
          <w:iCs w:val="0"/>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val="0"/>
          <w:color w:val="000000"/>
          <w:kern w:val="0"/>
          <w:sz w:val="24"/>
          <w:szCs w:val="24"/>
          <w:u w:val="single"/>
          <w:lang w:val="en-US" w:eastAsia="zh-CN" w:bidi="ar"/>
        </w:rPr>
        <w:t>（单位名称）</w:t>
      </w:r>
      <w:r>
        <w:rPr>
          <w:rFonts w:hint="eastAsia" w:ascii="宋体" w:hAnsi="宋体" w:eastAsia="宋体" w:cs="宋体"/>
          <w:i w:val="0"/>
          <w:iCs w:val="0"/>
          <w:color w:val="000000"/>
          <w:kern w:val="0"/>
          <w:sz w:val="24"/>
          <w:szCs w:val="24"/>
          <w:lang w:val="en-US" w:eastAsia="zh-CN" w:bidi="ar"/>
        </w:rPr>
        <w:t>的</w:t>
      </w:r>
      <w:r>
        <w:rPr>
          <w:rFonts w:hint="eastAsia" w:ascii="宋体" w:hAnsi="宋体" w:eastAsia="宋体" w:cs="宋体"/>
          <w:i w:val="0"/>
          <w:iCs w:val="0"/>
          <w:color w:val="000000"/>
          <w:kern w:val="0"/>
          <w:sz w:val="24"/>
          <w:szCs w:val="24"/>
          <w:u w:val="single"/>
          <w:lang w:val="en-US" w:eastAsia="zh-CN" w:bidi="ar"/>
        </w:rPr>
        <w:t>（项目名称）</w:t>
      </w:r>
      <w:r>
        <w:rPr>
          <w:rFonts w:hint="eastAsia" w:ascii="宋体" w:hAnsi="宋体" w:eastAsia="宋体" w:cs="宋体"/>
          <w:i w:val="0"/>
          <w:iCs w:val="0"/>
          <w:color w:val="000000"/>
          <w:kern w:val="0"/>
          <w:sz w:val="24"/>
          <w:szCs w:val="24"/>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663CD38">
      <w:pPr>
        <w:keepNext w:val="0"/>
        <w:keepLines w:val="0"/>
        <w:widowControl/>
        <w:suppressLineNumbers w:val="0"/>
        <w:spacing w:line="360" w:lineRule="auto"/>
        <w:jc w:val="left"/>
        <w:rPr>
          <w:i w:val="0"/>
          <w:iCs w:val="0"/>
          <w:sz w:val="24"/>
          <w:szCs w:val="24"/>
          <w:u w:val="single"/>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single"/>
          <w:lang w:val="en-US" w:eastAsia="zh-CN" w:bidi="ar"/>
        </w:rPr>
        <w:t>（标的名称）</w:t>
      </w:r>
      <w:r>
        <w:rPr>
          <w:rFonts w:hint="eastAsia" w:ascii="宋体" w:hAnsi="宋体" w:eastAsia="宋体" w:cs="宋体"/>
          <w:i w:val="0"/>
          <w:iCs w:val="0"/>
          <w:color w:val="000000"/>
          <w:kern w:val="0"/>
          <w:sz w:val="24"/>
          <w:szCs w:val="24"/>
          <w:lang w:val="en-US" w:eastAsia="zh-CN" w:bidi="ar"/>
        </w:rPr>
        <w:t>，属于</w:t>
      </w:r>
      <w:r>
        <w:rPr>
          <w:rFonts w:hint="eastAsia" w:ascii="宋体" w:hAnsi="宋体" w:eastAsia="宋体" w:cs="宋体"/>
          <w:i w:val="0"/>
          <w:iCs w:val="0"/>
          <w:color w:val="000000"/>
          <w:kern w:val="0"/>
          <w:sz w:val="24"/>
          <w:szCs w:val="24"/>
          <w:u w:val="single"/>
          <w:lang w:val="en-US" w:eastAsia="zh-CN" w:bidi="ar"/>
        </w:rPr>
        <w:t>（采购文件中明确的所属行业）</w:t>
      </w:r>
      <w:r>
        <w:rPr>
          <w:rFonts w:hint="eastAsia" w:ascii="宋体" w:hAnsi="宋体" w:eastAsia="宋体" w:cs="宋体"/>
          <w:i w:val="0"/>
          <w:iCs w:val="0"/>
          <w:color w:val="000000"/>
          <w:kern w:val="0"/>
          <w:sz w:val="24"/>
          <w:szCs w:val="24"/>
          <w:lang w:val="en-US" w:eastAsia="zh-CN" w:bidi="ar"/>
        </w:rPr>
        <w:t>；承建（承接）企业为</w:t>
      </w:r>
      <w:r>
        <w:rPr>
          <w:rFonts w:hint="eastAsia" w:ascii="宋体" w:hAnsi="宋体" w:eastAsia="宋体" w:cs="宋体"/>
          <w:i w:val="0"/>
          <w:iCs w:val="0"/>
          <w:color w:val="000000"/>
          <w:kern w:val="0"/>
          <w:sz w:val="24"/>
          <w:szCs w:val="24"/>
          <w:u w:val="single"/>
          <w:lang w:val="en-US" w:eastAsia="zh-CN" w:bidi="ar"/>
        </w:rPr>
        <w:t xml:space="preserve">（企 </w:t>
      </w:r>
    </w:p>
    <w:p w14:paraId="16F5D024">
      <w:pPr>
        <w:keepNext w:val="0"/>
        <w:keepLines w:val="0"/>
        <w:widowControl/>
        <w:suppressLineNumbers w:val="0"/>
        <w:spacing w:line="360" w:lineRule="auto"/>
        <w:jc w:val="left"/>
        <w:rPr>
          <w:i w:val="0"/>
          <w:iCs w:val="0"/>
          <w:sz w:val="24"/>
          <w:szCs w:val="24"/>
        </w:rPr>
      </w:pPr>
      <w:r>
        <w:rPr>
          <w:rFonts w:hint="eastAsia" w:ascii="宋体" w:hAnsi="宋体" w:eastAsia="宋体" w:cs="宋体"/>
          <w:i w:val="0"/>
          <w:iCs w:val="0"/>
          <w:color w:val="000000"/>
          <w:kern w:val="0"/>
          <w:sz w:val="24"/>
          <w:szCs w:val="24"/>
          <w:u w:val="single"/>
          <w:lang w:val="en-US" w:eastAsia="zh-CN" w:bidi="ar"/>
        </w:rPr>
        <w:t>业名称）</w:t>
      </w:r>
      <w:r>
        <w:rPr>
          <w:rFonts w:hint="eastAsia" w:ascii="宋体" w:hAnsi="宋体" w:eastAsia="宋体" w:cs="宋体"/>
          <w:i w:val="0"/>
          <w:iCs w:val="0"/>
          <w:color w:val="000000"/>
          <w:kern w:val="0"/>
          <w:sz w:val="24"/>
          <w:szCs w:val="24"/>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人，营业收入为</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万元，资产总额为</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万元（注：从业人员、营业收入、资产总额填报上一年度数据，无上一年度数据的新成立企业可不填报），属于</w:t>
      </w:r>
      <w:r>
        <w:rPr>
          <w:rFonts w:hint="eastAsia" w:ascii="宋体" w:hAnsi="宋体" w:eastAsia="宋体" w:cs="宋体"/>
          <w:i w:val="0"/>
          <w:iCs w:val="0"/>
          <w:color w:val="000000"/>
          <w:kern w:val="0"/>
          <w:sz w:val="24"/>
          <w:szCs w:val="24"/>
          <w:u w:val="single"/>
          <w:lang w:val="en-US" w:eastAsia="zh-CN" w:bidi="ar"/>
        </w:rPr>
        <w:t>（中型企业、小型企业、微型企业）</w:t>
      </w:r>
      <w:r>
        <w:rPr>
          <w:rFonts w:hint="eastAsia" w:ascii="宋体" w:hAnsi="宋体" w:eastAsia="宋体" w:cs="宋体"/>
          <w:i w:val="0"/>
          <w:iCs w:val="0"/>
          <w:color w:val="000000"/>
          <w:kern w:val="0"/>
          <w:sz w:val="24"/>
          <w:szCs w:val="24"/>
          <w:lang w:val="en-US" w:eastAsia="zh-CN" w:bidi="ar"/>
        </w:rPr>
        <w:t xml:space="preserve">； </w:t>
      </w:r>
    </w:p>
    <w:p w14:paraId="3013F986">
      <w:pPr>
        <w:keepNext w:val="0"/>
        <w:keepLines w:val="0"/>
        <w:widowControl/>
        <w:suppressLineNumbers w:val="0"/>
        <w:spacing w:line="360" w:lineRule="auto"/>
        <w:jc w:val="left"/>
        <w:rPr>
          <w:i w:val="0"/>
          <w:iCs w:val="0"/>
          <w:sz w:val="24"/>
          <w:szCs w:val="24"/>
          <w:u w:val="single"/>
        </w:rPr>
      </w:pPr>
      <w:r>
        <w:rPr>
          <w:rFonts w:hint="eastAsia" w:ascii="宋体" w:hAnsi="宋体" w:eastAsia="宋体" w:cs="宋体"/>
          <w:i w:val="0"/>
          <w:iCs w:val="0"/>
          <w:color w:val="000000"/>
          <w:kern w:val="0"/>
          <w:sz w:val="24"/>
          <w:szCs w:val="24"/>
          <w:lang w:val="en-US" w:eastAsia="zh-CN" w:bidi="ar"/>
        </w:rPr>
        <w:t>2.</w:t>
      </w:r>
      <w:r>
        <w:rPr>
          <w:rFonts w:hint="eastAsia" w:ascii="宋体" w:hAnsi="宋体" w:eastAsia="宋体" w:cs="宋体"/>
          <w:i w:val="0"/>
          <w:iCs w:val="0"/>
          <w:color w:val="000000"/>
          <w:kern w:val="0"/>
          <w:sz w:val="24"/>
          <w:szCs w:val="24"/>
          <w:u w:val="single"/>
          <w:lang w:val="en-US" w:eastAsia="zh-CN" w:bidi="ar"/>
        </w:rPr>
        <w:t>（标的名称）</w:t>
      </w:r>
      <w:r>
        <w:rPr>
          <w:rFonts w:hint="eastAsia" w:ascii="宋体" w:hAnsi="宋体" w:eastAsia="宋体" w:cs="宋体"/>
          <w:i w:val="0"/>
          <w:iCs w:val="0"/>
          <w:color w:val="000000"/>
          <w:kern w:val="0"/>
          <w:sz w:val="24"/>
          <w:szCs w:val="24"/>
          <w:lang w:val="en-US" w:eastAsia="zh-CN" w:bidi="ar"/>
        </w:rPr>
        <w:t>，属于</w:t>
      </w:r>
      <w:r>
        <w:rPr>
          <w:rFonts w:hint="eastAsia" w:ascii="宋体" w:hAnsi="宋体" w:eastAsia="宋体" w:cs="宋体"/>
          <w:i w:val="0"/>
          <w:iCs w:val="0"/>
          <w:color w:val="000000"/>
          <w:kern w:val="0"/>
          <w:sz w:val="24"/>
          <w:szCs w:val="24"/>
          <w:u w:val="single"/>
          <w:lang w:val="en-US" w:eastAsia="zh-CN" w:bidi="ar"/>
        </w:rPr>
        <w:t>（采购文件中明确的所属行业）</w:t>
      </w:r>
      <w:r>
        <w:rPr>
          <w:rFonts w:hint="eastAsia" w:ascii="宋体" w:hAnsi="宋体" w:eastAsia="宋体" w:cs="宋体"/>
          <w:i w:val="0"/>
          <w:iCs w:val="0"/>
          <w:color w:val="000000"/>
          <w:kern w:val="0"/>
          <w:sz w:val="24"/>
          <w:szCs w:val="24"/>
          <w:lang w:val="en-US" w:eastAsia="zh-CN" w:bidi="ar"/>
        </w:rPr>
        <w:t>；承建（承接）企业为</w:t>
      </w:r>
      <w:r>
        <w:rPr>
          <w:rFonts w:hint="eastAsia" w:ascii="宋体" w:hAnsi="宋体" w:eastAsia="宋体" w:cs="宋体"/>
          <w:i w:val="0"/>
          <w:iCs w:val="0"/>
          <w:color w:val="000000"/>
          <w:kern w:val="0"/>
          <w:sz w:val="24"/>
          <w:szCs w:val="24"/>
          <w:u w:val="single"/>
          <w:lang w:val="en-US" w:eastAsia="zh-CN" w:bidi="ar"/>
        </w:rPr>
        <w:t xml:space="preserve">（企 </w:t>
      </w:r>
    </w:p>
    <w:p w14:paraId="77396FF8">
      <w:pPr>
        <w:keepNext w:val="0"/>
        <w:keepLines w:val="0"/>
        <w:widowControl/>
        <w:suppressLineNumbers w:val="0"/>
        <w:spacing w:line="360" w:lineRule="auto"/>
        <w:jc w:val="left"/>
        <w:rPr>
          <w:i w:val="0"/>
          <w:iCs w:val="0"/>
          <w:sz w:val="24"/>
          <w:szCs w:val="24"/>
        </w:rPr>
      </w:pPr>
      <w:r>
        <w:rPr>
          <w:rFonts w:hint="eastAsia" w:ascii="宋体" w:hAnsi="宋体" w:eastAsia="宋体" w:cs="宋体"/>
          <w:i w:val="0"/>
          <w:iCs w:val="0"/>
          <w:color w:val="000000"/>
          <w:kern w:val="0"/>
          <w:sz w:val="24"/>
          <w:szCs w:val="24"/>
          <w:u w:val="single"/>
          <w:lang w:val="en-US" w:eastAsia="zh-CN" w:bidi="ar"/>
        </w:rPr>
        <w:t>业名称）</w:t>
      </w:r>
      <w:r>
        <w:rPr>
          <w:rFonts w:hint="eastAsia" w:ascii="宋体" w:hAnsi="宋体" w:eastAsia="宋体" w:cs="宋体"/>
          <w:i w:val="0"/>
          <w:iCs w:val="0"/>
          <w:color w:val="000000"/>
          <w:kern w:val="0"/>
          <w:sz w:val="24"/>
          <w:szCs w:val="24"/>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人，营业收入为</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万元，资产总额为</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万元，属于</w:t>
      </w:r>
      <w:r>
        <w:rPr>
          <w:rFonts w:hint="eastAsia" w:ascii="宋体" w:hAnsi="宋体" w:eastAsia="宋体" w:cs="宋体"/>
          <w:i w:val="0"/>
          <w:iCs w:val="0"/>
          <w:color w:val="000000"/>
          <w:kern w:val="0"/>
          <w:sz w:val="24"/>
          <w:szCs w:val="24"/>
          <w:u w:val="single"/>
          <w:lang w:val="en-US" w:eastAsia="zh-CN" w:bidi="ar"/>
        </w:rPr>
        <w:t>（中型企业、小型企业、微型企业）</w:t>
      </w:r>
      <w:r>
        <w:rPr>
          <w:rFonts w:hint="eastAsia" w:ascii="宋体" w:hAnsi="宋体" w:eastAsia="宋体" w:cs="宋体"/>
          <w:i w:val="0"/>
          <w:iCs w:val="0"/>
          <w:color w:val="000000"/>
          <w:kern w:val="0"/>
          <w:sz w:val="24"/>
          <w:szCs w:val="24"/>
          <w:lang w:val="en-US" w:eastAsia="zh-CN" w:bidi="ar"/>
        </w:rPr>
        <w:t xml:space="preserve">； </w:t>
      </w:r>
    </w:p>
    <w:p w14:paraId="72860116">
      <w:pPr>
        <w:keepNext w:val="0"/>
        <w:keepLines w:val="0"/>
        <w:widowControl/>
        <w:suppressLineNumbers w:val="0"/>
        <w:spacing w:line="360" w:lineRule="auto"/>
        <w:jc w:val="left"/>
        <w:rPr>
          <w:i w:val="0"/>
          <w:iCs w:val="0"/>
          <w:sz w:val="24"/>
          <w:szCs w:val="24"/>
        </w:rPr>
      </w:pPr>
      <w:r>
        <w:rPr>
          <w:rFonts w:hint="eastAsia" w:ascii="宋体" w:hAnsi="宋体" w:eastAsia="宋体" w:cs="宋体"/>
          <w:i w:val="0"/>
          <w:iCs w:val="0"/>
          <w:color w:val="000000"/>
          <w:kern w:val="0"/>
          <w:sz w:val="24"/>
          <w:szCs w:val="24"/>
          <w:lang w:val="en-US" w:eastAsia="zh-CN" w:bidi="ar"/>
        </w:rPr>
        <w:t xml:space="preserve">…… </w:t>
      </w:r>
    </w:p>
    <w:p w14:paraId="5CC9E0C3">
      <w:pPr>
        <w:keepNext w:val="0"/>
        <w:keepLines w:val="0"/>
        <w:widowControl/>
        <w:suppressLineNumbers w:val="0"/>
        <w:spacing w:line="360" w:lineRule="auto"/>
        <w:ind w:firstLine="480" w:firstLineChars="200"/>
        <w:jc w:val="left"/>
        <w:rPr>
          <w:i w:val="0"/>
          <w:iCs w:val="0"/>
          <w:sz w:val="24"/>
          <w:szCs w:val="24"/>
        </w:rPr>
      </w:pPr>
      <w:r>
        <w:rPr>
          <w:rFonts w:hint="eastAsia" w:ascii="宋体" w:hAnsi="宋体" w:eastAsia="宋体" w:cs="宋体"/>
          <w:i w:val="0"/>
          <w:iCs w:val="0"/>
          <w:color w:val="000000"/>
          <w:kern w:val="0"/>
          <w:sz w:val="24"/>
          <w:szCs w:val="24"/>
          <w:lang w:val="en-US" w:eastAsia="zh-CN" w:bidi="ar"/>
        </w:rPr>
        <w:t xml:space="preserve">以上企业，不属于大企业的分支机构，不存在控股股东为大企业的情形，也不存在与大企业的负责人为同一人的情形。 </w:t>
      </w:r>
    </w:p>
    <w:p w14:paraId="0B303DC7">
      <w:pPr>
        <w:keepNext w:val="0"/>
        <w:keepLines w:val="0"/>
        <w:widowControl/>
        <w:suppressLineNumbers w:val="0"/>
        <w:spacing w:line="360" w:lineRule="auto"/>
        <w:jc w:val="left"/>
        <w:rPr>
          <w:rFonts w:hint="eastAsia" w:ascii="宋体" w:hAnsi="宋体" w:eastAsia="宋体" w:cs="宋体"/>
          <w:i w:val="0"/>
          <w:iCs w:val="0"/>
          <w:color w:val="000000"/>
          <w:kern w:val="0"/>
          <w:sz w:val="24"/>
          <w:szCs w:val="24"/>
          <w:lang w:val="en-US" w:eastAsia="zh-CN" w:bidi="ar"/>
        </w:rPr>
      </w:pPr>
    </w:p>
    <w:p w14:paraId="33346CD3">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i w:val="0"/>
          <w:iCs w:val="0"/>
          <w:color w:val="000000"/>
          <w:kern w:val="0"/>
          <w:sz w:val="24"/>
          <w:szCs w:val="24"/>
          <w:lang w:val="en-US" w:eastAsia="zh-CN" w:bidi="ar"/>
        </w:rPr>
        <w:t xml:space="preserve">本企业对上述声明内容的真实性负责。如有虚假，将依法承担相应责任。 </w:t>
      </w:r>
    </w:p>
    <w:p w14:paraId="43BE2C64">
      <w:pPr>
        <w:widowControl/>
        <w:spacing w:before="100" w:beforeAutospacing="1" w:after="100" w:afterAutospacing="1" w:line="330" w:lineRule="atLeast"/>
        <w:jc w:val="left"/>
        <w:rPr>
          <w:rFonts w:hint="eastAsia" w:asciiTheme="minorEastAsia" w:hAnsiTheme="minorEastAsia" w:eastAsiaTheme="minorEastAsia" w:cstheme="minorEastAsia"/>
          <w:color w:val="auto"/>
          <w:kern w:val="0"/>
          <w:sz w:val="24"/>
          <w:highlight w:val="none"/>
        </w:rPr>
      </w:pPr>
    </w:p>
    <w:p w14:paraId="4A36295E">
      <w:pPr>
        <w:spacing w:line="240" w:lineRule="atLeast"/>
        <w:ind w:left="1080" w:leftChars="257" w:hanging="540"/>
        <w:jc w:val="center"/>
        <w:rPr>
          <w:rFonts w:hint="eastAsia" w:asciiTheme="minorEastAsia" w:hAnsiTheme="minorEastAsia" w:eastAsiaTheme="minorEastAsia" w:cstheme="minorEastAsia"/>
          <w:b/>
          <w:color w:val="auto"/>
          <w:kern w:val="0"/>
          <w:sz w:val="24"/>
          <w:szCs w:val="20"/>
          <w:highlight w:val="none"/>
        </w:rPr>
      </w:pPr>
      <w:r>
        <w:rPr>
          <w:rFonts w:hint="eastAsia" w:asciiTheme="minorEastAsia" w:hAnsiTheme="minorEastAsia" w:eastAsiaTheme="minorEastAsia" w:cstheme="minorEastAsia"/>
          <w:b/>
          <w:color w:val="auto"/>
          <w:kern w:val="0"/>
          <w:sz w:val="24"/>
          <w:szCs w:val="20"/>
          <w:highlight w:val="none"/>
        </w:rPr>
        <w:t>　</w:t>
      </w:r>
    </w:p>
    <w:p w14:paraId="4674E34F">
      <w:pPr>
        <w:widowControl/>
        <w:spacing w:before="100" w:beforeAutospacing="1" w:after="100" w:afterAutospacing="1" w:line="330" w:lineRule="atLeast"/>
        <w:ind w:firstLine="3960" w:firstLineChars="16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企业</w:t>
      </w:r>
      <w:r>
        <w:rPr>
          <w:rFonts w:hint="eastAsia" w:asciiTheme="minorEastAsia" w:hAnsiTheme="minorEastAsia" w:eastAsiaTheme="minorEastAsia" w:cstheme="minorEastAsia"/>
          <w:color w:val="auto"/>
          <w:kern w:val="0"/>
          <w:sz w:val="24"/>
          <w:highlight w:val="none"/>
        </w:rPr>
        <w:t>名称（盖单位章）：</w:t>
      </w:r>
      <w:r>
        <w:rPr>
          <w:rFonts w:hint="eastAsia" w:asciiTheme="minorEastAsia" w:hAnsiTheme="minorEastAsia" w:eastAsiaTheme="minorEastAsia" w:cstheme="minorEastAsia"/>
          <w:color w:val="auto"/>
          <w:kern w:val="0"/>
          <w:sz w:val="24"/>
          <w:highlight w:val="none"/>
          <w:u w:val="single"/>
        </w:rPr>
        <w:t xml:space="preserve">             </w:t>
      </w:r>
    </w:p>
    <w:p w14:paraId="3657D9FB">
      <w:pPr>
        <w:widowControl/>
        <w:spacing w:before="100" w:beforeAutospacing="1" w:after="100" w:afterAutospacing="1" w:line="330" w:lineRule="atLeast"/>
        <w:ind w:firstLine="3720" w:firstLineChars="1550"/>
        <w:jc w:val="left"/>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　日</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期：</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xml:space="preserve">     </w:t>
      </w:r>
    </w:p>
    <w:p w14:paraId="4F006B9F">
      <w:pPr>
        <w:pStyle w:val="4"/>
        <w:outlineLvl w:val="9"/>
        <w:rPr>
          <w:rFonts w:hint="eastAsia" w:asciiTheme="minorEastAsia" w:hAnsiTheme="minorEastAsia" w:eastAsiaTheme="minorEastAsia" w:cstheme="minorEastAsia"/>
          <w:color w:val="auto"/>
          <w:kern w:val="0"/>
          <w:sz w:val="24"/>
          <w:highlight w:val="none"/>
          <w:u w:val="single"/>
        </w:rPr>
      </w:pPr>
    </w:p>
    <w:p w14:paraId="622312CA">
      <w:pPr>
        <w:rPr>
          <w:rFonts w:hint="eastAsia" w:asciiTheme="minorEastAsia" w:hAnsiTheme="minorEastAsia" w:eastAsiaTheme="minorEastAsia" w:cstheme="minorEastAsia"/>
          <w:color w:val="auto"/>
          <w:kern w:val="0"/>
          <w:sz w:val="24"/>
          <w:highlight w:val="none"/>
          <w:u w:val="single"/>
        </w:rPr>
      </w:pPr>
    </w:p>
    <w:p w14:paraId="5F0F706B">
      <w:pPr>
        <w:spacing w:line="240" w:lineRule="auto"/>
        <w:ind w:firstLine="422" w:firstLineChars="175"/>
        <w:jc w:val="left"/>
        <w:rPr>
          <w:rFonts w:hint="eastAsia" w:ascii="宋体" w:hAnsi="宋体" w:eastAsia="宋体" w:cs="宋体"/>
          <w:b/>
          <w:bCs/>
          <w:kern w:val="0"/>
          <w:sz w:val="24"/>
          <w:szCs w:val="20"/>
          <w:highlight w:val="none"/>
          <w:lang w:val="en-US" w:eastAsia="zh-CN" w:bidi="ar-SA"/>
        </w:rPr>
      </w:pPr>
      <w:r>
        <w:rPr>
          <w:rFonts w:hint="eastAsia" w:ascii="宋体" w:hAnsi="宋体" w:eastAsia="宋体" w:cs="宋体"/>
          <w:b/>
          <w:bCs/>
          <w:kern w:val="0"/>
          <w:sz w:val="24"/>
          <w:szCs w:val="20"/>
          <w:highlight w:val="none"/>
          <w:lang w:val="en-US" w:eastAsia="zh-CN" w:bidi="ar-SA"/>
        </w:rPr>
        <w:t>注：潜在供应商属于中小微企业的，请在响应文件中提供“中小企业声明函”，如未提供或提供虚假的“中小企业声明函”，供应商将承担由此造成的一切不利后果。</w:t>
      </w:r>
    </w:p>
    <w:p w14:paraId="46269700">
      <w:pPr>
        <w:pStyle w:val="4"/>
        <w:rPr>
          <w:rFonts w:hint="eastAsia" w:asciiTheme="minorEastAsia" w:hAnsiTheme="minorEastAsia" w:eastAsiaTheme="minorEastAsia" w:cstheme="minorEastAsia"/>
          <w:b w:val="0"/>
          <w:bCs/>
          <w:color w:val="auto"/>
          <w:sz w:val="18"/>
          <w:szCs w:val="13"/>
          <w:highlight w:val="none"/>
          <w:u w:val="none"/>
          <w:lang w:val="en-US" w:eastAsia="zh-CN"/>
        </w:rPr>
      </w:pPr>
    </w:p>
    <w:p w14:paraId="53DAFD29">
      <w:pPr>
        <w:pStyle w:val="3"/>
        <w:spacing w:before="0" w:line="240" w:lineRule="atLeast"/>
        <w:ind w:left="1080" w:leftChars="257" w:hanging="540"/>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br w:type="page"/>
      </w:r>
    </w:p>
    <w:p w14:paraId="7BCC229B">
      <w:pPr>
        <w:spacing w:before="122" w:line="232" w:lineRule="auto"/>
        <w:ind w:left="468"/>
        <w:rPr>
          <w:rFonts w:ascii="仿宋" w:hAnsi="仿宋" w:eastAsia="仿宋" w:cs="仿宋"/>
          <w:sz w:val="23"/>
          <w:szCs w:val="23"/>
          <w:highlight w:val="none"/>
        </w:rPr>
      </w:pPr>
      <w:r>
        <w:rPr>
          <w:rFonts w:ascii="仿宋" w:hAnsi="仿宋" w:eastAsia="仿宋" w:cs="仿宋"/>
          <w:b/>
          <w:bCs/>
          <w:spacing w:val="-19"/>
          <w:sz w:val="23"/>
          <w:szCs w:val="23"/>
          <w:highlight w:val="none"/>
        </w:rPr>
        <w:t>附：</w:t>
      </w:r>
    </w:p>
    <w:p w14:paraId="670CA101">
      <w:pPr>
        <w:spacing w:before="111" w:line="230" w:lineRule="auto"/>
        <w:ind w:left="3659"/>
        <w:rPr>
          <w:rFonts w:ascii="仿宋" w:hAnsi="仿宋" w:eastAsia="仿宋" w:cs="仿宋"/>
          <w:sz w:val="23"/>
          <w:szCs w:val="23"/>
          <w:highlight w:val="none"/>
        </w:rPr>
      </w:pPr>
      <w:r>
        <w:rPr>
          <w:rFonts w:ascii="仿宋" w:hAnsi="仿宋" w:eastAsia="仿宋" w:cs="仿宋"/>
          <w:b/>
          <w:bCs/>
          <w:spacing w:val="3"/>
          <w:sz w:val="23"/>
          <w:szCs w:val="23"/>
          <w:highlight w:val="none"/>
        </w:rPr>
        <w:t>中小微企业划型标准</w:t>
      </w:r>
    </w:p>
    <w:tbl>
      <w:tblPr>
        <w:tblStyle w:val="137"/>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4"/>
        <w:gridCol w:w="1659"/>
        <w:gridCol w:w="1309"/>
        <w:gridCol w:w="2058"/>
        <w:gridCol w:w="1691"/>
        <w:gridCol w:w="1091"/>
      </w:tblGrid>
      <w:tr w14:paraId="7E822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574" w:type="dxa"/>
            <w:vAlign w:val="top"/>
          </w:tcPr>
          <w:p w14:paraId="0ADEB6FE">
            <w:pPr>
              <w:spacing w:before="118" w:line="225" w:lineRule="auto"/>
              <w:ind w:left="323"/>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3"/>
                <w:sz w:val="23"/>
                <w:szCs w:val="23"/>
                <w:highlight w:val="none"/>
              </w:rPr>
              <w:t>行业名称</w:t>
            </w:r>
          </w:p>
        </w:tc>
        <w:tc>
          <w:tcPr>
            <w:tcW w:w="1659" w:type="dxa"/>
            <w:vAlign w:val="top"/>
          </w:tcPr>
          <w:p w14:paraId="2300EFAF">
            <w:pPr>
              <w:spacing w:before="118" w:line="225" w:lineRule="auto"/>
              <w:ind w:left="362"/>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4"/>
                <w:sz w:val="23"/>
                <w:szCs w:val="23"/>
                <w:highlight w:val="none"/>
              </w:rPr>
              <w:t>指标名称</w:t>
            </w:r>
          </w:p>
        </w:tc>
        <w:tc>
          <w:tcPr>
            <w:tcW w:w="1309" w:type="dxa"/>
            <w:vAlign w:val="top"/>
          </w:tcPr>
          <w:p w14:paraId="4E20EF25">
            <w:pPr>
              <w:spacing w:before="118" w:line="225" w:lineRule="auto"/>
              <w:ind w:left="265"/>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4"/>
                <w:sz w:val="23"/>
                <w:szCs w:val="23"/>
                <w:highlight w:val="none"/>
              </w:rPr>
              <w:t>计量单位</w:t>
            </w:r>
          </w:p>
        </w:tc>
        <w:tc>
          <w:tcPr>
            <w:tcW w:w="2058" w:type="dxa"/>
            <w:vAlign w:val="top"/>
          </w:tcPr>
          <w:p w14:paraId="50BCAF7D">
            <w:pPr>
              <w:spacing w:before="118" w:line="225" w:lineRule="auto"/>
              <w:ind w:left="75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10"/>
                <w:sz w:val="23"/>
                <w:szCs w:val="23"/>
                <w:highlight w:val="none"/>
              </w:rPr>
              <w:t>中型</w:t>
            </w:r>
          </w:p>
        </w:tc>
        <w:tc>
          <w:tcPr>
            <w:tcW w:w="1691" w:type="dxa"/>
            <w:vAlign w:val="top"/>
          </w:tcPr>
          <w:p w14:paraId="68829959">
            <w:pPr>
              <w:spacing w:before="118" w:line="225" w:lineRule="auto"/>
              <w:ind w:left="621"/>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1"/>
                <w:sz w:val="23"/>
                <w:szCs w:val="23"/>
                <w:highlight w:val="none"/>
              </w:rPr>
              <w:t>小型</w:t>
            </w:r>
          </w:p>
        </w:tc>
        <w:tc>
          <w:tcPr>
            <w:tcW w:w="1091" w:type="dxa"/>
            <w:vAlign w:val="top"/>
          </w:tcPr>
          <w:p w14:paraId="48290C9B">
            <w:pPr>
              <w:spacing w:before="118" w:line="225" w:lineRule="auto"/>
              <w:ind w:left="31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z w:val="23"/>
                <w:szCs w:val="23"/>
                <w:highlight w:val="none"/>
              </w:rPr>
              <w:t>微型</w:t>
            </w:r>
          </w:p>
        </w:tc>
      </w:tr>
      <w:tr w14:paraId="7B7B4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74" w:type="dxa"/>
            <w:vAlign w:val="top"/>
          </w:tcPr>
          <w:p w14:paraId="1B14B955">
            <w:pPr>
              <w:spacing w:before="116" w:line="272" w:lineRule="auto"/>
              <w:ind w:left="686" w:right="59" w:hanging="561"/>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2"/>
                <w:sz w:val="23"/>
                <w:szCs w:val="23"/>
                <w:highlight w:val="none"/>
              </w:rPr>
              <w:t>农、林、牧、</w:t>
            </w:r>
            <w:r>
              <w:rPr>
                <w:rFonts w:hint="eastAsia" w:asciiTheme="minorEastAsia" w:hAnsiTheme="minorEastAsia" w:eastAsiaTheme="minorEastAsia" w:cstheme="minorEastAsia"/>
                <w:spacing w:val="1"/>
                <w:sz w:val="23"/>
                <w:szCs w:val="23"/>
                <w:highlight w:val="none"/>
              </w:rPr>
              <w:t xml:space="preserve"> </w:t>
            </w:r>
            <w:r>
              <w:rPr>
                <w:rFonts w:hint="eastAsia" w:asciiTheme="minorEastAsia" w:hAnsiTheme="minorEastAsia" w:eastAsiaTheme="minorEastAsia" w:cstheme="minorEastAsia"/>
                <w:b/>
                <w:bCs/>
                <w:spacing w:val="-3"/>
                <w:sz w:val="23"/>
                <w:szCs w:val="23"/>
                <w:highlight w:val="none"/>
              </w:rPr>
              <w:t>渔</w:t>
            </w:r>
          </w:p>
        </w:tc>
        <w:tc>
          <w:tcPr>
            <w:tcW w:w="1659" w:type="dxa"/>
            <w:vAlign w:val="top"/>
          </w:tcPr>
          <w:p w14:paraId="785A6C6D">
            <w:pPr>
              <w:spacing w:before="315" w:line="231"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sz w:val="23"/>
                <w:szCs w:val="23"/>
                <w:highlight w:val="none"/>
              </w:rPr>
              <w:t>营业收入（Y）</w:t>
            </w:r>
          </w:p>
        </w:tc>
        <w:tc>
          <w:tcPr>
            <w:tcW w:w="1309" w:type="dxa"/>
            <w:vAlign w:val="top"/>
          </w:tcPr>
          <w:p w14:paraId="1543768B">
            <w:pPr>
              <w:spacing w:before="314" w:line="234" w:lineRule="auto"/>
              <w:ind w:left="507"/>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1"/>
                <w:sz w:val="23"/>
                <w:szCs w:val="23"/>
                <w:highlight w:val="none"/>
              </w:rPr>
              <w:t>万元</w:t>
            </w:r>
          </w:p>
        </w:tc>
        <w:tc>
          <w:tcPr>
            <w:tcW w:w="2058" w:type="dxa"/>
            <w:vAlign w:val="top"/>
          </w:tcPr>
          <w:p w14:paraId="2D900624">
            <w:pPr>
              <w:spacing w:before="314" w:line="310" w:lineRule="exact"/>
              <w:ind w:left="182"/>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position w:val="1"/>
                <w:sz w:val="23"/>
                <w:szCs w:val="23"/>
                <w:highlight w:val="none"/>
              </w:rPr>
              <w:t>500≤Y＜20000</w:t>
            </w:r>
          </w:p>
        </w:tc>
        <w:tc>
          <w:tcPr>
            <w:tcW w:w="1691" w:type="dxa"/>
            <w:vAlign w:val="top"/>
          </w:tcPr>
          <w:p w14:paraId="3EDA43A4">
            <w:pPr>
              <w:spacing w:before="314" w:line="310" w:lineRule="exact"/>
              <w:ind w:left="258"/>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position w:val="1"/>
                <w:sz w:val="23"/>
                <w:szCs w:val="23"/>
                <w:highlight w:val="none"/>
              </w:rPr>
              <w:t>50≤Y＜500</w:t>
            </w:r>
          </w:p>
        </w:tc>
        <w:tc>
          <w:tcPr>
            <w:tcW w:w="1091" w:type="dxa"/>
            <w:vAlign w:val="top"/>
          </w:tcPr>
          <w:p w14:paraId="14C16310">
            <w:pPr>
              <w:spacing w:before="314" w:line="311" w:lineRule="exact"/>
              <w:ind w:left="24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position w:val="2"/>
                <w:sz w:val="23"/>
                <w:szCs w:val="23"/>
                <w:highlight w:val="none"/>
              </w:rPr>
              <w:t>Y＜50</w:t>
            </w:r>
          </w:p>
        </w:tc>
      </w:tr>
      <w:tr w14:paraId="68830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7D068FDB">
            <w:pPr>
              <w:pStyle w:val="138"/>
              <w:spacing w:line="245" w:lineRule="auto"/>
              <w:rPr>
                <w:rFonts w:hint="eastAsia" w:asciiTheme="minorEastAsia" w:hAnsiTheme="minorEastAsia" w:eastAsiaTheme="minorEastAsia" w:cstheme="minorEastAsia"/>
                <w:highlight w:val="none"/>
              </w:rPr>
            </w:pPr>
          </w:p>
          <w:p w14:paraId="699A3C47">
            <w:pPr>
              <w:spacing w:before="75" w:line="241" w:lineRule="auto"/>
              <w:ind w:left="56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1"/>
                <w:sz w:val="23"/>
                <w:szCs w:val="23"/>
                <w:highlight w:val="none"/>
              </w:rPr>
              <w:t>工业</w:t>
            </w:r>
          </w:p>
        </w:tc>
        <w:tc>
          <w:tcPr>
            <w:tcW w:w="1659" w:type="dxa"/>
            <w:vAlign w:val="top"/>
          </w:tcPr>
          <w:p w14:paraId="2D008B46">
            <w:pPr>
              <w:spacing w:before="115" w:line="224"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从业人员（X）</w:t>
            </w:r>
          </w:p>
        </w:tc>
        <w:tc>
          <w:tcPr>
            <w:tcW w:w="1309" w:type="dxa"/>
            <w:vAlign w:val="top"/>
          </w:tcPr>
          <w:p w14:paraId="02915145">
            <w:pPr>
              <w:spacing w:before="115" w:line="224" w:lineRule="auto"/>
              <w:ind w:left="629"/>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z w:val="23"/>
                <w:szCs w:val="23"/>
                <w:highlight w:val="none"/>
              </w:rPr>
              <w:t>人</w:t>
            </w:r>
          </w:p>
        </w:tc>
        <w:tc>
          <w:tcPr>
            <w:tcW w:w="2058" w:type="dxa"/>
            <w:vAlign w:val="top"/>
          </w:tcPr>
          <w:p w14:paraId="2E75448B">
            <w:pPr>
              <w:spacing w:before="115" w:line="224" w:lineRule="auto"/>
              <w:ind w:left="242"/>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300≤X＜1000</w:t>
            </w:r>
          </w:p>
        </w:tc>
        <w:tc>
          <w:tcPr>
            <w:tcW w:w="1691" w:type="dxa"/>
            <w:vAlign w:val="top"/>
          </w:tcPr>
          <w:p w14:paraId="34E131FF">
            <w:pPr>
              <w:spacing w:before="115" w:line="224" w:lineRule="auto"/>
              <w:ind w:left="25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20≤X＜300</w:t>
            </w:r>
          </w:p>
        </w:tc>
        <w:tc>
          <w:tcPr>
            <w:tcW w:w="1091" w:type="dxa"/>
            <w:vAlign w:val="top"/>
          </w:tcPr>
          <w:p w14:paraId="68917642">
            <w:pPr>
              <w:spacing w:before="115" w:line="224" w:lineRule="auto"/>
              <w:ind w:left="24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X＜20</w:t>
            </w:r>
          </w:p>
        </w:tc>
      </w:tr>
      <w:tr w14:paraId="6BC43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2815E9FC">
            <w:pPr>
              <w:pStyle w:val="138"/>
              <w:rPr>
                <w:rFonts w:hint="eastAsia" w:asciiTheme="minorEastAsia" w:hAnsiTheme="minorEastAsia" w:eastAsiaTheme="minorEastAsia" w:cstheme="minorEastAsia"/>
                <w:highlight w:val="none"/>
              </w:rPr>
            </w:pPr>
          </w:p>
        </w:tc>
        <w:tc>
          <w:tcPr>
            <w:tcW w:w="1659" w:type="dxa"/>
            <w:vAlign w:val="top"/>
          </w:tcPr>
          <w:p w14:paraId="03089DD4">
            <w:pPr>
              <w:spacing w:before="115" w:line="224"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sz w:val="23"/>
                <w:szCs w:val="23"/>
                <w:highlight w:val="none"/>
              </w:rPr>
              <w:t>营业收入（Y）</w:t>
            </w:r>
          </w:p>
        </w:tc>
        <w:tc>
          <w:tcPr>
            <w:tcW w:w="1309" w:type="dxa"/>
            <w:vAlign w:val="top"/>
          </w:tcPr>
          <w:p w14:paraId="1FBEB847">
            <w:pPr>
              <w:spacing w:before="115" w:line="224" w:lineRule="auto"/>
              <w:ind w:left="507"/>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1"/>
                <w:sz w:val="23"/>
                <w:szCs w:val="23"/>
                <w:highlight w:val="none"/>
              </w:rPr>
              <w:t>万元</w:t>
            </w:r>
          </w:p>
        </w:tc>
        <w:tc>
          <w:tcPr>
            <w:tcW w:w="2058" w:type="dxa"/>
            <w:vAlign w:val="top"/>
          </w:tcPr>
          <w:p w14:paraId="51025DE6">
            <w:pPr>
              <w:spacing w:before="115" w:line="224" w:lineRule="auto"/>
              <w:ind w:left="120"/>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2000≤Y＜40000</w:t>
            </w:r>
          </w:p>
        </w:tc>
        <w:tc>
          <w:tcPr>
            <w:tcW w:w="1691" w:type="dxa"/>
            <w:vAlign w:val="top"/>
          </w:tcPr>
          <w:p w14:paraId="5B0C7C3A">
            <w:pPr>
              <w:spacing w:before="115" w:line="224" w:lineRule="auto"/>
              <w:ind w:left="138"/>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300≤Y＜2000</w:t>
            </w:r>
          </w:p>
        </w:tc>
        <w:tc>
          <w:tcPr>
            <w:tcW w:w="1091" w:type="dxa"/>
            <w:vAlign w:val="top"/>
          </w:tcPr>
          <w:p w14:paraId="2B43C1FA">
            <w:pPr>
              <w:spacing w:before="115" w:line="224" w:lineRule="auto"/>
              <w:ind w:left="18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Y＜300</w:t>
            </w:r>
          </w:p>
        </w:tc>
      </w:tr>
      <w:tr w14:paraId="3882D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4A084C9B">
            <w:pPr>
              <w:pStyle w:val="138"/>
              <w:spacing w:line="243" w:lineRule="auto"/>
              <w:rPr>
                <w:rFonts w:hint="eastAsia" w:asciiTheme="minorEastAsia" w:hAnsiTheme="minorEastAsia" w:eastAsiaTheme="minorEastAsia" w:cstheme="minorEastAsia"/>
                <w:highlight w:val="none"/>
              </w:rPr>
            </w:pPr>
          </w:p>
          <w:p w14:paraId="5A2177B9">
            <w:pPr>
              <w:spacing w:before="75" w:line="232" w:lineRule="auto"/>
              <w:ind w:left="441"/>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3"/>
                <w:sz w:val="23"/>
                <w:szCs w:val="23"/>
                <w:highlight w:val="none"/>
              </w:rPr>
              <w:t>建筑业</w:t>
            </w:r>
          </w:p>
        </w:tc>
        <w:tc>
          <w:tcPr>
            <w:tcW w:w="1659" w:type="dxa"/>
            <w:vAlign w:val="top"/>
          </w:tcPr>
          <w:p w14:paraId="5C2BA4F2">
            <w:pPr>
              <w:spacing w:before="115" w:line="224"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sz w:val="23"/>
                <w:szCs w:val="23"/>
                <w:highlight w:val="none"/>
              </w:rPr>
              <w:t>营业收入（Y）</w:t>
            </w:r>
          </w:p>
        </w:tc>
        <w:tc>
          <w:tcPr>
            <w:tcW w:w="1309" w:type="dxa"/>
            <w:vAlign w:val="top"/>
          </w:tcPr>
          <w:p w14:paraId="7EB94C40">
            <w:pPr>
              <w:spacing w:before="115" w:line="224" w:lineRule="auto"/>
              <w:ind w:left="507"/>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1"/>
                <w:sz w:val="23"/>
                <w:szCs w:val="23"/>
                <w:highlight w:val="none"/>
              </w:rPr>
              <w:t>万元</w:t>
            </w:r>
          </w:p>
        </w:tc>
        <w:tc>
          <w:tcPr>
            <w:tcW w:w="2058" w:type="dxa"/>
            <w:vAlign w:val="top"/>
          </w:tcPr>
          <w:p w14:paraId="0F6707ED">
            <w:pPr>
              <w:spacing w:before="115" w:line="224" w:lineRule="auto"/>
              <w:ind w:left="120"/>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6000≤Y＜80000</w:t>
            </w:r>
          </w:p>
        </w:tc>
        <w:tc>
          <w:tcPr>
            <w:tcW w:w="1691" w:type="dxa"/>
            <w:vAlign w:val="top"/>
          </w:tcPr>
          <w:p w14:paraId="387E4D66">
            <w:pPr>
              <w:spacing w:before="115" w:line="224" w:lineRule="auto"/>
              <w:ind w:left="138"/>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300≤Y＜6000</w:t>
            </w:r>
          </w:p>
        </w:tc>
        <w:tc>
          <w:tcPr>
            <w:tcW w:w="1091" w:type="dxa"/>
            <w:vAlign w:val="top"/>
          </w:tcPr>
          <w:p w14:paraId="435914E4">
            <w:pPr>
              <w:spacing w:before="115" w:line="224" w:lineRule="auto"/>
              <w:ind w:left="18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Y＜300</w:t>
            </w:r>
          </w:p>
        </w:tc>
      </w:tr>
      <w:tr w14:paraId="79925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603DF8FF">
            <w:pPr>
              <w:pStyle w:val="138"/>
              <w:rPr>
                <w:rFonts w:hint="eastAsia" w:asciiTheme="minorEastAsia" w:hAnsiTheme="minorEastAsia" w:eastAsiaTheme="minorEastAsia" w:cstheme="minorEastAsia"/>
                <w:highlight w:val="none"/>
              </w:rPr>
            </w:pPr>
          </w:p>
        </w:tc>
        <w:tc>
          <w:tcPr>
            <w:tcW w:w="1659" w:type="dxa"/>
            <w:vAlign w:val="top"/>
          </w:tcPr>
          <w:p w14:paraId="2335A75B">
            <w:pPr>
              <w:spacing w:before="117" w:line="223"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2"/>
                <w:sz w:val="23"/>
                <w:szCs w:val="23"/>
                <w:highlight w:val="none"/>
              </w:rPr>
              <w:t>资产总额（Z）</w:t>
            </w:r>
          </w:p>
        </w:tc>
        <w:tc>
          <w:tcPr>
            <w:tcW w:w="1309" w:type="dxa"/>
            <w:vAlign w:val="top"/>
          </w:tcPr>
          <w:p w14:paraId="33388D03">
            <w:pPr>
              <w:spacing w:before="117" w:line="223" w:lineRule="auto"/>
              <w:ind w:left="507"/>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1"/>
                <w:sz w:val="23"/>
                <w:szCs w:val="23"/>
                <w:highlight w:val="none"/>
              </w:rPr>
              <w:t>万元</w:t>
            </w:r>
          </w:p>
        </w:tc>
        <w:tc>
          <w:tcPr>
            <w:tcW w:w="2058" w:type="dxa"/>
            <w:vAlign w:val="top"/>
          </w:tcPr>
          <w:p w14:paraId="1925C850">
            <w:pPr>
              <w:spacing w:before="117" w:line="223" w:lineRule="auto"/>
              <w:ind w:left="122"/>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5000≤Z＜80000</w:t>
            </w:r>
          </w:p>
        </w:tc>
        <w:tc>
          <w:tcPr>
            <w:tcW w:w="1691" w:type="dxa"/>
            <w:vAlign w:val="top"/>
          </w:tcPr>
          <w:p w14:paraId="744DFE12">
            <w:pPr>
              <w:spacing w:before="117" w:line="223" w:lineRule="auto"/>
              <w:ind w:left="138"/>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300≤Z＜5000</w:t>
            </w:r>
          </w:p>
        </w:tc>
        <w:tc>
          <w:tcPr>
            <w:tcW w:w="1091" w:type="dxa"/>
            <w:vAlign w:val="top"/>
          </w:tcPr>
          <w:p w14:paraId="4BD77F26">
            <w:pPr>
              <w:spacing w:before="117" w:line="223" w:lineRule="auto"/>
              <w:ind w:left="188"/>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Z＜300</w:t>
            </w:r>
          </w:p>
        </w:tc>
      </w:tr>
      <w:tr w14:paraId="2FF0B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7EA9D3AC">
            <w:pPr>
              <w:pStyle w:val="138"/>
              <w:spacing w:line="443" w:lineRule="auto"/>
              <w:rPr>
                <w:rFonts w:hint="eastAsia" w:asciiTheme="minorEastAsia" w:hAnsiTheme="minorEastAsia" w:eastAsiaTheme="minorEastAsia" w:cstheme="minorEastAsia"/>
                <w:highlight w:val="none"/>
              </w:rPr>
            </w:pPr>
          </w:p>
          <w:p w14:paraId="3D195E45">
            <w:pPr>
              <w:spacing w:before="74" w:line="231" w:lineRule="auto"/>
              <w:ind w:left="441"/>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3"/>
                <w:sz w:val="23"/>
                <w:szCs w:val="23"/>
                <w:highlight w:val="none"/>
              </w:rPr>
              <w:t>批发业</w:t>
            </w:r>
          </w:p>
        </w:tc>
        <w:tc>
          <w:tcPr>
            <w:tcW w:w="1659" w:type="dxa"/>
            <w:vAlign w:val="top"/>
          </w:tcPr>
          <w:p w14:paraId="130DE305">
            <w:pPr>
              <w:spacing w:before="114" w:line="225"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从业人员（X）</w:t>
            </w:r>
          </w:p>
        </w:tc>
        <w:tc>
          <w:tcPr>
            <w:tcW w:w="1309" w:type="dxa"/>
            <w:vAlign w:val="top"/>
          </w:tcPr>
          <w:p w14:paraId="59BB0B57">
            <w:pPr>
              <w:spacing w:before="114" w:line="225" w:lineRule="auto"/>
              <w:ind w:left="629"/>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z w:val="23"/>
                <w:szCs w:val="23"/>
                <w:highlight w:val="none"/>
              </w:rPr>
              <w:t>人</w:t>
            </w:r>
          </w:p>
        </w:tc>
        <w:tc>
          <w:tcPr>
            <w:tcW w:w="2058" w:type="dxa"/>
            <w:vAlign w:val="top"/>
          </w:tcPr>
          <w:p w14:paraId="0C31F7AF">
            <w:pPr>
              <w:spacing w:before="114" w:line="225" w:lineRule="auto"/>
              <w:ind w:left="360"/>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20≤X＜200</w:t>
            </w:r>
          </w:p>
        </w:tc>
        <w:tc>
          <w:tcPr>
            <w:tcW w:w="1691" w:type="dxa"/>
            <w:vAlign w:val="top"/>
          </w:tcPr>
          <w:p w14:paraId="5E8E2260">
            <w:pPr>
              <w:spacing w:before="114" w:line="225" w:lineRule="auto"/>
              <w:ind w:left="378"/>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5≤X＜20</w:t>
            </w:r>
          </w:p>
        </w:tc>
        <w:tc>
          <w:tcPr>
            <w:tcW w:w="1091" w:type="dxa"/>
            <w:vAlign w:val="top"/>
          </w:tcPr>
          <w:p w14:paraId="606B3DCF">
            <w:pPr>
              <w:spacing w:before="114" w:line="225" w:lineRule="auto"/>
              <w:ind w:left="30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X＜5</w:t>
            </w:r>
          </w:p>
        </w:tc>
      </w:tr>
      <w:tr w14:paraId="74BED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574" w:type="dxa"/>
            <w:vMerge w:val="continue"/>
            <w:tcBorders>
              <w:top w:val="nil"/>
            </w:tcBorders>
            <w:vAlign w:val="top"/>
          </w:tcPr>
          <w:p w14:paraId="0BACF6D8">
            <w:pPr>
              <w:pStyle w:val="138"/>
              <w:rPr>
                <w:rFonts w:hint="eastAsia" w:asciiTheme="minorEastAsia" w:hAnsiTheme="minorEastAsia" w:eastAsiaTheme="minorEastAsia" w:cstheme="minorEastAsia"/>
                <w:highlight w:val="none"/>
              </w:rPr>
            </w:pPr>
          </w:p>
        </w:tc>
        <w:tc>
          <w:tcPr>
            <w:tcW w:w="1659" w:type="dxa"/>
            <w:vAlign w:val="top"/>
          </w:tcPr>
          <w:p w14:paraId="3394D7C1">
            <w:pPr>
              <w:pStyle w:val="138"/>
              <w:rPr>
                <w:rFonts w:hint="eastAsia" w:asciiTheme="minorEastAsia" w:hAnsiTheme="minorEastAsia" w:eastAsiaTheme="minorEastAsia" w:cstheme="minorEastAsia"/>
                <w:highlight w:val="none"/>
              </w:rPr>
            </w:pPr>
          </w:p>
          <w:p w14:paraId="70CECFAF">
            <w:pPr>
              <w:spacing w:before="75" w:line="231"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sz w:val="23"/>
                <w:szCs w:val="23"/>
                <w:highlight w:val="none"/>
              </w:rPr>
              <w:t>营业收入（Y）</w:t>
            </w:r>
          </w:p>
        </w:tc>
        <w:tc>
          <w:tcPr>
            <w:tcW w:w="1309" w:type="dxa"/>
            <w:vAlign w:val="top"/>
          </w:tcPr>
          <w:p w14:paraId="495CB618">
            <w:pPr>
              <w:pStyle w:val="138"/>
              <w:rPr>
                <w:rFonts w:hint="eastAsia" w:asciiTheme="minorEastAsia" w:hAnsiTheme="minorEastAsia" w:eastAsiaTheme="minorEastAsia" w:cstheme="minorEastAsia"/>
                <w:highlight w:val="none"/>
              </w:rPr>
            </w:pPr>
          </w:p>
          <w:p w14:paraId="5951C744">
            <w:pPr>
              <w:spacing w:before="75" w:line="234" w:lineRule="auto"/>
              <w:ind w:left="507"/>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1"/>
                <w:sz w:val="23"/>
                <w:szCs w:val="23"/>
                <w:highlight w:val="none"/>
              </w:rPr>
              <w:t>万元</w:t>
            </w:r>
          </w:p>
        </w:tc>
        <w:tc>
          <w:tcPr>
            <w:tcW w:w="2058" w:type="dxa"/>
            <w:vAlign w:val="top"/>
          </w:tcPr>
          <w:p w14:paraId="11EDB8C0">
            <w:pPr>
              <w:pStyle w:val="138"/>
              <w:rPr>
                <w:rFonts w:hint="eastAsia" w:asciiTheme="minorEastAsia" w:hAnsiTheme="minorEastAsia" w:eastAsiaTheme="minorEastAsia" w:cstheme="minorEastAsia"/>
                <w:highlight w:val="none"/>
              </w:rPr>
            </w:pPr>
          </w:p>
          <w:p w14:paraId="6E63E3A5">
            <w:pPr>
              <w:spacing w:before="75" w:line="309" w:lineRule="exact"/>
              <w:ind w:left="122"/>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position w:val="1"/>
                <w:sz w:val="23"/>
                <w:szCs w:val="23"/>
                <w:highlight w:val="none"/>
              </w:rPr>
              <w:t>5000≤Y＜40000</w:t>
            </w:r>
          </w:p>
        </w:tc>
        <w:tc>
          <w:tcPr>
            <w:tcW w:w="1691" w:type="dxa"/>
            <w:vAlign w:val="top"/>
          </w:tcPr>
          <w:p w14:paraId="502B3196">
            <w:pPr>
              <w:spacing w:before="113" w:line="273" w:lineRule="auto"/>
              <w:ind w:left="618" w:right="329" w:hanging="287"/>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14"/>
                <w:sz w:val="23"/>
                <w:szCs w:val="23"/>
                <w:highlight w:val="none"/>
              </w:rPr>
              <w:t>1000≤Y&lt;</w:t>
            </w:r>
            <w:r>
              <w:rPr>
                <w:rFonts w:hint="eastAsia" w:asciiTheme="minorEastAsia" w:hAnsiTheme="minorEastAsia" w:eastAsiaTheme="minorEastAsia" w:cstheme="minorEastAsia"/>
                <w:spacing w:val="5"/>
                <w:sz w:val="23"/>
                <w:szCs w:val="23"/>
                <w:highlight w:val="none"/>
              </w:rPr>
              <w:t xml:space="preserve"> </w:t>
            </w:r>
            <w:r>
              <w:rPr>
                <w:rFonts w:hint="eastAsia" w:asciiTheme="minorEastAsia" w:hAnsiTheme="minorEastAsia" w:eastAsiaTheme="minorEastAsia" w:cstheme="minorEastAsia"/>
                <w:spacing w:val="1"/>
                <w:sz w:val="23"/>
                <w:szCs w:val="23"/>
                <w:highlight w:val="none"/>
              </w:rPr>
              <w:t>5000</w:t>
            </w:r>
          </w:p>
        </w:tc>
        <w:tc>
          <w:tcPr>
            <w:tcW w:w="1091" w:type="dxa"/>
            <w:vAlign w:val="top"/>
          </w:tcPr>
          <w:p w14:paraId="11A193A3">
            <w:pPr>
              <w:pStyle w:val="138"/>
              <w:rPr>
                <w:rFonts w:hint="eastAsia" w:asciiTheme="minorEastAsia" w:hAnsiTheme="minorEastAsia" w:eastAsiaTheme="minorEastAsia" w:cstheme="minorEastAsia"/>
                <w:highlight w:val="none"/>
              </w:rPr>
            </w:pPr>
          </w:p>
          <w:p w14:paraId="5F33D2D4">
            <w:pPr>
              <w:spacing w:before="75" w:line="310" w:lineRule="exact"/>
              <w:ind w:left="12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position w:val="2"/>
                <w:sz w:val="23"/>
                <w:szCs w:val="23"/>
                <w:highlight w:val="none"/>
              </w:rPr>
              <w:t>Y＜1000</w:t>
            </w:r>
          </w:p>
        </w:tc>
      </w:tr>
      <w:tr w14:paraId="4CE0C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64BFE0B2">
            <w:pPr>
              <w:pStyle w:val="138"/>
              <w:spacing w:line="245" w:lineRule="auto"/>
              <w:rPr>
                <w:rFonts w:hint="eastAsia" w:asciiTheme="minorEastAsia" w:hAnsiTheme="minorEastAsia" w:eastAsiaTheme="minorEastAsia" w:cstheme="minorEastAsia"/>
                <w:highlight w:val="none"/>
              </w:rPr>
            </w:pPr>
          </w:p>
          <w:p w14:paraId="319840B1">
            <w:pPr>
              <w:spacing w:before="74" w:line="229" w:lineRule="auto"/>
              <w:ind w:left="442"/>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2"/>
                <w:sz w:val="23"/>
                <w:szCs w:val="23"/>
                <w:highlight w:val="none"/>
              </w:rPr>
              <w:t>零售业</w:t>
            </w:r>
          </w:p>
        </w:tc>
        <w:tc>
          <w:tcPr>
            <w:tcW w:w="1659" w:type="dxa"/>
            <w:vAlign w:val="top"/>
          </w:tcPr>
          <w:p w14:paraId="2315A29E">
            <w:pPr>
              <w:spacing w:before="117" w:line="223"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从业人员（X）</w:t>
            </w:r>
          </w:p>
        </w:tc>
        <w:tc>
          <w:tcPr>
            <w:tcW w:w="1309" w:type="dxa"/>
            <w:vAlign w:val="top"/>
          </w:tcPr>
          <w:p w14:paraId="0CE0795F">
            <w:pPr>
              <w:spacing w:before="117" w:line="223" w:lineRule="auto"/>
              <w:ind w:left="629"/>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z w:val="23"/>
                <w:szCs w:val="23"/>
                <w:highlight w:val="none"/>
              </w:rPr>
              <w:t>人</w:t>
            </w:r>
          </w:p>
        </w:tc>
        <w:tc>
          <w:tcPr>
            <w:tcW w:w="2058" w:type="dxa"/>
            <w:vAlign w:val="top"/>
          </w:tcPr>
          <w:p w14:paraId="72F73530">
            <w:pPr>
              <w:spacing w:before="117" w:line="223" w:lineRule="auto"/>
              <w:ind w:left="362"/>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50≤X＜300</w:t>
            </w:r>
          </w:p>
        </w:tc>
        <w:tc>
          <w:tcPr>
            <w:tcW w:w="1691" w:type="dxa"/>
            <w:vAlign w:val="top"/>
          </w:tcPr>
          <w:p w14:paraId="6A729B3E">
            <w:pPr>
              <w:spacing w:before="117" w:line="223" w:lineRule="auto"/>
              <w:ind w:left="331"/>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2"/>
                <w:sz w:val="23"/>
                <w:szCs w:val="23"/>
                <w:highlight w:val="none"/>
              </w:rPr>
              <w:t>10≤X＜50</w:t>
            </w:r>
          </w:p>
        </w:tc>
        <w:tc>
          <w:tcPr>
            <w:tcW w:w="1091" w:type="dxa"/>
            <w:vAlign w:val="top"/>
          </w:tcPr>
          <w:p w14:paraId="2BAB7A6F">
            <w:pPr>
              <w:spacing w:before="117" w:line="223" w:lineRule="auto"/>
              <w:ind w:left="24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X＜10</w:t>
            </w:r>
          </w:p>
        </w:tc>
      </w:tr>
      <w:tr w14:paraId="0EB99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2487A25B">
            <w:pPr>
              <w:pStyle w:val="138"/>
              <w:rPr>
                <w:rFonts w:hint="eastAsia" w:asciiTheme="minorEastAsia" w:hAnsiTheme="minorEastAsia" w:eastAsiaTheme="minorEastAsia" w:cstheme="minorEastAsia"/>
                <w:highlight w:val="none"/>
              </w:rPr>
            </w:pPr>
          </w:p>
        </w:tc>
        <w:tc>
          <w:tcPr>
            <w:tcW w:w="1659" w:type="dxa"/>
            <w:vAlign w:val="top"/>
          </w:tcPr>
          <w:p w14:paraId="7DD4F51A">
            <w:pPr>
              <w:spacing w:before="117" w:line="223"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sz w:val="23"/>
                <w:szCs w:val="23"/>
                <w:highlight w:val="none"/>
              </w:rPr>
              <w:t>营业收入（Y）</w:t>
            </w:r>
          </w:p>
        </w:tc>
        <w:tc>
          <w:tcPr>
            <w:tcW w:w="1309" w:type="dxa"/>
            <w:vAlign w:val="top"/>
          </w:tcPr>
          <w:p w14:paraId="13E57A11">
            <w:pPr>
              <w:spacing w:before="117" w:line="223" w:lineRule="auto"/>
              <w:ind w:left="507"/>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1"/>
                <w:sz w:val="23"/>
                <w:szCs w:val="23"/>
                <w:highlight w:val="none"/>
              </w:rPr>
              <w:t>万元</w:t>
            </w:r>
          </w:p>
        </w:tc>
        <w:tc>
          <w:tcPr>
            <w:tcW w:w="2058" w:type="dxa"/>
            <w:vAlign w:val="top"/>
          </w:tcPr>
          <w:p w14:paraId="1E31AEAA">
            <w:pPr>
              <w:spacing w:before="117" w:line="223" w:lineRule="auto"/>
              <w:ind w:left="182"/>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500≤Y＜20000</w:t>
            </w:r>
          </w:p>
        </w:tc>
        <w:tc>
          <w:tcPr>
            <w:tcW w:w="1691" w:type="dxa"/>
            <w:vAlign w:val="top"/>
          </w:tcPr>
          <w:p w14:paraId="07906143">
            <w:pPr>
              <w:spacing w:before="117" w:line="223" w:lineRule="auto"/>
              <w:ind w:left="211"/>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2"/>
                <w:sz w:val="23"/>
                <w:szCs w:val="23"/>
                <w:highlight w:val="none"/>
              </w:rPr>
              <w:t>100≤Y＜500</w:t>
            </w:r>
          </w:p>
        </w:tc>
        <w:tc>
          <w:tcPr>
            <w:tcW w:w="1091" w:type="dxa"/>
            <w:vAlign w:val="top"/>
          </w:tcPr>
          <w:p w14:paraId="25151EE5">
            <w:pPr>
              <w:spacing w:before="117" w:line="223" w:lineRule="auto"/>
              <w:ind w:left="18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Y＜100</w:t>
            </w:r>
          </w:p>
        </w:tc>
      </w:tr>
      <w:tr w14:paraId="1CD3A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6FC025B2">
            <w:pPr>
              <w:pStyle w:val="138"/>
              <w:spacing w:line="245" w:lineRule="auto"/>
              <w:rPr>
                <w:rFonts w:hint="eastAsia" w:asciiTheme="minorEastAsia" w:hAnsiTheme="minorEastAsia" w:eastAsiaTheme="minorEastAsia" w:cstheme="minorEastAsia"/>
                <w:highlight w:val="none"/>
              </w:rPr>
            </w:pPr>
          </w:p>
          <w:p w14:paraId="348FAAEC">
            <w:pPr>
              <w:spacing w:before="75" w:line="232" w:lineRule="auto"/>
              <w:ind w:left="20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4"/>
                <w:sz w:val="23"/>
                <w:szCs w:val="23"/>
                <w:highlight w:val="none"/>
              </w:rPr>
              <w:t>交通运输业</w:t>
            </w:r>
          </w:p>
        </w:tc>
        <w:tc>
          <w:tcPr>
            <w:tcW w:w="1659" w:type="dxa"/>
            <w:vAlign w:val="top"/>
          </w:tcPr>
          <w:p w14:paraId="6AB49093">
            <w:pPr>
              <w:spacing w:before="115" w:line="224"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从业人员（X）</w:t>
            </w:r>
          </w:p>
        </w:tc>
        <w:tc>
          <w:tcPr>
            <w:tcW w:w="1309" w:type="dxa"/>
            <w:vAlign w:val="top"/>
          </w:tcPr>
          <w:p w14:paraId="1EC0F7B7">
            <w:pPr>
              <w:spacing w:before="115" w:line="224" w:lineRule="auto"/>
              <w:ind w:left="629"/>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z w:val="23"/>
                <w:szCs w:val="23"/>
                <w:highlight w:val="none"/>
              </w:rPr>
              <w:t>人</w:t>
            </w:r>
          </w:p>
        </w:tc>
        <w:tc>
          <w:tcPr>
            <w:tcW w:w="2058" w:type="dxa"/>
            <w:vAlign w:val="top"/>
          </w:tcPr>
          <w:p w14:paraId="451A2A5D">
            <w:pPr>
              <w:spacing w:before="115" w:line="224" w:lineRule="auto"/>
              <w:ind w:left="242"/>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300≤X＜1000</w:t>
            </w:r>
          </w:p>
        </w:tc>
        <w:tc>
          <w:tcPr>
            <w:tcW w:w="1691" w:type="dxa"/>
            <w:vAlign w:val="top"/>
          </w:tcPr>
          <w:p w14:paraId="76C6E3E2">
            <w:pPr>
              <w:spacing w:before="115" w:line="224" w:lineRule="auto"/>
              <w:ind w:left="25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20≤X＜300</w:t>
            </w:r>
          </w:p>
        </w:tc>
        <w:tc>
          <w:tcPr>
            <w:tcW w:w="1091" w:type="dxa"/>
            <w:vAlign w:val="top"/>
          </w:tcPr>
          <w:p w14:paraId="4F666391">
            <w:pPr>
              <w:spacing w:before="115" w:line="224" w:lineRule="auto"/>
              <w:ind w:left="24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X＜20</w:t>
            </w:r>
          </w:p>
        </w:tc>
      </w:tr>
      <w:tr w14:paraId="5E44C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035B1566">
            <w:pPr>
              <w:pStyle w:val="138"/>
              <w:rPr>
                <w:rFonts w:hint="eastAsia" w:asciiTheme="minorEastAsia" w:hAnsiTheme="minorEastAsia" w:eastAsiaTheme="minorEastAsia" w:cstheme="minorEastAsia"/>
                <w:highlight w:val="none"/>
              </w:rPr>
            </w:pPr>
          </w:p>
        </w:tc>
        <w:tc>
          <w:tcPr>
            <w:tcW w:w="1659" w:type="dxa"/>
            <w:vAlign w:val="top"/>
          </w:tcPr>
          <w:p w14:paraId="083B0769">
            <w:pPr>
              <w:spacing w:before="115" w:line="224"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sz w:val="23"/>
                <w:szCs w:val="23"/>
                <w:highlight w:val="none"/>
              </w:rPr>
              <w:t>营业收入（Y）</w:t>
            </w:r>
          </w:p>
        </w:tc>
        <w:tc>
          <w:tcPr>
            <w:tcW w:w="1309" w:type="dxa"/>
            <w:vAlign w:val="top"/>
          </w:tcPr>
          <w:p w14:paraId="7B6627AB">
            <w:pPr>
              <w:spacing w:before="115" w:line="224" w:lineRule="auto"/>
              <w:ind w:left="507"/>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1"/>
                <w:sz w:val="23"/>
                <w:szCs w:val="23"/>
                <w:highlight w:val="none"/>
              </w:rPr>
              <w:t>万元</w:t>
            </w:r>
          </w:p>
        </w:tc>
        <w:tc>
          <w:tcPr>
            <w:tcW w:w="2058" w:type="dxa"/>
            <w:vAlign w:val="top"/>
          </w:tcPr>
          <w:p w14:paraId="4E1EDE26">
            <w:pPr>
              <w:spacing w:before="115" w:line="224" w:lineRule="auto"/>
              <w:ind w:left="122"/>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3000≤Y＜30000</w:t>
            </w:r>
          </w:p>
        </w:tc>
        <w:tc>
          <w:tcPr>
            <w:tcW w:w="1691" w:type="dxa"/>
            <w:vAlign w:val="top"/>
          </w:tcPr>
          <w:p w14:paraId="3E0700FD">
            <w:pPr>
              <w:spacing w:before="115" w:line="224" w:lineRule="auto"/>
              <w:ind w:left="13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200≤Y＜3000</w:t>
            </w:r>
          </w:p>
        </w:tc>
        <w:tc>
          <w:tcPr>
            <w:tcW w:w="1091" w:type="dxa"/>
            <w:vAlign w:val="top"/>
          </w:tcPr>
          <w:p w14:paraId="3937B553">
            <w:pPr>
              <w:spacing w:before="115" w:line="224" w:lineRule="auto"/>
              <w:ind w:left="18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Y＜200</w:t>
            </w:r>
          </w:p>
        </w:tc>
      </w:tr>
      <w:tr w14:paraId="1A439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7499AE85">
            <w:pPr>
              <w:pStyle w:val="138"/>
              <w:spacing w:line="246" w:lineRule="auto"/>
              <w:rPr>
                <w:rFonts w:hint="eastAsia" w:asciiTheme="minorEastAsia" w:hAnsiTheme="minorEastAsia" w:eastAsiaTheme="minorEastAsia" w:cstheme="minorEastAsia"/>
                <w:highlight w:val="none"/>
              </w:rPr>
            </w:pPr>
          </w:p>
          <w:p w14:paraId="73155A39">
            <w:pPr>
              <w:spacing w:before="75" w:line="231" w:lineRule="auto"/>
              <w:ind w:left="44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1"/>
                <w:sz w:val="23"/>
                <w:szCs w:val="23"/>
                <w:highlight w:val="none"/>
              </w:rPr>
              <w:t>仓储业</w:t>
            </w:r>
          </w:p>
        </w:tc>
        <w:tc>
          <w:tcPr>
            <w:tcW w:w="1659" w:type="dxa"/>
            <w:vAlign w:val="top"/>
          </w:tcPr>
          <w:p w14:paraId="5784AF8E">
            <w:pPr>
              <w:spacing w:before="115" w:line="224"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从业人员（X）</w:t>
            </w:r>
          </w:p>
        </w:tc>
        <w:tc>
          <w:tcPr>
            <w:tcW w:w="1309" w:type="dxa"/>
            <w:vAlign w:val="top"/>
          </w:tcPr>
          <w:p w14:paraId="5BC070EE">
            <w:pPr>
              <w:spacing w:before="115" w:line="224" w:lineRule="auto"/>
              <w:ind w:left="629"/>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z w:val="23"/>
                <w:szCs w:val="23"/>
                <w:highlight w:val="none"/>
              </w:rPr>
              <w:t>人</w:t>
            </w:r>
          </w:p>
        </w:tc>
        <w:tc>
          <w:tcPr>
            <w:tcW w:w="2058" w:type="dxa"/>
            <w:vAlign w:val="top"/>
          </w:tcPr>
          <w:p w14:paraId="4DDC8A8A">
            <w:pPr>
              <w:spacing w:before="115" w:line="224" w:lineRule="auto"/>
              <w:ind w:left="315"/>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2"/>
                <w:sz w:val="23"/>
                <w:szCs w:val="23"/>
                <w:highlight w:val="none"/>
              </w:rPr>
              <w:t>100≤X＜200</w:t>
            </w:r>
          </w:p>
        </w:tc>
        <w:tc>
          <w:tcPr>
            <w:tcW w:w="1691" w:type="dxa"/>
            <w:vAlign w:val="top"/>
          </w:tcPr>
          <w:p w14:paraId="7667DC09">
            <w:pPr>
              <w:spacing w:before="115" w:line="224" w:lineRule="auto"/>
              <w:ind w:left="25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20≤X＜100</w:t>
            </w:r>
          </w:p>
        </w:tc>
        <w:tc>
          <w:tcPr>
            <w:tcW w:w="1091" w:type="dxa"/>
            <w:vAlign w:val="top"/>
          </w:tcPr>
          <w:p w14:paraId="25E6D730">
            <w:pPr>
              <w:spacing w:before="115" w:line="224" w:lineRule="auto"/>
              <w:ind w:left="24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X＜20</w:t>
            </w:r>
          </w:p>
        </w:tc>
      </w:tr>
      <w:tr w14:paraId="1F373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5AFDC348">
            <w:pPr>
              <w:pStyle w:val="138"/>
              <w:rPr>
                <w:rFonts w:hint="eastAsia" w:asciiTheme="minorEastAsia" w:hAnsiTheme="minorEastAsia" w:eastAsiaTheme="minorEastAsia" w:cstheme="minorEastAsia"/>
                <w:highlight w:val="none"/>
              </w:rPr>
            </w:pPr>
          </w:p>
        </w:tc>
        <w:tc>
          <w:tcPr>
            <w:tcW w:w="1659" w:type="dxa"/>
            <w:vAlign w:val="top"/>
          </w:tcPr>
          <w:p w14:paraId="63B4F5FB">
            <w:pPr>
              <w:spacing w:before="117" w:line="223"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sz w:val="23"/>
                <w:szCs w:val="23"/>
                <w:highlight w:val="none"/>
              </w:rPr>
              <w:t>营业收入（Y）</w:t>
            </w:r>
          </w:p>
        </w:tc>
        <w:tc>
          <w:tcPr>
            <w:tcW w:w="1309" w:type="dxa"/>
            <w:vAlign w:val="top"/>
          </w:tcPr>
          <w:p w14:paraId="3606021C">
            <w:pPr>
              <w:spacing w:before="117" w:line="223" w:lineRule="auto"/>
              <w:ind w:left="507"/>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1"/>
                <w:sz w:val="23"/>
                <w:szCs w:val="23"/>
                <w:highlight w:val="none"/>
              </w:rPr>
              <w:t>万元</w:t>
            </w:r>
          </w:p>
        </w:tc>
        <w:tc>
          <w:tcPr>
            <w:tcW w:w="2058" w:type="dxa"/>
            <w:vAlign w:val="top"/>
          </w:tcPr>
          <w:p w14:paraId="7909F234">
            <w:pPr>
              <w:spacing w:before="117" w:line="223" w:lineRule="auto"/>
              <w:ind w:left="135"/>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sz w:val="23"/>
                <w:szCs w:val="23"/>
                <w:highlight w:val="none"/>
              </w:rPr>
              <w:t>1000≤Y＜30000</w:t>
            </w:r>
          </w:p>
        </w:tc>
        <w:tc>
          <w:tcPr>
            <w:tcW w:w="1691" w:type="dxa"/>
            <w:vAlign w:val="top"/>
          </w:tcPr>
          <w:p w14:paraId="30B96C6D">
            <w:pPr>
              <w:spacing w:before="117" w:line="223" w:lineRule="auto"/>
              <w:ind w:left="151"/>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sz w:val="23"/>
                <w:szCs w:val="23"/>
                <w:highlight w:val="none"/>
              </w:rPr>
              <w:t>100≤Y＜1000</w:t>
            </w:r>
          </w:p>
        </w:tc>
        <w:tc>
          <w:tcPr>
            <w:tcW w:w="1091" w:type="dxa"/>
            <w:vAlign w:val="top"/>
          </w:tcPr>
          <w:p w14:paraId="511B4662">
            <w:pPr>
              <w:spacing w:before="117" w:line="223" w:lineRule="auto"/>
              <w:ind w:left="18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Y＜100</w:t>
            </w:r>
          </w:p>
        </w:tc>
      </w:tr>
      <w:tr w14:paraId="60434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5AD3747E">
            <w:pPr>
              <w:pStyle w:val="138"/>
              <w:spacing w:line="244" w:lineRule="auto"/>
              <w:rPr>
                <w:rFonts w:hint="eastAsia" w:asciiTheme="minorEastAsia" w:hAnsiTheme="minorEastAsia" w:eastAsiaTheme="minorEastAsia" w:cstheme="minorEastAsia"/>
                <w:highlight w:val="none"/>
              </w:rPr>
            </w:pPr>
          </w:p>
          <w:p w14:paraId="2AEBC083">
            <w:pPr>
              <w:spacing w:before="75" w:line="230" w:lineRule="auto"/>
              <w:ind w:left="459"/>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3"/>
                <w:sz w:val="23"/>
                <w:szCs w:val="23"/>
                <w:highlight w:val="none"/>
              </w:rPr>
              <w:t>邮政业</w:t>
            </w:r>
          </w:p>
        </w:tc>
        <w:tc>
          <w:tcPr>
            <w:tcW w:w="1659" w:type="dxa"/>
            <w:vAlign w:val="top"/>
          </w:tcPr>
          <w:p w14:paraId="678AEF31">
            <w:pPr>
              <w:spacing w:before="117" w:line="223"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从业人员（X）</w:t>
            </w:r>
          </w:p>
        </w:tc>
        <w:tc>
          <w:tcPr>
            <w:tcW w:w="1309" w:type="dxa"/>
            <w:vAlign w:val="top"/>
          </w:tcPr>
          <w:p w14:paraId="1C69DC47">
            <w:pPr>
              <w:spacing w:before="117" w:line="223" w:lineRule="auto"/>
              <w:ind w:left="629"/>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z w:val="23"/>
                <w:szCs w:val="23"/>
                <w:highlight w:val="none"/>
              </w:rPr>
              <w:t>人</w:t>
            </w:r>
          </w:p>
        </w:tc>
        <w:tc>
          <w:tcPr>
            <w:tcW w:w="2058" w:type="dxa"/>
            <w:vAlign w:val="top"/>
          </w:tcPr>
          <w:p w14:paraId="58C579D4">
            <w:pPr>
              <w:spacing w:before="117" w:line="223" w:lineRule="auto"/>
              <w:ind w:left="242"/>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300≤X＜1000</w:t>
            </w:r>
          </w:p>
        </w:tc>
        <w:tc>
          <w:tcPr>
            <w:tcW w:w="1691" w:type="dxa"/>
            <w:vAlign w:val="top"/>
          </w:tcPr>
          <w:p w14:paraId="2ECF230B">
            <w:pPr>
              <w:spacing w:before="117" w:line="223" w:lineRule="auto"/>
              <w:ind w:left="25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20≤X＜300</w:t>
            </w:r>
          </w:p>
        </w:tc>
        <w:tc>
          <w:tcPr>
            <w:tcW w:w="1091" w:type="dxa"/>
            <w:vAlign w:val="top"/>
          </w:tcPr>
          <w:p w14:paraId="78C02280">
            <w:pPr>
              <w:spacing w:before="117" w:line="223" w:lineRule="auto"/>
              <w:ind w:left="24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X＜20</w:t>
            </w:r>
          </w:p>
        </w:tc>
      </w:tr>
      <w:tr w14:paraId="0038B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766541AB">
            <w:pPr>
              <w:pStyle w:val="138"/>
              <w:rPr>
                <w:rFonts w:hint="eastAsia" w:asciiTheme="minorEastAsia" w:hAnsiTheme="minorEastAsia" w:eastAsiaTheme="minorEastAsia" w:cstheme="minorEastAsia"/>
                <w:highlight w:val="none"/>
              </w:rPr>
            </w:pPr>
          </w:p>
        </w:tc>
        <w:tc>
          <w:tcPr>
            <w:tcW w:w="1659" w:type="dxa"/>
            <w:vAlign w:val="top"/>
          </w:tcPr>
          <w:p w14:paraId="32F7C46F">
            <w:pPr>
              <w:spacing w:before="117" w:line="223"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sz w:val="23"/>
                <w:szCs w:val="23"/>
                <w:highlight w:val="none"/>
              </w:rPr>
              <w:t>营业收入（Y）</w:t>
            </w:r>
          </w:p>
        </w:tc>
        <w:tc>
          <w:tcPr>
            <w:tcW w:w="1309" w:type="dxa"/>
            <w:vAlign w:val="top"/>
          </w:tcPr>
          <w:p w14:paraId="6F137987">
            <w:pPr>
              <w:spacing w:before="117" w:line="223" w:lineRule="auto"/>
              <w:ind w:left="507"/>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1"/>
                <w:sz w:val="23"/>
                <w:szCs w:val="23"/>
                <w:highlight w:val="none"/>
              </w:rPr>
              <w:t>万元</w:t>
            </w:r>
          </w:p>
        </w:tc>
        <w:tc>
          <w:tcPr>
            <w:tcW w:w="2058" w:type="dxa"/>
            <w:vAlign w:val="top"/>
          </w:tcPr>
          <w:p w14:paraId="7E2F073D">
            <w:pPr>
              <w:spacing w:before="117" w:line="223" w:lineRule="auto"/>
              <w:ind w:left="120"/>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2000≤Y＜30000</w:t>
            </w:r>
          </w:p>
        </w:tc>
        <w:tc>
          <w:tcPr>
            <w:tcW w:w="1691" w:type="dxa"/>
            <w:vAlign w:val="top"/>
          </w:tcPr>
          <w:p w14:paraId="6224D983">
            <w:pPr>
              <w:spacing w:before="117" w:line="223" w:lineRule="auto"/>
              <w:ind w:left="151"/>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sz w:val="23"/>
                <w:szCs w:val="23"/>
                <w:highlight w:val="none"/>
              </w:rPr>
              <w:t>100≤Y＜2000</w:t>
            </w:r>
          </w:p>
        </w:tc>
        <w:tc>
          <w:tcPr>
            <w:tcW w:w="1091" w:type="dxa"/>
            <w:vAlign w:val="top"/>
          </w:tcPr>
          <w:p w14:paraId="66E6DD27">
            <w:pPr>
              <w:spacing w:before="117" w:line="223" w:lineRule="auto"/>
              <w:ind w:left="18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Y＜100</w:t>
            </w:r>
          </w:p>
        </w:tc>
      </w:tr>
      <w:tr w14:paraId="64FEB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3F531107">
            <w:pPr>
              <w:pStyle w:val="138"/>
              <w:spacing w:line="245" w:lineRule="auto"/>
              <w:rPr>
                <w:rFonts w:hint="eastAsia" w:asciiTheme="minorEastAsia" w:hAnsiTheme="minorEastAsia" w:eastAsiaTheme="minorEastAsia" w:cstheme="minorEastAsia"/>
                <w:highlight w:val="none"/>
              </w:rPr>
            </w:pPr>
          </w:p>
          <w:p w14:paraId="2FB0AF0B">
            <w:pPr>
              <w:spacing w:before="75" w:line="230" w:lineRule="auto"/>
              <w:ind w:left="441"/>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3"/>
                <w:sz w:val="23"/>
                <w:szCs w:val="23"/>
                <w:highlight w:val="none"/>
              </w:rPr>
              <w:t>住宿业</w:t>
            </w:r>
          </w:p>
        </w:tc>
        <w:tc>
          <w:tcPr>
            <w:tcW w:w="1659" w:type="dxa"/>
            <w:vAlign w:val="top"/>
          </w:tcPr>
          <w:p w14:paraId="3DF05527">
            <w:pPr>
              <w:spacing w:before="115" w:line="224"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从业人员（X）</w:t>
            </w:r>
          </w:p>
        </w:tc>
        <w:tc>
          <w:tcPr>
            <w:tcW w:w="1309" w:type="dxa"/>
            <w:vAlign w:val="top"/>
          </w:tcPr>
          <w:p w14:paraId="45CE2E48">
            <w:pPr>
              <w:spacing w:before="115" w:line="224" w:lineRule="auto"/>
              <w:ind w:left="629"/>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z w:val="23"/>
                <w:szCs w:val="23"/>
                <w:highlight w:val="none"/>
              </w:rPr>
              <w:t>人</w:t>
            </w:r>
          </w:p>
        </w:tc>
        <w:tc>
          <w:tcPr>
            <w:tcW w:w="2058" w:type="dxa"/>
            <w:vAlign w:val="top"/>
          </w:tcPr>
          <w:p w14:paraId="7ADEC483">
            <w:pPr>
              <w:spacing w:before="115" w:line="224" w:lineRule="auto"/>
              <w:ind w:left="315"/>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2"/>
                <w:sz w:val="23"/>
                <w:szCs w:val="23"/>
                <w:highlight w:val="none"/>
              </w:rPr>
              <w:t>100≤X＜300</w:t>
            </w:r>
          </w:p>
        </w:tc>
        <w:tc>
          <w:tcPr>
            <w:tcW w:w="1691" w:type="dxa"/>
            <w:vAlign w:val="top"/>
          </w:tcPr>
          <w:p w14:paraId="7CC18581">
            <w:pPr>
              <w:spacing w:before="115" w:line="224" w:lineRule="auto"/>
              <w:ind w:left="271"/>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2"/>
                <w:sz w:val="23"/>
                <w:szCs w:val="23"/>
                <w:highlight w:val="none"/>
              </w:rPr>
              <w:t>10≤X＜100</w:t>
            </w:r>
          </w:p>
        </w:tc>
        <w:tc>
          <w:tcPr>
            <w:tcW w:w="1091" w:type="dxa"/>
            <w:vAlign w:val="top"/>
          </w:tcPr>
          <w:p w14:paraId="06296BEB">
            <w:pPr>
              <w:spacing w:before="115" w:line="224" w:lineRule="auto"/>
              <w:ind w:left="24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X＜10</w:t>
            </w:r>
          </w:p>
        </w:tc>
      </w:tr>
      <w:tr w14:paraId="6C64E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75F47ADB">
            <w:pPr>
              <w:pStyle w:val="138"/>
              <w:rPr>
                <w:rFonts w:hint="eastAsia" w:asciiTheme="minorEastAsia" w:hAnsiTheme="minorEastAsia" w:eastAsiaTheme="minorEastAsia" w:cstheme="minorEastAsia"/>
                <w:highlight w:val="none"/>
              </w:rPr>
            </w:pPr>
          </w:p>
        </w:tc>
        <w:tc>
          <w:tcPr>
            <w:tcW w:w="1659" w:type="dxa"/>
            <w:vAlign w:val="top"/>
          </w:tcPr>
          <w:p w14:paraId="3DBD3BDD">
            <w:pPr>
              <w:spacing w:before="115" w:line="224"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sz w:val="23"/>
                <w:szCs w:val="23"/>
                <w:highlight w:val="none"/>
              </w:rPr>
              <w:t>营业收入（Y）</w:t>
            </w:r>
          </w:p>
        </w:tc>
        <w:tc>
          <w:tcPr>
            <w:tcW w:w="1309" w:type="dxa"/>
            <w:vAlign w:val="top"/>
          </w:tcPr>
          <w:p w14:paraId="32A6C022">
            <w:pPr>
              <w:spacing w:before="115" w:line="224" w:lineRule="auto"/>
              <w:ind w:left="507"/>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1"/>
                <w:sz w:val="23"/>
                <w:szCs w:val="23"/>
                <w:highlight w:val="none"/>
              </w:rPr>
              <w:t>万元</w:t>
            </w:r>
          </w:p>
        </w:tc>
        <w:tc>
          <w:tcPr>
            <w:tcW w:w="2058" w:type="dxa"/>
            <w:vAlign w:val="top"/>
          </w:tcPr>
          <w:p w14:paraId="49850EE6">
            <w:pPr>
              <w:spacing w:before="115" w:line="224" w:lineRule="auto"/>
              <w:ind w:left="120"/>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2000≤Y＜10000</w:t>
            </w:r>
          </w:p>
        </w:tc>
        <w:tc>
          <w:tcPr>
            <w:tcW w:w="1691" w:type="dxa"/>
            <w:vAlign w:val="top"/>
          </w:tcPr>
          <w:p w14:paraId="5ECBA369">
            <w:pPr>
              <w:spacing w:before="115" w:line="224" w:lineRule="auto"/>
              <w:ind w:left="151"/>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sz w:val="23"/>
                <w:szCs w:val="23"/>
                <w:highlight w:val="none"/>
              </w:rPr>
              <w:t>100≤Y＜2000</w:t>
            </w:r>
          </w:p>
        </w:tc>
        <w:tc>
          <w:tcPr>
            <w:tcW w:w="1091" w:type="dxa"/>
            <w:vAlign w:val="top"/>
          </w:tcPr>
          <w:p w14:paraId="081425FD">
            <w:pPr>
              <w:spacing w:before="115" w:line="224" w:lineRule="auto"/>
              <w:ind w:left="18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Y＜100</w:t>
            </w:r>
          </w:p>
        </w:tc>
      </w:tr>
      <w:tr w14:paraId="64CC9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4694DFE7">
            <w:pPr>
              <w:pStyle w:val="138"/>
              <w:spacing w:line="444" w:lineRule="auto"/>
              <w:rPr>
                <w:rFonts w:hint="eastAsia" w:asciiTheme="minorEastAsia" w:hAnsiTheme="minorEastAsia" w:eastAsiaTheme="minorEastAsia" w:cstheme="minorEastAsia"/>
                <w:highlight w:val="none"/>
              </w:rPr>
            </w:pPr>
          </w:p>
          <w:p w14:paraId="51CE0F15">
            <w:pPr>
              <w:spacing w:before="75" w:line="231" w:lineRule="auto"/>
              <w:ind w:left="445"/>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1"/>
                <w:sz w:val="23"/>
                <w:szCs w:val="23"/>
                <w:highlight w:val="none"/>
              </w:rPr>
              <w:t>餐饮业</w:t>
            </w:r>
          </w:p>
        </w:tc>
        <w:tc>
          <w:tcPr>
            <w:tcW w:w="1659" w:type="dxa"/>
            <w:vAlign w:val="top"/>
          </w:tcPr>
          <w:p w14:paraId="72A21399">
            <w:pPr>
              <w:spacing w:before="115" w:line="224"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2"/>
                <w:sz w:val="23"/>
                <w:szCs w:val="23"/>
                <w:highlight w:val="none"/>
              </w:rPr>
              <w:t>从业人员（X）</w:t>
            </w:r>
          </w:p>
        </w:tc>
        <w:tc>
          <w:tcPr>
            <w:tcW w:w="1309" w:type="dxa"/>
            <w:vAlign w:val="top"/>
          </w:tcPr>
          <w:p w14:paraId="6B19FE6F">
            <w:pPr>
              <w:spacing w:before="115" w:line="224" w:lineRule="auto"/>
              <w:ind w:left="629"/>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3"/>
                <w:sz w:val="23"/>
                <w:szCs w:val="23"/>
                <w:highlight w:val="none"/>
              </w:rPr>
              <w:t>人</w:t>
            </w:r>
          </w:p>
        </w:tc>
        <w:tc>
          <w:tcPr>
            <w:tcW w:w="2058" w:type="dxa"/>
            <w:vAlign w:val="top"/>
          </w:tcPr>
          <w:p w14:paraId="5AD3AA45">
            <w:pPr>
              <w:spacing w:before="115" w:line="224" w:lineRule="auto"/>
              <w:ind w:left="315"/>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1"/>
                <w:sz w:val="23"/>
                <w:szCs w:val="23"/>
                <w:highlight w:val="none"/>
              </w:rPr>
              <w:t>100≤X＜300</w:t>
            </w:r>
          </w:p>
        </w:tc>
        <w:tc>
          <w:tcPr>
            <w:tcW w:w="1691" w:type="dxa"/>
            <w:vAlign w:val="top"/>
          </w:tcPr>
          <w:p w14:paraId="7EE5B739">
            <w:pPr>
              <w:spacing w:before="115" w:line="224" w:lineRule="auto"/>
              <w:ind w:left="271"/>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z w:val="23"/>
                <w:szCs w:val="23"/>
                <w:highlight w:val="none"/>
              </w:rPr>
              <w:t>10≤X＜100</w:t>
            </w:r>
          </w:p>
        </w:tc>
        <w:tc>
          <w:tcPr>
            <w:tcW w:w="1091" w:type="dxa"/>
            <w:vAlign w:val="top"/>
          </w:tcPr>
          <w:p w14:paraId="65B958AC">
            <w:pPr>
              <w:spacing w:before="115" w:line="224" w:lineRule="auto"/>
              <w:ind w:left="24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3"/>
                <w:sz w:val="23"/>
                <w:szCs w:val="23"/>
                <w:highlight w:val="none"/>
              </w:rPr>
              <w:t>X＜10</w:t>
            </w:r>
          </w:p>
        </w:tc>
      </w:tr>
      <w:tr w14:paraId="27C77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74" w:type="dxa"/>
            <w:vMerge w:val="continue"/>
            <w:tcBorders>
              <w:top w:val="nil"/>
            </w:tcBorders>
            <w:vAlign w:val="top"/>
          </w:tcPr>
          <w:p w14:paraId="5EF7170E">
            <w:pPr>
              <w:pStyle w:val="138"/>
              <w:rPr>
                <w:rFonts w:hint="eastAsia" w:asciiTheme="minorEastAsia" w:hAnsiTheme="minorEastAsia" w:eastAsiaTheme="minorEastAsia" w:cstheme="minorEastAsia"/>
                <w:highlight w:val="none"/>
              </w:rPr>
            </w:pPr>
          </w:p>
        </w:tc>
        <w:tc>
          <w:tcPr>
            <w:tcW w:w="1659" w:type="dxa"/>
            <w:vAlign w:val="top"/>
          </w:tcPr>
          <w:p w14:paraId="3EEB6505">
            <w:pPr>
              <w:spacing w:before="316" w:line="231"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1"/>
                <w:sz w:val="23"/>
                <w:szCs w:val="23"/>
                <w:highlight w:val="none"/>
              </w:rPr>
              <w:t>营业收入（Y）</w:t>
            </w:r>
          </w:p>
        </w:tc>
        <w:tc>
          <w:tcPr>
            <w:tcW w:w="1309" w:type="dxa"/>
            <w:vAlign w:val="top"/>
          </w:tcPr>
          <w:p w14:paraId="290B6527">
            <w:pPr>
              <w:spacing w:before="316" w:line="234" w:lineRule="auto"/>
              <w:ind w:left="507"/>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2"/>
                <w:sz w:val="23"/>
                <w:szCs w:val="23"/>
                <w:highlight w:val="none"/>
              </w:rPr>
              <w:t>万元</w:t>
            </w:r>
          </w:p>
        </w:tc>
        <w:tc>
          <w:tcPr>
            <w:tcW w:w="2058" w:type="dxa"/>
            <w:vAlign w:val="top"/>
          </w:tcPr>
          <w:p w14:paraId="6A149A82">
            <w:pPr>
              <w:spacing w:before="116" w:line="272" w:lineRule="auto"/>
              <w:ind w:left="674" w:right="431" w:hanging="254"/>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15"/>
                <w:sz w:val="23"/>
                <w:szCs w:val="23"/>
                <w:highlight w:val="none"/>
              </w:rPr>
              <w:t>2000≤Y&lt;</w:t>
            </w:r>
            <w:r>
              <w:rPr>
                <w:rFonts w:hint="eastAsia" w:asciiTheme="minorEastAsia" w:hAnsiTheme="minorEastAsia" w:eastAsiaTheme="minorEastAsia" w:cstheme="minorEastAsia"/>
                <w:spacing w:val="1"/>
                <w:sz w:val="23"/>
                <w:szCs w:val="23"/>
                <w:highlight w:val="none"/>
              </w:rPr>
              <w:t xml:space="preserve"> </w:t>
            </w:r>
            <w:r>
              <w:rPr>
                <w:rFonts w:hint="eastAsia" w:asciiTheme="minorEastAsia" w:hAnsiTheme="minorEastAsia" w:eastAsiaTheme="minorEastAsia" w:cstheme="minorEastAsia"/>
                <w:b/>
                <w:bCs/>
                <w:spacing w:val="-3"/>
                <w:sz w:val="23"/>
                <w:szCs w:val="23"/>
                <w:highlight w:val="none"/>
              </w:rPr>
              <w:t>10000</w:t>
            </w:r>
          </w:p>
        </w:tc>
        <w:tc>
          <w:tcPr>
            <w:tcW w:w="1691" w:type="dxa"/>
            <w:vAlign w:val="top"/>
          </w:tcPr>
          <w:p w14:paraId="28333D03">
            <w:pPr>
              <w:spacing w:before="315" w:line="310" w:lineRule="exact"/>
              <w:ind w:left="151"/>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1"/>
                <w:position w:val="1"/>
                <w:sz w:val="23"/>
                <w:szCs w:val="23"/>
                <w:highlight w:val="none"/>
              </w:rPr>
              <w:t>100≤Y＜2000</w:t>
            </w:r>
          </w:p>
        </w:tc>
        <w:tc>
          <w:tcPr>
            <w:tcW w:w="1091" w:type="dxa"/>
            <w:vAlign w:val="top"/>
          </w:tcPr>
          <w:p w14:paraId="60E07FFB">
            <w:pPr>
              <w:spacing w:before="315" w:line="311" w:lineRule="exact"/>
              <w:ind w:left="18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3"/>
                <w:position w:val="2"/>
                <w:sz w:val="23"/>
                <w:szCs w:val="23"/>
                <w:highlight w:val="none"/>
              </w:rPr>
              <w:t>Y＜100</w:t>
            </w:r>
          </w:p>
        </w:tc>
      </w:tr>
      <w:tr w14:paraId="51FF9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21CCC6C8">
            <w:pPr>
              <w:pStyle w:val="138"/>
              <w:spacing w:line="444" w:lineRule="auto"/>
              <w:rPr>
                <w:rFonts w:hint="eastAsia" w:asciiTheme="minorEastAsia" w:hAnsiTheme="minorEastAsia" w:eastAsiaTheme="minorEastAsia" w:cstheme="minorEastAsia"/>
                <w:highlight w:val="none"/>
              </w:rPr>
            </w:pPr>
          </w:p>
          <w:p w14:paraId="5D042E32">
            <w:pPr>
              <w:spacing w:before="75" w:line="230" w:lineRule="auto"/>
              <w:ind w:left="201"/>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5"/>
                <w:sz w:val="23"/>
                <w:szCs w:val="23"/>
                <w:highlight w:val="none"/>
              </w:rPr>
              <w:t>信息传输业</w:t>
            </w:r>
          </w:p>
        </w:tc>
        <w:tc>
          <w:tcPr>
            <w:tcW w:w="1659" w:type="dxa"/>
            <w:vAlign w:val="top"/>
          </w:tcPr>
          <w:p w14:paraId="462C90A4">
            <w:pPr>
              <w:spacing w:before="115" w:line="224"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从业人员（X）</w:t>
            </w:r>
          </w:p>
        </w:tc>
        <w:tc>
          <w:tcPr>
            <w:tcW w:w="1309" w:type="dxa"/>
            <w:vAlign w:val="top"/>
          </w:tcPr>
          <w:p w14:paraId="74DAFC2C">
            <w:pPr>
              <w:spacing w:before="115" w:line="224" w:lineRule="auto"/>
              <w:ind w:left="629"/>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z w:val="23"/>
                <w:szCs w:val="23"/>
                <w:highlight w:val="none"/>
              </w:rPr>
              <w:t>人</w:t>
            </w:r>
          </w:p>
        </w:tc>
        <w:tc>
          <w:tcPr>
            <w:tcW w:w="2058" w:type="dxa"/>
            <w:vAlign w:val="top"/>
          </w:tcPr>
          <w:p w14:paraId="3CCD616B">
            <w:pPr>
              <w:spacing w:before="115" w:line="224" w:lineRule="auto"/>
              <w:ind w:left="255"/>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sz w:val="23"/>
                <w:szCs w:val="23"/>
                <w:highlight w:val="none"/>
              </w:rPr>
              <w:t>100≤X＜2000</w:t>
            </w:r>
          </w:p>
        </w:tc>
        <w:tc>
          <w:tcPr>
            <w:tcW w:w="1691" w:type="dxa"/>
            <w:vAlign w:val="top"/>
          </w:tcPr>
          <w:p w14:paraId="49F6A1FA">
            <w:pPr>
              <w:spacing w:before="115" w:line="224" w:lineRule="auto"/>
              <w:ind w:left="271"/>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2"/>
                <w:sz w:val="23"/>
                <w:szCs w:val="23"/>
                <w:highlight w:val="none"/>
              </w:rPr>
              <w:t>10≤X＜100</w:t>
            </w:r>
          </w:p>
        </w:tc>
        <w:tc>
          <w:tcPr>
            <w:tcW w:w="1091" w:type="dxa"/>
            <w:vAlign w:val="top"/>
          </w:tcPr>
          <w:p w14:paraId="12C7B241">
            <w:pPr>
              <w:spacing w:before="115" w:line="224" w:lineRule="auto"/>
              <w:ind w:left="24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X＜10</w:t>
            </w:r>
          </w:p>
        </w:tc>
      </w:tr>
      <w:tr w14:paraId="1A473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74" w:type="dxa"/>
            <w:vMerge w:val="continue"/>
            <w:tcBorders>
              <w:top w:val="nil"/>
            </w:tcBorders>
            <w:vAlign w:val="top"/>
          </w:tcPr>
          <w:p w14:paraId="0D19237B">
            <w:pPr>
              <w:pStyle w:val="138"/>
              <w:rPr>
                <w:rFonts w:hint="eastAsia" w:asciiTheme="minorEastAsia" w:hAnsiTheme="minorEastAsia" w:eastAsiaTheme="minorEastAsia" w:cstheme="minorEastAsia"/>
                <w:highlight w:val="none"/>
              </w:rPr>
            </w:pPr>
          </w:p>
        </w:tc>
        <w:tc>
          <w:tcPr>
            <w:tcW w:w="1659" w:type="dxa"/>
            <w:vAlign w:val="top"/>
          </w:tcPr>
          <w:p w14:paraId="51BE3F57">
            <w:pPr>
              <w:pStyle w:val="138"/>
              <w:spacing w:line="242" w:lineRule="auto"/>
              <w:rPr>
                <w:rFonts w:hint="eastAsia" w:asciiTheme="minorEastAsia" w:hAnsiTheme="minorEastAsia" w:eastAsiaTheme="minorEastAsia" w:cstheme="minorEastAsia"/>
                <w:highlight w:val="none"/>
              </w:rPr>
            </w:pPr>
          </w:p>
          <w:p w14:paraId="62810E43">
            <w:pPr>
              <w:spacing w:before="75" w:line="231"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sz w:val="23"/>
                <w:szCs w:val="23"/>
                <w:highlight w:val="none"/>
              </w:rPr>
              <w:t>营业收入（Y）</w:t>
            </w:r>
          </w:p>
        </w:tc>
        <w:tc>
          <w:tcPr>
            <w:tcW w:w="1309" w:type="dxa"/>
            <w:vAlign w:val="top"/>
          </w:tcPr>
          <w:p w14:paraId="6E3E3F59">
            <w:pPr>
              <w:pStyle w:val="138"/>
              <w:spacing w:line="242" w:lineRule="auto"/>
              <w:rPr>
                <w:rFonts w:hint="eastAsia" w:asciiTheme="minorEastAsia" w:hAnsiTheme="minorEastAsia" w:eastAsiaTheme="minorEastAsia" w:cstheme="minorEastAsia"/>
                <w:highlight w:val="none"/>
              </w:rPr>
            </w:pPr>
          </w:p>
          <w:p w14:paraId="1A719937">
            <w:pPr>
              <w:spacing w:before="75" w:line="234" w:lineRule="auto"/>
              <w:ind w:left="507"/>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1"/>
                <w:sz w:val="23"/>
                <w:szCs w:val="23"/>
                <w:highlight w:val="none"/>
              </w:rPr>
              <w:t>万元</w:t>
            </w:r>
          </w:p>
        </w:tc>
        <w:tc>
          <w:tcPr>
            <w:tcW w:w="2058" w:type="dxa"/>
            <w:vAlign w:val="top"/>
          </w:tcPr>
          <w:p w14:paraId="4A4437BA">
            <w:pPr>
              <w:spacing w:before="116" w:line="272" w:lineRule="auto"/>
              <w:ind w:left="614" w:right="436" w:hanging="179"/>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14"/>
                <w:sz w:val="23"/>
                <w:szCs w:val="23"/>
                <w:highlight w:val="none"/>
              </w:rPr>
              <w:t>1000≤Y&lt;</w:t>
            </w:r>
            <w:r>
              <w:rPr>
                <w:rFonts w:hint="eastAsia" w:asciiTheme="minorEastAsia" w:hAnsiTheme="minorEastAsia" w:eastAsiaTheme="minorEastAsia" w:cstheme="minorEastAsia"/>
                <w:sz w:val="23"/>
                <w:szCs w:val="23"/>
                <w:highlight w:val="none"/>
              </w:rPr>
              <w:t>100000</w:t>
            </w:r>
          </w:p>
        </w:tc>
        <w:tc>
          <w:tcPr>
            <w:tcW w:w="1691" w:type="dxa"/>
            <w:vAlign w:val="top"/>
          </w:tcPr>
          <w:p w14:paraId="7BDF6435">
            <w:pPr>
              <w:pStyle w:val="138"/>
              <w:spacing w:line="242" w:lineRule="auto"/>
              <w:rPr>
                <w:rFonts w:hint="eastAsia" w:asciiTheme="minorEastAsia" w:hAnsiTheme="minorEastAsia" w:eastAsiaTheme="minorEastAsia" w:cstheme="minorEastAsia"/>
                <w:highlight w:val="none"/>
              </w:rPr>
            </w:pPr>
          </w:p>
          <w:p w14:paraId="58EC7F62">
            <w:pPr>
              <w:spacing w:before="74" w:line="310" w:lineRule="exact"/>
              <w:ind w:left="151"/>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position w:val="1"/>
                <w:sz w:val="23"/>
                <w:szCs w:val="23"/>
                <w:highlight w:val="none"/>
              </w:rPr>
              <w:t>100≤Y＜1000</w:t>
            </w:r>
          </w:p>
        </w:tc>
        <w:tc>
          <w:tcPr>
            <w:tcW w:w="1091" w:type="dxa"/>
            <w:vAlign w:val="top"/>
          </w:tcPr>
          <w:p w14:paraId="2641214B">
            <w:pPr>
              <w:pStyle w:val="138"/>
              <w:spacing w:line="242" w:lineRule="auto"/>
              <w:rPr>
                <w:rFonts w:hint="eastAsia" w:asciiTheme="minorEastAsia" w:hAnsiTheme="minorEastAsia" w:eastAsiaTheme="minorEastAsia" w:cstheme="minorEastAsia"/>
                <w:highlight w:val="none"/>
              </w:rPr>
            </w:pPr>
          </w:p>
          <w:p w14:paraId="51AF5085">
            <w:pPr>
              <w:spacing w:before="74" w:line="311" w:lineRule="exact"/>
              <w:ind w:left="18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position w:val="2"/>
                <w:sz w:val="23"/>
                <w:szCs w:val="23"/>
                <w:highlight w:val="none"/>
              </w:rPr>
              <w:t>Y＜100</w:t>
            </w:r>
          </w:p>
        </w:tc>
      </w:tr>
      <w:tr w14:paraId="6926E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restart"/>
            <w:tcBorders>
              <w:bottom w:val="nil"/>
            </w:tcBorders>
            <w:vAlign w:val="top"/>
          </w:tcPr>
          <w:p w14:paraId="782A949C">
            <w:pPr>
              <w:spacing w:before="124" w:line="273" w:lineRule="auto"/>
              <w:ind w:left="202" w:right="178"/>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5"/>
                <w:sz w:val="23"/>
                <w:szCs w:val="23"/>
                <w:highlight w:val="none"/>
              </w:rPr>
              <w:t>软件和信息</w:t>
            </w:r>
            <w:r>
              <w:rPr>
                <w:rFonts w:hint="eastAsia" w:asciiTheme="minorEastAsia" w:hAnsiTheme="minorEastAsia" w:eastAsiaTheme="minorEastAsia" w:cstheme="minorEastAsia"/>
                <w:sz w:val="23"/>
                <w:szCs w:val="23"/>
                <w:highlight w:val="none"/>
              </w:rPr>
              <w:t xml:space="preserve"> </w:t>
            </w:r>
            <w:r>
              <w:rPr>
                <w:rFonts w:hint="eastAsia" w:asciiTheme="minorEastAsia" w:hAnsiTheme="minorEastAsia" w:eastAsiaTheme="minorEastAsia" w:cstheme="minorEastAsia"/>
                <w:b/>
                <w:bCs/>
                <w:spacing w:val="5"/>
                <w:sz w:val="23"/>
                <w:szCs w:val="23"/>
                <w:highlight w:val="none"/>
              </w:rPr>
              <w:t>技术服务业</w:t>
            </w:r>
          </w:p>
        </w:tc>
        <w:tc>
          <w:tcPr>
            <w:tcW w:w="1659" w:type="dxa"/>
            <w:vAlign w:val="top"/>
          </w:tcPr>
          <w:p w14:paraId="7E10E223">
            <w:pPr>
              <w:spacing w:before="119" w:line="221"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从业人员（X）</w:t>
            </w:r>
          </w:p>
        </w:tc>
        <w:tc>
          <w:tcPr>
            <w:tcW w:w="1309" w:type="dxa"/>
            <w:vAlign w:val="top"/>
          </w:tcPr>
          <w:p w14:paraId="63738E39">
            <w:pPr>
              <w:spacing w:before="119" w:line="221" w:lineRule="auto"/>
              <w:ind w:left="629"/>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z w:val="23"/>
                <w:szCs w:val="23"/>
                <w:highlight w:val="none"/>
              </w:rPr>
              <w:t>人</w:t>
            </w:r>
          </w:p>
        </w:tc>
        <w:tc>
          <w:tcPr>
            <w:tcW w:w="2058" w:type="dxa"/>
            <w:vAlign w:val="top"/>
          </w:tcPr>
          <w:p w14:paraId="0FDDD803">
            <w:pPr>
              <w:spacing w:before="119" w:line="221" w:lineRule="auto"/>
              <w:ind w:left="315"/>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2"/>
                <w:sz w:val="23"/>
                <w:szCs w:val="23"/>
                <w:highlight w:val="none"/>
              </w:rPr>
              <w:t>100≤X＜300</w:t>
            </w:r>
          </w:p>
        </w:tc>
        <w:tc>
          <w:tcPr>
            <w:tcW w:w="1691" w:type="dxa"/>
            <w:vAlign w:val="top"/>
          </w:tcPr>
          <w:p w14:paraId="5F0648E8">
            <w:pPr>
              <w:spacing w:before="119" w:line="221" w:lineRule="auto"/>
              <w:ind w:left="271"/>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2"/>
                <w:sz w:val="23"/>
                <w:szCs w:val="23"/>
                <w:highlight w:val="none"/>
              </w:rPr>
              <w:t>10≤X＜100</w:t>
            </w:r>
          </w:p>
        </w:tc>
        <w:tc>
          <w:tcPr>
            <w:tcW w:w="1091" w:type="dxa"/>
            <w:vAlign w:val="top"/>
          </w:tcPr>
          <w:p w14:paraId="6C49F13A">
            <w:pPr>
              <w:spacing w:before="119" w:line="221" w:lineRule="auto"/>
              <w:ind w:left="24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X＜10</w:t>
            </w:r>
          </w:p>
        </w:tc>
      </w:tr>
      <w:tr w14:paraId="0CF3D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60A705E4">
            <w:pPr>
              <w:pStyle w:val="138"/>
              <w:rPr>
                <w:rFonts w:hint="eastAsia" w:asciiTheme="minorEastAsia" w:hAnsiTheme="minorEastAsia" w:eastAsiaTheme="minorEastAsia" w:cstheme="minorEastAsia"/>
                <w:highlight w:val="none"/>
              </w:rPr>
            </w:pPr>
          </w:p>
        </w:tc>
        <w:tc>
          <w:tcPr>
            <w:tcW w:w="1659" w:type="dxa"/>
            <w:vAlign w:val="top"/>
          </w:tcPr>
          <w:p w14:paraId="46593700">
            <w:pPr>
              <w:spacing w:before="119" w:line="221"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sz w:val="23"/>
                <w:szCs w:val="23"/>
                <w:highlight w:val="none"/>
              </w:rPr>
              <w:t>营业收入（Y）</w:t>
            </w:r>
          </w:p>
        </w:tc>
        <w:tc>
          <w:tcPr>
            <w:tcW w:w="1309" w:type="dxa"/>
            <w:vAlign w:val="top"/>
          </w:tcPr>
          <w:p w14:paraId="6069E9D0">
            <w:pPr>
              <w:spacing w:before="119" w:line="221" w:lineRule="auto"/>
              <w:ind w:left="507"/>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1"/>
                <w:sz w:val="23"/>
                <w:szCs w:val="23"/>
                <w:highlight w:val="none"/>
              </w:rPr>
              <w:t>万元</w:t>
            </w:r>
          </w:p>
        </w:tc>
        <w:tc>
          <w:tcPr>
            <w:tcW w:w="2058" w:type="dxa"/>
            <w:vAlign w:val="top"/>
          </w:tcPr>
          <w:p w14:paraId="4C4A9A09">
            <w:pPr>
              <w:spacing w:before="119" w:line="221" w:lineRule="auto"/>
              <w:ind w:left="135"/>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sz w:val="23"/>
                <w:szCs w:val="23"/>
                <w:highlight w:val="none"/>
              </w:rPr>
              <w:t>1000≤Y＜10000</w:t>
            </w:r>
          </w:p>
        </w:tc>
        <w:tc>
          <w:tcPr>
            <w:tcW w:w="1691" w:type="dxa"/>
            <w:vAlign w:val="top"/>
          </w:tcPr>
          <w:p w14:paraId="048086EB">
            <w:pPr>
              <w:spacing w:before="119" w:line="221" w:lineRule="auto"/>
              <w:ind w:left="198"/>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50≤Y＜1000</w:t>
            </w:r>
          </w:p>
        </w:tc>
        <w:tc>
          <w:tcPr>
            <w:tcW w:w="1091" w:type="dxa"/>
            <w:vAlign w:val="top"/>
          </w:tcPr>
          <w:p w14:paraId="2DD72BD5">
            <w:pPr>
              <w:spacing w:before="119" w:line="221" w:lineRule="auto"/>
              <w:ind w:left="24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sz w:val="23"/>
                <w:szCs w:val="23"/>
                <w:highlight w:val="none"/>
              </w:rPr>
              <w:t>Y＜50</w:t>
            </w:r>
          </w:p>
        </w:tc>
      </w:tr>
      <w:tr w14:paraId="43F1A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574" w:type="dxa"/>
            <w:vAlign w:val="top"/>
          </w:tcPr>
          <w:p w14:paraId="084CD749">
            <w:pPr>
              <w:spacing w:before="116" w:line="273" w:lineRule="auto"/>
              <w:ind w:left="561" w:right="178" w:hanging="355"/>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b/>
                <w:bCs/>
                <w:spacing w:val="4"/>
                <w:sz w:val="23"/>
                <w:szCs w:val="23"/>
                <w:highlight w:val="none"/>
              </w:rPr>
              <w:t>房地产开发</w:t>
            </w:r>
            <w:r>
              <w:rPr>
                <w:rFonts w:hint="eastAsia" w:asciiTheme="minorEastAsia" w:hAnsiTheme="minorEastAsia" w:eastAsiaTheme="minorEastAsia" w:cstheme="minorEastAsia"/>
                <w:spacing w:val="1"/>
                <w:sz w:val="23"/>
                <w:szCs w:val="23"/>
                <w:highlight w:val="none"/>
              </w:rPr>
              <w:t xml:space="preserve"> </w:t>
            </w:r>
            <w:r>
              <w:rPr>
                <w:rFonts w:hint="eastAsia" w:asciiTheme="minorEastAsia" w:hAnsiTheme="minorEastAsia" w:eastAsiaTheme="minorEastAsia" w:cstheme="minorEastAsia"/>
                <w:b/>
                <w:bCs/>
                <w:spacing w:val="-1"/>
                <w:sz w:val="23"/>
                <w:szCs w:val="23"/>
                <w:highlight w:val="none"/>
              </w:rPr>
              <w:t>经营</w:t>
            </w:r>
          </w:p>
        </w:tc>
        <w:tc>
          <w:tcPr>
            <w:tcW w:w="1659" w:type="dxa"/>
            <w:vAlign w:val="top"/>
          </w:tcPr>
          <w:p w14:paraId="75B1DFB7">
            <w:pPr>
              <w:pStyle w:val="138"/>
              <w:spacing w:line="243" w:lineRule="auto"/>
              <w:rPr>
                <w:rFonts w:hint="eastAsia" w:asciiTheme="minorEastAsia" w:hAnsiTheme="minorEastAsia" w:eastAsiaTheme="minorEastAsia" w:cstheme="minorEastAsia"/>
                <w:highlight w:val="none"/>
              </w:rPr>
            </w:pPr>
          </w:p>
          <w:p w14:paraId="1CD948E9">
            <w:pPr>
              <w:spacing w:before="74" w:line="231" w:lineRule="auto"/>
              <w:jc w:val="right"/>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sz w:val="23"/>
                <w:szCs w:val="23"/>
                <w:highlight w:val="none"/>
              </w:rPr>
              <w:t>营业收入（Y）</w:t>
            </w:r>
          </w:p>
        </w:tc>
        <w:tc>
          <w:tcPr>
            <w:tcW w:w="1309" w:type="dxa"/>
            <w:vAlign w:val="top"/>
          </w:tcPr>
          <w:p w14:paraId="0C0A93AC">
            <w:pPr>
              <w:pStyle w:val="138"/>
              <w:spacing w:line="242" w:lineRule="auto"/>
              <w:rPr>
                <w:rFonts w:hint="eastAsia" w:asciiTheme="minorEastAsia" w:hAnsiTheme="minorEastAsia" w:eastAsiaTheme="minorEastAsia" w:cstheme="minorEastAsia"/>
                <w:highlight w:val="none"/>
              </w:rPr>
            </w:pPr>
          </w:p>
          <w:p w14:paraId="6610FF01">
            <w:pPr>
              <w:spacing w:before="75" w:line="234" w:lineRule="auto"/>
              <w:ind w:left="507"/>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1"/>
                <w:sz w:val="23"/>
                <w:szCs w:val="23"/>
                <w:highlight w:val="none"/>
              </w:rPr>
              <w:t>万元</w:t>
            </w:r>
          </w:p>
        </w:tc>
        <w:tc>
          <w:tcPr>
            <w:tcW w:w="2058" w:type="dxa"/>
            <w:vAlign w:val="top"/>
          </w:tcPr>
          <w:p w14:paraId="0CE0C87B">
            <w:pPr>
              <w:spacing w:before="116" w:line="273" w:lineRule="auto"/>
              <w:ind w:left="600" w:right="436" w:hanging="165"/>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14"/>
                <w:sz w:val="23"/>
                <w:szCs w:val="23"/>
                <w:highlight w:val="none"/>
              </w:rPr>
              <w:t>1000≤Y&lt;</w:t>
            </w:r>
            <w:r>
              <w:rPr>
                <w:rFonts w:hint="eastAsia" w:asciiTheme="minorEastAsia" w:hAnsiTheme="minorEastAsia" w:eastAsiaTheme="minorEastAsia" w:cstheme="minorEastAsia"/>
                <w:spacing w:val="5"/>
                <w:sz w:val="23"/>
                <w:szCs w:val="23"/>
                <w:highlight w:val="none"/>
              </w:rPr>
              <w:t xml:space="preserve"> </w:t>
            </w:r>
            <w:r>
              <w:rPr>
                <w:rFonts w:hint="eastAsia" w:asciiTheme="minorEastAsia" w:hAnsiTheme="minorEastAsia" w:eastAsiaTheme="minorEastAsia" w:cstheme="minorEastAsia"/>
                <w:spacing w:val="2"/>
                <w:sz w:val="23"/>
                <w:szCs w:val="23"/>
                <w:highlight w:val="none"/>
              </w:rPr>
              <w:t>200000</w:t>
            </w:r>
          </w:p>
        </w:tc>
        <w:tc>
          <w:tcPr>
            <w:tcW w:w="1691" w:type="dxa"/>
            <w:vAlign w:val="top"/>
          </w:tcPr>
          <w:p w14:paraId="4444E655">
            <w:pPr>
              <w:pStyle w:val="138"/>
              <w:spacing w:line="242" w:lineRule="auto"/>
              <w:rPr>
                <w:rFonts w:hint="eastAsia" w:asciiTheme="minorEastAsia" w:hAnsiTheme="minorEastAsia" w:eastAsiaTheme="minorEastAsia" w:cstheme="minorEastAsia"/>
                <w:highlight w:val="none"/>
              </w:rPr>
            </w:pPr>
          </w:p>
          <w:p w14:paraId="15CC9F5E">
            <w:pPr>
              <w:spacing w:before="75" w:line="310" w:lineRule="exact"/>
              <w:ind w:left="151"/>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3"/>
                <w:position w:val="1"/>
                <w:sz w:val="23"/>
                <w:szCs w:val="23"/>
                <w:highlight w:val="none"/>
              </w:rPr>
              <w:t>100≤X＜1000</w:t>
            </w:r>
          </w:p>
        </w:tc>
        <w:tc>
          <w:tcPr>
            <w:tcW w:w="1091" w:type="dxa"/>
            <w:vAlign w:val="top"/>
          </w:tcPr>
          <w:p w14:paraId="4E34E31D">
            <w:pPr>
              <w:pStyle w:val="138"/>
              <w:spacing w:line="242" w:lineRule="auto"/>
              <w:rPr>
                <w:rFonts w:hint="eastAsia" w:asciiTheme="minorEastAsia" w:hAnsiTheme="minorEastAsia" w:eastAsiaTheme="minorEastAsia" w:cstheme="minorEastAsia"/>
                <w:highlight w:val="none"/>
              </w:rPr>
            </w:pPr>
          </w:p>
          <w:p w14:paraId="4342A80D">
            <w:pPr>
              <w:spacing w:before="75" w:line="311" w:lineRule="exact"/>
              <w:ind w:left="186"/>
              <w:rPr>
                <w:rFonts w:hint="eastAsia" w:asciiTheme="minorEastAsia" w:hAnsiTheme="minorEastAsia" w:eastAsiaTheme="minorEastAsia" w:cstheme="minorEastAsia"/>
                <w:sz w:val="23"/>
                <w:szCs w:val="23"/>
                <w:highlight w:val="none"/>
              </w:rPr>
            </w:pPr>
            <w:r>
              <w:rPr>
                <w:rFonts w:hint="eastAsia" w:asciiTheme="minorEastAsia" w:hAnsiTheme="minorEastAsia" w:eastAsiaTheme="minorEastAsia" w:cstheme="minorEastAsia"/>
                <w:spacing w:val="4"/>
                <w:position w:val="2"/>
                <w:sz w:val="23"/>
                <w:szCs w:val="23"/>
                <w:highlight w:val="none"/>
              </w:rPr>
              <w:t>X＜100</w:t>
            </w:r>
          </w:p>
        </w:tc>
      </w:tr>
    </w:tbl>
    <w:p w14:paraId="1C92E315">
      <w:pPr>
        <w:pStyle w:val="11"/>
        <w:rPr>
          <w:highlight w:val="none"/>
        </w:rPr>
      </w:pPr>
    </w:p>
    <w:p w14:paraId="7CB3DA3C">
      <w:pPr>
        <w:rPr>
          <w:highlight w:val="none"/>
        </w:rPr>
        <w:sectPr>
          <w:footerReference r:id="rId9" w:type="default"/>
          <w:pgSz w:w="11906" w:h="16838"/>
          <w:pgMar w:top="1431" w:right="1258" w:bottom="1172" w:left="1259" w:header="0" w:footer="996" w:gutter="0"/>
          <w:pgNumType w:fmt="decimal"/>
          <w:cols w:space="720" w:num="1"/>
        </w:sectPr>
      </w:pPr>
    </w:p>
    <w:p w14:paraId="3801DDCC">
      <w:pPr>
        <w:spacing w:line="94" w:lineRule="auto"/>
        <w:rPr>
          <w:rFonts w:ascii="Arial"/>
          <w:sz w:val="2"/>
          <w:highlight w:val="none"/>
        </w:rPr>
      </w:pPr>
    </w:p>
    <w:tbl>
      <w:tblPr>
        <w:tblStyle w:val="137"/>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4"/>
        <w:gridCol w:w="1659"/>
        <w:gridCol w:w="1465"/>
        <w:gridCol w:w="1902"/>
        <w:gridCol w:w="1691"/>
        <w:gridCol w:w="1091"/>
      </w:tblGrid>
      <w:tr w14:paraId="74BE9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574" w:type="dxa"/>
            <w:vAlign w:val="top"/>
          </w:tcPr>
          <w:p w14:paraId="7EABDE05">
            <w:pPr>
              <w:pStyle w:val="138"/>
              <w:rPr>
                <w:highlight w:val="none"/>
              </w:rPr>
            </w:pPr>
          </w:p>
        </w:tc>
        <w:tc>
          <w:tcPr>
            <w:tcW w:w="1659" w:type="dxa"/>
            <w:vAlign w:val="top"/>
          </w:tcPr>
          <w:p w14:paraId="3D039B6D">
            <w:pPr>
              <w:pStyle w:val="138"/>
              <w:spacing w:line="350" w:lineRule="auto"/>
              <w:rPr>
                <w:highlight w:val="none"/>
              </w:rPr>
            </w:pPr>
          </w:p>
          <w:p w14:paraId="15A10725">
            <w:pPr>
              <w:spacing w:before="75" w:line="231" w:lineRule="auto"/>
              <w:jc w:val="right"/>
              <w:rPr>
                <w:rFonts w:ascii="仿宋" w:hAnsi="仿宋" w:eastAsia="仿宋" w:cs="仿宋"/>
                <w:sz w:val="23"/>
                <w:szCs w:val="23"/>
                <w:highlight w:val="none"/>
              </w:rPr>
            </w:pPr>
            <w:r>
              <w:rPr>
                <w:rFonts w:ascii="仿宋" w:hAnsi="仿宋" w:eastAsia="仿宋" w:cs="仿宋"/>
                <w:spacing w:val="2"/>
                <w:sz w:val="23"/>
                <w:szCs w:val="23"/>
                <w:highlight w:val="none"/>
              </w:rPr>
              <w:t>资产总额（Z）</w:t>
            </w:r>
          </w:p>
        </w:tc>
        <w:tc>
          <w:tcPr>
            <w:tcW w:w="1465" w:type="dxa"/>
            <w:vAlign w:val="top"/>
          </w:tcPr>
          <w:p w14:paraId="1FA631E9">
            <w:pPr>
              <w:pStyle w:val="138"/>
              <w:spacing w:line="350" w:lineRule="auto"/>
              <w:rPr>
                <w:highlight w:val="none"/>
              </w:rPr>
            </w:pPr>
          </w:p>
          <w:p w14:paraId="06F84C40">
            <w:pPr>
              <w:spacing w:before="75" w:line="234"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559CE74D">
            <w:pPr>
              <w:pStyle w:val="138"/>
              <w:spacing w:line="350" w:lineRule="auto"/>
              <w:rPr>
                <w:highlight w:val="none"/>
              </w:rPr>
            </w:pPr>
          </w:p>
          <w:p w14:paraId="194BB6CE">
            <w:pPr>
              <w:spacing w:before="75" w:line="309" w:lineRule="exact"/>
              <w:ind w:left="122"/>
              <w:rPr>
                <w:rFonts w:ascii="仿宋" w:hAnsi="仿宋" w:eastAsia="仿宋" w:cs="仿宋"/>
                <w:sz w:val="23"/>
                <w:szCs w:val="23"/>
                <w:highlight w:val="none"/>
              </w:rPr>
            </w:pPr>
            <w:r>
              <w:rPr>
                <w:rFonts w:ascii="仿宋" w:hAnsi="仿宋" w:eastAsia="仿宋" w:cs="仿宋"/>
                <w:spacing w:val="4"/>
                <w:position w:val="1"/>
                <w:sz w:val="23"/>
                <w:szCs w:val="23"/>
                <w:highlight w:val="none"/>
              </w:rPr>
              <w:t>5000≤Z＜10000</w:t>
            </w:r>
          </w:p>
        </w:tc>
        <w:tc>
          <w:tcPr>
            <w:tcW w:w="1691" w:type="dxa"/>
            <w:vAlign w:val="top"/>
          </w:tcPr>
          <w:p w14:paraId="2E7B2C1D">
            <w:pPr>
              <w:spacing w:before="226" w:line="305" w:lineRule="auto"/>
              <w:ind w:left="617" w:right="329" w:hanging="301"/>
              <w:rPr>
                <w:rFonts w:ascii="仿宋" w:hAnsi="仿宋" w:eastAsia="仿宋" w:cs="仿宋"/>
                <w:sz w:val="23"/>
                <w:szCs w:val="23"/>
                <w:highlight w:val="none"/>
              </w:rPr>
            </w:pPr>
            <w:r>
              <w:rPr>
                <w:rFonts w:ascii="仿宋" w:hAnsi="仿宋" w:eastAsia="仿宋" w:cs="仿宋"/>
                <w:spacing w:val="17"/>
                <w:sz w:val="23"/>
                <w:szCs w:val="23"/>
                <w:highlight w:val="none"/>
              </w:rPr>
              <w:t>2000≤Y&lt;</w:t>
            </w:r>
            <w:r>
              <w:rPr>
                <w:rFonts w:ascii="仿宋" w:hAnsi="仿宋" w:eastAsia="仿宋" w:cs="仿宋"/>
                <w:sz w:val="23"/>
                <w:szCs w:val="23"/>
                <w:highlight w:val="none"/>
              </w:rPr>
              <w:t xml:space="preserve"> </w:t>
            </w:r>
            <w:r>
              <w:rPr>
                <w:rFonts w:ascii="仿宋" w:hAnsi="仿宋" w:eastAsia="仿宋" w:cs="仿宋"/>
                <w:spacing w:val="1"/>
                <w:sz w:val="23"/>
                <w:szCs w:val="23"/>
                <w:highlight w:val="none"/>
              </w:rPr>
              <w:t>5000</w:t>
            </w:r>
          </w:p>
        </w:tc>
        <w:tc>
          <w:tcPr>
            <w:tcW w:w="1091" w:type="dxa"/>
            <w:vAlign w:val="top"/>
          </w:tcPr>
          <w:p w14:paraId="7693048B">
            <w:pPr>
              <w:pStyle w:val="138"/>
              <w:spacing w:line="350" w:lineRule="auto"/>
              <w:rPr>
                <w:highlight w:val="none"/>
              </w:rPr>
            </w:pPr>
          </w:p>
          <w:p w14:paraId="63FA2A7F">
            <w:pPr>
              <w:spacing w:before="75" w:line="310" w:lineRule="exact"/>
              <w:ind w:left="126"/>
              <w:rPr>
                <w:rFonts w:ascii="仿宋" w:hAnsi="仿宋" w:eastAsia="仿宋" w:cs="仿宋"/>
                <w:sz w:val="23"/>
                <w:szCs w:val="23"/>
                <w:highlight w:val="none"/>
              </w:rPr>
            </w:pPr>
            <w:r>
              <w:rPr>
                <w:rFonts w:ascii="仿宋" w:hAnsi="仿宋" w:eastAsia="仿宋" w:cs="仿宋"/>
                <w:spacing w:val="4"/>
                <w:position w:val="2"/>
                <w:sz w:val="23"/>
                <w:szCs w:val="23"/>
                <w:highlight w:val="none"/>
              </w:rPr>
              <w:t>Y＜2000</w:t>
            </w:r>
          </w:p>
        </w:tc>
      </w:tr>
      <w:tr w14:paraId="75CD9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574" w:type="dxa"/>
            <w:vMerge w:val="restart"/>
            <w:tcBorders>
              <w:bottom w:val="nil"/>
            </w:tcBorders>
            <w:vAlign w:val="top"/>
          </w:tcPr>
          <w:p w14:paraId="0A5FC239">
            <w:pPr>
              <w:pStyle w:val="138"/>
              <w:spacing w:line="243" w:lineRule="auto"/>
              <w:rPr>
                <w:highlight w:val="none"/>
              </w:rPr>
            </w:pPr>
          </w:p>
          <w:p w14:paraId="7C038AD8">
            <w:pPr>
              <w:spacing w:before="75" w:line="229" w:lineRule="auto"/>
              <w:ind w:left="322"/>
              <w:rPr>
                <w:rFonts w:ascii="仿宋" w:hAnsi="仿宋" w:eastAsia="仿宋" w:cs="仿宋"/>
                <w:sz w:val="23"/>
                <w:szCs w:val="23"/>
                <w:highlight w:val="none"/>
              </w:rPr>
            </w:pPr>
            <w:r>
              <w:rPr>
                <w:rFonts w:ascii="仿宋" w:hAnsi="仿宋" w:eastAsia="仿宋" w:cs="仿宋"/>
                <w:b/>
                <w:bCs/>
                <w:spacing w:val="3"/>
                <w:sz w:val="23"/>
                <w:szCs w:val="23"/>
                <w:highlight w:val="none"/>
              </w:rPr>
              <w:t>物业管理</w:t>
            </w:r>
          </w:p>
        </w:tc>
        <w:tc>
          <w:tcPr>
            <w:tcW w:w="1659" w:type="dxa"/>
            <w:vAlign w:val="top"/>
          </w:tcPr>
          <w:p w14:paraId="674036E0">
            <w:pPr>
              <w:spacing w:before="116" w:line="223" w:lineRule="auto"/>
              <w:jc w:val="right"/>
              <w:rPr>
                <w:rFonts w:ascii="仿宋" w:hAnsi="仿宋" w:eastAsia="仿宋" w:cs="仿宋"/>
                <w:sz w:val="23"/>
                <w:szCs w:val="23"/>
                <w:highlight w:val="none"/>
              </w:rPr>
            </w:pPr>
            <w:r>
              <w:rPr>
                <w:rFonts w:ascii="仿宋" w:hAnsi="仿宋" w:eastAsia="仿宋" w:cs="仿宋"/>
                <w:spacing w:val="4"/>
                <w:sz w:val="23"/>
                <w:szCs w:val="23"/>
                <w:highlight w:val="none"/>
              </w:rPr>
              <w:t>从业人员（X）</w:t>
            </w:r>
          </w:p>
        </w:tc>
        <w:tc>
          <w:tcPr>
            <w:tcW w:w="1465" w:type="dxa"/>
            <w:vAlign w:val="top"/>
          </w:tcPr>
          <w:p w14:paraId="44FAE2D4">
            <w:pPr>
              <w:spacing w:before="116" w:line="223" w:lineRule="auto"/>
              <w:ind w:left="629"/>
              <w:rPr>
                <w:rFonts w:ascii="仿宋" w:hAnsi="仿宋" w:eastAsia="仿宋" w:cs="仿宋"/>
                <w:sz w:val="23"/>
                <w:szCs w:val="23"/>
                <w:highlight w:val="none"/>
              </w:rPr>
            </w:pPr>
            <w:r>
              <w:rPr>
                <w:rFonts w:ascii="仿宋" w:hAnsi="仿宋" w:eastAsia="仿宋" w:cs="仿宋"/>
                <w:sz w:val="23"/>
                <w:szCs w:val="23"/>
                <w:highlight w:val="none"/>
              </w:rPr>
              <w:t>人</w:t>
            </w:r>
          </w:p>
        </w:tc>
        <w:tc>
          <w:tcPr>
            <w:tcW w:w="1902" w:type="dxa"/>
            <w:vAlign w:val="top"/>
          </w:tcPr>
          <w:p w14:paraId="0462F215">
            <w:pPr>
              <w:spacing w:before="116" w:line="223" w:lineRule="auto"/>
              <w:ind w:left="242"/>
              <w:rPr>
                <w:rFonts w:ascii="仿宋" w:hAnsi="仿宋" w:eastAsia="仿宋" w:cs="仿宋"/>
                <w:sz w:val="23"/>
                <w:szCs w:val="23"/>
                <w:highlight w:val="none"/>
              </w:rPr>
            </w:pPr>
            <w:r>
              <w:rPr>
                <w:rFonts w:ascii="仿宋" w:hAnsi="仿宋" w:eastAsia="仿宋" w:cs="仿宋"/>
                <w:spacing w:val="4"/>
                <w:sz w:val="23"/>
                <w:szCs w:val="23"/>
                <w:highlight w:val="none"/>
              </w:rPr>
              <w:t>300≤X＜1000</w:t>
            </w:r>
          </w:p>
        </w:tc>
        <w:tc>
          <w:tcPr>
            <w:tcW w:w="1691" w:type="dxa"/>
            <w:vAlign w:val="top"/>
          </w:tcPr>
          <w:p w14:paraId="23B233F3">
            <w:pPr>
              <w:spacing w:before="116" w:line="223" w:lineRule="auto"/>
              <w:ind w:left="211"/>
              <w:rPr>
                <w:rFonts w:ascii="仿宋" w:hAnsi="仿宋" w:eastAsia="仿宋" w:cs="仿宋"/>
                <w:sz w:val="23"/>
                <w:szCs w:val="23"/>
                <w:highlight w:val="none"/>
              </w:rPr>
            </w:pPr>
            <w:r>
              <w:rPr>
                <w:rFonts w:ascii="仿宋" w:hAnsi="仿宋" w:eastAsia="仿宋" w:cs="仿宋"/>
                <w:spacing w:val="2"/>
                <w:sz w:val="23"/>
                <w:szCs w:val="23"/>
                <w:highlight w:val="none"/>
              </w:rPr>
              <w:t>100≤X＜300</w:t>
            </w:r>
          </w:p>
        </w:tc>
        <w:tc>
          <w:tcPr>
            <w:tcW w:w="1091" w:type="dxa"/>
            <w:vAlign w:val="top"/>
          </w:tcPr>
          <w:p w14:paraId="1A1F5EBF">
            <w:pPr>
              <w:spacing w:before="116" w:line="223" w:lineRule="auto"/>
              <w:ind w:left="186"/>
              <w:rPr>
                <w:rFonts w:ascii="仿宋" w:hAnsi="仿宋" w:eastAsia="仿宋" w:cs="仿宋"/>
                <w:sz w:val="23"/>
                <w:szCs w:val="23"/>
                <w:highlight w:val="none"/>
              </w:rPr>
            </w:pPr>
            <w:r>
              <w:rPr>
                <w:rFonts w:ascii="仿宋" w:hAnsi="仿宋" w:eastAsia="仿宋" w:cs="仿宋"/>
                <w:spacing w:val="4"/>
                <w:sz w:val="23"/>
                <w:szCs w:val="23"/>
                <w:highlight w:val="none"/>
              </w:rPr>
              <w:t>X＜100</w:t>
            </w:r>
          </w:p>
        </w:tc>
      </w:tr>
      <w:tr w14:paraId="62E28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574" w:type="dxa"/>
            <w:vMerge w:val="continue"/>
            <w:tcBorders>
              <w:top w:val="nil"/>
            </w:tcBorders>
            <w:vAlign w:val="top"/>
          </w:tcPr>
          <w:p w14:paraId="0EAA6F5F">
            <w:pPr>
              <w:pStyle w:val="138"/>
              <w:rPr>
                <w:highlight w:val="none"/>
              </w:rPr>
            </w:pPr>
          </w:p>
        </w:tc>
        <w:tc>
          <w:tcPr>
            <w:tcW w:w="1659" w:type="dxa"/>
            <w:vAlign w:val="top"/>
          </w:tcPr>
          <w:p w14:paraId="6570B361">
            <w:pPr>
              <w:spacing w:before="117" w:line="223" w:lineRule="auto"/>
              <w:jc w:val="right"/>
              <w:rPr>
                <w:rFonts w:ascii="仿宋" w:hAnsi="仿宋" w:eastAsia="仿宋" w:cs="仿宋"/>
                <w:sz w:val="23"/>
                <w:szCs w:val="23"/>
                <w:highlight w:val="none"/>
              </w:rPr>
            </w:pPr>
            <w:r>
              <w:rPr>
                <w:rFonts w:ascii="仿宋" w:hAnsi="仿宋" w:eastAsia="仿宋" w:cs="仿宋"/>
                <w:spacing w:val="3"/>
                <w:sz w:val="23"/>
                <w:szCs w:val="23"/>
                <w:highlight w:val="none"/>
              </w:rPr>
              <w:t>营业收入（Y）</w:t>
            </w:r>
          </w:p>
        </w:tc>
        <w:tc>
          <w:tcPr>
            <w:tcW w:w="1465" w:type="dxa"/>
            <w:vAlign w:val="top"/>
          </w:tcPr>
          <w:p w14:paraId="704B1B22">
            <w:pPr>
              <w:spacing w:before="117" w:line="223"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6D6D0653">
            <w:pPr>
              <w:spacing w:before="117" w:line="223" w:lineRule="auto"/>
              <w:ind w:left="195"/>
              <w:rPr>
                <w:rFonts w:ascii="仿宋" w:hAnsi="仿宋" w:eastAsia="仿宋" w:cs="仿宋"/>
                <w:sz w:val="23"/>
                <w:szCs w:val="23"/>
                <w:highlight w:val="none"/>
              </w:rPr>
            </w:pPr>
            <w:r>
              <w:rPr>
                <w:rFonts w:ascii="仿宋" w:hAnsi="仿宋" w:eastAsia="仿宋" w:cs="仿宋"/>
                <w:spacing w:val="3"/>
                <w:sz w:val="23"/>
                <w:szCs w:val="23"/>
                <w:highlight w:val="none"/>
              </w:rPr>
              <w:t>1000≤Y＜5000</w:t>
            </w:r>
          </w:p>
        </w:tc>
        <w:tc>
          <w:tcPr>
            <w:tcW w:w="1691" w:type="dxa"/>
            <w:vAlign w:val="top"/>
          </w:tcPr>
          <w:p w14:paraId="0A1A858D">
            <w:pPr>
              <w:spacing w:before="117" w:line="223" w:lineRule="auto"/>
              <w:ind w:left="138"/>
              <w:rPr>
                <w:rFonts w:ascii="仿宋" w:hAnsi="仿宋" w:eastAsia="仿宋" w:cs="仿宋"/>
                <w:sz w:val="23"/>
                <w:szCs w:val="23"/>
                <w:highlight w:val="none"/>
              </w:rPr>
            </w:pPr>
            <w:r>
              <w:rPr>
                <w:rFonts w:ascii="仿宋" w:hAnsi="仿宋" w:eastAsia="仿宋" w:cs="仿宋"/>
                <w:spacing w:val="4"/>
                <w:sz w:val="23"/>
                <w:szCs w:val="23"/>
                <w:highlight w:val="none"/>
              </w:rPr>
              <w:t>500≤Y＜1000</w:t>
            </w:r>
          </w:p>
        </w:tc>
        <w:tc>
          <w:tcPr>
            <w:tcW w:w="1091" w:type="dxa"/>
            <w:vAlign w:val="top"/>
          </w:tcPr>
          <w:p w14:paraId="677C2D4D">
            <w:pPr>
              <w:spacing w:before="117" w:line="223" w:lineRule="auto"/>
              <w:ind w:left="186"/>
              <w:rPr>
                <w:rFonts w:ascii="仿宋" w:hAnsi="仿宋" w:eastAsia="仿宋" w:cs="仿宋"/>
                <w:sz w:val="23"/>
                <w:szCs w:val="23"/>
                <w:highlight w:val="none"/>
              </w:rPr>
            </w:pPr>
            <w:r>
              <w:rPr>
                <w:rFonts w:ascii="仿宋" w:hAnsi="仿宋" w:eastAsia="仿宋" w:cs="仿宋"/>
                <w:spacing w:val="4"/>
                <w:sz w:val="23"/>
                <w:szCs w:val="23"/>
                <w:highlight w:val="none"/>
              </w:rPr>
              <w:t>Y＜500</w:t>
            </w:r>
          </w:p>
        </w:tc>
      </w:tr>
      <w:tr w14:paraId="029FF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574" w:type="dxa"/>
            <w:vMerge w:val="restart"/>
            <w:tcBorders>
              <w:bottom w:val="nil"/>
            </w:tcBorders>
            <w:vAlign w:val="top"/>
          </w:tcPr>
          <w:p w14:paraId="64EEECA9">
            <w:pPr>
              <w:pStyle w:val="138"/>
              <w:spacing w:line="244" w:lineRule="auto"/>
              <w:rPr>
                <w:highlight w:val="none"/>
              </w:rPr>
            </w:pPr>
          </w:p>
          <w:p w14:paraId="56AE839A">
            <w:pPr>
              <w:spacing w:before="75" w:line="306" w:lineRule="auto"/>
              <w:ind w:left="440" w:right="178" w:hanging="238"/>
              <w:rPr>
                <w:rFonts w:ascii="仿宋" w:hAnsi="仿宋" w:eastAsia="仿宋" w:cs="仿宋"/>
                <w:sz w:val="23"/>
                <w:szCs w:val="23"/>
                <w:highlight w:val="none"/>
              </w:rPr>
            </w:pPr>
            <w:r>
              <w:rPr>
                <w:rFonts w:ascii="仿宋" w:hAnsi="仿宋" w:eastAsia="仿宋" w:cs="仿宋"/>
                <w:b/>
                <w:bCs/>
                <w:spacing w:val="5"/>
                <w:sz w:val="23"/>
                <w:szCs w:val="23"/>
                <w:highlight w:val="none"/>
              </w:rPr>
              <w:t>租赁和商务</w:t>
            </w:r>
            <w:r>
              <w:rPr>
                <w:rFonts w:ascii="仿宋" w:hAnsi="仿宋" w:eastAsia="仿宋" w:cs="仿宋"/>
                <w:b/>
                <w:bCs/>
                <w:spacing w:val="3"/>
                <w:sz w:val="23"/>
                <w:szCs w:val="23"/>
                <w:highlight w:val="none"/>
              </w:rPr>
              <w:t>服务业</w:t>
            </w:r>
          </w:p>
        </w:tc>
        <w:tc>
          <w:tcPr>
            <w:tcW w:w="1659" w:type="dxa"/>
            <w:vAlign w:val="top"/>
          </w:tcPr>
          <w:p w14:paraId="025D770A">
            <w:pPr>
              <w:spacing w:before="117" w:line="222" w:lineRule="auto"/>
              <w:jc w:val="right"/>
              <w:rPr>
                <w:rFonts w:ascii="仿宋" w:hAnsi="仿宋" w:eastAsia="仿宋" w:cs="仿宋"/>
                <w:sz w:val="23"/>
                <w:szCs w:val="23"/>
                <w:highlight w:val="none"/>
              </w:rPr>
            </w:pPr>
            <w:r>
              <w:rPr>
                <w:rFonts w:ascii="仿宋" w:hAnsi="仿宋" w:eastAsia="仿宋" w:cs="仿宋"/>
                <w:spacing w:val="4"/>
                <w:sz w:val="23"/>
                <w:szCs w:val="23"/>
                <w:highlight w:val="none"/>
              </w:rPr>
              <w:t>从业人员（X）</w:t>
            </w:r>
          </w:p>
        </w:tc>
        <w:tc>
          <w:tcPr>
            <w:tcW w:w="1465" w:type="dxa"/>
            <w:vAlign w:val="top"/>
          </w:tcPr>
          <w:p w14:paraId="7DBEAA19">
            <w:pPr>
              <w:spacing w:before="117" w:line="222" w:lineRule="auto"/>
              <w:ind w:left="629"/>
              <w:rPr>
                <w:rFonts w:ascii="仿宋" w:hAnsi="仿宋" w:eastAsia="仿宋" w:cs="仿宋"/>
                <w:sz w:val="23"/>
                <w:szCs w:val="23"/>
                <w:highlight w:val="none"/>
              </w:rPr>
            </w:pPr>
            <w:r>
              <w:rPr>
                <w:rFonts w:ascii="仿宋" w:hAnsi="仿宋" w:eastAsia="仿宋" w:cs="仿宋"/>
                <w:sz w:val="23"/>
                <w:szCs w:val="23"/>
                <w:highlight w:val="none"/>
              </w:rPr>
              <w:t>人</w:t>
            </w:r>
          </w:p>
        </w:tc>
        <w:tc>
          <w:tcPr>
            <w:tcW w:w="1902" w:type="dxa"/>
            <w:vAlign w:val="top"/>
          </w:tcPr>
          <w:p w14:paraId="3FF3773D">
            <w:pPr>
              <w:spacing w:before="117" w:line="222" w:lineRule="auto"/>
              <w:ind w:left="315"/>
              <w:rPr>
                <w:rFonts w:ascii="仿宋" w:hAnsi="仿宋" w:eastAsia="仿宋" w:cs="仿宋"/>
                <w:sz w:val="23"/>
                <w:szCs w:val="23"/>
                <w:highlight w:val="none"/>
              </w:rPr>
            </w:pPr>
            <w:r>
              <w:rPr>
                <w:rFonts w:ascii="仿宋" w:hAnsi="仿宋" w:eastAsia="仿宋" w:cs="仿宋"/>
                <w:spacing w:val="2"/>
                <w:sz w:val="23"/>
                <w:szCs w:val="23"/>
                <w:highlight w:val="none"/>
              </w:rPr>
              <w:t>100≤X＜300</w:t>
            </w:r>
          </w:p>
        </w:tc>
        <w:tc>
          <w:tcPr>
            <w:tcW w:w="1691" w:type="dxa"/>
            <w:vAlign w:val="top"/>
          </w:tcPr>
          <w:p w14:paraId="4C5CAEEB">
            <w:pPr>
              <w:spacing w:before="117" w:line="222" w:lineRule="auto"/>
              <w:ind w:left="271"/>
              <w:rPr>
                <w:rFonts w:ascii="仿宋" w:hAnsi="仿宋" w:eastAsia="仿宋" w:cs="仿宋"/>
                <w:sz w:val="23"/>
                <w:szCs w:val="23"/>
                <w:highlight w:val="none"/>
              </w:rPr>
            </w:pPr>
            <w:r>
              <w:rPr>
                <w:rFonts w:ascii="仿宋" w:hAnsi="仿宋" w:eastAsia="仿宋" w:cs="仿宋"/>
                <w:spacing w:val="2"/>
                <w:sz w:val="23"/>
                <w:szCs w:val="23"/>
                <w:highlight w:val="none"/>
              </w:rPr>
              <w:t>10≤X＜100</w:t>
            </w:r>
          </w:p>
        </w:tc>
        <w:tc>
          <w:tcPr>
            <w:tcW w:w="1091" w:type="dxa"/>
            <w:vAlign w:val="top"/>
          </w:tcPr>
          <w:p w14:paraId="23C038C7">
            <w:pPr>
              <w:spacing w:before="117" w:line="222" w:lineRule="auto"/>
              <w:ind w:left="246"/>
              <w:rPr>
                <w:rFonts w:ascii="仿宋" w:hAnsi="仿宋" w:eastAsia="仿宋" w:cs="仿宋"/>
                <w:sz w:val="23"/>
                <w:szCs w:val="23"/>
                <w:highlight w:val="none"/>
              </w:rPr>
            </w:pPr>
            <w:r>
              <w:rPr>
                <w:rFonts w:ascii="仿宋" w:hAnsi="仿宋" w:eastAsia="仿宋" w:cs="仿宋"/>
                <w:spacing w:val="4"/>
                <w:sz w:val="23"/>
                <w:szCs w:val="23"/>
                <w:highlight w:val="none"/>
              </w:rPr>
              <w:t>X＜10</w:t>
            </w:r>
          </w:p>
        </w:tc>
      </w:tr>
      <w:tr w14:paraId="79943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574" w:type="dxa"/>
            <w:vMerge w:val="continue"/>
            <w:tcBorders>
              <w:top w:val="nil"/>
            </w:tcBorders>
            <w:vAlign w:val="top"/>
          </w:tcPr>
          <w:p w14:paraId="128B54B2">
            <w:pPr>
              <w:pStyle w:val="138"/>
              <w:rPr>
                <w:highlight w:val="none"/>
              </w:rPr>
            </w:pPr>
          </w:p>
        </w:tc>
        <w:tc>
          <w:tcPr>
            <w:tcW w:w="1659" w:type="dxa"/>
            <w:vAlign w:val="top"/>
          </w:tcPr>
          <w:p w14:paraId="65880514">
            <w:pPr>
              <w:pStyle w:val="138"/>
              <w:spacing w:line="242" w:lineRule="auto"/>
              <w:rPr>
                <w:highlight w:val="none"/>
              </w:rPr>
            </w:pPr>
          </w:p>
          <w:p w14:paraId="1CDEA629">
            <w:pPr>
              <w:spacing w:before="75" w:line="231" w:lineRule="auto"/>
              <w:jc w:val="right"/>
              <w:rPr>
                <w:rFonts w:ascii="仿宋" w:hAnsi="仿宋" w:eastAsia="仿宋" w:cs="仿宋"/>
                <w:sz w:val="23"/>
                <w:szCs w:val="23"/>
                <w:highlight w:val="none"/>
              </w:rPr>
            </w:pPr>
            <w:r>
              <w:rPr>
                <w:rFonts w:ascii="仿宋" w:hAnsi="仿宋" w:eastAsia="仿宋" w:cs="仿宋"/>
                <w:spacing w:val="2"/>
                <w:sz w:val="23"/>
                <w:szCs w:val="23"/>
                <w:highlight w:val="none"/>
              </w:rPr>
              <w:t>资产总额（Z）</w:t>
            </w:r>
          </w:p>
        </w:tc>
        <w:tc>
          <w:tcPr>
            <w:tcW w:w="1465" w:type="dxa"/>
            <w:vAlign w:val="top"/>
          </w:tcPr>
          <w:p w14:paraId="7F44BE94">
            <w:pPr>
              <w:pStyle w:val="138"/>
              <w:spacing w:line="242" w:lineRule="auto"/>
              <w:rPr>
                <w:highlight w:val="none"/>
              </w:rPr>
            </w:pPr>
          </w:p>
          <w:p w14:paraId="68D83C6D">
            <w:pPr>
              <w:spacing w:before="74" w:line="234" w:lineRule="auto"/>
              <w:ind w:left="507"/>
              <w:rPr>
                <w:rFonts w:ascii="仿宋" w:hAnsi="仿宋" w:eastAsia="仿宋" w:cs="仿宋"/>
                <w:sz w:val="23"/>
                <w:szCs w:val="23"/>
                <w:highlight w:val="none"/>
              </w:rPr>
            </w:pPr>
            <w:r>
              <w:rPr>
                <w:rFonts w:ascii="仿宋" w:hAnsi="仿宋" w:eastAsia="仿宋" w:cs="仿宋"/>
                <w:spacing w:val="1"/>
                <w:sz w:val="23"/>
                <w:szCs w:val="23"/>
                <w:highlight w:val="none"/>
              </w:rPr>
              <w:t>万元</w:t>
            </w:r>
          </w:p>
        </w:tc>
        <w:tc>
          <w:tcPr>
            <w:tcW w:w="1902" w:type="dxa"/>
            <w:vAlign w:val="top"/>
          </w:tcPr>
          <w:p w14:paraId="18BEE41B">
            <w:pPr>
              <w:spacing w:before="116" w:line="272" w:lineRule="auto"/>
              <w:ind w:left="615" w:right="436" w:hanging="196"/>
              <w:rPr>
                <w:rFonts w:ascii="仿宋" w:hAnsi="仿宋" w:eastAsia="仿宋" w:cs="仿宋"/>
                <w:sz w:val="23"/>
                <w:szCs w:val="23"/>
                <w:highlight w:val="none"/>
              </w:rPr>
            </w:pPr>
            <w:r>
              <w:rPr>
                <w:rFonts w:ascii="仿宋" w:hAnsi="仿宋" w:eastAsia="仿宋" w:cs="仿宋"/>
                <w:spacing w:val="17"/>
                <w:sz w:val="23"/>
                <w:szCs w:val="23"/>
                <w:highlight w:val="none"/>
              </w:rPr>
              <w:t>8000≤Z&lt;</w:t>
            </w:r>
            <w:r>
              <w:rPr>
                <w:rFonts w:ascii="仿宋" w:hAnsi="仿宋" w:eastAsia="仿宋" w:cs="仿宋"/>
                <w:spacing w:val="1"/>
                <w:sz w:val="23"/>
                <w:szCs w:val="23"/>
                <w:highlight w:val="none"/>
              </w:rPr>
              <w:t xml:space="preserve"> </w:t>
            </w:r>
            <w:r>
              <w:rPr>
                <w:rFonts w:ascii="仿宋" w:hAnsi="仿宋" w:eastAsia="仿宋" w:cs="仿宋"/>
                <w:sz w:val="23"/>
                <w:szCs w:val="23"/>
                <w:highlight w:val="none"/>
              </w:rPr>
              <w:t>120000</w:t>
            </w:r>
          </w:p>
        </w:tc>
        <w:tc>
          <w:tcPr>
            <w:tcW w:w="1691" w:type="dxa"/>
            <w:vAlign w:val="top"/>
          </w:tcPr>
          <w:p w14:paraId="28B1DD54">
            <w:pPr>
              <w:pStyle w:val="138"/>
              <w:spacing w:line="241" w:lineRule="auto"/>
              <w:rPr>
                <w:highlight w:val="none"/>
              </w:rPr>
            </w:pPr>
          </w:p>
          <w:p w14:paraId="50E8480D">
            <w:pPr>
              <w:spacing w:before="75" w:line="310" w:lineRule="exact"/>
              <w:ind w:left="151"/>
              <w:rPr>
                <w:rFonts w:ascii="仿宋" w:hAnsi="仿宋" w:eastAsia="仿宋" w:cs="仿宋"/>
                <w:sz w:val="23"/>
                <w:szCs w:val="23"/>
                <w:highlight w:val="none"/>
              </w:rPr>
            </w:pPr>
            <w:r>
              <w:rPr>
                <w:rFonts w:ascii="仿宋" w:hAnsi="仿宋" w:eastAsia="仿宋" w:cs="仿宋"/>
                <w:spacing w:val="3"/>
                <w:position w:val="1"/>
                <w:sz w:val="23"/>
                <w:szCs w:val="23"/>
                <w:highlight w:val="none"/>
              </w:rPr>
              <w:t>100≤Z＜8000</w:t>
            </w:r>
          </w:p>
        </w:tc>
        <w:tc>
          <w:tcPr>
            <w:tcW w:w="1091" w:type="dxa"/>
            <w:vAlign w:val="top"/>
          </w:tcPr>
          <w:p w14:paraId="4C9BED81">
            <w:pPr>
              <w:pStyle w:val="138"/>
              <w:spacing w:line="241" w:lineRule="auto"/>
              <w:rPr>
                <w:highlight w:val="none"/>
              </w:rPr>
            </w:pPr>
          </w:p>
          <w:p w14:paraId="674E2DD5">
            <w:pPr>
              <w:spacing w:before="75" w:line="311" w:lineRule="exact"/>
              <w:ind w:left="186"/>
              <w:rPr>
                <w:rFonts w:ascii="仿宋" w:hAnsi="仿宋" w:eastAsia="仿宋" w:cs="仿宋"/>
                <w:sz w:val="23"/>
                <w:szCs w:val="23"/>
                <w:highlight w:val="none"/>
              </w:rPr>
            </w:pPr>
            <w:r>
              <w:rPr>
                <w:rFonts w:ascii="仿宋" w:hAnsi="仿宋" w:eastAsia="仿宋" w:cs="仿宋"/>
                <w:spacing w:val="4"/>
                <w:position w:val="2"/>
                <w:sz w:val="23"/>
                <w:szCs w:val="23"/>
                <w:highlight w:val="none"/>
              </w:rPr>
              <w:t>Y＜100</w:t>
            </w:r>
          </w:p>
        </w:tc>
      </w:tr>
      <w:tr w14:paraId="659AE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574" w:type="dxa"/>
            <w:vAlign w:val="top"/>
          </w:tcPr>
          <w:p w14:paraId="6E2C60D1">
            <w:pPr>
              <w:spacing w:before="118" w:line="273" w:lineRule="auto"/>
              <w:ind w:left="562" w:right="178" w:hanging="359"/>
              <w:rPr>
                <w:rFonts w:ascii="仿宋" w:hAnsi="仿宋" w:eastAsia="仿宋" w:cs="仿宋"/>
                <w:sz w:val="23"/>
                <w:szCs w:val="23"/>
                <w:highlight w:val="none"/>
              </w:rPr>
            </w:pPr>
            <w:r>
              <w:rPr>
                <w:rFonts w:ascii="仿宋" w:hAnsi="仿宋" w:eastAsia="仿宋" w:cs="仿宋"/>
                <w:b/>
                <w:bCs/>
                <w:spacing w:val="4"/>
                <w:sz w:val="23"/>
                <w:szCs w:val="23"/>
                <w:highlight w:val="none"/>
              </w:rPr>
              <w:t>其他未列明</w:t>
            </w:r>
            <w:r>
              <w:rPr>
                <w:rFonts w:ascii="仿宋" w:hAnsi="仿宋" w:eastAsia="仿宋" w:cs="仿宋"/>
                <w:spacing w:val="3"/>
                <w:sz w:val="23"/>
                <w:szCs w:val="23"/>
                <w:highlight w:val="none"/>
              </w:rPr>
              <w:t xml:space="preserve"> </w:t>
            </w:r>
            <w:r>
              <w:rPr>
                <w:rFonts w:ascii="仿宋" w:hAnsi="仿宋" w:eastAsia="仿宋" w:cs="仿宋"/>
                <w:b/>
                <w:bCs/>
                <w:spacing w:val="-2"/>
                <w:sz w:val="23"/>
                <w:szCs w:val="23"/>
                <w:highlight w:val="none"/>
              </w:rPr>
              <w:t>行业</w:t>
            </w:r>
          </w:p>
        </w:tc>
        <w:tc>
          <w:tcPr>
            <w:tcW w:w="1659" w:type="dxa"/>
            <w:vAlign w:val="top"/>
          </w:tcPr>
          <w:p w14:paraId="715334BC">
            <w:pPr>
              <w:pStyle w:val="138"/>
              <w:spacing w:line="242" w:lineRule="auto"/>
              <w:rPr>
                <w:highlight w:val="none"/>
              </w:rPr>
            </w:pPr>
          </w:p>
          <w:p w14:paraId="18E2FC2D">
            <w:pPr>
              <w:spacing w:before="74" w:line="231" w:lineRule="auto"/>
              <w:jc w:val="right"/>
              <w:rPr>
                <w:rFonts w:ascii="仿宋" w:hAnsi="仿宋" w:eastAsia="仿宋" w:cs="仿宋"/>
                <w:sz w:val="23"/>
                <w:szCs w:val="23"/>
                <w:highlight w:val="none"/>
              </w:rPr>
            </w:pPr>
            <w:r>
              <w:rPr>
                <w:rFonts w:ascii="仿宋" w:hAnsi="仿宋" w:eastAsia="仿宋" w:cs="仿宋"/>
                <w:spacing w:val="4"/>
                <w:sz w:val="23"/>
                <w:szCs w:val="23"/>
                <w:highlight w:val="none"/>
              </w:rPr>
              <w:t>从业人员（X）</w:t>
            </w:r>
          </w:p>
        </w:tc>
        <w:tc>
          <w:tcPr>
            <w:tcW w:w="1465" w:type="dxa"/>
            <w:vAlign w:val="top"/>
          </w:tcPr>
          <w:p w14:paraId="616CDA3C">
            <w:pPr>
              <w:pStyle w:val="138"/>
              <w:spacing w:line="241" w:lineRule="auto"/>
              <w:rPr>
                <w:highlight w:val="none"/>
              </w:rPr>
            </w:pPr>
          </w:p>
          <w:p w14:paraId="6C4B3C1D">
            <w:pPr>
              <w:spacing w:before="75" w:line="235" w:lineRule="auto"/>
              <w:ind w:left="629"/>
              <w:rPr>
                <w:rFonts w:ascii="仿宋" w:hAnsi="仿宋" w:eastAsia="仿宋" w:cs="仿宋"/>
                <w:sz w:val="23"/>
                <w:szCs w:val="23"/>
                <w:highlight w:val="none"/>
              </w:rPr>
            </w:pPr>
            <w:r>
              <w:rPr>
                <w:rFonts w:ascii="仿宋" w:hAnsi="仿宋" w:eastAsia="仿宋" w:cs="仿宋"/>
                <w:sz w:val="23"/>
                <w:szCs w:val="23"/>
                <w:highlight w:val="none"/>
              </w:rPr>
              <w:t>人</w:t>
            </w:r>
          </w:p>
        </w:tc>
        <w:tc>
          <w:tcPr>
            <w:tcW w:w="1902" w:type="dxa"/>
            <w:vAlign w:val="top"/>
          </w:tcPr>
          <w:p w14:paraId="2F3C39B5">
            <w:pPr>
              <w:pStyle w:val="138"/>
              <w:spacing w:line="241" w:lineRule="auto"/>
              <w:rPr>
                <w:highlight w:val="none"/>
              </w:rPr>
            </w:pPr>
          </w:p>
          <w:p w14:paraId="17556F84">
            <w:pPr>
              <w:spacing w:before="75" w:line="310" w:lineRule="exact"/>
              <w:ind w:left="315"/>
              <w:rPr>
                <w:rFonts w:ascii="仿宋" w:hAnsi="仿宋" w:eastAsia="仿宋" w:cs="仿宋"/>
                <w:sz w:val="23"/>
                <w:szCs w:val="23"/>
                <w:highlight w:val="none"/>
              </w:rPr>
            </w:pPr>
            <w:r>
              <w:rPr>
                <w:rFonts w:ascii="仿宋" w:hAnsi="仿宋" w:eastAsia="仿宋" w:cs="仿宋"/>
                <w:spacing w:val="2"/>
                <w:position w:val="1"/>
                <w:sz w:val="23"/>
                <w:szCs w:val="23"/>
                <w:highlight w:val="none"/>
              </w:rPr>
              <w:t>100≤X＜300</w:t>
            </w:r>
          </w:p>
        </w:tc>
        <w:tc>
          <w:tcPr>
            <w:tcW w:w="1691" w:type="dxa"/>
            <w:vAlign w:val="top"/>
          </w:tcPr>
          <w:p w14:paraId="4CDE0588">
            <w:pPr>
              <w:pStyle w:val="138"/>
              <w:spacing w:line="241" w:lineRule="auto"/>
              <w:rPr>
                <w:highlight w:val="none"/>
              </w:rPr>
            </w:pPr>
          </w:p>
          <w:p w14:paraId="75948847">
            <w:pPr>
              <w:spacing w:before="75" w:line="310" w:lineRule="exact"/>
              <w:ind w:left="271"/>
              <w:rPr>
                <w:rFonts w:ascii="仿宋" w:hAnsi="仿宋" w:eastAsia="仿宋" w:cs="仿宋"/>
                <w:sz w:val="23"/>
                <w:szCs w:val="23"/>
                <w:highlight w:val="none"/>
              </w:rPr>
            </w:pPr>
            <w:r>
              <w:rPr>
                <w:rFonts w:ascii="仿宋" w:hAnsi="仿宋" w:eastAsia="仿宋" w:cs="仿宋"/>
                <w:spacing w:val="2"/>
                <w:position w:val="1"/>
                <w:sz w:val="23"/>
                <w:szCs w:val="23"/>
                <w:highlight w:val="none"/>
              </w:rPr>
              <w:t>10≤X＜100</w:t>
            </w:r>
          </w:p>
        </w:tc>
        <w:tc>
          <w:tcPr>
            <w:tcW w:w="1091" w:type="dxa"/>
            <w:vAlign w:val="top"/>
          </w:tcPr>
          <w:p w14:paraId="5E903C2F">
            <w:pPr>
              <w:pStyle w:val="138"/>
              <w:spacing w:line="241" w:lineRule="auto"/>
              <w:rPr>
                <w:highlight w:val="none"/>
              </w:rPr>
            </w:pPr>
          </w:p>
          <w:p w14:paraId="3AFA18CE">
            <w:pPr>
              <w:spacing w:before="75" w:line="311" w:lineRule="exact"/>
              <w:ind w:left="246"/>
              <w:rPr>
                <w:rFonts w:ascii="仿宋" w:hAnsi="仿宋" w:eastAsia="仿宋" w:cs="仿宋"/>
                <w:sz w:val="23"/>
                <w:szCs w:val="23"/>
                <w:highlight w:val="none"/>
              </w:rPr>
            </w:pPr>
            <w:r>
              <w:rPr>
                <w:rFonts w:ascii="仿宋" w:hAnsi="仿宋" w:eastAsia="仿宋" w:cs="仿宋"/>
                <w:spacing w:val="4"/>
                <w:position w:val="2"/>
                <w:sz w:val="23"/>
                <w:szCs w:val="23"/>
                <w:highlight w:val="none"/>
              </w:rPr>
              <w:t>X＜10</w:t>
            </w:r>
          </w:p>
        </w:tc>
      </w:tr>
    </w:tbl>
    <w:p w14:paraId="46B76E67">
      <w:pPr>
        <w:pStyle w:val="11"/>
        <w:spacing w:line="436" w:lineRule="auto"/>
        <w:rPr>
          <w:highlight w:val="none"/>
        </w:rPr>
      </w:pPr>
    </w:p>
    <w:p w14:paraId="38F18173">
      <w:pPr>
        <w:spacing w:before="75" w:line="310" w:lineRule="auto"/>
        <w:ind w:left="459" w:right="442" w:firstLine="479"/>
        <w:jc w:val="both"/>
        <w:rPr>
          <w:rFonts w:hint="eastAsia" w:ascii="宋体" w:hAnsi="宋体" w:eastAsia="宋体" w:cs="宋体"/>
          <w:sz w:val="23"/>
          <w:szCs w:val="23"/>
          <w:highlight w:val="none"/>
        </w:rPr>
      </w:pPr>
      <w:r>
        <w:rPr>
          <w:rFonts w:hint="eastAsia" w:ascii="宋体" w:hAnsi="宋体" w:eastAsia="宋体" w:cs="宋体"/>
          <w:b/>
          <w:bCs/>
          <w:spacing w:val="9"/>
          <w:sz w:val="23"/>
          <w:szCs w:val="23"/>
          <w:highlight w:val="none"/>
        </w:rPr>
        <w:t>说明：</w:t>
      </w:r>
      <w:r>
        <w:rPr>
          <w:rFonts w:hint="eastAsia" w:ascii="宋体" w:hAnsi="宋体" w:eastAsia="宋体" w:cs="宋体"/>
          <w:spacing w:val="9"/>
          <w:sz w:val="23"/>
          <w:szCs w:val="23"/>
          <w:highlight w:val="none"/>
        </w:rPr>
        <w:t>上述标准参照《关于印发中小企业划型标准规定的通知》（工信部联</w:t>
      </w:r>
      <w:r>
        <w:rPr>
          <w:rFonts w:hint="eastAsia" w:ascii="宋体" w:hAnsi="宋体" w:eastAsia="宋体" w:cs="宋体"/>
          <w:spacing w:val="5"/>
          <w:sz w:val="23"/>
          <w:szCs w:val="23"/>
          <w:highlight w:val="none"/>
        </w:rPr>
        <w:t xml:space="preserve">  </w:t>
      </w:r>
      <w:r>
        <w:rPr>
          <w:rFonts w:hint="eastAsia" w:ascii="宋体" w:hAnsi="宋体" w:eastAsia="宋体" w:cs="宋体"/>
          <w:spacing w:val="6"/>
          <w:sz w:val="23"/>
          <w:szCs w:val="23"/>
          <w:highlight w:val="none"/>
        </w:rPr>
        <w:t>企业[2011]300</w:t>
      </w:r>
      <w:r>
        <w:rPr>
          <w:rFonts w:hint="eastAsia" w:ascii="宋体" w:hAnsi="宋体" w:eastAsia="宋体" w:cs="宋体"/>
          <w:spacing w:val="-31"/>
          <w:sz w:val="23"/>
          <w:szCs w:val="23"/>
          <w:highlight w:val="none"/>
        </w:rPr>
        <w:t xml:space="preserve"> </w:t>
      </w:r>
      <w:r>
        <w:rPr>
          <w:rFonts w:hint="eastAsia" w:ascii="宋体" w:hAnsi="宋体" w:eastAsia="宋体" w:cs="宋体"/>
          <w:spacing w:val="6"/>
          <w:sz w:val="23"/>
          <w:szCs w:val="23"/>
          <w:highlight w:val="none"/>
        </w:rPr>
        <w:t>号</w:t>
      </w:r>
      <w:r>
        <w:rPr>
          <w:rFonts w:hint="eastAsia" w:ascii="宋体" w:hAnsi="宋体" w:eastAsia="宋体" w:cs="宋体"/>
          <w:spacing w:val="4"/>
          <w:sz w:val="23"/>
          <w:szCs w:val="23"/>
          <w:highlight w:val="none"/>
        </w:rPr>
        <w:t>），</w:t>
      </w:r>
      <w:r>
        <w:rPr>
          <w:rFonts w:hint="eastAsia" w:ascii="宋体" w:hAnsi="宋体" w:eastAsia="宋体" w:cs="宋体"/>
          <w:spacing w:val="6"/>
          <w:sz w:val="23"/>
          <w:szCs w:val="23"/>
          <w:highlight w:val="none"/>
        </w:rPr>
        <w:t>大型、中型和小型企业须同时满足所列指标的下限，否则下</w:t>
      </w:r>
      <w:r>
        <w:rPr>
          <w:rFonts w:hint="eastAsia" w:ascii="宋体" w:hAnsi="宋体" w:eastAsia="宋体" w:cs="宋体"/>
          <w:sz w:val="23"/>
          <w:szCs w:val="23"/>
          <w:highlight w:val="none"/>
        </w:rPr>
        <w:t xml:space="preserve"> </w:t>
      </w:r>
      <w:r>
        <w:rPr>
          <w:rFonts w:hint="eastAsia" w:ascii="宋体" w:hAnsi="宋体" w:eastAsia="宋体" w:cs="宋体"/>
          <w:spacing w:val="7"/>
          <w:sz w:val="23"/>
          <w:szCs w:val="23"/>
          <w:highlight w:val="none"/>
        </w:rPr>
        <w:t>划一档；微型企业只须满足所列指标中的一项即可。</w:t>
      </w:r>
    </w:p>
    <w:p w14:paraId="02995EAB">
      <w:pPr>
        <w:spacing w:before="6" w:line="306" w:lineRule="auto"/>
        <w:ind w:left="472" w:right="545" w:firstLine="466"/>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本</w:t>
      </w:r>
      <w:r>
        <w:rPr>
          <w:rFonts w:hint="eastAsia" w:ascii="宋体" w:hAnsi="宋体" w:eastAsia="宋体" w:cs="宋体"/>
          <w:spacing w:val="9"/>
          <w:sz w:val="23"/>
          <w:szCs w:val="23"/>
          <w:highlight w:val="none"/>
          <w:lang w:eastAsia="zh-CN"/>
        </w:rPr>
        <w:t>响应</w:t>
      </w:r>
      <w:r>
        <w:rPr>
          <w:rFonts w:hint="eastAsia" w:ascii="宋体" w:hAnsi="宋体" w:eastAsia="宋体" w:cs="宋体"/>
          <w:spacing w:val="9"/>
          <w:sz w:val="23"/>
          <w:szCs w:val="23"/>
          <w:highlight w:val="none"/>
        </w:rPr>
        <w:t>文件所称中小企业，是指在中华人民共和国境内依法设立，依据国务</w:t>
      </w:r>
      <w:r>
        <w:rPr>
          <w:rFonts w:hint="eastAsia" w:ascii="宋体" w:hAnsi="宋体" w:eastAsia="宋体" w:cs="宋体"/>
          <w:spacing w:val="15"/>
          <w:sz w:val="23"/>
          <w:szCs w:val="23"/>
          <w:highlight w:val="none"/>
        </w:rPr>
        <w:t xml:space="preserve"> </w:t>
      </w:r>
      <w:r>
        <w:rPr>
          <w:rFonts w:hint="eastAsia" w:ascii="宋体" w:hAnsi="宋体" w:eastAsia="宋体" w:cs="宋体"/>
          <w:spacing w:val="2"/>
          <w:sz w:val="23"/>
          <w:szCs w:val="23"/>
          <w:highlight w:val="none"/>
        </w:rPr>
        <w:t>院批准的</w:t>
      </w:r>
    </w:p>
    <w:p w14:paraId="43241BBB">
      <w:pPr>
        <w:spacing w:before="36" w:line="315" w:lineRule="auto"/>
        <w:ind w:left="458" w:right="545" w:firstLine="510"/>
        <w:jc w:val="both"/>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中小企业划分标准确定的中型企业、小型企业和微型企业，但与大企业的负</w:t>
      </w:r>
      <w:r>
        <w:rPr>
          <w:rFonts w:hint="eastAsia" w:ascii="宋体" w:hAnsi="宋体" w:eastAsia="宋体" w:cs="宋体"/>
          <w:spacing w:val="18"/>
          <w:sz w:val="23"/>
          <w:szCs w:val="23"/>
          <w:highlight w:val="none"/>
        </w:rPr>
        <w:t xml:space="preserve"> </w:t>
      </w:r>
      <w:r>
        <w:rPr>
          <w:rFonts w:hint="eastAsia" w:ascii="宋体" w:hAnsi="宋体" w:eastAsia="宋体" w:cs="宋体"/>
          <w:spacing w:val="9"/>
          <w:sz w:val="23"/>
          <w:szCs w:val="23"/>
          <w:highlight w:val="none"/>
        </w:rPr>
        <w:t>责人为同一人，或者与大企业存在直接控股、管理关系的除外。符合中小企业划</w:t>
      </w:r>
      <w:r>
        <w:rPr>
          <w:rFonts w:hint="eastAsia" w:ascii="宋体" w:hAnsi="宋体" w:eastAsia="宋体" w:cs="宋体"/>
          <w:spacing w:val="17"/>
          <w:sz w:val="23"/>
          <w:szCs w:val="23"/>
          <w:highlight w:val="none"/>
        </w:rPr>
        <w:t xml:space="preserve"> </w:t>
      </w:r>
      <w:r>
        <w:rPr>
          <w:rFonts w:hint="eastAsia" w:ascii="宋体" w:hAnsi="宋体" w:eastAsia="宋体" w:cs="宋体"/>
          <w:spacing w:val="9"/>
          <w:sz w:val="23"/>
          <w:szCs w:val="23"/>
          <w:highlight w:val="none"/>
        </w:rPr>
        <w:t>分标准的个体工商户，在政府采购活动中视同中小企业。在政府采购活动中，供</w:t>
      </w:r>
      <w:r>
        <w:rPr>
          <w:rFonts w:hint="eastAsia" w:ascii="宋体" w:hAnsi="宋体" w:eastAsia="宋体" w:cs="宋体"/>
          <w:spacing w:val="17"/>
          <w:sz w:val="23"/>
          <w:szCs w:val="23"/>
          <w:highlight w:val="none"/>
        </w:rPr>
        <w:t xml:space="preserve"> </w:t>
      </w:r>
      <w:r>
        <w:rPr>
          <w:rFonts w:hint="eastAsia" w:ascii="宋体" w:hAnsi="宋体" w:eastAsia="宋体" w:cs="宋体"/>
          <w:spacing w:val="9"/>
          <w:sz w:val="23"/>
          <w:szCs w:val="23"/>
          <w:highlight w:val="none"/>
        </w:rPr>
        <w:t>应商提供的货物、工程或者服务符合下列情形的，享受本</w:t>
      </w:r>
      <w:r>
        <w:rPr>
          <w:rFonts w:hint="eastAsia" w:ascii="宋体" w:hAnsi="宋体" w:eastAsia="宋体" w:cs="宋体"/>
          <w:spacing w:val="9"/>
          <w:sz w:val="23"/>
          <w:szCs w:val="23"/>
          <w:highlight w:val="none"/>
          <w:lang w:eastAsia="zh-CN"/>
        </w:rPr>
        <w:t>响应</w:t>
      </w:r>
      <w:r>
        <w:rPr>
          <w:rFonts w:hint="eastAsia" w:ascii="宋体" w:hAnsi="宋体" w:eastAsia="宋体" w:cs="宋体"/>
          <w:spacing w:val="9"/>
          <w:sz w:val="23"/>
          <w:szCs w:val="23"/>
          <w:highlight w:val="none"/>
        </w:rPr>
        <w:t>文件规定的中小企</w:t>
      </w:r>
      <w:r>
        <w:rPr>
          <w:rFonts w:hint="eastAsia" w:ascii="宋体" w:hAnsi="宋体" w:eastAsia="宋体" w:cs="宋体"/>
          <w:spacing w:val="18"/>
          <w:sz w:val="23"/>
          <w:szCs w:val="23"/>
          <w:highlight w:val="none"/>
        </w:rPr>
        <w:t xml:space="preserve"> </w:t>
      </w:r>
      <w:r>
        <w:rPr>
          <w:rFonts w:hint="eastAsia" w:ascii="宋体" w:hAnsi="宋体" w:eastAsia="宋体" w:cs="宋体"/>
          <w:spacing w:val="-2"/>
          <w:sz w:val="23"/>
          <w:szCs w:val="23"/>
          <w:highlight w:val="none"/>
        </w:rPr>
        <w:t>业扶持政策：</w:t>
      </w:r>
    </w:p>
    <w:p w14:paraId="504ABDFF">
      <w:pPr>
        <w:spacing w:before="73" w:line="291" w:lineRule="auto"/>
        <w:ind w:left="458" w:right="442" w:firstLine="484"/>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（1）在货物采购项目中，货物由中小企业制造，即货</w:t>
      </w:r>
      <w:r>
        <w:rPr>
          <w:rFonts w:hint="eastAsia" w:ascii="宋体" w:hAnsi="宋体" w:eastAsia="宋体" w:cs="宋体"/>
          <w:spacing w:val="8"/>
          <w:sz w:val="23"/>
          <w:szCs w:val="23"/>
          <w:highlight w:val="none"/>
        </w:rPr>
        <w:t>物由中小企业生产且使</w:t>
      </w:r>
      <w:r>
        <w:rPr>
          <w:rFonts w:hint="eastAsia" w:ascii="宋体" w:hAnsi="宋体" w:eastAsia="宋体" w:cs="宋体"/>
          <w:sz w:val="23"/>
          <w:szCs w:val="23"/>
          <w:highlight w:val="none"/>
        </w:rPr>
        <w:t xml:space="preserve"> </w:t>
      </w:r>
      <w:r>
        <w:rPr>
          <w:rFonts w:hint="eastAsia" w:ascii="宋体" w:hAnsi="宋体" w:eastAsia="宋体" w:cs="宋体"/>
          <w:spacing w:val="9"/>
          <w:sz w:val="23"/>
          <w:szCs w:val="23"/>
          <w:highlight w:val="none"/>
        </w:rPr>
        <w:t>用该中小企业商号或者注册商标，不对其中涉及的工程承建商和服务的承接商作</w:t>
      </w:r>
      <w:r>
        <w:rPr>
          <w:rFonts w:hint="eastAsia" w:ascii="宋体" w:hAnsi="宋体" w:eastAsia="宋体" w:cs="宋体"/>
          <w:spacing w:val="8"/>
          <w:sz w:val="23"/>
          <w:szCs w:val="23"/>
          <w:highlight w:val="none"/>
        </w:rPr>
        <w:t xml:space="preserve">  </w:t>
      </w:r>
      <w:r>
        <w:rPr>
          <w:rFonts w:hint="eastAsia" w:ascii="宋体" w:hAnsi="宋体" w:eastAsia="宋体" w:cs="宋体"/>
          <w:spacing w:val="-7"/>
          <w:sz w:val="23"/>
          <w:szCs w:val="23"/>
          <w:highlight w:val="none"/>
        </w:rPr>
        <w:t>出要求；</w:t>
      </w:r>
    </w:p>
    <w:p w14:paraId="66407E34">
      <w:pPr>
        <w:spacing w:before="113" w:line="274" w:lineRule="auto"/>
        <w:ind w:left="463" w:right="376" w:firstLine="479"/>
        <w:rPr>
          <w:rFonts w:hint="eastAsia" w:ascii="宋体" w:hAnsi="宋体" w:eastAsia="宋体" w:cs="宋体"/>
          <w:sz w:val="23"/>
          <w:szCs w:val="23"/>
          <w:highlight w:val="none"/>
        </w:rPr>
      </w:pPr>
      <w:r>
        <w:rPr>
          <w:rFonts w:hint="eastAsia" w:ascii="宋体" w:hAnsi="宋体" w:eastAsia="宋体" w:cs="宋体"/>
          <w:spacing w:val="4"/>
          <w:sz w:val="23"/>
          <w:szCs w:val="23"/>
          <w:highlight w:val="none"/>
        </w:rPr>
        <w:t>（2）在工程采购项目中，工程由中小企业承建，即工程施</w:t>
      </w:r>
      <w:r>
        <w:rPr>
          <w:rFonts w:hint="eastAsia" w:ascii="宋体" w:hAnsi="宋体" w:eastAsia="宋体" w:cs="宋体"/>
          <w:spacing w:val="3"/>
          <w:sz w:val="23"/>
          <w:szCs w:val="23"/>
          <w:highlight w:val="none"/>
        </w:rPr>
        <w:t>工单位为中小企业，</w:t>
      </w:r>
      <w:r>
        <w:rPr>
          <w:rFonts w:hint="eastAsia" w:ascii="宋体" w:hAnsi="宋体" w:eastAsia="宋体" w:cs="宋体"/>
          <w:sz w:val="23"/>
          <w:szCs w:val="23"/>
          <w:highlight w:val="none"/>
        </w:rPr>
        <w:t xml:space="preserve"> </w:t>
      </w:r>
      <w:r>
        <w:rPr>
          <w:rFonts w:hint="eastAsia" w:ascii="宋体" w:hAnsi="宋体" w:eastAsia="宋体" w:cs="宋体"/>
          <w:spacing w:val="7"/>
          <w:sz w:val="23"/>
          <w:szCs w:val="23"/>
          <w:highlight w:val="none"/>
        </w:rPr>
        <w:t>不对其中涉及的货物的制造商和服务的承接</w:t>
      </w:r>
      <w:r>
        <w:rPr>
          <w:rFonts w:hint="eastAsia" w:ascii="宋体" w:hAnsi="宋体" w:eastAsia="宋体" w:cs="宋体"/>
          <w:spacing w:val="6"/>
          <w:sz w:val="23"/>
          <w:szCs w:val="23"/>
          <w:highlight w:val="none"/>
        </w:rPr>
        <w:t>商作出要求；</w:t>
      </w:r>
    </w:p>
    <w:p w14:paraId="73E6DAC6">
      <w:pPr>
        <w:spacing w:before="116" w:line="290" w:lineRule="auto"/>
        <w:ind w:left="458" w:right="442" w:firstLine="484"/>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（3）在服务采购项目中，服务由中小企业承接，即提</w:t>
      </w:r>
      <w:r>
        <w:rPr>
          <w:rFonts w:hint="eastAsia" w:ascii="宋体" w:hAnsi="宋体" w:eastAsia="宋体" w:cs="宋体"/>
          <w:spacing w:val="8"/>
          <w:sz w:val="23"/>
          <w:szCs w:val="23"/>
          <w:highlight w:val="none"/>
        </w:rPr>
        <w:t>供服务的人员为中小企</w:t>
      </w:r>
      <w:r>
        <w:rPr>
          <w:rFonts w:hint="eastAsia" w:ascii="宋体" w:hAnsi="宋体" w:eastAsia="宋体" w:cs="宋体"/>
          <w:sz w:val="23"/>
          <w:szCs w:val="23"/>
          <w:highlight w:val="none"/>
        </w:rPr>
        <w:t xml:space="preserve"> </w:t>
      </w:r>
      <w:r>
        <w:rPr>
          <w:rFonts w:hint="eastAsia" w:ascii="宋体" w:hAnsi="宋体" w:eastAsia="宋体" w:cs="宋体"/>
          <w:spacing w:val="9"/>
          <w:sz w:val="23"/>
          <w:szCs w:val="23"/>
          <w:highlight w:val="none"/>
        </w:rPr>
        <w:t>业依照《中华人民共和国劳动合同法》订立劳动合同的从业人员，不对其中涉及</w:t>
      </w:r>
      <w:r>
        <w:rPr>
          <w:rFonts w:hint="eastAsia" w:ascii="宋体" w:hAnsi="宋体" w:eastAsia="宋体" w:cs="宋体"/>
          <w:spacing w:val="8"/>
          <w:sz w:val="23"/>
          <w:szCs w:val="23"/>
          <w:highlight w:val="none"/>
        </w:rPr>
        <w:t xml:space="preserve">  </w:t>
      </w:r>
      <w:r>
        <w:rPr>
          <w:rFonts w:hint="eastAsia" w:ascii="宋体" w:hAnsi="宋体" w:eastAsia="宋体" w:cs="宋体"/>
          <w:spacing w:val="7"/>
          <w:sz w:val="23"/>
          <w:szCs w:val="23"/>
          <w:highlight w:val="none"/>
        </w:rPr>
        <w:t>的货物的制造商和工程承建商作出要求。</w:t>
      </w:r>
    </w:p>
    <w:p w14:paraId="479EDA96">
      <w:pPr>
        <w:spacing w:before="83" w:line="313" w:lineRule="auto"/>
        <w:ind w:left="458" w:right="545" w:firstLine="481"/>
        <w:jc w:val="both"/>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在货物采购项目中，供应商提供的货物既有中小企业制造货物，也有大型企</w:t>
      </w:r>
      <w:r>
        <w:rPr>
          <w:rFonts w:hint="eastAsia" w:ascii="宋体" w:hAnsi="宋体" w:eastAsia="宋体" w:cs="宋体"/>
          <w:spacing w:val="14"/>
          <w:sz w:val="23"/>
          <w:szCs w:val="23"/>
          <w:highlight w:val="none"/>
        </w:rPr>
        <w:t xml:space="preserve"> </w:t>
      </w:r>
      <w:r>
        <w:rPr>
          <w:rFonts w:hint="eastAsia" w:ascii="宋体" w:hAnsi="宋体" w:eastAsia="宋体" w:cs="宋体"/>
          <w:spacing w:val="9"/>
          <w:sz w:val="23"/>
          <w:szCs w:val="23"/>
          <w:highlight w:val="none"/>
        </w:rPr>
        <w:t>业制造货物的，不享受本</w:t>
      </w:r>
      <w:r>
        <w:rPr>
          <w:rFonts w:hint="eastAsia" w:ascii="宋体" w:hAnsi="宋体" w:eastAsia="宋体" w:cs="宋体"/>
          <w:spacing w:val="9"/>
          <w:sz w:val="23"/>
          <w:szCs w:val="23"/>
          <w:highlight w:val="none"/>
          <w:lang w:eastAsia="zh-CN"/>
        </w:rPr>
        <w:t>响应</w:t>
      </w:r>
      <w:r>
        <w:rPr>
          <w:rFonts w:hint="eastAsia" w:ascii="宋体" w:hAnsi="宋体" w:eastAsia="宋体" w:cs="宋体"/>
          <w:spacing w:val="9"/>
          <w:sz w:val="23"/>
          <w:szCs w:val="23"/>
          <w:highlight w:val="none"/>
        </w:rPr>
        <w:t>文件规定的中小企业扶持政策。以联合体形式参加</w:t>
      </w:r>
      <w:r>
        <w:rPr>
          <w:rFonts w:hint="eastAsia" w:ascii="宋体" w:hAnsi="宋体" w:eastAsia="宋体" w:cs="宋体"/>
          <w:spacing w:val="17"/>
          <w:sz w:val="23"/>
          <w:szCs w:val="23"/>
          <w:highlight w:val="none"/>
        </w:rPr>
        <w:t xml:space="preserve"> </w:t>
      </w:r>
      <w:r>
        <w:rPr>
          <w:rFonts w:hint="eastAsia" w:ascii="宋体" w:hAnsi="宋体" w:eastAsia="宋体" w:cs="宋体"/>
          <w:spacing w:val="9"/>
          <w:sz w:val="23"/>
          <w:szCs w:val="23"/>
          <w:highlight w:val="none"/>
        </w:rPr>
        <w:t>政府采购活动，联合体各方均为中小企业的，联合体视同中小企业。其中，联合</w:t>
      </w:r>
      <w:r>
        <w:rPr>
          <w:rFonts w:hint="eastAsia" w:ascii="宋体" w:hAnsi="宋体" w:eastAsia="宋体" w:cs="宋体"/>
          <w:spacing w:val="17"/>
          <w:sz w:val="23"/>
          <w:szCs w:val="23"/>
          <w:highlight w:val="none"/>
        </w:rPr>
        <w:t xml:space="preserve"> </w:t>
      </w:r>
      <w:r>
        <w:rPr>
          <w:rFonts w:hint="eastAsia" w:ascii="宋体" w:hAnsi="宋体" w:eastAsia="宋体" w:cs="宋体"/>
          <w:spacing w:val="7"/>
          <w:sz w:val="23"/>
          <w:szCs w:val="23"/>
          <w:highlight w:val="none"/>
        </w:rPr>
        <w:t>体各方均为小微企业的，联合体视同小微企业。</w:t>
      </w:r>
    </w:p>
    <w:p w14:paraId="75F57555">
      <w:pPr>
        <w:spacing w:before="41" w:line="303" w:lineRule="auto"/>
        <w:ind w:left="486" w:right="545" w:firstLine="452"/>
        <w:rPr>
          <w:rFonts w:ascii="仿宋" w:hAnsi="仿宋" w:eastAsia="仿宋" w:cs="仿宋"/>
          <w:sz w:val="23"/>
          <w:szCs w:val="23"/>
          <w:highlight w:val="none"/>
        </w:rPr>
      </w:pPr>
      <w:r>
        <w:rPr>
          <w:rFonts w:hint="eastAsia" w:ascii="宋体" w:hAnsi="宋体" w:eastAsia="宋体" w:cs="宋体"/>
          <w:spacing w:val="9"/>
          <w:sz w:val="23"/>
          <w:szCs w:val="23"/>
          <w:highlight w:val="none"/>
        </w:rPr>
        <w:t>依据本</w:t>
      </w:r>
      <w:r>
        <w:rPr>
          <w:rFonts w:hint="eastAsia" w:ascii="宋体" w:hAnsi="宋体" w:eastAsia="宋体" w:cs="宋体"/>
          <w:spacing w:val="9"/>
          <w:sz w:val="23"/>
          <w:szCs w:val="23"/>
          <w:highlight w:val="none"/>
          <w:lang w:eastAsia="zh-CN"/>
        </w:rPr>
        <w:t>响应</w:t>
      </w:r>
      <w:r>
        <w:rPr>
          <w:rFonts w:hint="eastAsia" w:ascii="宋体" w:hAnsi="宋体" w:eastAsia="宋体" w:cs="宋体"/>
          <w:spacing w:val="9"/>
          <w:sz w:val="23"/>
          <w:szCs w:val="23"/>
          <w:highlight w:val="none"/>
        </w:rPr>
        <w:t>文件规定享受扶持政策获得政府采购合同的，小微企业不得将合</w:t>
      </w:r>
      <w:r>
        <w:rPr>
          <w:rFonts w:hint="eastAsia" w:ascii="宋体" w:hAnsi="宋体" w:eastAsia="宋体" w:cs="宋体"/>
          <w:spacing w:val="15"/>
          <w:sz w:val="23"/>
          <w:szCs w:val="23"/>
          <w:highlight w:val="none"/>
        </w:rPr>
        <w:t xml:space="preserve"> </w:t>
      </w:r>
      <w:r>
        <w:rPr>
          <w:rFonts w:hint="eastAsia" w:ascii="宋体" w:hAnsi="宋体" w:eastAsia="宋体" w:cs="宋体"/>
          <w:spacing w:val="7"/>
          <w:sz w:val="23"/>
          <w:szCs w:val="23"/>
          <w:highlight w:val="none"/>
        </w:rPr>
        <w:t>同分包给大中型企业，中型企业不得将合同分包给大型企</w:t>
      </w:r>
      <w:r>
        <w:rPr>
          <w:rFonts w:hint="eastAsia" w:ascii="宋体" w:hAnsi="宋体" w:eastAsia="宋体" w:cs="宋体"/>
          <w:spacing w:val="6"/>
          <w:sz w:val="23"/>
          <w:szCs w:val="23"/>
          <w:highlight w:val="none"/>
        </w:rPr>
        <w:t>业。</w:t>
      </w:r>
    </w:p>
    <w:p w14:paraId="04676DC3">
      <w:pPr>
        <w:spacing w:line="303" w:lineRule="auto"/>
        <w:rPr>
          <w:rFonts w:ascii="仿宋" w:hAnsi="仿宋" w:eastAsia="仿宋" w:cs="仿宋"/>
          <w:sz w:val="23"/>
          <w:szCs w:val="23"/>
          <w:highlight w:val="none"/>
        </w:rPr>
        <w:sectPr>
          <w:footerReference r:id="rId10" w:type="default"/>
          <w:pgSz w:w="11906" w:h="16838"/>
          <w:pgMar w:top="1431" w:right="1258" w:bottom="1171" w:left="1259" w:header="0" w:footer="996" w:gutter="0"/>
          <w:pgNumType w:fmt="decimal"/>
          <w:cols w:space="720" w:num="1"/>
        </w:sectPr>
      </w:pPr>
    </w:p>
    <w:p w14:paraId="11F885BE">
      <w:pPr>
        <w:pStyle w:val="122"/>
        <w:spacing w:line="400" w:lineRule="exact"/>
        <w:ind w:firstLine="3373" w:firstLineChars="1400"/>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7、商务条款偏离表</w:t>
      </w:r>
    </w:p>
    <w:p w14:paraId="3CE93305">
      <w:pPr>
        <w:numPr>
          <w:ilvl w:val="0"/>
          <w:numId w:val="0"/>
        </w:numPr>
        <w:rPr>
          <w:rFonts w:hint="eastAsia" w:asciiTheme="minorEastAsia" w:hAnsiTheme="minorEastAsia" w:eastAsiaTheme="minorEastAsia" w:cstheme="minorEastAsia"/>
          <w:color w:val="auto"/>
          <w:kern w:val="2"/>
          <w:sz w:val="24"/>
          <w:szCs w:val="24"/>
          <w:highlight w:val="none"/>
          <w:lang w:val="en-US" w:eastAsia="zh-CN" w:bidi="ar-SA"/>
        </w:rPr>
      </w:pPr>
    </w:p>
    <w:bookmarkEnd w:id="315"/>
    <w:bookmarkEnd w:id="316"/>
    <w:bookmarkEnd w:id="317"/>
    <w:bookmarkEnd w:id="318"/>
    <w:bookmarkEnd w:id="319"/>
    <w:p w14:paraId="461FF129">
      <w:pPr>
        <w:pStyle w:val="16"/>
        <w:spacing w:line="240" w:lineRule="atLeast"/>
        <w:ind w:left="1080" w:leftChars="257" w:hanging="540"/>
        <w:rPr>
          <w:rFonts w:hint="eastAsia" w:hAnsi="宋体" w:cs="宋体"/>
          <w:sz w:val="24"/>
          <w:szCs w:val="24"/>
        </w:rPr>
      </w:pPr>
      <w:bookmarkStart w:id="320" w:name="_Toc518923114"/>
      <w:bookmarkStart w:id="321" w:name="_Toc25345"/>
      <w:r>
        <w:rPr>
          <w:rFonts w:hint="eastAsia" w:hAnsi="宋体" w:cs="宋体"/>
          <w:sz w:val="24"/>
          <w:szCs w:val="24"/>
        </w:rPr>
        <w:t xml:space="preserve">项目名称:                      </w:t>
      </w:r>
      <w:r>
        <w:rPr>
          <w:rFonts w:hint="eastAsia" w:hAnsi="宋体" w:cs="宋体"/>
          <w:sz w:val="24"/>
          <w:szCs w:val="24"/>
          <w:lang w:eastAsia="zh-CN"/>
        </w:rPr>
        <w:t>磋商</w:t>
      </w:r>
      <w:r>
        <w:rPr>
          <w:rFonts w:hint="eastAsia" w:hAnsi="宋体" w:cs="宋体"/>
          <w:sz w:val="24"/>
          <w:szCs w:val="24"/>
        </w:rPr>
        <w:t>编号:             包号:</w:t>
      </w:r>
    </w:p>
    <w:p w14:paraId="0E6E8CA6">
      <w:pPr>
        <w:pStyle w:val="16"/>
        <w:spacing w:line="240" w:lineRule="atLeast"/>
        <w:ind w:left="1080" w:leftChars="257" w:hanging="540"/>
        <w:rPr>
          <w:rFonts w:hint="eastAsia" w:hAnsi="宋体" w:cs="宋体"/>
          <w:sz w:val="24"/>
          <w:szCs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A96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973FB8F">
            <w:pPr>
              <w:pStyle w:val="16"/>
              <w:spacing w:line="240" w:lineRule="atLeast"/>
              <w:jc w:val="center"/>
              <w:rPr>
                <w:rFonts w:hint="eastAsia" w:hAnsi="宋体" w:cs="宋体"/>
                <w:sz w:val="24"/>
                <w:szCs w:val="24"/>
              </w:rPr>
            </w:pPr>
            <w:r>
              <w:rPr>
                <w:rFonts w:hint="eastAsia" w:hAnsi="宋体" w:cs="宋体"/>
                <w:sz w:val="24"/>
                <w:szCs w:val="24"/>
              </w:rPr>
              <w:t>序号</w:t>
            </w:r>
          </w:p>
        </w:tc>
        <w:tc>
          <w:tcPr>
            <w:tcW w:w="2040" w:type="dxa"/>
            <w:noWrap w:val="0"/>
            <w:vAlign w:val="top"/>
          </w:tcPr>
          <w:p w14:paraId="685EBB9A">
            <w:pPr>
              <w:pStyle w:val="16"/>
              <w:spacing w:line="240" w:lineRule="atLeast"/>
              <w:jc w:val="center"/>
              <w:rPr>
                <w:rFonts w:hint="eastAsia" w:hAnsi="宋体" w:cs="宋体"/>
                <w:sz w:val="24"/>
                <w:szCs w:val="24"/>
              </w:rPr>
            </w:pPr>
            <w:r>
              <w:rPr>
                <w:rFonts w:hint="eastAsia" w:hAnsi="宋体" w:cs="宋体"/>
                <w:sz w:val="24"/>
                <w:szCs w:val="24"/>
                <w:lang w:eastAsia="zh-CN"/>
              </w:rPr>
              <w:t>磋商</w:t>
            </w:r>
            <w:r>
              <w:rPr>
                <w:rFonts w:hint="eastAsia" w:hAnsi="宋体" w:cs="宋体"/>
                <w:sz w:val="24"/>
                <w:szCs w:val="24"/>
              </w:rPr>
              <w:t>文件条款号</w:t>
            </w:r>
          </w:p>
        </w:tc>
        <w:tc>
          <w:tcPr>
            <w:tcW w:w="2520" w:type="dxa"/>
            <w:noWrap w:val="0"/>
            <w:vAlign w:val="top"/>
          </w:tcPr>
          <w:p w14:paraId="28636B8C">
            <w:pPr>
              <w:pStyle w:val="16"/>
              <w:spacing w:line="240" w:lineRule="atLeast"/>
              <w:jc w:val="center"/>
              <w:rPr>
                <w:rFonts w:hint="eastAsia" w:hAnsi="宋体" w:cs="宋体"/>
                <w:sz w:val="24"/>
                <w:szCs w:val="24"/>
              </w:rPr>
            </w:pPr>
            <w:r>
              <w:rPr>
                <w:rFonts w:hint="eastAsia" w:hAnsi="宋体" w:cs="宋体"/>
                <w:sz w:val="24"/>
                <w:szCs w:val="24"/>
                <w:lang w:eastAsia="zh-CN"/>
              </w:rPr>
              <w:t>磋商</w:t>
            </w:r>
            <w:r>
              <w:rPr>
                <w:rFonts w:hint="eastAsia" w:hAnsi="宋体" w:cs="宋体"/>
                <w:sz w:val="24"/>
                <w:szCs w:val="24"/>
              </w:rPr>
              <w:t>文件的商务条款</w:t>
            </w:r>
          </w:p>
        </w:tc>
        <w:tc>
          <w:tcPr>
            <w:tcW w:w="2520" w:type="dxa"/>
            <w:noWrap w:val="0"/>
            <w:vAlign w:val="top"/>
          </w:tcPr>
          <w:p w14:paraId="0716AF61">
            <w:pPr>
              <w:pStyle w:val="16"/>
              <w:spacing w:line="240" w:lineRule="atLeast"/>
              <w:jc w:val="center"/>
              <w:rPr>
                <w:rFonts w:hint="eastAsia" w:hAnsi="宋体" w:cs="宋体"/>
                <w:sz w:val="24"/>
                <w:szCs w:val="24"/>
              </w:rPr>
            </w:pPr>
            <w:r>
              <w:rPr>
                <w:rFonts w:hint="eastAsia" w:hAnsi="宋体" w:cs="宋体"/>
                <w:sz w:val="24"/>
                <w:szCs w:val="24"/>
                <w:lang w:eastAsia="zh-CN"/>
              </w:rPr>
              <w:t>响应文件</w:t>
            </w:r>
            <w:r>
              <w:rPr>
                <w:rFonts w:hint="eastAsia" w:hAnsi="宋体" w:cs="宋体"/>
                <w:sz w:val="24"/>
                <w:szCs w:val="24"/>
              </w:rPr>
              <w:t>的商务条款</w:t>
            </w:r>
          </w:p>
        </w:tc>
        <w:tc>
          <w:tcPr>
            <w:tcW w:w="900" w:type="dxa"/>
            <w:noWrap w:val="0"/>
            <w:vAlign w:val="top"/>
          </w:tcPr>
          <w:p w14:paraId="37499449">
            <w:pPr>
              <w:pStyle w:val="16"/>
              <w:spacing w:line="240" w:lineRule="atLeast"/>
              <w:jc w:val="center"/>
              <w:rPr>
                <w:rFonts w:hint="eastAsia" w:hAnsi="宋体" w:cs="宋体"/>
                <w:sz w:val="24"/>
                <w:szCs w:val="24"/>
              </w:rPr>
            </w:pPr>
            <w:r>
              <w:rPr>
                <w:rFonts w:hint="eastAsia" w:hAnsi="宋体" w:cs="宋体"/>
                <w:sz w:val="24"/>
                <w:szCs w:val="24"/>
              </w:rPr>
              <w:t>说明</w:t>
            </w:r>
          </w:p>
        </w:tc>
      </w:tr>
      <w:tr w14:paraId="651E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242A6DF">
            <w:pPr>
              <w:pStyle w:val="16"/>
              <w:spacing w:line="240" w:lineRule="atLeast"/>
              <w:ind w:left="1080" w:leftChars="257" w:hanging="540"/>
              <w:rPr>
                <w:rFonts w:hint="eastAsia" w:hAnsi="宋体" w:cs="宋体"/>
                <w:sz w:val="24"/>
                <w:szCs w:val="24"/>
              </w:rPr>
            </w:pPr>
          </w:p>
        </w:tc>
        <w:tc>
          <w:tcPr>
            <w:tcW w:w="2040" w:type="dxa"/>
            <w:noWrap w:val="0"/>
            <w:vAlign w:val="top"/>
          </w:tcPr>
          <w:p w14:paraId="6F8D1C94">
            <w:pPr>
              <w:pStyle w:val="16"/>
              <w:spacing w:line="240" w:lineRule="atLeast"/>
              <w:ind w:left="1080" w:leftChars="257" w:hanging="540"/>
              <w:rPr>
                <w:rFonts w:hint="eastAsia" w:hAnsi="宋体" w:cs="宋体"/>
                <w:sz w:val="24"/>
                <w:szCs w:val="24"/>
              </w:rPr>
            </w:pPr>
          </w:p>
        </w:tc>
        <w:tc>
          <w:tcPr>
            <w:tcW w:w="2520" w:type="dxa"/>
            <w:noWrap w:val="0"/>
            <w:vAlign w:val="top"/>
          </w:tcPr>
          <w:p w14:paraId="351AAF97">
            <w:pPr>
              <w:pStyle w:val="16"/>
              <w:spacing w:line="240" w:lineRule="atLeast"/>
              <w:ind w:left="1080" w:leftChars="257" w:hanging="540"/>
              <w:jc w:val="center"/>
              <w:rPr>
                <w:rFonts w:hint="eastAsia" w:hAnsi="宋体" w:cs="宋体"/>
                <w:sz w:val="24"/>
                <w:szCs w:val="24"/>
              </w:rPr>
            </w:pPr>
          </w:p>
        </w:tc>
        <w:tc>
          <w:tcPr>
            <w:tcW w:w="2520" w:type="dxa"/>
            <w:noWrap w:val="0"/>
            <w:vAlign w:val="top"/>
          </w:tcPr>
          <w:p w14:paraId="0354B878">
            <w:pPr>
              <w:pStyle w:val="16"/>
              <w:spacing w:line="240" w:lineRule="atLeast"/>
              <w:ind w:left="1080" w:leftChars="257" w:hanging="540"/>
              <w:jc w:val="center"/>
              <w:rPr>
                <w:rFonts w:hint="eastAsia" w:hAnsi="宋体" w:cs="宋体"/>
                <w:sz w:val="24"/>
                <w:szCs w:val="24"/>
              </w:rPr>
            </w:pPr>
          </w:p>
        </w:tc>
        <w:tc>
          <w:tcPr>
            <w:tcW w:w="900" w:type="dxa"/>
            <w:noWrap w:val="0"/>
            <w:vAlign w:val="top"/>
          </w:tcPr>
          <w:p w14:paraId="54375F3C">
            <w:pPr>
              <w:pStyle w:val="16"/>
              <w:spacing w:line="240" w:lineRule="atLeast"/>
              <w:ind w:left="1080" w:leftChars="257" w:hanging="540"/>
              <w:rPr>
                <w:rFonts w:hint="eastAsia" w:hAnsi="宋体" w:cs="宋体"/>
                <w:sz w:val="24"/>
                <w:szCs w:val="24"/>
              </w:rPr>
            </w:pPr>
          </w:p>
        </w:tc>
      </w:tr>
      <w:tr w14:paraId="374E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7F2CE53">
            <w:pPr>
              <w:pStyle w:val="16"/>
              <w:spacing w:line="240" w:lineRule="atLeast"/>
              <w:ind w:left="1080" w:leftChars="257" w:hanging="540"/>
              <w:rPr>
                <w:rFonts w:hint="eastAsia" w:hAnsi="宋体" w:cs="宋体"/>
                <w:sz w:val="24"/>
                <w:szCs w:val="24"/>
              </w:rPr>
            </w:pPr>
          </w:p>
        </w:tc>
        <w:tc>
          <w:tcPr>
            <w:tcW w:w="2040" w:type="dxa"/>
            <w:noWrap w:val="0"/>
            <w:vAlign w:val="top"/>
          </w:tcPr>
          <w:p w14:paraId="38D5576C">
            <w:pPr>
              <w:pStyle w:val="16"/>
              <w:spacing w:line="240" w:lineRule="atLeast"/>
              <w:ind w:left="1080" w:leftChars="257" w:hanging="540"/>
              <w:rPr>
                <w:rFonts w:hint="eastAsia" w:hAnsi="宋体" w:cs="宋体"/>
                <w:sz w:val="24"/>
                <w:szCs w:val="24"/>
              </w:rPr>
            </w:pPr>
          </w:p>
        </w:tc>
        <w:tc>
          <w:tcPr>
            <w:tcW w:w="2520" w:type="dxa"/>
            <w:noWrap w:val="0"/>
            <w:vAlign w:val="top"/>
          </w:tcPr>
          <w:p w14:paraId="2D16F5FE">
            <w:pPr>
              <w:pStyle w:val="16"/>
              <w:spacing w:line="240" w:lineRule="atLeast"/>
              <w:ind w:left="1080" w:leftChars="257" w:hanging="540"/>
              <w:rPr>
                <w:rFonts w:hint="eastAsia" w:hAnsi="宋体" w:cs="宋体"/>
                <w:sz w:val="24"/>
                <w:szCs w:val="24"/>
              </w:rPr>
            </w:pPr>
          </w:p>
        </w:tc>
        <w:tc>
          <w:tcPr>
            <w:tcW w:w="2520" w:type="dxa"/>
            <w:noWrap w:val="0"/>
            <w:vAlign w:val="top"/>
          </w:tcPr>
          <w:p w14:paraId="2077FF94">
            <w:pPr>
              <w:pStyle w:val="16"/>
              <w:spacing w:line="240" w:lineRule="atLeast"/>
              <w:ind w:left="1080" w:leftChars="257" w:hanging="540"/>
              <w:rPr>
                <w:rFonts w:hint="eastAsia" w:hAnsi="宋体" w:cs="宋体"/>
                <w:sz w:val="24"/>
                <w:szCs w:val="24"/>
              </w:rPr>
            </w:pPr>
          </w:p>
        </w:tc>
        <w:tc>
          <w:tcPr>
            <w:tcW w:w="900" w:type="dxa"/>
            <w:noWrap w:val="0"/>
            <w:vAlign w:val="top"/>
          </w:tcPr>
          <w:p w14:paraId="65A0E8D7">
            <w:pPr>
              <w:pStyle w:val="16"/>
              <w:spacing w:line="240" w:lineRule="atLeast"/>
              <w:ind w:left="1080" w:leftChars="257" w:hanging="540"/>
              <w:rPr>
                <w:rFonts w:hint="eastAsia" w:hAnsi="宋体" w:cs="宋体"/>
                <w:sz w:val="24"/>
                <w:szCs w:val="24"/>
              </w:rPr>
            </w:pPr>
          </w:p>
        </w:tc>
      </w:tr>
      <w:tr w14:paraId="47AF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3599881">
            <w:pPr>
              <w:pStyle w:val="16"/>
              <w:spacing w:line="240" w:lineRule="atLeast"/>
              <w:ind w:left="1080" w:leftChars="257" w:hanging="540"/>
              <w:rPr>
                <w:rFonts w:hint="eastAsia" w:hAnsi="宋体" w:cs="宋体"/>
                <w:sz w:val="24"/>
                <w:szCs w:val="24"/>
              </w:rPr>
            </w:pPr>
          </w:p>
        </w:tc>
        <w:tc>
          <w:tcPr>
            <w:tcW w:w="2040" w:type="dxa"/>
            <w:noWrap w:val="0"/>
            <w:vAlign w:val="top"/>
          </w:tcPr>
          <w:p w14:paraId="09FE9F15">
            <w:pPr>
              <w:pStyle w:val="16"/>
              <w:spacing w:line="240" w:lineRule="atLeast"/>
              <w:ind w:left="1080" w:leftChars="257" w:hanging="540"/>
              <w:rPr>
                <w:rFonts w:hint="eastAsia" w:hAnsi="宋体" w:cs="宋体"/>
                <w:sz w:val="24"/>
                <w:szCs w:val="24"/>
              </w:rPr>
            </w:pPr>
          </w:p>
        </w:tc>
        <w:tc>
          <w:tcPr>
            <w:tcW w:w="2520" w:type="dxa"/>
            <w:noWrap w:val="0"/>
            <w:vAlign w:val="top"/>
          </w:tcPr>
          <w:p w14:paraId="6A927E23">
            <w:pPr>
              <w:pStyle w:val="16"/>
              <w:spacing w:line="240" w:lineRule="atLeast"/>
              <w:ind w:left="1080" w:leftChars="257" w:hanging="540"/>
              <w:rPr>
                <w:rFonts w:hint="eastAsia" w:hAnsi="宋体" w:cs="宋体"/>
                <w:sz w:val="24"/>
                <w:szCs w:val="24"/>
              </w:rPr>
            </w:pPr>
          </w:p>
        </w:tc>
        <w:tc>
          <w:tcPr>
            <w:tcW w:w="2520" w:type="dxa"/>
            <w:noWrap w:val="0"/>
            <w:vAlign w:val="top"/>
          </w:tcPr>
          <w:p w14:paraId="4EE7F6EF">
            <w:pPr>
              <w:pStyle w:val="16"/>
              <w:spacing w:line="240" w:lineRule="atLeast"/>
              <w:ind w:left="1080" w:leftChars="257" w:hanging="540"/>
              <w:rPr>
                <w:rFonts w:hint="eastAsia" w:hAnsi="宋体" w:cs="宋体"/>
                <w:sz w:val="24"/>
                <w:szCs w:val="24"/>
              </w:rPr>
            </w:pPr>
          </w:p>
        </w:tc>
        <w:tc>
          <w:tcPr>
            <w:tcW w:w="900" w:type="dxa"/>
            <w:noWrap w:val="0"/>
            <w:vAlign w:val="top"/>
          </w:tcPr>
          <w:p w14:paraId="0AE9B554">
            <w:pPr>
              <w:pStyle w:val="16"/>
              <w:spacing w:line="240" w:lineRule="atLeast"/>
              <w:ind w:left="1080" w:leftChars="257" w:hanging="540"/>
              <w:rPr>
                <w:rFonts w:hint="eastAsia" w:hAnsi="宋体" w:cs="宋体"/>
                <w:sz w:val="24"/>
                <w:szCs w:val="24"/>
              </w:rPr>
            </w:pPr>
          </w:p>
        </w:tc>
      </w:tr>
      <w:tr w14:paraId="23BF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F2261AB">
            <w:pPr>
              <w:pStyle w:val="16"/>
              <w:spacing w:line="240" w:lineRule="atLeast"/>
              <w:ind w:left="1080" w:leftChars="257" w:hanging="540"/>
              <w:rPr>
                <w:rFonts w:hint="eastAsia" w:hAnsi="宋体" w:cs="宋体"/>
                <w:sz w:val="24"/>
                <w:szCs w:val="24"/>
              </w:rPr>
            </w:pPr>
          </w:p>
        </w:tc>
        <w:tc>
          <w:tcPr>
            <w:tcW w:w="2040" w:type="dxa"/>
            <w:noWrap w:val="0"/>
            <w:vAlign w:val="top"/>
          </w:tcPr>
          <w:p w14:paraId="06597276">
            <w:pPr>
              <w:pStyle w:val="16"/>
              <w:spacing w:line="240" w:lineRule="atLeast"/>
              <w:ind w:left="1080" w:leftChars="257" w:hanging="540"/>
              <w:rPr>
                <w:rFonts w:hint="eastAsia" w:hAnsi="宋体" w:cs="宋体"/>
                <w:sz w:val="24"/>
                <w:szCs w:val="24"/>
              </w:rPr>
            </w:pPr>
          </w:p>
        </w:tc>
        <w:tc>
          <w:tcPr>
            <w:tcW w:w="2520" w:type="dxa"/>
            <w:noWrap w:val="0"/>
            <w:vAlign w:val="top"/>
          </w:tcPr>
          <w:p w14:paraId="1D73F0CB">
            <w:pPr>
              <w:pStyle w:val="16"/>
              <w:spacing w:line="240" w:lineRule="atLeast"/>
              <w:ind w:left="1080" w:leftChars="257" w:hanging="540"/>
              <w:rPr>
                <w:rFonts w:hint="eastAsia" w:hAnsi="宋体" w:cs="宋体"/>
                <w:sz w:val="24"/>
                <w:szCs w:val="24"/>
              </w:rPr>
            </w:pPr>
          </w:p>
        </w:tc>
        <w:tc>
          <w:tcPr>
            <w:tcW w:w="2520" w:type="dxa"/>
            <w:noWrap w:val="0"/>
            <w:vAlign w:val="top"/>
          </w:tcPr>
          <w:p w14:paraId="2CFE7584">
            <w:pPr>
              <w:pStyle w:val="16"/>
              <w:spacing w:line="240" w:lineRule="atLeast"/>
              <w:ind w:left="1080" w:leftChars="257" w:hanging="540"/>
              <w:rPr>
                <w:rFonts w:hint="eastAsia" w:hAnsi="宋体" w:cs="宋体"/>
                <w:sz w:val="24"/>
                <w:szCs w:val="24"/>
              </w:rPr>
            </w:pPr>
          </w:p>
        </w:tc>
        <w:tc>
          <w:tcPr>
            <w:tcW w:w="900" w:type="dxa"/>
            <w:noWrap w:val="0"/>
            <w:vAlign w:val="top"/>
          </w:tcPr>
          <w:p w14:paraId="1C0C2260">
            <w:pPr>
              <w:pStyle w:val="16"/>
              <w:spacing w:line="240" w:lineRule="atLeast"/>
              <w:ind w:left="1080" w:leftChars="257" w:hanging="540"/>
              <w:rPr>
                <w:rFonts w:hint="eastAsia" w:hAnsi="宋体" w:cs="宋体"/>
                <w:sz w:val="24"/>
                <w:szCs w:val="24"/>
              </w:rPr>
            </w:pPr>
          </w:p>
        </w:tc>
      </w:tr>
      <w:tr w14:paraId="7BE9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422B468">
            <w:pPr>
              <w:pStyle w:val="16"/>
              <w:spacing w:line="240" w:lineRule="atLeast"/>
              <w:ind w:left="1080" w:leftChars="257" w:hanging="540"/>
              <w:rPr>
                <w:rFonts w:hint="eastAsia" w:hAnsi="宋体" w:cs="宋体"/>
                <w:sz w:val="24"/>
                <w:szCs w:val="24"/>
              </w:rPr>
            </w:pPr>
          </w:p>
        </w:tc>
        <w:tc>
          <w:tcPr>
            <w:tcW w:w="2040" w:type="dxa"/>
            <w:noWrap w:val="0"/>
            <w:vAlign w:val="top"/>
          </w:tcPr>
          <w:p w14:paraId="5D7CCDF7">
            <w:pPr>
              <w:pStyle w:val="16"/>
              <w:spacing w:line="240" w:lineRule="atLeast"/>
              <w:ind w:left="1080" w:leftChars="257" w:hanging="540"/>
              <w:rPr>
                <w:rFonts w:hint="eastAsia" w:hAnsi="宋体" w:cs="宋体"/>
                <w:sz w:val="24"/>
                <w:szCs w:val="24"/>
              </w:rPr>
            </w:pPr>
          </w:p>
        </w:tc>
        <w:tc>
          <w:tcPr>
            <w:tcW w:w="2520" w:type="dxa"/>
            <w:noWrap w:val="0"/>
            <w:vAlign w:val="top"/>
          </w:tcPr>
          <w:p w14:paraId="7DCCB754">
            <w:pPr>
              <w:pStyle w:val="16"/>
              <w:spacing w:line="240" w:lineRule="atLeast"/>
              <w:ind w:left="1080" w:leftChars="257" w:hanging="540"/>
              <w:rPr>
                <w:rFonts w:hint="eastAsia" w:hAnsi="宋体" w:cs="宋体"/>
                <w:sz w:val="24"/>
                <w:szCs w:val="24"/>
              </w:rPr>
            </w:pPr>
          </w:p>
        </w:tc>
        <w:tc>
          <w:tcPr>
            <w:tcW w:w="2520" w:type="dxa"/>
            <w:noWrap w:val="0"/>
            <w:vAlign w:val="top"/>
          </w:tcPr>
          <w:p w14:paraId="1186A0ED">
            <w:pPr>
              <w:pStyle w:val="16"/>
              <w:spacing w:line="240" w:lineRule="atLeast"/>
              <w:ind w:left="1080" w:leftChars="257" w:hanging="540"/>
              <w:rPr>
                <w:rFonts w:hint="eastAsia" w:hAnsi="宋体" w:cs="宋体"/>
                <w:sz w:val="24"/>
                <w:szCs w:val="24"/>
              </w:rPr>
            </w:pPr>
          </w:p>
        </w:tc>
        <w:tc>
          <w:tcPr>
            <w:tcW w:w="900" w:type="dxa"/>
            <w:noWrap w:val="0"/>
            <w:vAlign w:val="top"/>
          </w:tcPr>
          <w:p w14:paraId="6B2D9E57">
            <w:pPr>
              <w:pStyle w:val="16"/>
              <w:spacing w:line="240" w:lineRule="atLeast"/>
              <w:ind w:left="1080" w:leftChars="257" w:hanging="540"/>
              <w:rPr>
                <w:rFonts w:hint="eastAsia" w:hAnsi="宋体" w:cs="宋体"/>
                <w:sz w:val="24"/>
                <w:szCs w:val="24"/>
              </w:rPr>
            </w:pPr>
          </w:p>
        </w:tc>
      </w:tr>
      <w:tr w14:paraId="7A75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C980C83">
            <w:pPr>
              <w:pStyle w:val="16"/>
              <w:spacing w:line="240" w:lineRule="atLeast"/>
              <w:ind w:left="1080" w:leftChars="257" w:hanging="540"/>
              <w:rPr>
                <w:rFonts w:hint="eastAsia" w:hAnsi="宋体" w:cs="宋体"/>
                <w:sz w:val="24"/>
                <w:szCs w:val="24"/>
              </w:rPr>
            </w:pPr>
          </w:p>
        </w:tc>
        <w:tc>
          <w:tcPr>
            <w:tcW w:w="2040" w:type="dxa"/>
            <w:noWrap w:val="0"/>
            <w:vAlign w:val="top"/>
          </w:tcPr>
          <w:p w14:paraId="5BFB6C02">
            <w:pPr>
              <w:pStyle w:val="16"/>
              <w:spacing w:line="240" w:lineRule="atLeast"/>
              <w:ind w:left="1080" w:leftChars="257" w:hanging="540"/>
              <w:rPr>
                <w:rFonts w:hint="eastAsia" w:hAnsi="宋体" w:cs="宋体"/>
                <w:sz w:val="24"/>
                <w:szCs w:val="24"/>
              </w:rPr>
            </w:pPr>
          </w:p>
        </w:tc>
        <w:tc>
          <w:tcPr>
            <w:tcW w:w="2520" w:type="dxa"/>
            <w:noWrap w:val="0"/>
            <w:vAlign w:val="top"/>
          </w:tcPr>
          <w:p w14:paraId="09AA1A36">
            <w:pPr>
              <w:pStyle w:val="16"/>
              <w:spacing w:line="240" w:lineRule="atLeast"/>
              <w:ind w:left="1080" w:leftChars="257" w:hanging="540"/>
              <w:rPr>
                <w:rFonts w:hint="eastAsia" w:hAnsi="宋体" w:cs="宋体"/>
                <w:sz w:val="24"/>
                <w:szCs w:val="24"/>
              </w:rPr>
            </w:pPr>
          </w:p>
        </w:tc>
        <w:tc>
          <w:tcPr>
            <w:tcW w:w="2520" w:type="dxa"/>
            <w:noWrap w:val="0"/>
            <w:vAlign w:val="top"/>
          </w:tcPr>
          <w:p w14:paraId="4AF06A58">
            <w:pPr>
              <w:pStyle w:val="16"/>
              <w:spacing w:line="240" w:lineRule="atLeast"/>
              <w:ind w:left="1080" w:leftChars="257" w:hanging="540"/>
              <w:rPr>
                <w:rFonts w:hint="eastAsia" w:hAnsi="宋体" w:cs="宋体"/>
                <w:sz w:val="24"/>
                <w:szCs w:val="24"/>
              </w:rPr>
            </w:pPr>
          </w:p>
        </w:tc>
        <w:tc>
          <w:tcPr>
            <w:tcW w:w="900" w:type="dxa"/>
            <w:noWrap w:val="0"/>
            <w:vAlign w:val="top"/>
          </w:tcPr>
          <w:p w14:paraId="270BEBF4">
            <w:pPr>
              <w:pStyle w:val="16"/>
              <w:spacing w:line="240" w:lineRule="atLeast"/>
              <w:ind w:left="1080" w:leftChars="257" w:hanging="540"/>
              <w:rPr>
                <w:rFonts w:hint="eastAsia" w:hAnsi="宋体" w:cs="宋体"/>
                <w:sz w:val="24"/>
                <w:szCs w:val="24"/>
              </w:rPr>
            </w:pPr>
          </w:p>
        </w:tc>
      </w:tr>
      <w:tr w14:paraId="4625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D2FA384">
            <w:pPr>
              <w:pStyle w:val="16"/>
              <w:spacing w:line="240" w:lineRule="atLeast"/>
              <w:ind w:left="1080" w:leftChars="257" w:hanging="540"/>
              <w:rPr>
                <w:rFonts w:hint="eastAsia" w:hAnsi="宋体" w:cs="宋体"/>
                <w:sz w:val="24"/>
                <w:szCs w:val="24"/>
              </w:rPr>
            </w:pPr>
          </w:p>
        </w:tc>
        <w:tc>
          <w:tcPr>
            <w:tcW w:w="2040" w:type="dxa"/>
            <w:noWrap w:val="0"/>
            <w:vAlign w:val="top"/>
          </w:tcPr>
          <w:p w14:paraId="11BD5F44">
            <w:pPr>
              <w:pStyle w:val="16"/>
              <w:spacing w:line="240" w:lineRule="atLeast"/>
              <w:ind w:left="1080" w:leftChars="257" w:hanging="540"/>
              <w:rPr>
                <w:rFonts w:hint="eastAsia" w:hAnsi="宋体" w:cs="宋体"/>
                <w:sz w:val="24"/>
                <w:szCs w:val="24"/>
              </w:rPr>
            </w:pPr>
          </w:p>
        </w:tc>
        <w:tc>
          <w:tcPr>
            <w:tcW w:w="2520" w:type="dxa"/>
            <w:noWrap w:val="0"/>
            <w:vAlign w:val="top"/>
          </w:tcPr>
          <w:p w14:paraId="60D59151">
            <w:pPr>
              <w:pStyle w:val="16"/>
              <w:spacing w:line="240" w:lineRule="atLeast"/>
              <w:ind w:left="1080" w:leftChars="257" w:hanging="540"/>
              <w:rPr>
                <w:rFonts w:hint="eastAsia" w:hAnsi="宋体" w:cs="宋体"/>
                <w:sz w:val="24"/>
                <w:szCs w:val="24"/>
              </w:rPr>
            </w:pPr>
          </w:p>
        </w:tc>
        <w:tc>
          <w:tcPr>
            <w:tcW w:w="2520" w:type="dxa"/>
            <w:noWrap w:val="0"/>
            <w:vAlign w:val="top"/>
          </w:tcPr>
          <w:p w14:paraId="332EEE3B">
            <w:pPr>
              <w:pStyle w:val="16"/>
              <w:spacing w:line="240" w:lineRule="atLeast"/>
              <w:ind w:left="1080" w:leftChars="257" w:hanging="540"/>
              <w:rPr>
                <w:rFonts w:hint="eastAsia" w:hAnsi="宋体" w:cs="宋体"/>
                <w:sz w:val="24"/>
                <w:szCs w:val="24"/>
              </w:rPr>
            </w:pPr>
          </w:p>
        </w:tc>
        <w:tc>
          <w:tcPr>
            <w:tcW w:w="900" w:type="dxa"/>
            <w:noWrap w:val="0"/>
            <w:vAlign w:val="top"/>
          </w:tcPr>
          <w:p w14:paraId="05178AFF">
            <w:pPr>
              <w:pStyle w:val="16"/>
              <w:spacing w:line="240" w:lineRule="atLeast"/>
              <w:ind w:left="1080" w:leftChars="257" w:hanging="540"/>
              <w:rPr>
                <w:rFonts w:hint="eastAsia" w:hAnsi="宋体" w:cs="宋体"/>
                <w:sz w:val="24"/>
                <w:szCs w:val="24"/>
              </w:rPr>
            </w:pPr>
          </w:p>
        </w:tc>
      </w:tr>
      <w:tr w14:paraId="280B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6AA4E75">
            <w:pPr>
              <w:pStyle w:val="16"/>
              <w:spacing w:line="240" w:lineRule="atLeast"/>
              <w:ind w:left="1080" w:leftChars="257" w:hanging="540"/>
              <w:rPr>
                <w:rFonts w:hint="eastAsia" w:hAnsi="宋体" w:cs="宋体"/>
                <w:sz w:val="24"/>
                <w:szCs w:val="24"/>
              </w:rPr>
            </w:pPr>
          </w:p>
        </w:tc>
        <w:tc>
          <w:tcPr>
            <w:tcW w:w="2040" w:type="dxa"/>
            <w:noWrap w:val="0"/>
            <w:vAlign w:val="top"/>
          </w:tcPr>
          <w:p w14:paraId="6D59A23B">
            <w:pPr>
              <w:pStyle w:val="16"/>
              <w:spacing w:line="240" w:lineRule="atLeast"/>
              <w:ind w:left="1080" w:leftChars="257" w:hanging="540"/>
              <w:rPr>
                <w:rFonts w:hint="eastAsia" w:hAnsi="宋体" w:cs="宋体"/>
                <w:sz w:val="24"/>
                <w:szCs w:val="24"/>
              </w:rPr>
            </w:pPr>
          </w:p>
        </w:tc>
        <w:tc>
          <w:tcPr>
            <w:tcW w:w="2520" w:type="dxa"/>
            <w:noWrap w:val="0"/>
            <w:vAlign w:val="top"/>
          </w:tcPr>
          <w:p w14:paraId="36E82994">
            <w:pPr>
              <w:pStyle w:val="16"/>
              <w:spacing w:line="240" w:lineRule="atLeast"/>
              <w:ind w:left="1080" w:leftChars="257" w:hanging="540"/>
              <w:rPr>
                <w:rFonts w:hint="eastAsia" w:hAnsi="宋体" w:cs="宋体"/>
                <w:sz w:val="24"/>
                <w:szCs w:val="24"/>
              </w:rPr>
            </w:pPr>
          </w:p>
        </w:tc>
        <w:tc>
          <w:tcPr>
            <w:tcW w:w="2520" w:type="dxa"/>
            <w:noWrap w:val="0"/>
            <w:vAlign w:val="top"/>
          </w:tcPr>
          <w:p w14:paraId="6CEDBC90">
            <w:pPr>
              <w:pStyle w:val="16"/>
              <w:spacing w:line="240" w:lineRule="atLeast"/>
              <w:ind w:left="1080" w:leftChars="257" w:hanging="540"/>
              <w:rPr>
                <w:rFonts w:hint="eastAsia" w:hAnsi="宋体" w:cs="宋体"/>
                <w:sz w:val="24"/>
                <w:szCs w:val="24"/>
              </w:rPr>
            </w:pPr>
          </w:p>
        </w:tc>
        <w:tc>
          <w:tcPr>
            <w:tcW w:w="900" w:type="dxa"/>
            <w:noWrap w:val="0"/>
            <w:vAlign w:val="top"/>
          </w:tcPr>
          <w:p w14:paraId="62C72F77">
            <w:pPr>
              <w:pStyle w:val="16"/>
              <w:spacing w:line="240" w:lineRule="atLeast"/>
              <w:ind w:left="1080" w:leftChars="257" w:hanging="540"/>
              <w:rPr>
                <w:rFonts w:hint="eastAsia" w:hAnsi="宋体" w:cs="宋体"/>
                <w:sz w:val="24"/>
                <w:szCs w:val="24"/>
              </w:rPr>
            </w:pPr>
          </w:p>
        </w:tc>
      </w:tr>
      <w:tr w14:paraId="6B46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FD15E02">
            <w:pPr>
              <w:pStyle w:val="16"/>
              <w:spacing w:line="240" w:lineRule="atLeast"/>
              <w:ind w:left="1080" w:leftChars="257" w:hanging="540"/>
              <w:rPr>
                <w:rFonts w:hint="eastAsia" w:hAnsi="宋体" w:cs="宋体"/>
                <w:sz w:val="24"/>
                <w:szCs w:val="24"/>
              </w:rPr>
            </w:pPr>
          </w:p>
        </w:tc>
        <w:tc>
          <w:tcPr>
            <w:tcW w:w="2040" w:type="dxa"/>
            <w:noWrap w:val="0"/>
            <w:vAlign w:val="top"/>
          </w:tcPr>
          <w:p w14:paraId="15AE12E3">
            <w:pPr>
              <w:pStyle w:val="16"/>
              <w:spacing w:line="240" w:lineRule="atLeast"/>
              <w:ind w:left="1080" w:leftChars="257" w:hanging="540"/>
              <w:rPr>
                <w:rFonts w:hint="eastAsia" w:hAnsi="宋体" w:cs="宋体"/>
                <w:sz w:val="24"/>
                <w:szCs w:val="24"/>
              </w:rPr>
            </w:pPr>
          </w:p>
        </w:tc>
        <w:tc>
          <w:tcPr>
            <w:tcW w:w="2520" w:type="dxa"/>
            <w:noWrap w:val="0"/>
            <w:vAlign w:val="top"/>
          </w:tcPr>
          <w:p w14:paraId="23D3C1B6">
            <w:pPr>
              <w:pStyle w:val="16"/>
              <w:spacing w:line="240" w:lineRule="atLeast"/>
              <w:ind w:left="1080" w:leftChars="257" w:hanging="540"/>
              <w:rPr>
                <w:rFonts w:hint="eastAsia" w:hAnsi="宋体" w:cs="宋体"/>
                <w:sz w:val="24"/>
                <w:szCs w:val="24"/>
              </w:rPr>
            </w:pPr>
          </w:p>
        </w:tc>
        <w:tc>
          <w:tcPr>
            <w:tcW w:w="2520" w:type="dxa"/>
            <w:noWrap w:val="0"/>
            <w:vAlign w:val="top"/>
          </w:tcPr>
          <w:p w14:paraId="3E978E0F">
            <w:pPr>
              <w:pStyle w:val="16"/>
              <w:spacing w:line="240" w:lineRule="atLeast"/>
              <w:ind w:left="1080" w:leftChars="257" w:hanging="540"/>
              <w:rPr>
                <w:rFonts w:hint="eastAsia" w:hAnsi="宋体" w:cs="宋体"/>
                <w:sz w:val="24"/>
                <w:szCs w:val="24"/>
              </w:rPr>
            </w:pPr>
          </w:p>
        </w:tc>
        <w:tc>
          <w:tcPr>
            <w:tcW w:w="900" w:type="dxa"/>
            <w:noWrap w:val="0"/>
            <w:vAlign w:val="top"/>
          </w:tcPr>
          <w:p w14:paraId="741C970E">
            <w:pPr>
              <w:pStyle w:val="16"/>
              <w:spacing w:line="240" w:lineRule="atLeast"/>
              <w:ind w:left="1080" w:leftChars="257" w:hanging="540"/>
              <w:rPr>
                <w:rFonts w:hint="eastAsia" w:hAnsi="宋体" w:cs="宋体"/>
                <w:sz w:val="24"/>
                <w:szCs w:val="24"/>
              </w:rPr>
            </w:pPr>
          </w:p>
        </w:tc>
      </w:tr>
      <w:tr w14:paraId="2F64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5257DF4">
            <w:pPr>
              <w:pStyle w:val="16"/>
              <w:spacing w:line="240" w:lineRule="atLeast"/>
              <w:ind w:left="1080" w:leftChars="257" w:hanging="540"/>
              <w:rPr>
                <w:rFonts w:hint="eastAsia" w:hAnsi="宋体" w:cs="宋体"/>
                <w:sz w:val="24"/>
                <w:szCs w:val="24"/>
              </w:rPr>
            </w:pPr>
          </w:p>
        </w:tc>
        <w:tc>
          <w:tcPr>
            <w:tcW w:w="2040" w:type="dxa"/>
            <w:noWrap w:val="0"/>
            <w:vAlign w:val="top"/>
          </w:tcPr>
          <w:p w14:paraId="4EC6A6A3">
            <w:pPr>
              <w:pStyle w:val="16"/>
              <w:spacing w:line="240" w:lineRule="atLeast"/>
              <w:ind w:left="1080" w:leftChars="257" w:hanging="540"/>
              <w:rPr>
                <w:rFonts w:hint="eastAsia" w:hAnsi="宋体" w:cs="宋体"/>
                <w:sz w:val="24"/>
                <w:szCs w:val="24"/>
              </w:rPr>
            </w:pPr>
          </w:p>
        </w:tc>
        <w:tc>
          <w:tcPr>
            <w:tcW w:w="2520" w:type="dxa"/>
            <w:noWrap w:val="0"/>
            <w:vAlign w:val="top"/>
          </w:tcPr>
          <w:p w14:paraId="09459813">
            <w:pPr>
              <w:pStyle w:val="16"/>
              <w:spacing w:line="240" w:lineRule="atLeast"/>
              <w:ind w:left="1080" w:leftChars="257" w:hanging="540"/>
              <w:rPr>
                <w:rFonts w:hint="eastAsia" w:hAnsi="宋体" w:cs="宋体"/>
                <w:sz w:val="24"/>
                <w:szCs w:val="24"/>
              </w:rPr>
            </w:pPr>
          </w:p>
        </w:tc>
        <w:tc>
          <w:tcPr>
            <w:tcW w:w="2520" w:type="dxa"/>
            <w:noWrap w:val="0"/>
            <w:vAlign w:val="top"/>
          </w:tcPr>
          <w:p w14:paraId="16BC89A4">
            <w:pPr>
              <w:pStyle w:val="16"/>
              <w:spacing w:line="240" w:lineRule="atLeast"/>
              <w:ind w:left="1080" w:leftChars="257" w:hanging="540"/>
              <w:rPr>
                <w:rFonts w:hint="eastAsia" w:hAnsi="宋体" w:cs="宋体"/>
                <w:sz w:val="24"/>
                <w:szCs w:val="24"/>
              </w:rPr>
            </w:pPr>
          </w:p>
        </w:tc>
        <w:tc>
          <w:tcPr>
            <w:tcW w:w="900" w:type="dxa"/>
            <w:noWrap w:val="0"/>
            <w:vAlign w:val="top"/>
          </w:tcPr>
          <w:p w14:paraId="1261C147">
            <w:pPr>
              <w:pStyle w:val="16"/>
              <w:spacing w:line="240" w:lineRule="atLeast"/>
              <w:ind w:left="1080" w:leftChars="257" w:hanging="540"/>
              <w:rPr>
                <w:rFonts w:hint="eastAsia" w:hAnsi="宋体" w:cs="宋体"/>
                <w:sz w:val="24"/>
                <w:szCs w:val="24"/>
              </w:rPr>
            </w:pPr>
          </w:p>
        </w:tc>
      </w:tr>
      <w:tr w14:paraId="753B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5A1475E">
            <w:pPr>
              <w:pStyle w:val="16"/>
              <w:spacing w:line="240" w:lineRule="atLeast"/>
              <w:ind w:left="1080" w:leftChars="257" w:hanging="540"/>
              <w:rPr>
                <w:rFonts w:hint="eastAsia" w:hAnsi="宋体" w:cs="宋体"/>
                <w:sz w:val="24"/>
                <w:szCs w:val="24"/>
              </w:rPr>
            </w:pPr>
          </w:p>
        </w:tc>
        <w:tc>
          <w:tcPr>
            <w:tcW w:w="2040" w:type="dxa"/>
            <w:noWrap w:val="0"/>
            <w:vAlign w:val="top"/>
          </w:tcPr>
          <w:p w14:paraId="26DC009C">
            <w:pPr>
              <w:pStyle w:val="16"/>
              <w:spacing w:line="240" w:lineRule="atLeast"/>
              <w:ind w:left="1080" w:leftChars="257" w:hanging="540"/>
              <w:rPr>
                <w:rFonts w:hint="eastAsia" w:hAnsi="宋体" w:cs="宋体"/>
                <w:sz w:val="24"/>
                <w:szCs w:val="24"/>
              </w:rPr>
            </w:pPr>
          </w:p>
        </w:tc>
        <w:tc>
          <w:tcPr>
            <w:tcW w:w="2520" w:type="dxa"/>
            <w:noWrap w:val="0"/>
            <w:vAlign w:val="top"/>
          </w:tcPr>
          <w:p w14:paraId="5B51F196">
            <w:pPr>
              <w:pStyle w:val="16"/>
              <w:spacing w:line="240" w:lineRule="atLeast"/>
              <w:ind w:left="1080" w:leftChars="257" w:hanging="540"/>
              <w:rPr>
                <w:rFonts w:hint="eastAsia" w:hAnsi="宋体" w:cs="宋体"/>
                <w:sz w:val="24"/>
                <w:szCs w:val="24"/>
              </w:rPr>
            </w:pPr>
          </w:p>
        </w:tc>
        <w:tc>
          <w:tcPr>
            <w:tcW w:w="2520" w:type="dxa"/>
            <w:noWrap w:val="0"/>
            <w:vAlign w:val="top"/>
          </w:tcPr>
          <w:p w14:paraId="65FE2324">
            <w:pPr>
              <w:pStyle w:val="16"/>
              <w:spacing w:line="240" w:lineRule="atLeast"/>
              <w:ind w:left="1080" w:leftChars="257" w:hanging="540"/>
              <w:rPr>
                <w:rFonts w:hint="eastAsia" w:hAnsi="宋体" w:cs="宋体"/>
                <w:sz w:val="24"/>
                <w:szCs w:val="24"/>
              </w:rPr>
            </w:pPr>
          </w:p>
        </w:tc>
        <w:tc>
          <w:tcPr>
            <w:tcW w:w="900" w:type="dxa"/>
            <w:noWrap w:val="0"/>
            <w:vAlign w:val="top"/>
          </w:tcPr>
          <w:p w14:paraId="53C06D6E">
            <w:pPr>
              <w:pStyle w:val="16"/>
              <w:spacing w:line="240" w:lineRule="atLeast"/>
              <w:ind w:left="1080" w:leftChars="257" w:hanging="540"/>
              <w:rPr>
                <w:rFonts w:hint="eastAsia" w:hAnsi="宋体" w:cs="宋体"/>
                <w:sz w:val="24"/>
                <w:szCs w:val="24"/>
              </w:rPr>
            </w:pPr>
          </w:p>
        </w:tc>
      </w:tr>
      <w:tr w14:paraId="1DA9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5DD1658">
            <w:pPr>
              <w:pStyle w:val="16"/>
              <w:spacing w:line="240" w:lineRule="atLeast"/>
              <w:ind w:left="1080" w:leftChars="257" w:hanging="540"/>
              <w:rPr>
                <w:rFonts w:hint="eastAsia" w:hAnsi="宋体" w:cs="宋体"/>
                <w:sz w:val="24"/>
                <w:szCs w:val="24"/>
              </w:rPr>
            </w:pPr>
          </w:p>
        </w:tc>
        <w:tc>
          <w:tcPr>
            <w:tcW w:w="2040" w:type="dxa"/>
            <w:noWrap w:val="0"/>
            <w:vAlign w:val="top"/>
          </w:tcPr>
          <w:p w14:paraId="2A426A2D">
            <w:pPr>
              <w:pStyle w:val="16"/>
              <w:spacing w:line="240" w:lineRule="atLeast"/>
              <w:ind w:left="1080" w:leftChars="257" w:hanging="540"/>
              <w:rPr>
                <w:rFonts w:hint="eastAsia" w:hAnsi="宋体" w:cs="宋体"/>
                <w:sz w:val="24"/>
                <w:szCs w:val="24"/>
              </w:rPr>
            </w:pPr>
          </w:p>
        </w:tc>
        <w:tc>
          <w:tcPr>
            <w:tcW w:w="2520" w:type="dxa"/>
            <w:noWrap w:val="0"/>
            <w:vAlign w:val="top"/>
          </w:tcPr>
          <w:p w14:paraId="1219E2A1">
            <w:pPr>
              <w:pStyle w:val="16"/>
              <w:spacing w:line="240" w:lineRule="atLeast"/>
              <w:ind w:left="1080" w:leftChars="257" w:hanging="540"/>
              <w:rPr>
                <w:rFonts w:hint="eastAsia" w:hAnsi="宋体" w:cs="宋体"/>
                <w:sz w:val="24"/>
                <w:szCs w:val="24"/>
              </w:rPr>
            </w:pPr>
          </w:p>
        </w:tc>
        <w:tc>
          <w:tcPr>
            <w:tcW w:w="2520" w:type="dxa"/>
            <w:noWrap w:val="0"/>
            <w:vAlign w:val="top"/>
          </w:tcPr>
          <w:p w14:paraId="1A5605B3">
            <w:pPr>
              <w:pStyle w:val="16"/>
              <w:spacing w:line="240" w:lineRule="atLeast"/>
              <w:ind w:left="1080" w:leftChars="257" w:hanging="540"/>
              <w:rPr>
                <w:rFonts w:hint="eastAsia" w:hAnsi="宋体" w:cs="宋体"/>
                <w:sz w:val="24"/>
                <w:szCs w:val="24"/>
              </w:rPr>
            </w:pPr>
          </w:p>
        </w:tc>
        <w:tc>
          <w:tcPr>
            <w:tcW w:w="900" w:type="dxa"/>
            <w:noWrap w:val="0"/>
            <w:vAlign w:val="top"/>
          </w:tcPr>
          <w:p w14:paraId="2F082B82">
            <w:pPr>
              <w:pStyle w:val="16"/>
              <w:spacing w:line="240" w:lineRule="atLeast"/>
              <w:ind w:left="1080" w:leftChars="257" w:hanging="540"/>
              <w:rPr>
                <w:rFonts w:hint="eastAsia" w:hAnsi="宋体" w:cs="宋体"/>
                <w:sz w:val="24"/>
                <w:szCs w:val="24"/>
              </w:rPr>
            </w:pPr>
          </w:p>
        </w:tc>
      </w:tr>
      <w:tr w14:paraId="50E5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AB253E1">
            <w:pPr>
              <w:pStyle w:val="16"/>
              <w:spacing w:line="240" w:lineRule="atLeast"/>
              <w:ind w:left="1080" w:leftChars="257" w:hanging="540"/>
              <w:rPr>
                <w:rFonts w:hint="eastAsia" w:hAnsi="宋体" w:cs="宋体"/>
                <w:sz w:val="24"/>
                <w:szCs w:val="24"/>
              </w:rPr>
            </w:pPr>
          </w:p>
        </w:tc>
        <w:tc>
          <w:tcPr>
            <w:tcW w:w="2040" w:type="dxa"/>
            <w:noWrap w:val="0"/>
            <w:vAlign w:val="top"/>
          </w:tcPr>
          <w:p w14:paraId="439F760C">
            <w:pPr>
              <w:pStyle w:val="16"/>
              <w:spacing w:line="240" w:lineRule="atLeast"/>
              <w:ind w:left="1080" w:leftChars="257" w:hanging="540"/>
              <w:rPr>
                <w:rFonts w:hint="eastAsia" w:hAnsi="宋体" w:cs="宋体"/>
                <w:sz w:val="24"/>
                <w:szCs w:val="24"/>
              </w:rPr>
            </w:pPr>
          </w:p>
        </w:tc>
        <w:tc>
          <w:tcPr>
            <w:tcW w:w="2520" w:type="dxa"/>
            <w:noWrap w:val="0"/>
            <w:vAlign w:val="top"/>
          </w:tcPr>
          <w:p w14:paraId="48E67CF9">
            <w:pPr>
              <w:pStyle w:val="16"/>
              <w:spacing w:line="240" w:lineRule="atLeast"/>
              <w:ind w:left="1080" w:leftChars="257" w:hanging="540"/>
              <w:rPr>
                <w:rFonts w:hint="eastAsia" w:hAnsi="宋体" w:cs="宋体"/>
                <w:sz w:val="24"/>
                <w:szCs w:val="24"/>
              </w:rPr>
            </w:pPr>
          </w:p>
        </w:tc>
        <w:tc>
          <w:tcPr>
            <w:tcW w:w="2520" w:type="dxa"/>
            <w:noWrap w:val="0"/>
            <w:vAlign w:val="top"/>
          </w:tcPr>
          <w:p w14:paraId="19F694D1">
            <w:pPr>
              <w:pStyle w:val="16"/>
              <w:spacing w:line="240" w:lineRule="atLeast"/>
              <w:ind w:left="1080" w:leftChars="257" w:hanging="540"/>
              <w:rPr>
                <w:rFonts w:hint="eastAsia" w:hAnsi="宋体" w:cs="宋体"/>
                <w:sz w:val="24"/>
                <w:szCs w:val="24"/>
              </w:rPr>
            </w:pPr>
          </w:p>
        </w:tc>
        <w:tc>
          <w:tcPr>
            <w:tcW w:w="900" w:type="dxa"/>
            <w:noWrap w:val="0"/>
            <w:vAlign w:val="top"/>
          </w:tcPr>
          <w:p w14:paraId="03A2A446">
            <w:pPr>
              <w:pStyle w:val="16"/>
              <w:spacing w:line="240" w:lineRule="atLeast"/>
              <w:ind w:left="1080" w:leftChars="257" w:hanging="540"/>
              <w:rPr>
                <w:rFonts w:hint="eastAsia" w:hAnsi="宋体" w:cs="宋体"/>
                <w:sz w:val="24"/>
                <w:szCs w:val="24"/>
              </w:rPr>
            </w:pPr>
          </w:p>
        </w:tc>
      </w:tr>
      <w:tr w14:paraId="737A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EB859AD">
            <w:pPr>
              <w:pStyle w:val="16"/>
              <w:spacing w:line="240" w:lineRule="atLeast"/>
              <w:ind w:left="1080" w:leftChars="257" w:hanging="540"/>
              <w:rPr>
                <w:rFonts w:hint="eastAsia" w:hAnsi="宋体" w:cs="宋体"/>
                <w:sz w:val="24"/>
                <w:szCs w:val="24"/>
              </w:rPr>
            </w:pPr>
          </w:p>
        </w:tc>
        <w:tc>
          <w:tcPr>
            <w:tcW w:w="2040" w:type="dxa"/>
            <w:noWrap w:val="0"/>
            <w:vAlign w:val="top"/>
          </w:tcPr>
          <w:p w14:paraId="3E0AFCB1">
            <w:pPr>
              <w:pStyle w:val="16"/>
              <w:spacing w:line="240" w:lineRule="atLeast"/>
              <w:ind w:left="1080" w:leftChars="257" w:hanging="540"/>
              <w:rPr>
                <w:rFonts w:hint="eastAsia" w:hAnsi="宋体" w:cs="宋体"/>
                <w:sz w:val="24"/>
                <w:szCs w:val="24"/>
              </w:rPr>
            </w:pPr>
          </w:p>
        </w:tc>
        <w:tc>
          <w:tcPr>
            <w:tcW w:w="2520" w:type="dxa"/>
            <w:noWrap w:val="0"/>
            <w:vAlign w:val="top"/>
          </w:tcPr>
          <w:p w14:paraId="62F0D8AB">
            <w:pPr>
              <w:pStyle w:val="16"/>
              <w:spacing w:line="240" w:lineRule="atLeast"/>
              <w:ind w:left="1080" w:leftChars="257" w:hanging="540"/>
              <w:rPr>
                <w:rFonts w:hint="eastAsia" w:hAnsi="宋体" w:cs="宋体"/>
                <w:sz w:val="24"/>
                <w:szCs w:val="24"/>
              </w:rPr>
            </w:pPr>
          </w:p>
        </w:tc>
        <w:tc>
          <w:tcPr>
            <w:tcW w:w="2520" w:type="dxa"/>
            <w:noWrap w:val="0"/>
            <w:vAlign w:val="top"/>
          </w:tcPr>
          <w:p w14:paraId="6ACCD2D0">
            <w:pPr>
              <w:pStyle w:val="16"/>
              <w:spacing w:line="240" w:lineRule="atLeast"/>
              <w:ind w:left="1080" w:leftChars="257" w:hanging="540"/>
              <w:rPr>
                <w:rFonts w:hint="eastAsia" w:hAnsi="宋体" w:cs="宋体"/>
                <w:sz w:val="24"/>
                <w:szCs w:val="24"/>
              </w:rPr>
            </w:pPr>
          </w:p>
        </w:tc>
        <w:tc>
          <w:tcPr>
            <w:tcW w:w="900" w:type="dxa"/>
            <w:noWrap w:val="0"/>
            <w:vAlign w:val="top"/>
          </w:tcPr>
          <w:p w14:paraId="3A437022">
            <w:pPr>
              <w:pStyle w:val="16"/>
              <w:spacing w:line="240" w:lineRule="atLeast"/>
              <w:ind w:left="1080" w:leftChars="257" w:hanging="540"/>
              <w:rPr>
                <w:rFonts w:hint="eastAsia" w:hAnsi="宋体" w:cs="宋体"/>
                <w:sz w:val="24"/>
                <w:szCs w:val="24"/>
              </w:rPr>
            </w:pPr>
          </w:p>
        </w:tc>
      </w:tr>
      <w:tr w14:paraId="37B6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4B3AD74">
            <w:pPr>
              <w:pStyle w:val="16"/>
              <w:spacing w:line="240" w:lineRule="atLeast"/>
              <w:ind w:left="1080" w:leftChars="257" w:hanging="540"/>
              <w:rPr>
                <w:rFonts w:hint="eastAsia" w:hAnsi="宋体" w:cs="宋体"/>
                <w:sz w:val="24"/>
                <w:szCs w:val="24"/>
              </w:rPr>
            </w:pPr>
          </w:p>
        </w:tc>
        <w:tc>
          <w:tcPr>
            <w:tcW w:w="2040" w:type="dxa"/>
            <w:noWrap w:val="0"/>
            <w:vAlign w:val="top"/>
          </w:tcPr>
          <w:p w14:paraId="16657E24">
            <w:pPr>
              <w:pStyle w:val="16"/>
              <w:spacing w:line="240" w:lineRule="atLeast"/>
              <w:ind w:left="1080" w:leftChars="257" w:hanging="540"/>
              <w:rPr>
                <w:rFonts w:hint="eastAsia" w:hAnsi="宋体" w:cs="宋体"/>
                <w:sz w:val="24"/>
                <w:szCs w:val="24"/>
              </w:rPr>
            </w:pPr>
          </w:p>
        </w:tc>
        <w:tc>
          <w:tcPr>
            <w:tcW w:w="2520" w:type="dxa"/>
            <w:noWrap w:val="0"/>
            <w:vAlign w:val="top"/>
          </w:tcPr>
          <w:p w14:paraId="3F476835">
            <w:pPr>
              <w:pStyle w:val="16"/>
              <w:spacing w:line="240" w:lineRule="atLeast"/>
              <w:ind w:left="1080" w:leftChars="257" w:hanging="540"/>
              <w:rPr>
                <w:rFonts w:hint="eastAsia" w:hAnsi="宋体" w:cs="宋体"/>
                <w:sz w:val="24"/>
                <w:szCs w:val="24"/>
              </w:rPr>
            </w:pPr>
          </w:p>
        </w:tc>
        <w:tc>
          <w:tcPr>
            <w:tcW w:w="2520" w:type="dxa"/>
            <w:noWrap w:val="0"/>
            <w:vAlign w:val="top"/>
          </w:tcPr>
          <w:p w14:paraId="7D56C856">
            <w:pPr>
              <w:pStyle w:val="16"/>
              <w:spacing w:line="240" w:lineRule="atLeast"/>
              <w:ind w:left="1080" w:leftChars="257" w:hanging="540"/>
              <w:rPr>
                <w:rFonts w:hint="eastAsia" w:hAnsi="宋体" w:cs="宋体"/>
                <w:sz w:val="24"/>
                <w:szCs w:val="24"/>
              </w:rPr>
            </w:pPr>
          </w:p>
        </w:tc>
        <w:tc>
          <w:tcPr>
            <w:tcW w:w="900" w:type="dxa"/>
            <w:noWrap w:val="0"/>
            <w:vAlign w:val="top"/>
          </w:tcPr>
          <w:p w14:paraId="5B0E358A">
            <w:pPr>
              <w:pStyle w:val="16"/>
              <w:spacing w:line="240" w:lineRule="atLeast"/>
              <w:ind w:left="1080" w:leftChars="257" w:hanging="540"/>
              <w:rPr>
                <w:rFonts w:hint="eastAsia" w:hAnsi="宋体" w:cs="宋体"/>
                <w:sz w:val="24"/>
                <w:szCs w:val="24"/>
              </w:rPr>
            </w:pPr>
          </w:p>
        </w:tc>
      </w:tr>
      <w:tr w14:paraId="0E25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7140DE0">
            <w:pPr>
              <w:pStyle w:val="16"/>
              <w:spacing w:line="240" w:lineRule="atLeast"/>
              <w:ind w:left="1080" w:leftChars="257" w:hanging="540"/>
              <w:rPr>
                <w:rFonts w:hint="eastAsia" w:hAnsi="宋体" w:cs="宋体"/>
                <w:sz w:val="24"/>
                <w:szCs w:val="24"/>
              </w:rPr>
            </w:pPr>
          </w:p>
        </w:tc>
        <w:tc>
          <w:tcPr>
            <w:tcW w:w="2040" w:type="dxa"/>
            <w:noWrap w:val="0"/>
            <w:vAlign w:val="top"/>
          </w:tcPr>
          <w:p w14:paraId="4B6CB709">
            <w:pPr>
              <w:pStyle w:val="16"/>
              <w:spacing w:line="240" w:lineRule="atLeast"/>
              <w:ind w:left="1080" w:leftChars="257" w:hanging="540"/>
              <w:rPr>
                <w:rFonts w:hint="eastAsia" w:hAnsi="宋体" w:cs="宋体"/>
                <w:sz w:val="24"/>
                <w:szCs w:val="24"/>
              </w:rPr>
            </w:pPr>
          </w:p>
        </w:tc>
        <w:tc>
          <w:tcPr>
            <w:tcW w:w="2520" w:type="dxa"/>
            <w:noWrap w:val="0"/>
            <w:vAlign w:val="top"/>
          </w:tcPr>
          <w:p w14:paraId="23849918">
            <w:pPr>
              <w:pStyle w:val="16"/>
              <w:spacing w:line="240" w:lineRule="atLeast"/>
              <w:ind w:left="1080" w:leftChars="257" w:hanging="540"/>
              <w:rPr>
                <w:rFonts w:hint="eastAsia" w:hAnsi="宋体" w:cs="宋体"/>
                <w:sz w:val="24"/>
                <w:szCs w:val="24"/>
              </w:rPr>
            </w:pPr>
          </w:p>
        </w:tc>
        <w:tc>
          <w:tcPr>
            <w:tcW w:w="2520" w:type="dxa"/>
            <w:noWrap w:val="0"/>
            <w:vAlign w:val="top"/>
          </w:tcPr>
          <w:p w14:paraId="05127476">
            <w:pPr>
              <w:pStyle w:val="16"/>
              <w:spacing w:line="240" w:lineRule="atLeast"/>
              <w:ind w:left="1080" w:leftChars="257" w:hanging="540"/>
              <w:rPr>
                <w:rFonts w:hint="eastAsia" w:hAnsi="宋体" w:cs="宋体"/>
                <w:sz w:val="24"/>
                <w:szCs w:val="24"/>
              </w:rPr>
            </w:pPr>
          </w:p>
        </w:tc>
        <w:tc>
          <w:tcPr>
            <w:tcW w:w="900" w:type="dxa"/>
            <w:noWrap w:val="0"/>
            <w:vAlign w:val="top"/>
          </w:tcPr>
          <w:p w14:paraId="3246CA91">
            <w:pPr>
              <w:pStyle w:val="16"/>
              <w:spacing w:line="240" w:lineRule="atLeast"/>
              <w:ind w:left="1080" w:leftChars="257" w:hanging="540"/>
              <w:rPr>
                <w:rFonts w:hint="eastAsia" w:hAnsi="宋体" w:cs="宋体"/>
                <w:sz w:val="24"/>
                <w:szCs w:val="24"/>
              </w:rPr>
            </w:pPr>
          </w:p>
        </w:tc>
      </w:tr>
      <w:tr w14:paraId="722E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717220C">
            <w:pPr>
              <w:pStyle w:val="16"/>
              <w:spacing w:line="240" w:lineRule="atLeast"/>
              <w:ind w:left="1080" w:leftChars="257" w:hanging="540"/>
              <w:rPr>
                <w:rFonts w:hint="eastAsia" w:hAnsi="宋体" w:cs="宋体"/>
                <w:sz w:val="24"/>
                <w:szCs w:val="24"/>
              </w:rPr>
            </w:pPr>
          </w:p>
        </w:tc>
        <w:tc>
          <w:tcPr>
            <w:tcW w:w="2040" w:type="dxa"/>
            <w:noWrap w:val="0"/>
            <w:vAlign w:val="top"/>
          </w:tcPr>
          <w:p w14:paraId="066F6173">
            <w:pPr>
              <w:pStyle w:val="16"/>
              <w:spacing w:line="240" w:lineRule="atLeast"/>
              <w:ind w:left="1080" w:leftChars="257" w:hanging="540"/>
              <w:rPr>
                <w:rFonts w:hint="eastAsia" w:hAnsi="宋体" w:cs="宋体"/>
                <w:sz w:val="24"/>
                <w:szCs w:val="24"/>
              </w:rPr>
            </w:pPr>
          </w:p>
        </w:tc>
        <w:tc>
          <w:tcPr>
            <w:tcW w:w="2520" w:type="dxa"/>
            <w:noWrap w:val="0"/>
            <w:vAlign w:val="top"/>
          </w:tcPr>
          <w:p w14:paraId="7F79BFDC">
            <w:pPr>
              <w:pStyle w:val="16"/>
              <w:spacing w:line="240" w:lineRule="atLeast"/>
              <w:ind w:left="1080" w:leftChars="257" w:hanging="540"/>
              <w:rPr>
                <w:rFonts w:hint="eastAsia" w:hAnsi="宋体" w:cs="宋体"/>
                <w:sz w:val="24"/>
                <w:szCs w:val="24"/>
              </w:rPr>
            </w:pPr>
          </w:p>
        </w:tc>
        <w:tc>
          <w:tcPr>
            <w:tcW w:w="2520" w:type="dxa"/>
            <w:noWrap w:val="0"/>
            <w:vAlign w:val="top"/>
          </w:tcPr>
          <w:p w14:paraId="54D1BFC1">
            <w:pPr>
              <w:pStyle w:val="16"/>
              <w:spacing w:line="240" w:lineRule="atLeast"/>
              <w:ind w:left="1080" w:leftChars="257" w:hanging="540"/>
              <w:rPr>
                <w:rFonts w:hint="eastAsia" w:hAnsi="宋体" w:cs="宋体"/>
                <w:sz w:val="24"/>
                <w:szCs w:val="24"/>
              </w:rPr>
            </w:pPr>
          </w:p>
        </w:tc>
        <w:tc>
          <w:tcPr>
            <w:tcW w:w="900" w:type="dxa"/>
            <w:noWrap w:val="0"/>
            <w:vAlign w:val="top"/>
          </w:tcPr>
          <w:p w14:paraId="661E79C2">
            <w:pPr>
              <w:pStyle w:val="16"/>
              <w:spacing w:line="240" w:lineRule="atLeast"/>
              <w:ind w:left="1080" w:leftChars="257" w:hanging="540"/>
              <w:rPr>
                <w:rFonts w:hint="eastAsia" w:hAnsi="宋体" w:cs="宋体"/>
                <w:sz w:val="24"/>
                <w:szCs w:val="24"/>
              </w:rPr>
            </w:pPr>
          </w:p>
        </w:tc>
      </w:tr>
    </w:tbl>
    <w:p w14:paraId="05B9363E">
      <w:pPr>
        <w:pStyle w:val="16"/>
        <w:spacing w:line="240" w:lineRule="atLeast"/>
        <w:ind w:left="1080" w:leftChars="257" w:hanging="540"/>
        <w:rPr>
          <w:rFonts w:hint="eastAsia" w:hAnsi="宋体" w:cs="宋体"/>
          <w:sz w:val="24"/>
          <w:szCs w:val="24"/>
        </w:rPr>
      </w:pPr>
    </w:p>
    <w:p w14:paraId="76A1C215">
      <w:pPr>
        <w:pStyle w:val="16"/>
        <w:spacing w:line="240" w:lineRule="atLeast"/>
        <w:ind w:left="1080" w:leftChars="257" w:hanging="540"/>
        <w:rPr>
          <w:rFonts w:hint="eastAsia" w:hAnsi="宋体" w:cs="宋体"/>
          <w:sz w:val="24"/>
          <w:szCs w:val="24"/>
        </w:rPr>
      </w:pPr>
    </w:p>
    <w:p w14:paraId="2885FE71">
      <w:pPr>
        <w:pStyle w:val="16"/>
        <w:spacing w:line="240" w:lineRule="atLeast"/>
        <w:ind w:left="1080" w:leftChars="257" w:hanging="540"/>
        <w:rPr>
          <w:rFonts w:hint="eastAsia" w:hAnsi="宋体" w:cs="宋体"/>
          <w:sz w:val="24"/>
          <w:szCs w:val="24"/>
        </w:rPr>
      </w:pPr>
      <w:r>
        <w:rPr>
          <w:rFonts w:hint="eastAsia" w:hAnsi="宋体" w:cs="宋体"/>
          <w:sz w:val="24"/>
          <w:szCs w:val="24"/>
        </w:rPr>
        <w:t>法定代表人或其委托代理人签字:</w:t>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 xml:space="preserve">                 </w:t>
      </w:r>
    </w:p>
    <w:p w14:paraId="460A987A">
      <w:pPr>
        <w:pStyle w:val="16"/>
        <w:tabs>
          <w:tab w:val="left" w:pos="5370"/>
        </w:tabs>
        <w:spacing w:line="240" w:lineRule="atLeast"/>
        <w:ind w:left="1080" w:leftChars="257" w:hanging="540"/>
        <w:rPr>
          <w:rFonts w:hint="eastAsia" w:asciiTheme="minorEastAsia" w:hAnsiTheme="minorEastAsia" w:eastAsiaTheme="minorEastAsia" w:cstheme="minorEastAsia"/>
          <w:b/>
          <w:color w:val="auto"/>
          <w:kern w:val="0"/>
          <w:sz w:val="24"/>
          <w:szCs w:val="20"/>
          <w:highlight w:val="none"/>
          <w:lang w:val="en-US" w:eastAsia="zh-CN" w:bidi="ar-SA"/>
        </w:rPr>
      </w:pPr>
      <w:r>
        <w:rPr>
          <w:rFonts w:hint="eastAsia" w:hAnsi="宋体" w:cs="宋体"/>
          <w:sz w:val="24"/>
          <w:szCs w:val="24"/>
          <w:lang w:eastAsia="zh-CN"/>
        </w:rPr>
        <w:t>供应商</w:t>
      </w:r>
      <w:r>
        <w:rPr>
          <w:rFonts w:hint="eastAsia" w:hAnsi="宋体" w:cs="宋体"/>
          <w:sz w:val="24"/>
          <w:szCs w:val="24"/>
        </w:rPr>
        <w:t>(盖单位章):</w:t>
      </w:r>
      <w:r>
        <w:rPr>
          <w:rFonts w:hint="eastAsia" w:hAnsi="宋体" w:cs="宋体"/>
          <w:sz w:val="24"/>
          <w:szCs w:val="24"/>
          <w:u w:val="single"/>
        </w:rPr>
        <w:tab/>
      </w:r>
      <w:r>
        <w:rPr>
          <w:rFonts w:hint="eastAsia" w:asciiTheme="minorEastAsia" w:hAnsiTheme="minorEastAsia" w:eastAsiaTheme="minorEastAsia" w:cstheme="minorEastAsia"/>
          <w:b/>
          <w:color w:val="auto"/>
          <w:kern w:val="0"/>
          <w:sz w:val="24"/>
          <w:szCs w:val="20"/>
          <w:highlight w:val="none"/>
          <w:lang w:val="en-US" w:eastAsia="zh-CN" w:bidi="ar-SA"/>
        </w:rPr>
        <w:br w:type="page"/>
      </w:r>
    </w:p>
    <w:p w14:paraId="76D89DE0">
      <w:pPr>
        <w:pStyle w:val="16"/>
        <w:tabs>
          <w:tab w:val="left" w:pos="5580"/>
        </w:tabs>
        <w:spacing w:line="240" w:lineRule="atLeast"/>
        <w:jc w:val="center"/>
        <w:rPr>
          <w:rFonts w:hint="eastAsia" w:asciiTheme="minorEastAsia" w:hAnsiTheme="minorEastAsia" w:eastAsiaTheme="minorEastAsia" w:cstheme="minorEastAsia"/>
          <w:b/>
          <w:color w:val="auto"/>
          <w:kern w:val="0"/>
          <w:sz w:val="24"/>
          <w:szCs w:val="20"/>
          <w:highlight w:val="none"/>
          <w:lang w:val="en-US" w:eastAsia="zh-CN" w:bidi="ar-SA"/>
        </w:rPr>
      </w:pPr>
      <w:r>
        <w:rPr>
          <w:rFonts w:hint="eastAsia" w:asciiTheme="minorEastAsia" w:hAnsiTheme="minorEastAsia" w:eastAsiaTheme="minorEastAsia" w:cstheme="minorEastAsia"/>
          <w:b/>
          <w:color w:val="auto"/>
          <w:kern w:val="0"/>
          <w:sz w:val="24"/>
          <w:szCs w:val="20"/>
          <w:highlight w:val="none"/>
          <w:lang w:val="en-US" w:eastAsia="zh-CN" w:bidi="ar-SA"/>
        </w:rPr>
        <w:t>8、已标价的工程量清单</w:t>
      </w:r>
    </w:p>
    <w:p w14:paraId="222AD224">
      <w:pPr>
        <w:pStyle w:val="16"/>
        <w:tabs>
          <w:tab w:val="left" w:pos="5580"/>
        </w:tabs>
        <w:spacing w:line="240" w:lineRule="atLeast"/>
        <w:ind w:left="1441" w:leftChars="686" w:firstLine="106" w:firstLineChars="44"/>
        <w:jc w:val="both"/>
        <w:rPr>
          <w:rFonts w:hint="eastAsia" w:asciiTheme="minorEastAsia" w:hAnsiTheme="minorEastAsia" w:eastAsiaTheme="minorEastAsia" w:cstheme="minorEastAsia"/>
          <w:b/>
          <w:color w:val="auto"/>
          <w:kern w:val="0"/>
          <w:sz w:val="24"/>
          <w:szCs w:val="20"/>
          <w:highlight w:val="none"/>
          <w:lang w:val="en-US" w:eastAsia="zh-CN" w:bidi="ar-SA"/>
        </w:rPr>
      </w:pPr>
    </w:p>
    <w:p w14:paraId="114343F1">
      <w:pPr>
        <w:pStyle w:val="16"/>
        <w:tabs>
          <w:tab w:val="left" w:pos="5580"/>
        </w:tabs>
        <w:spacing w:line="240" w:lineRule="atLeast"/>
        <w:jc w:val="both"/>
        <w:rPr>
          <w:rFonts w:hint="eastAsia" w:asciiTheme="minorEastAsia" w:hAnsiTheme="minorEastAsia" w:eastAsiaTheme="minorEastAsia" w:cstheme="minorEastAsia"/>
          <w:b/>
          <w:color w:val="auto"/>
          <w:kern w:val="0"/>
          <w:sz w:val="24"/>
          <w:szCs w:val="20"/>
          <w:highlight w:val="none"/>
          <w:lang w:val="en-US" w:eastAsia="zh-CN" w:bidi="ar-SA"/>
        </w:rPr>
      </w:pPr>
    </w:p>
    <w:p w14:paraId="50891C24">
      <w:pPr>
        <w:pStyle w:val="16"/>
        <w:tabs>
          <w:tab w:val="left" w:pos="5580"/>
        </w:tabs>
        <w:spacing w:line="240" w:lineRule="atLeast"/>
        <w:ind w:left="1441" w:leftChars="686" w:firstLine="106" w:firstLineChars="44"/>
        <w:jc w:val="both"/>
        <w:rPr>
          <w:rFonts w:hint="eastAsia" w:asciiTheme="minorEastAsia" w:hAnsiTheme="minorEastAsia" w:eastAsiaTheme="minorEastAsia" w:cstheme="minorEastAsia"/>
          <w:b/>
          <w:color w:val="auto"/>
          <w:kern w:val="0"/>
          <w:sz w:val="24"/>
          <w:szCs w:val="20"/>
          <w:highlight w:val="none"/>
          <w:lang w:val="en-US" w:eastAsia="zh-CN" w:bidi="ar-SA"/>
        </w:rPr>
      </w:pPr>
    </w:p>
    <w:p w14:paraId="5FFB0FCD">
      <w:pPr>
        <w:pStyle w:val="25"/>
        <w:rPr>
          <w:rFonts w:hint="eastAsia" w:asciiTheme="minorEastAsia" w:hAnsiTheme="minorEastAsia" w:eastAsiaTheme="minorEastAsia" w:cstheme="minorEastAsia"/>
          <w:color w:val="auto"/>
          <w:highlight w:val="none"/>
          <w:lang w:val="en-US" w:eastAsia="zh-CN"/>
        </w:rPr>
      </w:pPr>
    </w:p>
    <w:p w14:paraId="2DE0F55F">
      <w:pPr>
        <w:pStyle w:val="16"/>
        <w:tabs>
          <w:tab w:val="left" w:pos="5580"/>
        </w:tabs>
        <w:spacing w:line="240" w:lineRule="atLeast"/>
        <w:ind w:left="1441" w:leftChars="686" w:firstLine="106" w:firstLineChars="44"/>
        <w:jc w:val="both"/>
        <w:rPr>
          <w:rFonts w:hint="eastAsia" w:asciiTheme="minorEastAsia" w:hAnsiTheme="minorEastAsia" w:eastAsiaTheme="minorEastAsia" w:cstheme="minorEastAsia"/>
          <w:b/>
          <w:color w:val="auto"/>
          <w:kern w:val="0"/>
          <w:sz w:val="24"/>
          <w:szCs w:val="20"/>
          <w:highlight w:val="none"/>
          <w:lang w:val="en-US" w:eastAsia="zh-CN" w:bidi="ar-SA"/>
        </w:rPr>
      </w:pPr>
    </w:p>
    <w:bookmarkEnd w:id="320"/>
    <w:bookmarkEnd w:id="321"/>
    <w:p w14:paraId="56FE8DF9">
      <w:pPr>
        <w:pStyle w:val="4"/>
        <w:outlineLvl w:val="9"/>
        <w:rPr>
          <w:rFonts w:hint="eastAsia" w:asciiTheme="minorEastAsia" w:hAnsiTheme="minorEastAsia" w:eastAsiaTheme="minorEastAsia" w:cstheme="minorEastAsia"/>
          <w:b w:val="0"/>
          <w:bCs/>
          <w:color w:val="auto"/>
          <w:sz w:val="18"/>
          <w:szCs w:val="13"/>
          <w:highlight w:val="none"/>
          <w:u w:val="none"/>
          <w:lang w:val="en-US" w:eastAsia="zh-CN"/>
        </w:rPr>
      </w:pPr>
    </w:p>
    <w:p w14:paraId="76E57A9A">
      <w:pPr>
        <w:widowControl/>
        <w:spacing w:before="100" w:beforeAutospacing="1" w:after="100" w:afterAutospacing="1" w:line="330" w:lineRule="atLeast"/>
        <w:jc w:val="left"/>
        <w:rPr>
          <w:rFonts w:hint="eastAsia" w:asciiTheme="minorEastAsia" w:hAnsiTheme="minorEastAsia" w:eastAsiaTheme="minorEastAsia" w:cstheme="minorEastAsia"/>
          <w:color w:val="auto"/>
          <w:highlight w:val="none"/>
        </w:rPr>
      </w:pPr>
    </w:p>
    <w:p w14:paraId="0FE98338">
      <w:pPr>
        <w:pStyle w:val="8"/>
        <w:jc w:val="center"/>
        <w:rPr>
          <w:rFonts w:hint="eastAsia" w:asciiTheme="minorEastAsia" w:hAnsiTheme="minorEastAsia" w:eastAsiaTheme="minorEastAsia" w:cstheme="minorEastAsia"/>
          <w:color w:val="auto"/>
          <w:highlight w:val="none"/>
        </w:rPr>
      </w:pPr>
    </w:p>
    <w:p w14:paraId="21B03D16">
      <w:pPr>
        <w:numPr>
          <w:ilvl w:val="0"/>
          <w:numId w:val="0"/>
        </w:numPr>
        <w:spacing w:line="360" w:lineRule="exact"/>
        <w:jc w:val="center"/>
        <w:rPr>
          <w:rFonts w:hint="eastAsia" w:asciiTheme="minorEastAsia" w:hAnsiTheme="minorEastAsia" w:eastAsiaTheme="minorEastAsia" w:cstheme="minorEastAsia"/>
          <w:b/>
          <w:color w:val="auto"/>
          <w:kern w:val="0"/>
          <w:sz w:val="24"/>
          <w:szCs w:val="20"/>
          <w:highlight w:val="none"/>
          <w:lang w:val="en-US" w:eastAsia="zh-CN" w:bidi="ar-SA"/>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b/>
          <w:color w:val="auto"/>
          <w:kern w:val="0"/>
          <w:sz w:val="24"/>
          <w:szCs w:val="20"/>
          <w:highlight w:val="none"/>
          <w:lang w:val="en-US" w:eastAsia="zh-CN" w:bidi="ar-SA"/>
        </w:rPr>
        <w:t>9、技术文件</w:t>
      </w:r>
    </w:p>
    <w:p w14:paraId="329A9634">
      <w:pPr>
        <w:numPr>
          <w:ilvl w:val="0"/>
          <w:numId w:val="0"/>
        </w:numPr>
        <w:spacing w:line="360" w:lineRule="exact"/>
        <w:jc w:val="both"/>
        <w:rPr>
          <w:rFonts w:hint="eastAsia" w:asciiTheme="minorEastAsia" w:hAnsiTheme="minorEastAsia" w:eastAsiaTheme="minorEastAsia" w:cstheme="minorEastAsia"/>
          <w:b/>
          <w:color w:val="auto"/>
          <w:kern w:val="0"/>
          <w:sz w:val="24"/>
          <w:szCs w:val="20"/>
          <w:highlight w:val="none"/>
          <w:lang w:val="en-US" w:eastAsia="zh-CN" w:bidi="ar-SA"/>
        </w:rPr>
      </w:pPr>
      <w:r>
        <w:rPr>
          <w:rFonts w:hint="eastAsia" w:asciiTheme="minorEastAsia" w:hAnsiTheme="minorEastAsia" w:eastAsiaTheme="minorEastAsia" w:cstheme="minorEastAsia"/>
          <w:b/>
          <w:color w:val="auto"/>
          <w:kern w:val="0"/>
          <w:sz w:val="24"/>
          <w:szCs w:val="20"/>
          <w:highlight w:val="none"/>
          <w:lang w:val="en-US" w:eastAsia="zh-CN" w:bidi="ar-SA"/>
        </w:rPr>
        <w:t>主要包括下列内容：</w:t>
      </w:r>
    </w:p>
    <w:p w14:paraId="67A700D5">
      <w:pPr>
        <w:pStyle w:val="27"/>
        <w:keepNext w:val="0"/>
        <w:keepLines w:val="0"/>
        <w:pageBreakBefore w:val="0"/>
        <w:widowControl w:val="0"/>
        <w:kinsoku/>
        <w:wordWrap/>
        <w:overflowPunct/>
        <w:topLinePunct w:val="0"/>
        <w:autoSpaceDE/>
        <w:autoSpaceDN/>
        <w:bidi w:val="0"/>
        <w:adjustRightInd/>
        <w:spacing w:line="380" w:lineRule="exact"/>
        <w:jc w:val="left"/>
        <w:textAlignment w:val="auto"/>
        <w:outlineLvl w:val="9"/>
        <w:rPr>
          <w:rFonts w:hint="eastAsia" w:asciiTheme="minorEastAsia" w:hAnsiTheme="minorEastAsia" w:eastAsiaTheme="minorEastAsia" w:cstheme="minorEastAsia"/>
          <w:b/>
          <w:bCs w:val="0"/>
          <w:color w:val="auto"/>
          <w:kern w:val="0"/>
          <w:sz w:val="24"/>
          <w:szCs w:val="20"/>
          <w:highlight w:val="none"/>
          <w:lang w:val="en-US" w:eastAsia="zh-CN" w:bidi="ar-SA"/>
        </w:rPr>
      </w:pPr>
      <w:bookmarkStart w:id="322" w:name="_Toc32408"/>
      <w:r>
        <w:rPr>
          <w:rFonts w:hint="eastAsia" w:asciiTheme="minorEastAsia" w:hAnsiTheme="minorEastAsia" w:eastAsiaTheme="minorEastAsia" w:cstheme="minorEastAsia"/>
          <w:b/>
          <w:bCs w:val="0"/>
          <w:color w:val="auto"/>
          <w:kern w:val="0"/>
          <w:sz w:val="24"/>
          <w:szCs w:val="20"/>
          <w:highlight w:val="none"/>
          <w:lang w:val="en-US" w:eastAsia="zh-CN" w:bidi="ar-SA"/>
        </w:rPr>
        <w:t>1、工程概况及特点</w:t>
      </w:r>
    </w:p>
    <w:p w14:paraId="2859E0E8">
      <w:pPr>
        <w:pStyle w:val="27"/>
        <w:keepNext w:val="0"/>
        <w:keepLines w:val="0"/>
        <w:pageBreakBefore w:val="0"/>
        <w:widowControl w:val="0"/>
        <w:kinsoku/>
        <w:wordWrap/>
        <w:overflowPunct/>
        <w:topLinePunct w:val="0"/>
        <w:autoSpaceDE/>
        <w:autoSpaceDN/>
        <w:bidi w:val="0"/>
        <w:adjustRightInd/>
        <w:spacing w:line="380" w:lineRule="exact"/>
        <w:jc w:val="left"/>
        <w:textAlignment w:val="auto"/>
        <w:outlineLvl w:val="9"/>
        <w:rPr>
          <w:rFonts w:hint="eastAsia" w:asciiTheme="minorEastAsia" w:hAnsiTheme="minorEastAsia" w:eastAsiaTheme="minorEastAsia" w:cstheme="minorEastAsia"/>
          <w:b/>
          <w:bCs w:val="0"/>
          <w:color w:val="auto"/>
          <w:kern w:val="0"/>
          <w:sz w:val="24"/>
          <w:szCs w:val="20"/>
          <w:highlight w:val="none"/>
          <w:lang w:val="en-US" w:eastAsia="zh-CN" w:bidi="ar-SA"/>
        </w:rPr>
      </w:pPr>
      <w:r>
        <w:rPr>
          <w:rFonts w:hint="eastAsia" w:asciiTheme="minorEastAsia" w:hAnsiTheme="minorEastAsia" w:eastAsiaTheme="minorEastAsia" w:cstheme="minorEastAsia"/>
          <w:b/>
          <w:bCs w:val="0"/>
          <w:color w:val="auto"/>
          <w:kern w:val="0"/>
          <w:sz w:val="24"/>
          <w:szCs w:val="20"/>
          <w:highlight w:val="none"/>
          <w:lang w:val="en-US" w:eastAsia="zh-CN" w:bidi="ar-SA"/>
        </w:rPr>
        <w:t>2、施工方案</w:t>
      </w:r>
    </w:p>
    <w:p w14:paraId="22B05CAA">
      <w:pPr>
        <w:pStyle w:val="27"/>
        <w:keepNext w:val="0"/>
        <w:keepLines w:val="0"/>
        <w:pageBreakBefore w:val="0"/>
        <w:widowControl w:val="0"/>
        <w:kinsoku/>
        <w:wordWrap/>
        <w:overflowPunct/>
        <w:topLinePunct w:val="0"/>
        <w:autoSpaceDE/>
        <w:autoSpaceDN/>
        <w:bidi w:val="0"/>
        <w:adjustRightInd/>
        <w:spacing w:line="380" w:lineRule="exact"/>
        <w:jc w:val="left"/>
        <w:textAlignment w:val="auto"/>
        <w:outlineLvl w:val="9"/>
        <w:rPr>
          <w:rFonts w:hint="eastAsia" w:asciiTheme="minorEastAsia" w:hAnsiTheme="minorEastAsia" w:eastAsiaTheme="minorEastAsia" w:cstheme="minorEastAsia"/>
          <w:b/>
          <w:bCs w:val="0"/>
          <w:color w:val="auto"/>
          <w:kern w:val="0"/>
          <w:sz w:val="24"/>
          <w:szCs w:val="20"/>
          <w:highlight w:val="none"/>
          <w:lang w:val="en-US" w:eastAsia="zh-CN" w:bidi="ar-SA"/>
        </w:rPr>
      </w:pPr>
      <w:r>
        <w:rPr>
          <w:rFonts w:hint="eastAsia" w:asciiTheme="minorEastAsia" w:hAnsiTheme="minorEastAsia" w:eastAsiaTheme="minorEastAsia" w:cstheme="minorEastAsia"/>
          <w:b/>
          <w:bCs w:val="0"/>
          <w:color w:val="auto"/>
          <w:kern w:val="0"/>
          <w:sz w:val="24"/>
          <w:szCs w:val="20"/>
          <w:highlight w:val="none"/>
          <w:lang w:val="en-US" w:eastAsia="zh-CN" w:bidi="ar-SA"/>
        </w:rPr>
        <w:t>3、施工准备计划</w:t>
      </w:r>
    </w:p>
    <w:p w14:paraId="71161C25">
      <w:pPr>
        <w:pStyle w:val="27"/>
        <w:keepNext w:val="0"/>
        <w:keepLines w:val="0"/>
        <w:pageBreakBefore w:val="0"/>
        <w:widowControl w:val="0"/>
        <w:kinsoku/>
        <w:wordWrap/>
        <w:overflowPunct/>
        <w:topLinePunct w:val="0"/>
        <w:autoSpaceDE/>
        <w:autoSpaceDN/>
        <w:bidi w:val="0"/>
        <w:adjustRightInd/>
        <w:spacing w:line="380" w:lineRule="exact"/>
        <w:jc w:val="left"/>
        <w:textAlignment w:val="auto"/>
        <w:outlineLvl w:val="9"/>
        <w:rPr>
          <w:rFonts w:hint="eastAsia" w:asciiTheme="minorEastAsia" w:hAnsiTheme="minorEastAsia" w:eastAsiaTheme="minorEastAsia" w:cstheme="minorEastAsia"/>
          <w:b/>
          <w:bCs w:val="0"/>
          <w:color w:val="auto"/>
          <w:kern w:val="0"/>
          <w:sz w:val="24"/>
          <w:szCs w:val="20"/>
          <w:highlight w:val="none"/>
          <w:lang w:val="en-US" w:eastAsia="zh-CN" w:bidi="ar-SA"/>
        </w:rPr>
      </w:pPr>
      <w:r>
        <w:rPr>
          <w:rFonts w:hint="eastAsia" w:asciiTheme="minorEastAsia" w:hAnsiTheme="minorEastAsia" w:eastAsiaTheme="minorEastAsia" w:cstheme="minorEastAsia"/>
          <w:b/>
          <w:bCs w:val="0"/>
          <w:color w:val="auto"/>
          <w:kern w:val="0"/>
          <w:sz w:val="24"/>
          <w:szCs w:val="20"/>
          <w:highlight w:val="none"/>
          <w:lang w:val="en-US" w:eastAsia="zh-CN" w:bidi="ar-SA"/>
        </w:rPr>
        <w:t>4、施工进度计划</w:t>
      </w:r>
    </w:p>
    <w:p w14:paraId="1888A688">
      <w:pPr>
        <w:pStyle w:val="27"/>
        <w:keepNext w:val="0"/>
        <w:keepLines w:val="0"/>
        <w:pageBreakBefore w:val="0"/>
        <w:widowControl w:val="0"/>
        <w:kinsoku/>
        <w:wordWrap/>
        <w:overflowPunct/>
        <w:topLinePunct w:val="0"/>
        <w:autoSpaceDE/>
        <w:autoSpaceDN/>
        <w:bidi w:val="0"/>
        <w:adjustRightInd/>
        <w:spacing w:line="380" w:lineRule="exact"/>
        <w:jc w:val="left"/>
        <w:textAlignment w:val="auto"/>
        <w:outlineLvl w:val="9"/>
        <w:rPr>
          <w:rFonts w:hint="eastAsia" w:asciiTheme="minorEastAsia" w:hAnsiTheme="minorEastAsia" w:eastAsiaTheme="minorEastAsia" w:cstheme="minorEastAsia"/>
          <w:b/>
          <w:bCs w:val="0"/>
          <w:color w:val="auto"/>
          <w:kern w:val="0"/>
          <w:sz w:val="24"/>
          <w:szCs w:val="20"/>
          <w:highlight w:val="none"/>
          <w:lang w:val="en-US" w:eastAsia="zh-CN" w:bidi="ar-SA"/>
        </w:rPr>
      </w:pPr>
      <w:r>
        <w:rPr>
          <w:rFonts w:hint="eastAsia" w:asciiTheme="minorEastAsia" w:hAnsiTheme="minorEastAsia" w:eastAsiaTheme="minorEastAsia" w:cstheme="minorEastAsia"/>
          <w:b/>
          <w:bCs w:val="0"/>
          <w:color w:val="auto"/>
          <w:kern w:val="0"/>
          <w:sz w:val="24"/>
          <w:szCs w:val="20"/>
          <w:highlight w:val="none"/>
          <w:lang w:val="en-US" w:eastAsia="zh-CN" w:bidi="ar-SA"/>
        </w:rPr>
        <w:t>5、现场文明施工</w:t>
      </w:r>
    </w:p>
    <w:p w14:paraId="174328CF">
      <w:pPr>
        <w:pStyle w:val="27"/>
        <w:keepNext w:val="0"/>
        <w:keepLines w:val="0"/>
        <w:pageBreakBefore w:val="0"/>
        <w:widowControl w:val="0"/>
        <w:kinsoku/>
        <w:wordWrap/>
        <w:overflowPunct/>
        <w:topLinePunct w:val="0"/>
        <w:autoSpaceDE/>
        <w:autoSpaceDN/>
        <w:bidi w:val="0"/>
        <w:adjustRightInd/>
        <w:spacing w:line="380" w:lineRule="exact"/>
        <w:jc w:val="left"/>
        <w:textAlignment w:val="auto"/>
        <w:outlineLvl w:val="9"/>
        <w:rPr>
          <w:rFonts w:hint="eastAsia" w:asciiTheme="minorEastAsia" w:hAnsiTheme="minorEastAsia" w:eastAsiaTheme="minorEastAsia" w:cstheme="minorEastAsia"/>
          <w:b/>
          <w:bCs w:val="0"/>
          <w:color w:val="auto"/>
          <w:kern w:val="0"/>
          <w:sz w:val="24"/>
          <w:szCs w:val="20"/>
          <w:highlight w:val="none"/>
          <w:lang w:val="en-US" w:eastAsia="zh-CN" w:bidi="ar-SA"/>
        </w:rPr>
      </w:pPr>
      <w:r>
        <w:rPr>
          <w:rFonts w:hint="eastAsia" w:asciiTheme="minorEastAsia" w:hAnsiTheme="minorEastAsia" w:eastAsiaTheme="minorEastAsia" w:cstheme="minorEastAsia"/>
          <w:b/>
          <w:bCs w:val="0"/>
          <w:color w:val="auto"/>
          <w:kern w:val="0"/>
          <w:sz w:val="24"/>
          <w:szCs w:val="20"/>
          <w:highlight w:val="none"/>
          <w:lang w:val="en-US" w:eastAsia="zh-CN" w:bidi="ar-SA"/>
        </w:rPr>
        <w:t>6、劳动力需用量计划</w:t>
      </w:r>
    </w:p>
    <w:p w14:paraId="1ED46AD6">
      <w:pPr>
        <w:pStyle w:val="27"/>
        <w:keepNext w:val="0"/>
        <w:keepLines w:val="0"/>
        <w:pageBreakBefore w:val="0"/>
        <w:widowControl w:val="0"/>
        <w:kinsoku/>
        <w:wordWrap/>
        <w:overflowPunct/>
        <w:topLinePunct w:val="0"/>
        <w:autoSpaceDE/>
        <w:autoSpaceDN/>
        <w:bidi w:val="0"/>
        <w:adjustRightInd/>
        <w:spacing w:line="380" w:lineRule="exact"/>
        <w:jc w:val="left"/>
        <w:textAlignment w:val="auto"/>
        <w:outlineLvl w:val="9"/>
        <w:rPr>
          <w:rFonts w:hint="eastAsia" w:asciiTheme="minorEastAsia" w:hAnsiTheme="minorEastAsia" w:eastAsiaTheme="minorEastAsia" w:cstheme="minorEastAsia"/>
          <w:b/>
          <w:bCs w:val="0"/>
          <w:color w:val="auto"/>
          <w:kern w:val="0"/>
          <w:sz w:val="24"/>
          <w:szCs w:val="20"/>
          <w:highlight w:val="none"/>
          <w:lang w:val="en-US" w:eastAsia="zh-CN" w:bidi="ar-SA"/>
        </w:rPr>
      </w:pPr>
      <w:r>
        <w:rPr>
          <w:rFonts w:hint="eastAsia" w:asciiTheme="minorEastAsia" w:hAnsiTheme="minorEastAsia" w:eastAsiaTheme="minorEastAsia" w:cstheme="minorEastAsia"/>
          <w:b/>
          <w:bCs w:val="0"/>
          <w:color w:val="auto"/>
          <w:kern w:val="0"/>
          <w:sz w:val="24"/>
          <w:szCs w:val="20"/>
          <w:highlight w:val="none"/>
          <w:lang w:val="en-US" w:eastAsia="zh-CN" w:bidi="ar-SA"/>
        </w:rPr>
        <w:t>7、质量、进度、安全保证措施和体系</w:t>
      </w:r>
    </w:p>
    <w:p w14:paraId="54CB139D">
      <w:pPr>
        <w:pStyle w:val="27"/>
        <w:keepNext w:val="0"/>
        <w:keepLines w:val="0"/>
        <w:pageBreakBefore w:val="0"/>
        <w:widowControl w:val="0"/>
        <w:kinsoku/>
        <w:wordWrap/>
        <w:overflowPunct/>
        <w:topLinePunct w:val="0"/>
        <w:autoSpaceDE/>
        <w:autoSpaceDN/>
        <w:bidi w:val="0"/>
        <w:adjustRightInd/>
        <w:spacing w:line="380" w:lineRule="exact"/>
        <w:jc w:val="left"/>
        <w:textAlignment w:val="auto"/>
        <w:outlineLvl w:val="9"/>
        <w:rPr>
          <w:rFonts w:hint="eastAsia" w:asciiTheme="minorEastAsia" w:hAnsiTheme="minorEastAsia" w:eastAsiaTheme="minorEastAsia" w:cstheme="minorEastAsia"/>
          <w:b/>
          <w:bCs w:val="0"/>
          <w:color w:val="auto"/>
          <w:kern w:val="0"/>
          <w:sz w:val="24"/>
          <w:szCs w:val="20"/>
          <w:highlight w:val="none"/>
          <w:lang w:val="en-US" w:eastAsia="zh-CN" w:bidi="ar-SA"/>
        </w:rPr>
      </w:pPr>
      <w:r>
        <w:rPr>
          <w:rFonts w:hint="eastAsia" w:asciiTheme="minorEastAsia" w:hAnsiTheme="minorEastAsia" w:eastAsiaTheme="minorEastAsia" w:cstheme="minorEastAsia"/>
          <w:b/>
          <w:bCs w:val="0"/>
          <w:color w:val="auto"/>
          <w:kern w:val="0"/>
          <w:sz w:val="24"/>
          <w:szCs w:val="20"/>
          <w:highlight w:val="none"/>
          <w:lang w:val="en-US" w:eastAsia="zh-CN" w:bidi="ar-SA"/>
        </w:rPr>
        <w:t>8、售后服务方案</w:t>
      </w:r>
    </w:p>
    <w:p w14:paraId="04B282F7">
      <w:pPr>
        <w:pStyle w:val="27"/>
        <w:keepNext w:val="0"/>
        <w:keepLines w:val="0"/>
        <w:pageBreakBefore w:val="0"/>
        <w:widowControl w:val="0"/>
        <w:kinsoku/>
        <w:wordWrap/>
        <w:overflowPunct/>
        <w:topLinePunct w:val="0"/>
        <w:autoSpaceDE/>
        <w:autoSpaceDN/>
        <w:bidi w:val="0"/>
        <w:adjustRightInd/>
        <w:spacing w:line="380" w:lineRule="exact"/>
        <w:jc w:val="left"/>
        <w:textAlignment w:val="auto"/>
        <w:outlineLvl w:val="9"/>
        <w:rPr>
          <w:rFonts w:hint="eastAsia" w:asciiTheme="minorEastAsia" w:hAnsiTheme="minorEastAsia" w:eastAsiaTheme="minorEastAsia" w:cstheme="minorEastAsia"/>
          <w:b/>
          <w:bCs w:val="0"/>
          <w:color w:val="auto"/>
          <w:kern w:val="0"/>
          <w:sz w:val="24"/>
          <w:szCs w:val="20"/>
          <w:highlight w:val="none"/>
          <w:lang w:val="en-US" w:eastAsia="zh-CN" w:bidi="ar-SA"/>
        </w:rPr>
      </w:pPr>
      <w:r>
        <w:rPr>
          <w:rFonts w:hint="eastAsia" w:asciiTheme="minorEastAsia" w:hAnsiTheme="minorEastAsia" w:eastAsiaTheme="minorEastAsia" w:cstheme="minorEastAsia"/>
          <w:b/>
          <w:bCs w:val="0"/>
          <w:color w:val="auto"/>
          <w:kern w:val="0"/>
          <w:sz w:val="24"/>
          <w:szCs w:val="20"/>
          <w:highlight w:val="none"/>
          <w:lang w:val="en-US" w:eastAsia="zh-CN" w:bidi="ar-SA"/>
        </w:rPr>
        <w:t>注：1、技术文件须按上述格式目录顺序编写</w:t>
      </w:r>
      <w:bookmarkEnd w:id="322"/>
      <w:r>
        <w:rPr>
          <w:rFonts w:hint="eastAsia" w:asciiTheme="minorEastAsia" w:hAnsiTheme="minorEastAsia" w:eastAsiaTheme="minorEastAsia" w:cstheme="minorEastAsia"/>
          <w:b/>
          <w:bCs w:val="0"/>
          <w:color w:val="auto"/>
          <w:kern w:val="0"/>
          <w:sz w:val="24"/>
          <w:szCs w:val="20"/>
          <w:highlight w:val="none"/>
          <w:lang w:val="en-US" w:eastAsia="zh-CN" w:bidi="ar-SA"/>
        </w:rPr>
        <w:t>。</w:t>
      </w:r>
    </w:p>
    <w:p w14:paraId="27AA45DD">
      <w:pPr>
        <w:keepNext w:val="0"/>
        <w:keepLines w:val="0"/>
        <w:pageBreakBefore w:val="0"/>
        <w:widowControl w:val="0"/>
        <w:numPr>
          <w:ilvl w:val="0"/>
          <w:numId w:val="0"/>
        </w:numPr>
        <w:kinsoku/>
        <w:wordWrap/>
        <w:overflowPunct/>
        <w:topLinePunct w:val="0"/>
        <w:autoSpaceDE/>
        <w:autoSpaceDN/>
        <w:bidi w:val="0"/>
        <w:adjustRightInd/>
        <w:spacing w:line="380" w:lineRule="exact"/>
        <w:ind w:leftChars="-300" w:firstLine="1205" w:firstLineChars="500"/>
        <w:jc w:val="left"/>
        <w:textAlignment w:val="auto"/>
        <w:outlineLvl w:val="9"/>
        <w:rPr>
          <w:rFonts w:hint="eastAsia"/>
          <w:lang w:val="en-US" w:eastAsia="zh-CN"/>
        </w:rPr>
      </w:pPr>
      <w:r>
        <w:rPr>
          <w:rFonts w:hint="eastAsia" w:asciiTheme="minorEastAsia" w:hAnsiTheme="minorEastAsia" w:eastAsiaTheme="minorEastAsia" w:cstheme="minorEastAsia"/>
          <w:b/>
          <w:bCs w:val="0"/>
          <w:color w:val="auto"/>
          <w:kern w:val="0"/>
          <w:sz w:val="24"/>
          <w:szCs w:val="20"/>
          <w:highlight w:val="none"/>
          <w:lang w:val="en-US" w:eastAsia="zh-CN" w:bidi="ar-SA"/>
        </w:rPr>
        <w:t>2、附图若用A3纸张，请放于技术部分最后页。</w:t>
      </w:r>
    </w:p>
    <w:p w14:paraId="52D333E3">
      <w:pPr>
        <w:spacing w:line="240" w:lineRule="atLeast"/>
        <w:jc w:val="left"/>
        <w:rPr>
          <w:rFonts w:hint="eastAsia" w:asciiTheme="minorEastAsia" w:hAnsiTheme="minorEastAsia" w:eastAsiaTheme="minorEastAsia" w:cstheme="minorEastAsia"/>
          <w:b/>
          <w:kern w:val="0"/>
          <w:sz w:val="24"/>
          <w:szCs w:val="20"/>
        </w:rPr>
        <w:sectPr>
          <w:headerReference r:id="rId11" w:type="default"/>
          <w:footerReference r:id="rId13" w:type="default"/>
          <w:headerReference r:id="rId12" w:type="even"/>
          <w:footerReference r:id="rId14" w:type="even"/>
          <w:pgSz w:w="11906" w:h="16838"/>
          <w:pgMar w:top="1440" w:right="1797" w:bottom="1440" w:left="1797" w:header="851" w:footer="992" w:gutter="0"/>
          <w:pgNumType w:fmt="decimal"/>
          <w:cols w:space="720" w:num="1"/>
          <w:docGrid w:linePitch="312" w:charSpace="0"/>
        </w:sectPr>
      </w:pPr>
    </w:p>
    <w:p w14:paraId="27B403D6">
      <w:pPr>
        <w:pStyle w:val="8"/>
        <w:ind w:left="0" w:leftChars="0" w:firstLine="0" w:firstLineChars="0"/>
        <w:jc w:val="center"/>
        <w:rPr>
          <w:rFonts w:hint="eastAsia" w:asciiTheme="minorEastAsia" w:hAnsiTheme="minorEastAsia" w:eastAsiaTheme="minorEastAsia" w:cstheme="minorEastAsia"/>
          <w:bCs/>
          <w:sz w:val="48"/>
          <w:szCs w:val="48"/>
          <w:lang w:eastAsia="zh-CN"/>
        </w:rPr>
      </w:pPr>
      <w:bookmarkStart w:id="323" w:name="_Toc218935350"/>
      <w:bookmarkStart w:id="324" w:name="_Toc219175634"/>
      <w:bookmarkStart w:id="325" w:name="_Toc216582822"/>
      <w:bookmarkStart w:id="326" w:name="_Toc21156_WPSOffice_Level1"/>
      <w:bookmarkStart w:id="327" w:name="_Toc9913"/>
      <w:bookmarkStart w:id="328" w:name="_Toc518923124"/>
      <w:bookmarkStart w:id="329" w:name="_Toc507399902"/>
    </w:p>
    <w:p w14:paraId="4CF60E77">
      <w:pPr>
        <w:pStyle w:val="8"/>
        <w:ind w:left="0" w:leftChars="0" w:firstLine="0" w:firstLineChars="0"/>
        <w:jc w:val="center"/>
        <w:rPr>
          <w:rFonts w:hint="eastAsia" w:asciiTheme="minorEastAsia" w:hAnsiTheme="minorEastAsia" w:eastAsiaTheme="minorEastAsia" w:cstheme="minorEastAsia"/>
          <w:bCs/>
          <w:sz w:val="48"/>
          <w:szCs w:val="48"/>
          <w:lang w:eastAsia="zh-CN"/>
        </w:rPr>
      </w:pPr>
    </w:p>
    <w:p w14:paraId="181B330D">
      <w:pPr>
        <w:pStyle w:val="8"/>
        <w:ind w:left="0" w:leftChars="0" w:firstLine="0" w:firstLineChars="0"/>
        <w:jc w:val="center"/>
        <w:rPr>
          <w:rFonts w:hint="eastAsia" w:asciiTheme="minorEastAsia" w:hAnsiTheme="minorEastAsia" w:eastAsiaTheme="minorEastAsia" w:cstheme="minorEastAsia"/>
          <w:bCs/>
          <w:sz w:val="48"/>
          <w:szCs w:val="48"/>
          <w:lang w:eastAsia="zh-CN"/>
        </w:rPr>
      </w:pPr>
      <w:r>
        <w:rPr>
          <w:rFonts w:hint="eastAsia" w:asciiTheme="minorEastAsia" w:hAnsiTheme="minorEastAsia" w:eastAsiaTheme="minorEastAsia" w:cstheme="minorEastAsia"/>
          <w:bCs/>
          <w:sz w:val="48"/>
          <w:szCs w:val="48"/>
          <w:lang w:eastAsia="zh-CN"/>
        </w:rPr>
        <w:t>疏勒县疾病预防控制中心（卫生监督所）综合楼（实验室）维修改造项目</w:t>
      </w:r>
    </w:p>
    <w:p w14:paraId="502020E6">
      <w:pPr>
        <w:pStyle w:val="8"/>
        <w:rPr>
          <w:rFonts w:hint="eastAsia" w:asciiTheme="minorEastAsia" w:hAnsiTheme="minorEastAsia" w:eastAsiaTheme="minorEastAsia" w:cstheme="minorEastAsia"/>
          <w:bCs/>
          <w:sz w:val="48"/>
          <w:szCs w:val="48"/>
        </w:rPr>
      </w:pPr>
    </w:p>
    <w:p w14:paraId="07C334A1">
      <w:pPr>
        <w:autoSpaceDE w:val="0"/>
        <w:autoSpaceDN w:val="0"/>
        <w:spacing w:line="360" w:lineRule="auto"/>
        <w:jc w:val="center"/>
        <w:outlineLvl w:val="1"/>
        <w:rPr>
          <w:rFonts w:hint="eastAsia" w:asciiTheme="minorEastAsia" w:hAnsiTheme="minorEastAsia" w:eastAsiaTheme="minorEastAsia" w:cstheme="minorEastAsia"/>
          <w:b/>
          <w:bCs/>
          <w:color w:val="000000"/>
          <w:kern w:val="0"/>
          <w:sz w:val="36"/>
          <w:szCs w:val="36"/>
          <w:lang w:eastAsia="zh-CN" w:bidi="ar"/>
        </w:rPr>
      </w:pPr>
      <w:bookmarkStart w:id="330" w:name="_Toc11107"/>
      <w:r>
        <w:rPr>
          <w:rFonts w:hint="eastAsia" w:asciiTheme="minorEastAsia" w:hAnsiTheme="minorEastAsia" w:eastAsiaTheme="minorEastAsia" w:cstheme="minorEastAsia"/>
          <w:bCs/>
          <w:sz w:val="32"/>
          <w:szCs w:val="32"/>
        </w:rPr>
        <w:t>项目编号：</w:t>
      </w:r>
      <w:bookmarkEnd w:id="330"/>
      <w:r>
        <w:rPr>
          <w:rFonts w:hint="eastAsia" w:asciiTheme="minorEastAsia" w:hAnsiTheme="minorEastAsia" w:eastAsiaTheme="minorEastAsia" w:cstheme="minorEastAsia"/>
          <w:bCs/>
          <w:sz w:val="32"/>
          <w:szCs w:val="32"/>
          <w:lang w:eastAsia="zh-CN"/>
        </w:rPr>
        <w:t>XJGQ</w:t>
      </w:r>
      <w:r>
        <w:rPr>
          <w:rFonts w:hint="eastAsia" w:asciiTheme="minorEastAsia" w:hAnsiTheme="minorEastAsia" w:eastAsiaTheme="minorEastAsia" w:cstheme="minorEastAsia"/>
          <w:bCs/>
          <w:sz w:val="32"/>
          <w:szCs w:val="32"/>
          <w:lang w:val="en-US" w:eastAsia="zh-CN"/>
        </w:rPr>
        <w:t>SLX</w:t>
      </w:r>
      <w:r>
        <w:rPr>
          <w:rFonts w:hint="eastAsia" w:asciiTheme="minorEastAsia" w:hAnsiTheme="minorEastAsia" w:eastAsiaTheme="minorEastAsia" w:cstheme="minorEastAsia"/>
          <w:bCs/>
          <w:sz w:val="32"/>
          <w:szCs w:val="32"/>
          <w:lang w:eastAsia="zh-CN"/>
        </w:rPr>
        <w:t>(CS)2025-01号</w:t>
      </w:r>
    </w:p>
    <w:p w14:paraId="5450BFF3">
      <w:pPr>
        <w:spacing w:line="240" w:lineRule="atLeast"/>
        <w:ind w:left="1080" w:leftChars="257" w:hanging="540"/>
        <w:jc w:val="center"/>
        <w:outlineLvl w:val="0"/>
        <w:rPr>
          <w:rFonts w:hint="eastAsia"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 xml:space="preserve"> </w:t>
      </w:r>
    </w:p>
    <w:p w14:paraId="6FFFF8A8">
      <w:pPr>
        <w:spacing w:line="240" w:lineRule="atLeast"/>
        <w:ind w:left="1080" w:leftChars="257" w:hanging="540"/>
        <w:jc w:val="center"/>
        <w:outlineLvl w:val="0"/>
        <w:rPr>
          <w:rFonts w:hint="eastAsia" w:asciiTheme="minorEastAsia" w:hAnsiTheme="minorEastAsia" w:eastAsiaTheme="minorEastAsia" w:cstheme="minorEastAsia"/>
          <w:bCs/>
          <w:sz w:val="48"/>
          <w:szCs w:val="48"/>
        </w:rPr>
      </w:pPr>
    </w:p>
    <w:p w14:paraId="66AA9704">
      <w:pPr>
        <w:pStyle w:val="8"/>
        <w:ind w:left="0" w:leftChars="0" w:firstLine="0" w:firstLineChars="0"/>
        <w:rPr>
          <w:rFonts w:hint="eastAsia" w:asciiTheme="minorEastAsia" w:hAnsiTheme="minorEastAsia" w:eastAsiaTheme="minorEastAsia" w:cstheme="minorEastAsia"/>
          <w:bCs/>
          <w:sz w:val="48"/>
          <w:szCs w:val="48"/>
        </w:rPr>
      </w:pPr>
    </w:p>
    <w:p w14:paraId="478F0E88">
      <w:pPr>
        <w:spacing w:line="240" w:lineRule="atLeast"/>
        <w:ind w:left="1080" w:leftChars="257" w:hanging="540"/>
        <w:jc w:val="center"/>
        <w:outlineLvl w:val="0"/>
        <w:rPr>
          <w:rFonts w:hint="eastAsia" w:asciiTheme="minorEastAsia" w:hAnsiTheme="minorEastAsia" w:eastAsiaTheme="minorEastAsia" w:cstheme="minorEastAsia"/>
          <w:bCs/>
          <w:sz w:val="48"/>
          <w:szCs w:val="48"/>
        </w:rPr>
      </w:pPr>
    </w:p>
    <w:p w14:paraId="7BA925DA">
      <w:pPr>
        <w:pStyle w:val="3"/>
        <w:rPr>
          <w:rFonts w:hint="eastAsia" w:asciiTheme="minorEastAsia" w:hAnsiTheme="minorEastAsia" w:eastAsiaTheme="minorEastAsia" w:cstheme="minorEastAsia"/>
        </w:rPr>
      </w:pPr>
    </w:p>
    <w:p w14:paraId="78E2D9EF">
      <w:pPr>
        <w:spacing w:line="240" w:lineRule="atLeast"/>
        <w:ind w:left="1080" w:leftChars="257" w:hanging="540"/>
        <w:jc w:val="center"/>
        <w:outlineLvl w:val="0"/>
        <w:rPr>
          <w:rFonts w:hint="eastAsia" w:asciiTheme="minorEastAsia" w:hAnsiTheme="minorEastAsia" w:eastAsiaTheme="minorEastAsia" w:cstheme="minorEastAsia"/>
          <w:b/>
          <w:sz w:val="32"/>
          <w:szCs w:val="32"/>
        </w:rPr>
      </w:pPr>
      <w:bookmarkStart w:id="331" w:name="_Toc28996"/>
      <w:r>
        <w:rPr>
          <w:rFonts w:hint="eastAsia" w:asciiTheme="minorEastAsia" w:hAnsiTheme="minorEastAsia" w:eastAsiaTheme="minorEastAsia" w:cstheme="minorEastAsia"/>
          <w:bCs/>
          <w:sz w:val="48"/>
          <w:szCs w:val="48"/>
        </w:rPr>
        <w:t>竞争性磋商文件</w:t>
      </w:r>
      <w:bookmarkEnd w:id="331"/>
      <w:r>
        <w:rPr>
          <w:rFonts w:hint="eastAsia" w:asciiTheme="minorEastAsia" w:hAnsiTheme="minorEastAsia" w:eastAsiaTheme="minorEastAsia" w:cstheme="minorEastAsia"/>
          <w:bCs/>
          <w:sz w:val="52"/>
          <w:szCs w:val="52"/>
        </w:rPr>
        <w:t xml:space="preserve"> </w:t>
      </w:r>
    </w:p>
    <w:p w14:paraId="593B42E2">
      <w:pPr>
        <w:spacing w:line="240" w:lineRule="atLeast"/>
        <w:ind w:left="1080" w:leftChars="257" w:hanging="540"/>
        <w:jc w:val="center"/>
        <w:rPr>
          <w:rFonts w:hint="eastAsia" w:asciiTheme="minorEastAsia" w:hAnsiTheme="minorEastAsia" w:eastAsiaTheme="minorEastAsia" w:cstheme="minorEastAsia"/>
          <w:b/>
          <w:sz w:val="32"/>
          <w:szCs w:val="32"/>
        </w:rPr>
      </w:pPr>
    </w:p>
    <w:p w14:paraId="2F862F06">
      <w:pPr>
        <w:pStyle w:val="3"/>
        <w:rPr>
          <w:rFonts w:hint="eastAsia" w:asciiTheme="minorEastAsia" w:hAnsiTheme="minorEastAsia" w:eastAsiaTheme="minorEastAsia" w:cstheme="minorEastAsia"/>
          <w:b/>
          <w:sz w:val="32"/>
          <w:szCs w:val="32"/>
        </w:rPr>
      </w:pPr>
    </w:p>
    <w:p w14:paraId="71F0637C">
      <w:pPr>
        <w:spacing w:line="240" w:lineRule="atLeast"/>
        <w:rPr>
          <w:rFonts w:hint="eastAsia" w:asciiTheme="minorEastAsia" w:hAnsiTheme="minorEastAsia" w:eastAsiaTheme="minorEastAsia" w:cstheme="minorEastAsia"/>
          <w:b/>
          <w:sz w:val="28"/>
        </w:rPr>
      </w:pPr>
    </w:p>
    <w:p w14:paraId="546A74E1">
      <w:pPr>
        <w:spacing w:line="240" w:lineRule="atLeast"/>
        <w:ind w:left="1080" w:leftChars="257" w:hanging="540"/>
        <w:jc w:val="center"/>
        <w:outlineLvl w:val="0"/>
        <w:rPr>
          <w:rFonts w:hint="eastAsia" w:asciiTheme="minorEastAsia" w:hAnsiTheme="minorEastAsia" w:eastAsiaTheme="minorEastAsia" w:cstheme="minorEastAsia"/>
          <w:b/>
          <w:sz w:val="48"/>
          <w:szCs w:val="48"/>
        </w:rPr>
      </w:pPr>
      <w:bookmarkStart w:id="332" w:name="_Toc22377"/>
      <w:r>
        <w:rPr>
          <w:rFonts w:hint="eastAsia" w:asciiTheme="minorEastAsia" w:hAnsiTheme="minorEastAsia" w:eastAsiaTheme="minorEastAsia" w:cstheme="minorEastAsia"/>
          <w:b/>
          <w:sz w:val="48"/>
          <w:szCs w:val="48"/>
        </w:rPr>
        <w:t>第</w:t>
      </w:r>
      <w:r>
        <w:rPr>
          <w:rFonts w:hint="eastAsia" w:asciiTheme="minorEastAsia" w:hAnsiTheme="minorEastAsia" w:eastAsiaTheme="minorEastAsia" w:cstheme="minorEastAsia"/>
          <w:b/>
          <w:sz w:val="48"/>
          <w:szCs w:val="48"/>
          <w:lang w:eastAsia="zh-CN"/>
        </w:rPr>
        <w:t>二</w:t>
      </w:r>
      <w:r>
        <w:rPr>
          <w:rFonts w:hint="eastAsia" w:asciiTheme="minorEastAsia" w:hAnsiTheme="minorEastAsia" w:eastAsiaTheme="minorEastAsia" w:cstheme="minorEastAsia"/>
          <w:b/>
          <w:sz w:val="48"/>
          <w:szCs w:val="48"/>
        </w:rPr>
        <w:t>册</w:t>
      </w:r>
      <w:bookmarkEnd w:id="332"/>
    </w:p>
    <w:p w14:paraId="1529E914">
      <w:pPr>
        <w:spacing w:line="240" w:lineRule="atLeast"/>
        <w:ind w:left="1080" w:leftChars="257" w:hanging="540"/>
        <w:jc w:val="center"/>
        <w:rPr>
          <w:rFonts w:hint="eastAsia" w:asciiTheme="minorEastAsia" w:hAnsiTheme="minorEastAsia" w:eastAsiaTheme="minorEastAsia" w:cstheme="minorEastAsia"/>
          <w:b/>
          <w:sz w:val="52"/>
        </w:rPr>
      </w:pPr>
    </w:p>
    <w:p w14:paraId="35A017F1">
      <w:pPr>
        <w:spacing w:line="240" w:lineRule="atLeast"/>
        <w:ind w:left="1080" w:leftChars="257" w:hanging="540"/>
        <w:jc w:val="center"/>
        <w:rPr>
          <w:rFonts w:hint="eastAsia" w:asciiTheme="minorEastAsia" w:hAnsiTheme="minorEastAsia" w:eastAsiaTheme="minorEastAsia" w:cstheme="minorEastAsia"/>
          <w:b/>
          <w:sz w:val="52"/>
        </w:rPr>
      </w:pPr>
    </w:p>
    <w:p w14:paraId="40AFACBA">
      <w:pPr>
        <w:pStyle w:val="13"/>
        <w:ind w:firstLine="1044"/>
        <w:rPr>
          <w:rFonts w:hint="eastAsia" w:asciiTheme="minorEastAsia" w:hAnsiTheme="minorEastAsia" w:eastAsiaTheme="minorEastAsia" w:cstheme="minorEastAsia"/>
          <w:b/>
          <w:sz w:val="52"/>
        </w:rPr>
      </w:pPr>
    </w:p>
    <w:p w14:paraId="35235149">
      <w:pPr>
        <w:pStyle w:val="13"/>
        <w:ind w:firstLine="1044"/>
        <w:rPr>
          <w:rFonts w:hint="eastAsia" w:asciiTheme="minorEastAsia" w:hAnsiTheme="minorEastAsia" w:eastAsiaTheme="minorEastAsia" w:cstheme="minorEastAsia"/>
          <w:b/>
          <w:sz w:val="52"/>
        </w:rPr>
      </w:pPr>
    </w:p>
    <w:p w14:paraId="39BAA65D">
      <w:pPr>
        <w:pStyle w:val="13"/>
        <w:ind w:firstLine="1044"/>
        <w:rPr>
          <w:rFonts w:hint="eastAsia" w:asciiTheme="minorEastAsia" w:hAnsiTheme="minorEastAsia" w:eastAsiaTheme="minorEastAsia" w:cstheme="minorEastAsia"/>
          <w:b/>
          <w:sz w:val="52"/>
        </w:rPr>
      </w:pPr>
    </w:p>
    <w:p w14:paraId="4C6C66C6">
      <w:pPr>
        <w:pStyle w:val="13"/>
        <w:ind w:left="0" w:leftChars="0" w:firstLine="0" w:firstLineChars="0"/>
        <w:rPr>
          <w:rFonts w:hint="eastAsia" w:asciiTheme="minorEastAsia" w:hAnsiTheme="minorEastAsia" w:eastAsiaTheme="minorEastAsia" w:cstheme="minorEastAsia"/>
          <w:b/>
          <w:sz w:val="52"/>
        </w:rPr>
      </w:pPr>
    </w:p>
    <w:p w14:paraId="0228E4A7">
      <w:pPr>
        <w:pStyle w:val="3"/>
        <w:bidi w:val="0"/>
        <w:rPr>
          <w:rFonts w:hint="eastAsia"/>
          <w:lang w:val="en-US" w:eastAsia="zh-CN"/>
        </w:rPr>
      </w:pPr>
      <w:bookmarkStart w:id="333" w:name="_Toc3597"/>
      <w:r>
        <w:rPr>
          <w:rFonts w:hint="eastAsia" w:asciiTheme="minorEastAsia" w:hAnsiTheme="minorEastAsia" w:eastAsiaTheme="minorEastAsia" w:cstheme="minorEastAsia"/>
          <w:color w:val="000000"/>
        </w:rPr>
        <w:t xml:space="preserve">第3章  </w:t>
      </w:r>
      <w:bookmarkEnd w:id="323"/>
      <w:bookmarkEnd w:id="324"/>
      <w:bookmarkEnd w:id="325"/>
      <w:bookmarkEnd w:id="326"/>
      <w:bookmarkEnd w:id="327"/>
      <w:bookmarkEnd w:id="328"/>
      <w:bookmarkEnd w:id="329"/>
      <w:bookmarkEnd w:id="333"/>
      <w:r>
        <w:rPr>
          <w:rFonts w:hint="eastAsia"/>
          <w:lang w:val="en-US" w:eastAsia="zh-CN"/>
        </w:rPr>
        <w:t>疏勒县疾病预防控制中心（卫生监督所）综合楼（实验室）维修改造项目</w:t>
      </w:r>
    </w:p>
    <w:p w14:paraId="6E75215A">
      <w:pPr>
        <w:pStyle w:val="3"/>
        <w:bidi w:val="0"/>
        <w:rPr>
          <w:rFonts w:hint="eastAsia"/>
          <w:lang w:val="en-US" w:eastAsia="zh-CN"/>
        </w:rPr>
      </w:pPr>
      <w:r>
        <w:rPr>
          <w:rFonts w:hint="eastAsia"/>
          <w:lang w:val="en-US" w:eastAsia="zh-CN"/>
        </w:rPr>
        <w:t>竞争性磋商公告</w:t>
      </w:r>
    </w:p>
    <w:tbl>
      <w:tblPr>
        <w:tblStyle w:val="3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5"/>
      </w:tblGrid>
      <w:tr w14:paraId="53E4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vAlign w:val="top"/>
          </w:tcPr>
          <w:p w14:paraId="2D7346CA">
            <w:pPr>
              <w:pStyle w:val="3"/>
              <w:pageBreakBefore w:val="0"/>
              <w:kinsoku/>
              <w:wordWrap/>
              <w:overflowPunct/>
              <w:topLinePunct w:val="0"/>
              <w:bidi w:val="0"/>
              <w:snapToGrid/>
              <w:spacing w:line="240" w:lineRule="auto"/>
              <w:jc w:val="both"/>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项目概况</w:t>
            </w:r>
          </w:p>
          <w:p w14:paraId="02C9C2D3">
            <w:pPr>
              <w:pStyle w:val="3"/>
              <w:pageBreakBefore w:val="0"/>
              <w:kinsoku/>
              <w:wordWrap/>
              <w:overflowPunct/>
              <w:topLinePunct w:val="0"/>
              <w:bidi w:val="0"/>
              <w:snapToGrid/>
              <w:spacing w:line="240" w:lineRule="auto"/>
              <w:ind w:firstLine="480" w:firstLineChars="200"/>
              <w:jc w:val="left"/>
              <w:textAlignment w:val="auto"/>
              <w:rPr>
                <w:rFonts w:hint="eastAsia" w:ascii="宋体" w:hAnsi="宋体" w:eastAsia="宋体" w:cs="宋体"/>
                <w:b w:val="0"/>
                <w:bCs/>
                <w:i w:val="0"/>
                <w:iCs w:val="0"/>
                <w:color w:val="auto"/>
                <w:sz w:val="24"/>
                <w:szCs w:val="24"/>
                <w:highlight w:val="none"/>
                <w:vertAlign w:val="baseline"/>
                <w:lang w:val="en-US" w:eastAsia="zh-CN"/>
              </w:rPr>
            </w:pPr>
            <w:r>
              <w:rPr>
                <w:rFonts w:hint="eastAsia" w:ascii="宋体" w:hAnsi="宋体" w:eastAsia="宋体" w:cs="宋体"/>
                <w:b w:val="0"/>
                <w:bCs/>
                <w:i w:val="0"/>
                <w:iCs w:val="0"/>
                <w:color w:val="auto"/>
                <w:sz w:val="24"/>
                <w:szCs w:val="24"/>
                <w:highlight w:val="none"/>
                <w:vertAlign w:val="baseline"/>
                <w:lang w:val="en-US" w:eastAsia="zh-CN"/>
              </w:rPr>
              <w:t>疏勒县疾病预防控制中心（卫生监督所）综合楼（实验室）维修改造项目的潜在供应商应现场获取磋商文件，并于2025年7月14日11点00分（北京时间）前提交响应文件。</w:t>
            </w:r>
          </w:p>
        </w:tc>
      </w:tr>
    </w:tbl>
    <w:p w14:paraId="1B491B16">
      <w:pPr>
        <w:pStyle w:val="3"/>
        <w:pageBreakBefore w:val="0"/>
        <w:kinsoku/>
        <w:wordWrap/>
        <w:overflowPunct/>
        <w:topLinePunct w:val="0"/>
        <w:bidi w:val="0"/>
        <w:snapToGrid/>
        <w:spacing w:line="240" w:lineRule="auto"/>
        <w:jc w:val="left"/>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一、项目基本情况</w:t>
      </w:r>
    </w:p>
    <w:p w14:paraId="1D43850A">
      <w:pPr>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项目编号:</w:t>
      </w:r>
      <w:r>
        <w:rPr>
          <w:rFonts w:hint="eastAsia" w:ascii="宋体" w:hAnsi="宋体" w:cs="宋体"/>
          <w:b w:val="0"/>
          <w:bCs/>
          <w:color w:val="auto"/>
          <w:kern w:val="0"/>
          <w:sz w:val="24"/>
          <w:szCs w:val="24"/>
          <w:highlight w:val="none"/>
          <w:lang w:val="en-US" w:eastAsia="zh-CN"/>
        </w:rPr>
        <w:t>XJGQSLX(CS)2025-01号</w:t>
      </w:r>
    </w:p>
    <w:p w14:paraId="76D96363">
      <w:pPr>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项目名称：</w:t>
      </w:r>
      <w:r>
        <w:rPr>
          <w:rFonts w:hint="eastAsia" w:ascii="宋体" w:hAnsi="宋体" w:cs="宋体"/>
          <w:b w:val="0"/>
          <w:bCs/>
          <w:i w:val="0"/>
          <w:iCs w:val="0"/>
          <w:color w:val="auto"/>
          <w:kern w:val="2"/>
          <w:sz w:val="24"/>
          <w:szCs w:val="24"/>
          <w:highlight w:val="none"/>
          <w:lang w:val="en-US" w:eastAsia="zh-CN" w:bidi="ar-SA"/>
        </w:rPr>
        <w:t>疏勒县疾病预防控制中心（卫生监督所）综合楼（实验室）维修改造项目</w:t>
      </w:r>
    </w:p>
    <w:p w14:paraId="6A0B7A64">
      <w:pPr>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 xml:space="preserve">采购方式：竞争性磋商 </w:t>
      </w:r>
    </w:p>
    <w:p w14:paraId="131C2FD3">
      <w:pPr>
        <w:pageBreakBefore w:val="0"/>
        <w:kinsoku/>
        <w:wordWrap/>
        <w:overflowPunct/>
        <w:topLinePunct w:val="0"/>
        <w:bidi w:val="0"/>
        <w:snapToGrid/>
        <w:spacing w:line="240" w:lineRule="auto"/>
        <w:ind w:left="479" w:leftChars="228" w:firstLine="0" w:firstLineChars="0"/>
        <w:jc w:val="left"/>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kern w:val="2"/>
          <w:sz w:val="24"/>
          <w:szCs w:val="24"/>
          <w:highlight w:val="none"/>
          <w:lang w:val="en-US" w:eastAsia="zh-CN" w:bidi="ar-SA"/>
        </w:rPr>
        <w:t>预算金额：</w:t>
      </w:r>
      <w:r>
        <w:rPr>
          <w:rFonts w:hint="eastAsia" w:ascii="宋体" w:hAnsi="宋体" w:cs="宋体"/>
          <w:b w:val="0"/>
          <w:bCs/>
          <w:i w:val="0"/>
          <w:iCs w:val="0"/>
          <w:color w:val="auto"/>
          <w:kern w:val="2"/>
          <w:sz w:val="24"/>
          <w:szCs w:val="24"/>
          <w:highlight w:val="none"/>
          <w:lang w:val="en-US" w:eastAsia="zh-CN" w:bidi="ar-SA"/>
        </w:rPr>
        <w:t>50万</w:t>
      </w:r>
      <w:r>
        <w:rPr>
          <w:rFonts w:hint="eastAsia" w:ascii="宋体" w:hAnsi="宋体" w:eastAsia="宋体" w:cs="宋体"/>
          <w:b w:val="0"/>
          <w:bCs/>
          <w:i w:val="0"/>
          <w:iCs w:val="0"/>
          <w:color w:val="auto"/>
          <w:sz w:val="24"/>
          <w:szCs w:val="24"/>
          <w:highlight w:val="none"/>
          <w:lang w:val="en-US" w:eastAsia="zh-CN"/>
        </w:rPr>
        <w:t>元</w:t>
      </w:r>
    </w:p>
    <w:p w14:paraId="2F89DC85">
      <w:pPr>
        <w:pageBreakBefore w:val="0"/>
        <w:kinsoku/>
        <w:wordWrap/>
        <w:overflowPunct/>
        <w:topLinePunct w:val="0"/>
        <w:bidi w:val="0"/>
        <w:snapToGrid/>
        <w:spacing w:line="240" w:lineRule="auto"/>
        <w:ind w:firstLine="480" w:firstLineChars="200"/>
        <w:jc w:val="left"/>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kern w:val="2"/>
          <w:sz w:val="24"/>
          <w:szCs w:val="24"/>
          <w:highlight w:val="none"/>
          <w:lang w:val="en-US" w:eastAsia="zh-CN" w:bidi="ar-SA"/>
        </w:rPr>
        <w:t>采购</w:t>
      </w:r>
      <w:r>
        <w:rPr>
          <w:rFonts w:hint="eastAsia" w:ascii="宋体" w:hAnsi="宋体" w:eastAsia="宋体" w:cs="宋体"/>
          <w:b w:val="0"/>
          <w:bCs/>
          <w:i w:val="0"/>
          <w:iCs w:val="0"/>
          <w:color w:val="auto"/>
          <w:sz w:val="24"/>
          <w:szCs w:val="24"/>
          <w:highlight w:val="none"/>
          <w:lang w:val="en-US" w:eastAsia="zh-CN"/>
        </w:rPr>
        <w:t>需求：</w:t>
      </w:r>
      <w:r>
        <w:rPr>
          <w:rFonts w:hint="eastAsia" w:ascii="宋体" w:hAnsi="宋体" w:cs="宋体"/>
          <w:b w:val="0"/>
          <w:bCs/>
          <w:i w:val="0"/>
          <w:iCs w:val="0"/>
          <w:color w:val="auto"/>
          <w:sz w:val="24"/>
          <w:szCs w:val="24"/>
          <w:highlight w:val="none"/>
          <w:lang w:val="en-US" w:eastAsia="zh-CN"/>
        </w:rPr>
        <w:t>对疏勒县疾病预防控制中心综合楼(实验室)进行房屋、水电暖维修改造。</w:t>
      </w:r>
      <w:r>
        <w:rPr>
          <w:rFonts w:hint="eastAsia" w:ascii="宋体" w:hAnsi="宋体" w:eastAsia="宋体" w:cs="宋体"/>
          <w:b w:val="0"/>
          <w:bCs/>
          <w:i w:val="0"/>
          <w:iCs w:val="0"/>
          <w:color w:val="auto"/>
          <w:sz w:val="24"/>
          <w:szCs w:val="24"/>
          <w:highlight w:val="none"/>
          <w:lang w:val="en-US" w:eastAsia="zh-CN"/>
        </w:rPr>
        <w:t>工程量清单及施工图纸范围内的全部工作内容。</w:t>
      </w:r>
      <w:r>
        <w:rPr>
          <w:rFonts w:hint="eastAsia" w:ascii="宋体" w:hAnsi="宋体" w:eastAsia="宋体" w:cs="宋体"/>
          <w:b w:val="0"/>
          <w:bCs/>
          <w:i w:val="0"/>
          <w:iCs w:val="0"/>
          <w:color w:val="auto"/>
          <w:kern w:val="2"/>
          <w:sz w:val="24"/>
          <w:szCs w:val="24"/>
          <w:highlight w:val="none"/>
          <w:lang w:val="en-US" w:eastAsia="zh-CN" w:bidi="ar-SA"/>
        </w:rPr>
        <w:t>（具体内容详见磋商文件）</w:t>
      </w:r>
    </w:p>
    <w:p w14:paraId="78D91EDD">
      <w:pPr>
        <w:pageBreakBefore w:val="0"/>
        <w:kinsoku/>
        <w:wordWrap/>
        <w:overflowPunct/>
        <w:topLinePunct w:val="0"/>
        <w:bidi w:val="0"/>
        <w:snapToGrid/>
        <w:spacing w:line="240" w:lineRule="auto"/>
        <w:ind w:left="479" w:leftChars="228" w:firstLine="0" w:firstLineChars="0"/>
        <w:jc w:val="left"/>
        <w:textAlignment w:val="auto"/>
        <w:rPr>
          <w:rFonts w:hint="eastAsia" w:ascii="宋体" w:hAnsi="宋体" w:eastAsia="宋体" w:cs="宋体"/>
          <w:b w:val="0"/>
          <w:bCs/>
          <w:i w:val="0"/>
          <w:iCs w:val="0"/>
          <w:color w:val="auto"/>
          <w:kern w:val="2"/>
          <w:sz w:val="24"/>
          <w:szCs w:val="24"/>
          <w:highlight w:val="red"/>
          <w:lang w:val="en-US" w:eastAsia="zh-CN" w:bidi="ar-SA"/>
        </w:rPr>
      </w:pPr>
      <w:r>
        <w:rPr>
          <w:rFonts w:hint="eastAsia" w:ascii="宋体" w:hAnsi="宋体" w:eastAsia="宋体" w:cs="宋体"/>
          <w:b w:val="0"/>
          <w:bCs/>
          <w:i w:val="0"/>
          <w:iCs w:val="0"/>
          <w:color w:val="auto"/>
          <w:sz w:val="24"/>
          <w:szCs w:val="24"/>
          <w:highlight w:val="none"/>
        </w:rPr>
        <w:t>履行期限</w:t>
      </w:r>
      <w:r>
        <w:rPr>
          <w:rFonts w:hint="eastAsia" w:ascii="宋体" w:hAnsi="宋体" w:eastAsia="宋体" w:cs="宋体"/>
          <w:b w:val="0"/>
          <w:bCs/>
          <w:i w:val="0"/>
          <w:iCs w:val="0"/>
          <w:color w:val="auto"/>
          <w:kern w:val="2"/>
          <w:sz w:val="24"/>
          <w:szCs w:val="24"/>
          <w:highlight w:val="none"/>
          <w:lang w:val="en-US" w:eastAsia="zh-CN" w:bidi="ar-SA"/>
        </w:rPr>
        <w:t>：</w:t>
      </w:r>
      <w:r>
        <w:rPr>
          <w:rFonts w:hint="eastAsia" w:ascii="宋体" w:hAnsi="宋体" w:cs="宋体"/>
          <w:b w:val="0"/>
          <w:bCs/>
          <w:i w:val="0"/>
          <w:iCs w:val="0"/>
          <w:color w:val="auto"/>
          <w:kern w:val="2"/>
          <w:sz w:val="24"/>
          <w:szCs w:val="24"/>
          <w:highlight w:val="none"/>
          <w:lang w:val="en-US" w:eastAsia="zh-CN" w:bidi="ar-SA"/>
        </w:rPr>
        <w:t>45</w:t>
      </w:r>
      <w:r>
        <w:rPr>
          <w:rFonts w:hint="eastAsia" w:ascii="宋体" w:hAnsi="宋体" w:eastAsia="宋体" w:cs="宋体"/>
          <w:b w:val="0"/>
          <w:bCs/>
          <w:i w:val="0"/>
          <w:iCs w:val="0"/>
          <w:color w:val="auto"/>
          <w:kern w:val="2"/>
          <w:sz w:val="24"/>
          <w:szCs w:val="24"/>
          <w:highlight w:val="none"/>
          <w:lang w:val="en-US" w:eastAsia="zh-CN" w:bidi="ar-SA"/>
        </w:rPr>
        <w:t>天（具体以签订的合同为准）</w:t>
      </w:r>
    </w:p>
    <w:p w14:paraId="4B2DEB31">
      <w:pPr>
        <w:pageBreakBefore w:val="0"/>
        <w:kinsoku/>
        <w:wordWrap/>
        <w:overflowPunct/>
        <w:topLinePunct w:val="0"/>
        <w:bidi w:val="0"/>
        <w:snapToGrid/>
        <w:spacing w:line="240" w:lineRule="auto"/>
        <w:ind w:firstLine="480" w:firstLineChars="2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本项目不接受联合体。</w:t>
      </w:r>
    </w:p>
    <w:p w14:paraId="2461D768">
      <w:pPr>
        <w:pageBreakBefore w:val="0"/>
        <w:kinsoku/>
        <w:wordWrap/>
        <w:overflowPunct/>
        <w:topLinePunct w:val="0"/>
        <w:bidi w:val="0"/>
        <w:snapToGrid/>
        <w:spacing w:line="240" w:lineRule="auto"/>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二、申请人的资格要求：</w:t>
      </w:r>
    </w:p>
    <w:p w14:paraId="47585FD6">
      <w:pPr>
        <w:pageBreakBefore w:val="0"/>
        <w:kinsoku/>
        <w:wordWrap/>
        <w:overflowPunct/>
        <w:topLinePunct w:val="0"/>
        <w:bidi w:val="0"/>
        <w:snapToGrid/>
        <w:spacing w:line="240" w:lineRule="auto"/>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1、满足《中华人民共和国政府采购法》第二十二条规定；</w:t>
      </w:r>
    </w:p>
    <w:p w14:paraId="6ECC5F32">
      <w:pPr>
        <w:pageBreakBefore w:val="0"/>
        <w:kinsoku/>
        <w:wordWrap/>
        <w:overflowPunct/>
        <w:topLinePunct w:val="0"/>
        <w:bidi w:val="0"/>
        <w:snapToGrid/>
        <w:spacing w:line="240" w:lineRule="auto"/>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2、落实政府采购政策需满足的资格要求：本项目专门面向中小企业采购。</w:t>
      </w:r>
    </w:p>
    <w:p w14:paraId="600C51E3">
      <w:pPr>
        <w:pageBreakBefore w:val="0"/>
        <w:kinsoku/>
        <w:wordWrap/>
        <w:overflowPunct/>
        <w:topLinePunct w:val="0"/>
        <w:bidi w:val="0"/>
        <w:snapToGrid/>
        <w:spacing w:line="240" w:lineRule="auto"/>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3、本项目的特定资格要求：</w:t>
      </w:r>
    </w:p>
    <w:p w14:paraId="51DEA72B">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（1）具有有效的营业执照。</w:t>
      </w:r>
    </w:p>
    <w:p w14:paraId="3FB82E05">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（2）供应商单位法人响应的提供法人身份证明，被授权人响应的提供法人授权委托书和身份证明。</w:t>
      </w:r>
    </w:p>
    <w:p w14:paraId="2F2DD817">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3）供应商需具备【建筑工程施工总承包叁级】(含)以上资质，有安全生产许可证且在有效期内；项目负责人资质要求：【建筑工程】专业二级（含）以上注册建造师执业资格，具备有效的安全生产考核合格证书，且未担任其他在施建设工程项目的项目负责人、项目经理。</w:t>
      </w:r>
    </w:p>
    <w:p w14:paraId="6D01D4F7">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（4）税务局开具的依法缴纳近三个月内任意一个月的税收证明的良好记录，依法免税应提供相应文件证明。</w:t>
      </w:r>
    </w:p>
    <w:p w14:paraId="69AC9A9A">
      <w:pPr>
        <w:pStyle w:val="9"/>
        <w:ind w:left="0" w:leftChars="0" w:firstLine="240" w:firstLineChars="100"/>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（5）提供本单位近三个月任意一个月的社保缴纳证明；</w:t>
      </w:r>
    </w:p>
    <w:p w14:paraId="537D3588">
      <w:pPr>
        <w:ind w:firstLine="240" w:firstLineChars="100"/>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（6）提供针对本次项目《反商业贿赂承诺书》</w:t>
      </w:r>
    </w:p>
    <w:p w14:paraId="6871FDFA">
      <w:pPr>
        <w:pStyle w:val="9"/>
        <w:ind w:left="0" w:leftChars="0" w:firstLine="240" w:firstLineChars="100"/>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（7）参加政府采购活动前3年内在经营活动中没有重大违法记录的书面声明。</w:t>
      </w:r>
    </w:p>
    <w:p w14:paraId="63D51877">
      <w:pPr>
        <w:ind w:firstLine="240" w:firstLineChars="100"/>
        <w:rPr>
          <w:rFonts w:hint="default"/>
          <w:lang w:val="en-US" w:eastAsia="zh-CN"/>
        </w:rPr>
      </w:pPr>
      <w:r>
        <w:rPr>
          <w:rFonts w:hint="eastAsia" w:ascii="宋体" w:hAnsi="宋体" w:eastAsia="宋体" w:cs="宋体"/>
          <w:b w:val="0"/>
          <w:bCs/>
          <w:i w:val="0"/>
          <w:iCs w:val="0"/>
          <w:color w:val="auto"/>
          <w:kern w:val="2"/>
          <w:sz w:val="24"/>
          <w:szCs w:val="24"/>
          <w:highlight w:val="none"/>
          <w:lang w:val="en-US" w:eastAsia="zh-CN" w:bidi="ar-SA"/>
        </w:rPr>
        <w:t>（8）</w:t>
      </w:r>
      <w:r>
        <w:rPr>
          <w:rFonts w:hint="eastAsia" w:ascii="宋体" w:hAnsi="宋体" w:cs="宋体"/>
          <w:b w:val="0"/>
          <w:bCs/>
          <w:i w:val="0"/>
          <w:iCs w:val="0"/>
          <w:color w:val="auto"/>
          <w:kern w:val="2"/>
          <w:sz w:val="24"/>
          <w:szCs w:val="24"/>
          <w:highlight w:val="none"/>
          <w:lang w:val="en-US" w:eastAsia="zh-CN" w:bidi="ar-SA"/>
        </w:rPr>
        <w:t>提供2024年度的财务审计报告</w:t>
      </w:r>
      <w:r>
        <w:rPr>
          <w:rFonts w:hint="eastAsia" w:ascii="宋体" w:hAnsi="宋体" w:eastAsia="宋体" w:cs="宋体"/>
          <w:b w:val="0"/>
          <w:bCs/>
          <w:i w:val="0"/>
          <w:iCs w:val="0"/>
          <w:color w:val="auto"/>
          <w:kern w:val="2"/>
          <w:sz w:val="24"/>
          <w:szCs w:val="24"/>
          <w:highlight w:val="none"/>
          <w:lang w:val="en-US" w:eastAsia="zh-CN" w:bidi="ar-SA"/>
        </w:rPr>
        <w:t>（注册成立未满一年新公司提供银行资信证明）。</w:t>
      </w:r>
    </w:p>
    <w:p w14:paraId="504F096F">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9）供应商须提供在①“信用中国网（www.creditchina.gov.cn）”被列入失信被执行人、企业经营异常名录、重大税收违法案件当事人名单、政府采购严重违法失信名单（尚在处罚期内的）；②“中国政府采购网（www.ccgp.gov.cn）”被列入政府采购严重违法失信行为记录名单的（尚在处罚期内的）；③“国家企业信用信息公示系统（http://www.gsxt.gov.cn）”列入经营异常名录信息、列入严重违法失信企业名单（黑名单）信息及企业信用信息公示报告；（提供查询结果网页截图并加盖供应商公章）。</w:t>
      </w:r>
    </w:p>
    <w:p w14:paraId="79121646">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10）项目负责人及项目班子成员在新疆建设云平台可承揽业务；登录新疆工程建设云（http//jsy.xjjs.gov.cn/dataservice/index）可查询注册企业基本信息和人员信息（提供上述网页个人页面截图打印并加盖公章），且在人员、设备、资金等方面具有承担本工程的能力。</w:t>
      </w:r>
    </w:p>
    <w:p w14:paraId="56E3028B">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三、获取采购文件</w:t>
      </w:r>
    </w:p>
    <w:p w14:paraId="4A57DBB8">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时间：2025年0</w:t>
      </w:r>
      <w:r>
        <w:rPr>
          <w:rFonts w:hint="eastAsia" w:ascii="宋体" w:hAnsi="宋体" w:cs="宋体"/>
          <w:b w:val="0"/>
          <w:bCs/>
          <w:sz w:val="24"/>
          <w:szCs w:val="24"/>
          <w:highlight w:val="none"/>
          <w:lang w:val="en-US" w:eastAsia="zh-CN"/>
        </w:rPr>
        <w:t>7</w:t>
      </w:r>
      <w:r>
        <w:rPr>
          <w:rFonts w:hint="eastAsia" w:ascii="宋体" w:hAnsi="宋体" w:eastAsia="宋体" w:cs="宋体"/>
          <w:b w:val="0"/>
          <w:bCs/>
          <w:sz w:val="24"/>
          <w:szCs w:val="24"/>
          <w:highlight w:val="none"/>
          <w:lang w:val="en-US" w:eastAsia="zh-CN"/>
        </w:rPr>
        <w:t>月</w:t>
      </w:r>
      <w:r>
        <w:rPr>
          <w:rFonts w:hint="eastAsia" w:ascii="宋体" w:hAnsi="宋体" w:cs="宋体"/>
          <w:b w:val="0"/>
          <w:bCs/>
          <w:sz w:val="24"/>
          <w:szCs w:val="24"/>
          <w:highlight w:val="none"/>
          <w:lang w:val="en-US" w:eastAsia="zh-CN"/>
        </w:rPr>
        <w:t>02</w:t>
      </w:r>
      <w:r>
        <w:rPr>
          <w:rFonts w:hint="eastAsia" w:ascii="宋体" w:hAnsi="宋体" w:eastAsia="宋体" w:cs="宋体"/>
          <w:b w:val="0"/>
          <w:bCs/>
          <w:sz w:val="24"/>
          <w:szCs w:val="24"/>
          <w:highlight w:val="none"/>
          <w:lang w:val="en-US" w:eastAsia="zh-CN"/>
        </w:rPr>
        <w:t>日至2025年0</w:t>
      </w:r>
      <w:r>
        <w:rPr>
          <w:rFonts w:hint="eastAsia" w:ascii="宋体" w:hAnsi="宋体" w:cs="宋体"/>
          <w:b w:val="0"/>
          <w:bCs/>
          <w:sz w:val="24"/>
          <w:szCs w:val="24"/>
          <w:highlight w:val="none"/>
          <w:lang w:val="en-US" w:eastAsia="zh-CN"/>
        </w:rPr>
        <w:t>7</w:t>
      </w:r>
      <w:r>
        <w:rPr>
          <w:rFonts w:hint="eastAsia" w:ascii="宋体" w:hAnsi="宋体" w:eastAsia="宋体" w:cs="宋体"/>
          <w:b w:val="0"/>
          <w:bCs/>
          <w:sz w:val="24"/>
          <w:szCs w:val="24"/>
          <w:highlight w:val="none"/>
          <w:lang w:val="en-US" w:eastAsia="zh-CN"/>
        </w:rPr>
        <w:t>月</w:t>
      </w:r>
      <w:r>
        <w:rPr>
          <w:rFonts w:hint="eastAsia" w:ascii="宋体" w:hAnsi="宋体" w:cs="宋体"/>
          <w:b w:val="0"/>
          <w:bCs/>
          <w:sz w:val="24"/>
          <w:szCs w:val="24"/>
          <w:highlight w:val="none"/>
          <w:lang w:val="en-US" w:eastAsia="zh-CN"/>
        </w:rPr>
        <w:t>11</w:t>
      </w:r>
      <w:r>
        <w:rPr>
          <w:rFonts w:hint="eastAsia" w:ascii="宋体" w:hAnsi="宋体" w:eastAsia="宋体" w:cs="宋体"/>
          <w:b w:val="0"/>
          <w:bCs/>
          <w:sz w:val="24"/>
          <w:szCs w:val="24"/>
          <w:highlight w:val="none"/>
          <w:lang w:val="en-US" w:eastAsia="zh-CN"/>
        </w:rPr>
        <w:t>日，</w:t>
      </w:r>
      <w:r>
        <w:rPr>
          <w:rFonts w:hint="eastAsia" w:ascii="宋体" w:hAnsi="宋体" w:eastAsia="宋体" w:cs="宋体"/>
          <w:b w:val="0"/>
          <w:bCs/>
          <w:sz w:val="24"/>
          <w:szCs w:val="24"/>
          <w:highlight w:val="none"/>
          <w:lang w:val="en-US" w:eastAsia="zh-CN"/>
        </w:rPr>
        <w:t>每天上午00:00至14:00，下午14:00至23:59（北京时间，法定节假日除外）</w:t>
      </w:r>
    </w:p>
    <w:p w14:paraId="46D888EF">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地点：政采云平台线上 </w:t>
      </w:r>
    </w:p>
    <w:p w14:paraId="526C57CA">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E315861">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四、</w:t>
      </w:r>
      <w:bookmarkStart w:id="334" w:name="_Toc35393801"/>
      <w:bookmarkStart w:id="335" w:name="_Toc35393632"/>
      <w:bookmarkStart w:id="336" w:name="_Toc28359092"/>
      <w:bookmarkStart w:id="337" w:name="_Toc28359015"/>
      <w:r>
        <w:rPr>
          <w:rFonts w:hint="eastAsia" w:ascii="宋体" w:hAnsi="宋体" w:eastAsia="宋体" w:cs="宋体"/>
          <w:b w:val="0"/>
          <w:bCs/>
          <w:sz w:val="24"/>
          <w:szCs w:val="24"/>
          <w:highlight w:val="none"/>
          <w:lang w:val="en-US" w:eastAsia="zh-CN"/>
        </w:rPr>
        <w:t>响应文件提交</w:t>
      </w:r>
      <w:bookmarkEnd w:id="334"/>
      <w:bookmarkEnd w:id="335"/>
      <w:bookmarkEnd w:id="336"/>
      <w:bookmarkEnd w:id="337"/>
    </w:p>
    <w:p w14:paraId="73E9E382">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bookmarkStart w:id="338" w:name="_Toc28359093"/>
      <w:bookmarkStart w:id="339" w:name="_Toc35393802"/>
      <w:bookmarkStart w:id="340" w:name="_Toc35393633"/>
      <w:bookmarkStart w:id="341" w:name="_Toc28359016"/>
      <w:r>
        <w:rPr>
          <w:rFonts w:hint="eastAsia" w:ascii="宋体" w:hAnsi="宋体" w:eastAsia="宋体" w:cs="宋体"/>
          <w:b w:val="0"/>
          <w:bCs/>
          <w:sz w:val="24"/>
          <w:szCs w:val="24"/>
          <w:highlight w:val="none"/>
          <w:lang w:val="en-US" w:eastAsia="zh-CN"/>
        </w:rPr>
        <w:t>截止时间：2025年0</w:t>
      </w:r>
      <w:r>
        <w:rPr>
          <w:rFonts w:hint="eastAsia" w:ascii="宋体" w:hAnsi="宋体" w:cs="宋体"/>
          <w:b w:val="0"/>
          <w:bCs/>
          <w:sz w:val="24"/>
          <w:szCs w:val="24"/>
          <w:highlight w:val="none"/>
          <w:lang w:val="en-US" w:eastAsia="zh-CN"/>
        </w:rPr>
        <w:t>7</w:t>
      </w:r>
      <w:r>
        <w:rPr>
          <w:rFonts w:hint="eastAsia" w:ascii="宋体" w:hAnsi="宋体" w:eastAsia="宋体" w:cs="宋体"/>
          <w:b w:val="0"/>
          <w:bCs/>
          <w:sz w:val="24"/>
          <w:szCs w:val="24"/>
          <w:highlight w:val="none"/>
          <w:lang w:val="en-US" w:eastAsia="zh-CN"/>
        </w:rPr>
        <w:t>月</w:t>
      </w:r>
      <w:r>
        <w:rPr>
          <w:rFonts w:hint="eastAsia" w:ascii="宋体" w:hAnsi="宋体" w:cs="宋体"/>
          <w:b w:val="0"/>
          <w:bCs/>
          <w:sz w:val="24"/>
          <w:szCs w:val="24"/>
          <w:highlight w:val="none"/>
          <w:lang w:val="en-US" w:eastAsia="zh-CN"/>
        </w:rPr>
        <w:t>14</w:t>
      </w:r>
      <w:r>
        <w:rPr>
          <w:rFonts w:hint="eastAsia" w:ascii="宋体" w:hAnsi="宋体" w:eastAsia="宋体" w:cs="宋体"/>
          <w:b w:val="0"/>
          <w:bCs/>
          <w:sz w:val="24"/>
          <w:szCs w:val="24"/>
          <w:highlight w:val="none"/>
          <w:lang w:val="en-US" w:eastAsia="zh-CN"/>
        </w:rPr>
        <w:t>日11:00（北京时间）</w:t>
      </w:r>
    </w:p>
    <w:p w14:paraId="1F1F2369">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地    点：政采云平台（https://www.zcygov.cn/） </w:t>
      </w:r>
    </w:p>
    <w:p w14:paraId="4F95606F">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bookmarkStart w:id="342" w:name="_Toc21935"/>
      <w:r>
        <w:rPr>
          <w:rFonts w:hint="eastAsia" w:ascii="宋体" w:hAnsi="宋体" w:eastAsia="宋体" w:cs="宋体"/>
          <w:b w:val="0"/>
          <w:bCs/>
          <w:sz w:val="24"/>
          <w:szCs w:val="24"/>
          <w:highlight w:val="none"/>
          <w:lang w:val="en-US" w:eastAsia="zh-CN"/>
        </w:rPr>
        <w:t>五、响应文件开启</w:t>
      </w:r>
      <w:bookmarkEnd w:id="338"/>
      <w:bookmarkEnd w:id="339"/>
      <w:bookmarkEnd w:id="340"/>
      <w:bookmarkEnd w:id="341"/>
      <w:bookmarkEnd w:id="342"/>
    </w:p>
    <w:p w14:paraId="10E5DD89">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开启时间：2025年0</w:t>
      </w:r>
      <w:r>
        <w:rPr>
          <w:rFonts w:hint="eastAsia" w:ascii="宋体" w:hAnsi="宋体" w:cs="宋体"/>
          <w:b w:val="0"/>
          <w:bCs/>
          <w:sz w:val="24"/>
          <w:szCs w:val="24"/>
          <w:highlight w:val="none"/>
          <w:lang w:val="en-US" w:eastAsia="zh-CN"/>
        </w:rPr>
        <w:t>7</w:t>
      </w:r>
      <w:r>
        <w:rPr>
          <w:rFonts w:hint="eastAsia" w:ascii="宋体" w:hAnsi="宋体" w:eastAsia="宋体" w:cs="宋体"/>
          <w:b w:val="0"/>
          <w:bCs/>
          <w:sz w:val="24"/>
          <w:szCs w:val="24"/>
          <w:highlight w:val="none"/>
          <w:lang w:val="en-US" w:eastAsia="zh-CN"/>
        </w:rPr>
        <w:t>月</w:t>
      </w:r>
      <w:r>
        <w:rPr>
          <w:rFonts w:hint="eastAsia" w:ascii="宋体" w:hAnsi="宋体" w:cs="宋体"/>
          <w:b w:val="0"/>
          <w:bCs/>
          <w:sz w:val="24"/>
          <w:szCs w:val="24"/>
          <w:highlight w:val="none"/>
          <w:lang w:val="en-US" w:eastAsia="zh-CN"/>
        </w:rPr>
        <w:t>14</w:t>
      </w:r>
      <w:r>
        <w:rPr>
          <w:rFonts w:hint="eastAsia" w:ascii="宋体" w:hAnsi="宋体" w:eastAsia="宋体" w:cs="宋体"/>
          <w:b w:val="0"/>
          <w:bCs/>
          <w:sz w:val="24"/>
          <w:szCs w:val="24"/>
          <w:highlight w:val="none"/>
          <w:lang w:val="en-US" w:eastAsia="zh-CN"/>
        </w:rPr>
        <w:t>日 11:00</w:t>
      </w:r>
      <w:r>
        <w:rPr>
          <w:rFonts w:hint="eastAsia" w:ascii="宋体" w:hAnsi="宋体" w:eastAsia="宋体" w:cs="宋体"/>
          <w:b w:val="0"/>
          <w:bCs/>
          <w:sz w:val="24"/>
          <w:szCs w:val="24"/>
          <w:highlight w:val="none"/>
          <w:lang w:val="en-US" w:eastAsia="zh-CN"/>
        </w:rPr>
        <w:t>（北京时间）</w:t>
      </w:r>
    </w:p>
    <w:p w14:paraId="2518894A">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 地点：</w:t>
      </w:r>
      <w:r>
        <w:rPr>
          <w:rFonts w:hint="eastAsia" w:ascii="宋体" w:hAnsi="宋体" w:cs="宋体"/>
          <w:b w:val="0"/>
          <w:bCs/>
          <w:sz w:val="24"/>
          <w:szCs w:val="24"/>
          <w:highlight w:val="none"/>
          <w:lang w:val="en-US" w:eastAsia="zh-CN"/>
        </w:rPr>
        <w:t>供应商</w:t>
      </w:r>
      <w:r>
        <w:rPr>
          <w:rFonts w:hint="eastAsia" w:ascii="宋体" w:hAnsi="宋体" w:eastAsia="宋体" w:cs="宋体"/>
          <w:b w:val="0"/>
          <w:bCs/>
          <w:sz w:val="24"/>
          <w:szCs w:val="24"/>
          <w:highlight w:val="none"/>
          <w:lang w:val="en-US" w:eastAsia="zh-CN"/>
        </w:rPr>
        <w:t>登录政采云平台https://www.zcygov.cn/，进入“项目采购-开标评</w:t>
      </w:r>
      <w:r>
        <w:rPr>
          <w:rFonts w:hint="eastAsia" w:ascii="宋体" w:hAnsi="宋体" w:cs="宋体"/>
          <w:b w:val="0"/>
          <w:bCs/>
          <w:sz w:val="24"/>
          <w:szCs w:val="24"/>
          <w:highlight w:val="none"/>
          <w:lang w:val="en-US" w:eastAsia="zh-CN"/>
        </w:rPr>
        <w:t>审</w:t>
      </w:r>
      <w:r>
        <w:rPr>
          <w:rFonts w:hint="eastAsia" w:ascii="宋体" w:hAnsi="宋体" w:eastAsia="宋体" w:cs="宋体"/>
          <w:b w:val="0"/>
          <w:bCs/>
          <w:sz w:val="24"/>
          <w:szCs w:val="24"/>
          <w:highlight w:val="none"/>
          <w:lang w:val="en-US" w:eastAsia="zh-CN"/>
        </w:rPr>
        <w:t>-右边选择对应项目点击“进入项目”进入开标大厅。 </w:t>
      </w:r>
    </w:p>
    <w:p w14:paraId="65EA84F7">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bookmarkStart w:id="343" w:name="_Toc35393634"/>
      <w:bookmarkStart w:id="344" w:name="_Toc28359094"/>
      <w:bookmarkStart w:id="345" w:name="_Toc28359017"/>
      <w:bookmarkStart w:id="346" w:name="_Toc25583"/>
      <w:bookmarkStart w:id="347" w:name="_Toc35393803"/>
      <w:r>
        <w:rPr>
          <w:rFonts w:hint="eastAsia" w:ascii="宋体" w:hAnsi="宋体" w:eastAsia="宋体" w:cs="宋体"/>
          <w:b w:val="0"/>
          <w:bCs/>
          <w:sz w:val="24"/>
          <w:szCs w:val="24"/>
          <w:highlight w:val="none"/>
          <w:lang w:val="en-US" w:eastAsia="zh-CN"/>
        </w:rPr>
        <w:t>六、公告期限</w:t>
      </w:r>
      <w:bookmarkEnd w:id="343"/>
      <w:bookmarkEnd w:id="344"/>
      <w:bookmarkEnd w:id="345"/>
      <w:bookmarkEnd w:id="346"/>
      <w:bookmarkEnd w:id="347"/>
    </w:p>
    <w:p w14:paraId="764D2FB0">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自本公告发布之日起3个工作日。</w:t>
      </w:r>
    </w:p>
    <w:p w14:paraId="6956F6AA">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七、其他补充事项</w:t>
      </w:r>
    </w:p>
    <w:p w14:paraId="17D75E1B">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67915304">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2.本项目实行网上投标，采用电子响应文件(供应商须使用CA加密设备通过政采云电子投标客户端制作响应文件)。若供应商参与投标，自行承担投标一切费用。</w:t>
      </w:r>
    </w:p>
    <w:p w14:paraId="155487B0">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52399C7F">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3F8A2929">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5.供应商在开标时须使用制作加密电子响应文件所使用的CA锁及电脑，电脑须提前配置好浏览器（建议使用谷歌浏览器），以便开标时解锁。</w:t>
      </w:r>
    </w:p>
    <w:p w14:paraId="67580FD5">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6.响应保证金缴纳及确认时间：凡拟参加本次招标项目的供应商，必须在开标前将响应保证金汇入指定账户。响应保证金汇款凭证上用途栏应注明:招标项目名称+标项号+响应保证金。否则，届时其投标将被拒绝。</w:t>
      </w:r>
    </w:p>
    <w:p w14:paraId="65D4FB91">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2883504E">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特别提示：</w:t>
      </w:r>
    </w:p>
    <w:p w14:paraId="09E31914">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1、采购限额标准以上，200万元以下的货物和服务采购项目、400万元以下的工程采购项目，适宜由中小企业提供的，采购人应当专门面向中小企业采购。</w:t>
      </w:r>
    </w:p>
    <w:p w14:paraId="2672EB9E">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2、超过200万元的货物和服务采购项目，预留该部分采购项目预算总额的30%以上专门面向中小企业采购，其中预留给小微企业的比例不低于60%。</w:t>
      </w:r>
    </w:p>
    <w:p w14:paraId="59C1A00D">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3、超过400万元的工程采购项目中适宜由中小企业提供的，预留该部分采购项目预算总额的40%以上专门面向中小企业采购，其中预留给小微企业的比例不低于60%。</w:t>
      </w:r>
    </w:p>
    <w:p w14:paraId="55756E8B">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标。适用招标投标法的政府采购工程建设项目，采用综合评估法但未采用低价优先法计算价格分的，评标时应当在采用原报价进行评分的基础上增加其价格得分的3%~5%作为其价格分。</w:t>
      </w:r>
    </w:p>
    <w:p w14:paraId="2D8D272A">
      <w:pPr>
        <w:pStyle w:val="56"/>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标。适用招标投标法的政府采购工程建设项目，采用综合评估法但未采用低价优先法计算价格分的，评标时应当在采用原报价进行评分的基础上增加其价格得分的1%~2%作为其价格分。 </w:t>
      </w:r>
    </w:p>
    <w:p w14:paraId="09156D6C">
      <w:pPr>
        <w:pageBreakBefore w:val="0"/>
        <w:numPr>
          <w:ilvl w:val="0"/>
          <w:numId w:val="15"/>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凡对本次采购提出询问，请按以下方式联系。</w:t>
      </w:r>
    </w:p>
    <w:p w14:paraId="5D938BD3">
      <w:pPr>
        <w:pageBreakBefore w:val="0"/>
        <w:numPr>
          <w:ilvl w:val="0"/>
          <w:numId w:val="0"/>
        </w:numPr>
        <w:kinsoku/>
        <w:wordWrap/>
        <w:overflowPunct/>
        <w:topLinePunct w:val="0"/>
        <w:autoSpaceDE/>
        <w:autoSpaceDN/>
        <w:bidi w:val="0"/>
        <w:adjustRightInd/>
        <w:snapToGrid/>
        <w:spacing w:line="440" w:lineRule="exact"/>
        <w:ind w:leftChars="0" w:firstLine="720" w:firstLineChars="3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1.采购人信息</w:t>
      </w:r>
    </w:p>
    <w:p w14:paraId="40A44C05">
      <w:pPr>
        <w:pageBreakBefore w:val="0"/>
        <w:kinsoku/>
        <w:wordWrap/>
        <w:overflowPunct/>
        <w:topLinePunct w:val="0"/>
        <w:bidi w:val="0"/>
        <w:snapToGrid/>
        <w:spacing w:line="440" w:lineRule="exact"/>
        <w:ind w:left="1079" w:leftChars="371" w:hanging="300" w:hangingChars="125"/>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名    称：</w:t>
      </w:r>
      <w:r>
        <w:rPr>
          <w:rFonts w:hint="eastAsia" w:ascii="宋体" w:hAnsi="宋体" w:cs="宋体"/>
          <w:b w:val="0"/>
          <w:bCs/>
          <w:i w:val="0"/>
          <w:iCs w:val="0"/>
          <w:color w:val="auto"/>
          <w:kern w:val="2"/>
          <w:sz w:val="24"/>
          <w:szCs w:val="24"/>
          <w:highlight w:val="none"/>
          <w:lang w:val="en-US" w:eastAsia="zh-CN" w:bidi="ar-SA"/>
        </w:rPr>
        <w:t>疏勒县疾病预防控制中心</w:t>
      </w:r>
      <w:r>
        <w:rPr>
          <w:rFonts w:hint="eastAsia" w:ascii="宋体" w:hAnsi="宋体" w:eastAsia="宋体" w:cs="宋体"/>
          <w:b w:val="0"/>
          <w:bCs/>
          <w:i w:val="0"/>
          <w:iCs w:val="0"/>
          <w:color w:val="auto"/>
          <w:kern w:val="2"/>
          <w:sz w:val="24"/>
          <w:szCs w:val="24"/>
          <w:highlight w:val="none"/>
          <w:lang w:val="en-US" w:eastAsia="zh-CN" w:bidi="ar-SA"/>
        </w:rPr>
        <w:t>　　　</w:t>
      </w:r>
    </w:p>
    <w:p w14:paraId="5558DF23">
      <w:pPr>
        <w:pageBreakBefore w:val="0"/>
        <w:kinsoku/>
        <w:wordWrap/>
        <w:overflowPunct/>
        <w:topLinePunct w:val="0"/>
        <w:bidi w:val="0"/>
        <w:snapToGrid/>
        <w:spacing w:line="440" w:lineRule="exact"/>
        <w:ind w:left="1079" w:leftChars="371" w:hanging="300" w:hangingChars="125"/>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地    址：疏勒县　　　</w:t>
      </w:r>
    </w:p>
    <w:p w14:paraId="30CCB8E2">
      <w:pPr>
        <w:pageBreakBefore w:val="0"/>
        <w:kinsoku/>
        <w:wordWrap/>
        <w:overflowPunct/>
        <w:topLinePunct w:val="0"/>
        <w:bidi w:val="0"/>
        <w:snapToGrid/>
        <w:spacing w:line="440" w:lineRule="exact"/>
        <w:ind w:left="1079" w:leftChars="371" w:hanging="300" w:hangingChars="125"/>
        <w:jc w:val="left"/>
        <w:textAlignment w:val="auto"/>
        <w:rPr>
          <w:rFonts w:hint="eastAsia" w:ascii="宋体" w:hAnsi="宋体" w:eastAsia="宋体" w:cs="宋体"/>
          <w:b w:val="0"/>
          <w:bCs/>
          <w:i w:val="0"/>
          <w:iCs w:val="0"/>
          <w:color w:val="auto"/>
          <w:kern w:val="2"/>
          <w:sz w:val="24"/>
          <w:szCs w:val="24"/>
          <w:highlight w:val="yellow"/>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联系方式：</w:t>
      </w:r>
      <w:r>
        <w:rPr>
          <w:rFonts w:ascii="微软雅黑" w:hAnsi="微软雅黑" w:eastAsia="微软雅黑" w:cs="微软雅黑"/>
          <w:i w:val="0"/>
          <w:iCs w:val="0"/>
          <w:caps w:val="0"/>
          <w:color w:val="333333"/>
          <w:spacing w:val="0"/>
          <w:sz w:val="21"/>
          <w:szCs w:val="21"/>
          <w:shd w:val="clear" w:fill="FFFFFF"/>
        </w:rPr>
        <w:t>17619084111</w:t>
      </w:r>
    </w:p>
    <w:p w14:paraId="46386F43">
      <w:pPr>
        <w:pStyle w:val="3"/>
        <w:pageBreakBefore w:val="0"/>
        <w:kinsoku/>
        <w:wordWrap/>
        <w:overflowPunct/>
        <w:topLinePunct w:val="0"/>
        <w:bidi w:val="0"/>
        <w:snapToGrid/>
        <w:spacing w:line="440" w:lineRule="exact"/>
        <w:ind w:firstLine="720" w:firstLineChars="3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2.采购代理机构信息</w:t>
      </w:r>
    </w:p>
    <w:p w14:paraId="4A5BCAB7">
      <w:pPr>
        <w:pageBreakBefore w:val="0"/>
        <w:kinsoku/>
        <w:wordWrap/>
        <w:overflowPunct/>
        <w:topLinePunct w:val="0"/>
        <w:bidi w:val="0"/>
        <w:snapToGrid/>
        <w:spacing w:line="440" w:lineRule="exact"/>
        <w:ind w:firstLine="720" w:firstLineChars="300"/>
        <w:jc w:val="left"/>
        <w:textAlignment w:val="auto"/>
        <w:rPr>
          <w:rFonts w:hint="default"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 xml:space="preserve">名    称  </w:t>
      </w:r>
      <w:r>
        <w:rPr>
          <w:rFonts w:hint="eastAsia" w:ascii="宋体" w:hAnsi="宋体" w:cs="宋体"/>
          <w:b w:val="0"/>
          <w:bCs/>
          <w:i w:val="0"/>
          <w:iCs w:val="0"/>
          <w:color w:val="auto"/>
          <w:kern w:val="2"/>
          <w:sz w:val="24"/>
          <w:szCs w:val="24"/>
          <w:highlight w:val="none"/>
          <w:lang w:val="en-US" w:eastAsia="zh-CN" w:bidi="ar-SA"/>
        </w:rPr>
        <w:t>新疆亘勤工程管理咨询有限公司</w:t>
      </w:r>
    </w:p>
    <w:p w14:paraId="59E93C8D">
      <w:pPr>
        <w:pageBreakBefore w:val="0"/>
        <w:kinsoku/>
        <w:wordWrap/>
        <w:overflowPunct/>
        <w:topLinePunct w:val="0"/>
        <w:bidi w:val="0"/>
        <w:snapToGrid/>
        <w:spacing w:line="440" w:lineRule="exact"/>
        <w:ind w:firstLine="720" w:firstLineChars="3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 xml:space="preserve">地　　址： </w:t>
      </w:r>
      <w:r>
        <w:rPr>
          <w:rFonts w:hint="eastAsia" w:ascii="宋体" w:hAnsi="宋体" w:cs="宋体"/>
          <w:b w:val="0"/>
          <w:bCs/>
          <w:i w:val="0"/>
          <w:iCs w:val="0"/>
          <w:color w:val="auto"/>
          <w:kern w:val="2"/>
          <w:sz w:val="24"/>
          <w:szCs w:val="24"/>
          <w:highlight w:val="none"/>
          <w:lang w:val="en-US" w:eastAsia="zh-CN" w:bidi="ar-SA"/>
        </w:rPr>
        <w:t>喀什市深喀大道永昌大厦 5-3 室</w:t>
      </w:r>
    </w:p>
    <w:p w14:paraId="5F858D5D">
      <w:pPr>
        <w:pageBreakBefore w:val="0"/>
        <w:kinsoku/>
        <w:wordWrap/>
        <w:overflowPunct/>
        <w:topLinePunct w:val="0"/>
        <w:bidi w:val="0"/>
        <w:snapToGrid/>
        <w:spacing w:line="440" w:lineRule="exact"/>
        <w:ind w:firstLine="720" w:firstLineChars="3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联系方式：</w:t>
      </w:r>
      <w:r>
        <w:rPr>
          <w:rFonts w:hint="eastAsia" w:ascii="宋体" w:hAnsi="宋体" w:cs="宋体"/>
          <w:b w:val="0"/>
          <w:bCs/>
          <w:i w:val="0"/>
          <w:iCs w:val="0"/>
          <w:color w:val="auto"/>
          <w:kern w:val="2"/>
          <w:sz w:val="24"/>
          <w:szCs w:val="24"/>
          <w:highlight w:val="none"/>
          <w:lang w:val="en-US" w:eastAsia="zh-CN" w:bidi="ar-SA"/>
        </w:rPr>
        <w:t>13565665678</w:t>
      </w:r>
      <w:r>
        <w:rPr>
          <w:rFonts w:hint="eastAsia" w:ascii="宋体" w:hAnsi="宋体" w:eastAsia="宋体" w:cs="宋体"/>
          <w:b w:val="0"/>
          <w:bCs/>
          <w:i w:val="0"/>
          <w:iCs w:val="0"/>
          <w:color w:val="auto"/>
          <w:kern w:val="2"/>
          <w:sz w:val="24"/>
          <w:szCs w:val="24"/>
          <w:highlight w:val="none"/>
          <w:lang w:val="en-US" w:eastAsia="zh-CN" w:bidi="ar-SA"/>
        </w:rPr>
        <w:t>　　　　　　　　</w:t>
      </w:r>
    </w:p>
    <w:p w14:paraId="244A31EE">
      <w:pPr>
        <w:pStyle w:val="3"/>
        <w:pageBreakBefore w:val="0"/>
        <w:kinsoku/>
        <w:wordWrap/>
        <w:overflowPunct/>
        <w:topLinePunct w:val="0"/>
        <w:bidi w:val="0"/>
        <w:snapToGrid/>
        <w:spacing w:line="440" w:lineRule="exact"/>
        <w:ind w:firstLine="720" w:firstLineChars="3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3.项目联系方式</w:t>
      </w:r>
    </w:p>
    <w:p w14:paraId="45281EBD">
      <w:pPr>
        <w:pStyle w:val="16"/>
        <w:pageBreakBefore w:val="0"/>
        <w:kinsoku/>
        <w:wordWrap/>
        <w:overflowPunct/>
        <w:topLinePunct w:val="0"/>
        <w:bidi w:val="0"/>
        <w:snapToGrid/>
        <w:spacing w:line="440" w:lineRule="exact"/>
        <w:ind w:firstLine="720" w:firstLineChars="300"/>
        <w:jc w:val="left"/>
        <w:textAlignment w:val="auto"/>
        <w:rPr>
          <w:rFonts w:hint="default"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项目联系人：</w:t>
      </w:r>
      <w:r>
        <w:rPr>
          <w:rFonts w:hint="eastAsia" w:hAnsi="宋体" w:cs="宋体"/>
          <w:b w:val="0"/>
          <w:bCs/>
          <w:i w:val="0"/>
          <w:iCs w:val="0"/>
          <w:color w:val="auto"/>
          <w:kern w:val="2"/>
          <w:sz w:val="24"/>
          <w:szCs w:val="24"/>
          <w:highlight w:val="none"/>
          <w:lang w:val="en-US" w:eastAsia="zh-CN" w:bidi="ar-SA"/>
        </w:rPr>
        <w:t>袁媛</w:t>
      </w:r>
    </w:p>
    <w:p w14:paraId="5E8625F2">
      <w:pPr>
        <w:pageBreakBefore w:val="0"/>
        <w:kinsoku/>
        <w:wordWrap/>
        <w:overflowPunct/>
        <w:topLinePunct w:val="0"/>
        <w:bidi w:val="0"/>
        <w:snapToGrid/>
        <w:spacing w:line="440" w:lineRule="exact"/>
        <w:ind w:firstLine="720" w:firstLineChars="300"/>
        <w:jc w:val="left"/>
        <w:textAlignment w:val="auto"/>
        <w:rPr>
          <w:rFonts w:hint="default"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电　　 话：</w:t>
      </w:r>
      <w:r>
        <w:rPr>
          <w:rFonts w:hint="eastAsia" w:ascii="宋体" w:hAnsi="宋体" w:cs="宋体"/>
          <w:b w:val="0"/>
          <w:bCs/>
          <w:i w:val="0"/>
          <w:iCs w:val="0"/>
          <w:color w:val="auto"/>
          <w:kern w:val="2"/>
          <w:sz w:val="24"/>
          <w:szCs w:val="24"/>
          <w:highlight w:val="none"/>
          <w:lang w:val="en-US" w:eastAsia="zh-CN" w:bidi="ar-SA"/>
        </w:rPr>
        <w:t>13565665678</w:t>
      </w:r>
    </w:p>
    <w:p w14:paraId="4D15A936">
      <w:pPr>
        <w:rPr>
          <w:rFonts w:hint="eastAsia" w:ascii="宋体" w:hAnsi="宋体" w:eastAsia="宋体" w:cs="宋体"/>
          <w:b w:val="0"/>
          <w:bCs/>
          <w:sz w:val="24"/>
          <w:szCs w:val="24"/>
        </w:rPr>
      </w:pPr>
    </w:p>
    <w:p w14:paraId="48D785FD">
      <w:pPr>
        <w:keepNext w:val="0"/>
        <w:keepLines w:val="0"/>
        <w:kinsoku/>
        <w:wordWrap/>
        <w:overflowPunct/>
        <w:topLinePunct w:val="0"/>
        <w:autoSpaceDE/>
        <w:autoSpaceDN/>
        <w:bidi w:val="0"/>
        <w:spacing w:line="360" w:lineRule="auto"/>
        <w:ind w:right="105" w:rightChars="50"/>
        <w:outlineLvl w:val="9"/>
        <w:rPr>
          <w:rFonts w:hint="eastAsia" w:ascii="宋体" w:hAnsi="宋体" w:cs="宋体"/>
          <w:bCs/>
          <w:color w:val="auto"/>
          <w:sz w:val="21"/>
          <w:szCs w:val="21"/>
          <w:lang w:val="en-US" w:eastAsia="zh-CN"/>
        </w:rPr>
      </w:pPr>
    </w:p>
    <w:p w14:paraId="205FA5E7">
      <w:pPr>
        <w:pStyle w:val="53"/>
        <w:rPr>
          <w:rFonts w:hint="eastAsia" w:ascii="宋体" w:hAnsi="宋体" w:cs="宋体"/>
          <w:bCs/>
          <w:color w:val="auto"/>
          <w:sz w:val="21"/>
          <w:szCs w:val="21"/>
          <w:lang w:val="en-US" w:eastAsia="zh-CN"/>
        </w:rPr>
      </w:pPr>
    </w:p>
    <w:p w14:paraId="62142974">
      <w:pPr>
        <w:pStyle w:val="54"/>
        <w:rPr>
          <w:rFonts w:hint="eastAsia"/>
          <w:lang w:val="en-US" w:eastAsia="zh-CN"/>
        </w:rPr>
      </w:pPr>
    </w:p>
    <w:p w14:paraId="191A562B">
      <w:pPr>
        <w:spacing w:line="240" w:lineRule="atLeast"/>
        <w:jc w:val="center"/>
        <w:outlineLvl w:val="0"/>
        <w:rPr>
          <w:rFonts w:hint="eastAsia" w:asciiTheme="minorEastAsia" w:hAnsiTheme="minorEastAsia" w:eastAsiaTheme="minorEastAsia" w:cstheme="minorEastAsia"/>
          <w:b/>
          <w:bCs/>
          <w:sz w:val="30"/>
          <w:szCs w:val="30"/>
        </w:rPr>
      </w:pPr>
      <w:bookmarkStart w:id="348" w:name="_Toc15767"/>
    </w:p>
    <w:p w14:paraId="38B68B50">
      <w:pPr>
        <w:pStyle w:val="26"/>
        <w:rPr>
          <w:rFonts w:hint="eastAsia"/>
        </w:rPr>
      </w:pPr>
    </w:p>
    <w:p w14:paraId="3DA6EA64">
      <w:pPr>
        <w:spacing w:line="240" w:lineRule="atLeast"/>
        <w:jc w:val="center"/>
        <w:outlineLvl w:val="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第</w:t>
      </w:r>
      <w:r>
        <w:rPr>
          <w:rFonts w:hint="eastAsia" w:asciiTheme="minorEastAsia" w:hAnsiTheme="minorEastAsia" w:eastAsiaTheme="minorEastAsia" w:cstheme="minorEastAsia"/>
          <w:b/>
          <w:bCs/>
          <w:sz w:val="30"/>
          <w:szCs w:val="30"/>
          <w:lang w:eastAsia="zh-CN"/>
        </w:rPr>
        <w:t>四</w:t>
      </w:r>
      <w:r>
        <w:rPr>
          <w:rFonts w:hint="eastAsia" w:asciiTheme="minorEastAsia" w:hAnsiTheme="minorEastAsia" w:eastAsiaTheme="minorEastAsia" w:cstheme="minorEastAsia"/>
          <w:b/>
          <w:bCs/>
          <w:sz w:val="30"/>
          <w:szCs w:val="30"/>
        </w:rPr>
        <w:t xml:space="preserve">章 </w:t>
      </w:r>
      <w:r>
        <w:rPr>
          <w:rFonts w:hint="eastAsia" w:asciiTheme="minorEastAsia" w:hAnsiTheme="minorEastAsia" w:eastAsiaTheme="minorEastAsia" w:cstheme="minorEastAsia"/>
          <w:b/>
          <w:bCs/>
          <w:sz w:val="30"/>
          <w:szCs w:val="30"/>
          <w:lang w:eastAsia="zh-CN"/>
        </w:rPr>
        <w:t>供应商</w:t>
      </w:r>
      <w:r>
        <w:rPr>
          <w:rFonts w:hint="eastAsia" w:asciiTheme="minorEastAsia" w:hAnsiTheme="minorEastAsia" w:eastAsiaTheme="minorEastAsia" w:cstheme="minorEastAsia"/>
          <w:b/>
          <w:bCs/>
          <w:sz w:val="30"/>
          <w:szCs w:val="30"/>
        </w:rPr>
        <w:t>须知资料表</w:t>
      </w:r>
      <w:bookmarkEnd w:id="348"/>
    </w:p>
    <w:p w14:paraId="746EB8F5">
      <w:pPr>
        <w:spacing w:line="240" w:lineRule="atLeast"/>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本表是本项目的具体资料，是对</w:t>
      </w:r>
      <w:r>
        <w:rPr>
          <w:rFonts w:hint="eastAsia" w:asciiTheme="minorEastAsia" w:hAnsiTheme="minorEastAsia" w:eastAsiaTheme="minorEastAsia" w:cstheme="minorEastAsia"/>
          <w:b/>
          <w:sz w:val="24"/>
          <w:lang w:eastAsia="zh-CN"/>
        </w:rPr>
        <w:t>供应商</w:t>
      </w:r>
      <w:r>
        <w:rPr>
          <w:rFonts w:hint="eastAsia" w:asciiTheme="minorEastAsia" w:hAnsiTheme="minorEastAsia" w:eastAsiaTheme="minorEastAsia" w:cstheme="minorEastAsia"/>
          <w:b/>
          <w:sz w:val="24"/>
        </w:rPr>
        <w:t>须知的具体补充和修改，如有矛盾，应以本资料表为准</w:t>
      </w:r>
      <w:r>
        <w:rPr>
          <w:rFonts w:hint="eastAsia" w:asciiTheme="minorEastAsia" w:hAnsiTheme="minorEastAsia" w:eastAsiaTheme="minorEastAsia" w:cstheme="minorEastAsia"/>
          <w:sz w:val="24"/>
        </w:rPr>
        <w:t>。</w:t>
      </w:r>
    </w:p>
    <w:tbl>
      <w:tblPr>
        <w:tblStyle w:val="37"/>
        <w:tblW w:w="0" w:type="auto"/>
        <w:tblInd w:w="3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35"/>
        <w:gridCol w:w="8385"/>
      </w:tblGrid>
      <w:tr w14:paraId="12B7C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35" w:type="dxa"/>
            <w:vAlign w:val="center"/>
          </w:tcPr>
          <w:p w14:paraId="1567585A">
            <w:pPr>
              <w:spacing w:line="24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条款号</w:t>
            </w:r>
          </w:p>
        </w:tc>
        <w:tc>
          <w:tcPr>
            <w:tcW w:w="8385" w:type="dxa"/>
            <w:vAlign w:val="center"/>
          </w:tcPr>
          <w:p w14:paraId="50A482EF">
            <w:pPr>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内      容</w:t>
            </w:r>
          </w:p>
        </w:tc>
      </w:tr>
      <w:tr w14:paraId="285A6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035" w:type="dxa"/>
            <w:vAlign w:val="center"/>
          </w:tcPr>
          <w:p w14:paraId="39D9BA98">
            <w:pPr>
              <w:spacing w:line="240" w:lineRule="atLeas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8385" w:type="dxa"/>
            <w:vAlign w:val="center"/>
          </w:tcPr>
          <w:p w14:paraId="10CD1980">
            <w:pPr>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采</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购</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人</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疏勒县疾病预防控制中心　</w:t>
            </w:r>
          </w:p>
          <w:p w14:paraId="166172C7">
            <w:pPr>
              <w:jc w:val="left"/>
              <w:rPr>
                <w:rFonts w:hint="eastAsia" w:asciiTheme="minorEastAsia" w:hAnsiTheme="minorEastAsia" w:eastAsiaTheme="minorEastAsia" w:cstheme="minorEastAsia"/>
                <w:sz w:val="24"/>
                <w:lang w:val="en-US" w:eastAsia="zh-CN"/>
              </w:rPr>
            </w:pPr>
            <w:r>
              <w:rPr>
                <w:rFonts w:hint="default" w:asciiTheme="minorEastAsia" w:hAnsiTheme="minorEastAsia" w:eastAsiaTheme="minorEastAsia" w:cstheme="minorEastAsia"/>
                <w:sz w:val="24"/>
                <w:lang w:val="en-US" w:eastAsia="zh-CN"/>
              </w:rPr>
              <w:t>地    址：</w:t>
            </w:r>
            <w:r>
              <w:rPr>
                <w:rFonts w:hint="eastAsia" w:asciiTheme="minorEastAsia" w:hAnsiTheme="minorEastAsia" w:eastAsiaTheme="minorEastAsia" w:cstheme="minorEastAsia"/>
                <w:sz w:val="24"/>
                <w:lang w:val="en-US" w:eastAsia="zh-CN"/>
              </w:rPr>
              <w:t>疏勒县</w:t>
            </w:r>
          </w:p>
          <w:p w14:paraId="669D08B5">
            <w:pPr>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联</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系</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人：麦吾兰江·阿不来提</w:t>
            </w:r>
          </w:p>
          <w:p w14:paraId="70AF16B3">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电</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t>话：</w:t>
            </w:r>
            <w:r>
              <w:rPr>
                <w:rFonts w:ascii="微软雅黑" w:hAnsi="微软雅黑" w:eastAsia="微软雅黑" w:cs="微软雅黑"/>
                <w:i w:val="0"/>
                <w:iCs w:val="0"/>
                <w:caps w:val="0"/>
                <w:color w:val="333333"/>
                <w:spacing w:val="0"/>
                <w:sz w:val="21"/>
                <w:szCs w:val="21"/>
                <w:shd w:val="clear" w:fill="FFFFFF"/>
              </w:rPr>
              <w:t>1761908411</w:t>
            </w:r>
            <w:r>
              <w:rPr>
                <w:rFonts w:ascii="微软雅黑" w:hAnsi="微软雅黑" w:eastAsia="微软雅黑" w:cs="微软雅黑"/>
                <w:i w:val="0"/>
                <w:iCs w:val="0"/>
                <w:caps w:val="0"/>
                <w:color w:val="333333"/>
                <w:spacing w:val="0"/>
                <w:sz w:val="21"/>
                <w:szCs w:val="21"/>
                <w:highlight w:val="none"/>
                <w:shd w:val="clear" w:fill="FFFFFF"/>
              </w:rPr>
              <w:t>1</w:t>
            </w: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rPr>
              <w:t>　　　　　　　</w:t>
            </w:r>
          </w:p>
        </w:tc>
      </w:tr>
      <w:tr w14:paraId="7D6D8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35" w:type="dxa"/>
            <w:vAlign w:val="center"/>
          </w:tcPr>
          <w:p w14:paraId="694036C8">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8385" w:type="dxa"/>
            <w:vAlign w:val="center"/>
          </w:tcPr>
          <w:p w14:paraId="652CE689">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代理机构：</w:t>
            </w:r>
            <w:r>
              <w:rPr>
                <w:rFonts w:hint="eastAsia" w:asciiTheme="minorEastAsia" w:hAnsiTheme="minorEastAsia" w:eastAsiaTheme="minorEastAsia" w:cstheme="minorEastAsia"/>
                <w:sz w:val="24"/>
                <w:lang w:eastAsia="zh-CN"/>
              </w:rPr>
              <w:t>新疆亘勤工程管理咨询有限公司</w:t>
            </w:r>
            <w:r>
              <w:rPr>
                <w:rFonts w:hint="eastAsia" w:asciiTheme="minorEastAsia" w:hAnsiTheme="minorEastAsia" w:eastAsiaTheme="minorEastAsia" w:cstheme="minorEastAsia"/>
                <w:sz w:val="24"/>
              </w:rPr>
              <w:t xml:space="preserve"> </w:t>
            </w:r>
          </w:p>
          <w:p w14:paraId="7DFD0FF4">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址：</w:t>
            </w:r>
            <w:r>
              <w:rPr>
                <w:rFonts w:hint="eastAsia" w:asciiTheme="minorEastAsia" w:hAnsiTheme="minorEastAsia" w:eastAsiaTheme="minorEastAsia" w:cstheme="minorEastAsia"/>
                <w:sz w:val="24"/>
                <w:lang w:val="en-US" w:eastAsia="zh-CN"/>
              </w:rPr>
              <w:t xml:space="preserve"> 喀什市深喀大道永昌大厦5-3室</w:t>
            </w:r>
            <w:r>
              <w:rPr>
                <w:rFonts w:hint="eastAsia" w:asciiTheme="minorEastAsia" w:hAnsiTheme="minorEastAsia" w:eastAsiaTheme="minorEastAsia" w:cstheme="minorEastAsia"/>
                <w:sz w:val="24"/>
              </w:rPr>
              <w:t xml:space="preserve">  </w:t>
            </w:r>
          </w:p>
          <w:p w14:paraId="5B0E5541">
            <w:pPr>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联</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人：</w:t>
            </w:r>
            <w:r>
              <w:rPr>
                <w:rFonts w:hint="eastAsia" w:asciiTheme="minorEastAsia" w:hAnsiTheme="minorEastAsia" w:eastAsiaTheme="minorEastAsia" w:cstheme="minorEastAsia"/>
                <w:sz w:val="24"/>
                <w:lang w:val="en-US" w:eastAsia="zh-CN"/>
              </w:rPr>
              <w:t>袁媛</w:t>
            </w:r>
          </w:p>
          <w:p w14:paraId="058904B0">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话：</w:t>
            </w:r>
            <w:r>
              <w:rPr>
                <w:rFonts w:hint="eastAsia" w:asciiTheme="minorEastAsia" w:hAnsiTheme="minorEastAsia" w:eastAsiaTheme="minorEastAsia" w:cstheme="minorEastAsia"/>
                <w:sz w:val="24"/>
                <w:lang w:val="en-US" w:eastAsia="zh-CN"/>
              </w:rPr>
              <w:t>13565665678</w:t>
            </w:r>
            <w:r>
              <w:rPr>
                <w:rFonts w:hint="eastAsia" w:asciiTheme="minorEastAsia" w:hAnsiTheme="minorEastAsia" w:eastAsiaTheme="minorEastAsia" w:cstheme="minorEastAsia"/>
                <w:sz w:val="24"/>
              </w:rPr>
              <w:t xml:space="preserve"> </w:t>
            </w:r>
          </w:p>
        </w:tc>
      </w:tr>
      <w:tr w14:paraId="4D38A8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trPr>
        <w:tc>
          <w:tcPr>
            <w:tcW w:w="1035" w:type="dxa"/>
            <w:vAlign w:val="center"/>
          </w:tcPr>
          <w:p w14:paraId="50AAD212">
            <w:pPr>
              <w:widowControl/>
              <w:spacing w:line="3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1.3.4</w:t>
            </w:r>
          </w:p>
        </w:tc>
        <w:tc>
          <w:tcPr>
            <w:tcW w:w="8385" w:type="dxa"/>
            <w:vAlign w:val="center"/>
          </w:tcPr>
          <w:p w14:paraId="7DE8233C">
            <w:pPr>
              <w:widowControl/>
              <w:spacing w:line="340" w:lineRule="exact"/>
              <w:jc w:val="left"/>
              <w:rPr>
                <w:rFonts w:hint="eastAsia"/>
                <w:sz w:val="24"/>
                <w:szCs w:val="32"/>
              </w:rPr>
            </w:pPr>
            <w:r>
              <w:rPr>
                <w:rFonts w:hint="eastAsia"/>
                <w:sz w:val="24"/>
                <w:szCs w:val="32"/>
              </w:rPr>
              <w:t>合格</w:t>
            </w:r>
            <w:r>
              <w:rPr>
                <w:rFonts w:hint="eastAsia"/>
                <w:sz w:val="24"/>
                <w:szCs w:val="32"/>
                <w:lang w:eastAsia="zh-CN"/>
              </w:rPr>
              <w:t>供应商</w:t>
            </w:r>
            <w:r>
              <w:rPr>
                <w:rFonts w:hint="eastAsia"/>
                <w:sz w:val="24"/>
                <w:szCs w:val="32"/>
              </w:rPr>
              <w:t>的其他资格要求：参加本次</w:t>
            </w:r>
            <w:r>
              <w:rPr>
                <w:rFonts w:hint="eastAsia"/>
                <w:sz w:val="24"/>
                <w:szCs w:val="32"/>
                <w:lang w:eastAsia="zh-CN"/>
              </w:rPr>
              <w:t>竞争性磋商</w:t>
            </w:r>
            <w:r>
              <w:rPr>
                <w:rFonts w:hint="eastAsia"/>
                <w:sz w:val="24"/>
                <w:szCs w:val="32"/>
              </w:rPr>
              <w:t>的供应商除符合《中华人民共和国政府采购法》第二十二条规定的条件外，还需满足下列要求：</w:t>
            </w:r>
          </w:p>
          <w:p w14:paraId="020356E3">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（1）具有有效的营业执照。</w:t>
            </w:r>
          </w:p>
          <w:p w14:paraId="2A02634E">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（2）供应商单位法人响应的提供法人身份证明，被授权人响应的提供法人授权委托书和身份证明。</w:t>
            </w:r>
          </w:p>
          <w:p w14:paraId="05C8D0BE">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3）供应商需具备【建筑工程施工总承包叁级】(含)以上资质，有安全生产许可证且在有效期内；项目负责人资质要求：【建筑工程】专业二级（含）以上注册建造师执业资格，具备有效的安全生产考核合格证书，且未担任其他在施建设工程项目的项目负责人、项目经理。</w:t>
            </w:r>
          </w:p>
          <w:p w14:paraId="45D3EFFA">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（4）税务局开具的依法缴纳近三个月内任意一个月的税收证明的良好记录，依法免税应提供相应文件证明。</w:t>
            </w:r>
          </w:p>
          <w:p w14:paraId="2BEEE1E6">
            <w:pPr>
              <w:pStyle w:val="9"/>
              <w:ind w:left="0" w:leftChars="0" w:firstLine="240" w:firstLineChars="100"/>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（5）提供本单位近三个月任意一个月的社保缴纳证明；</w:t>
            </w:r>
          </w:p>
          <w:p w14:paraId="2DE4931F">
            <w:pPr>
              <w:ind w:firstLine="240" w:firstLineChars="100"/>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（6）提供针对本次项目《反商业贿赂承诺书》</w:t>
            </w:r>
          </w:p>
          <w:p w14:paraId="2470321F">
            <w:pPr>
              <w:pStyle w:val="9"/>
              <w:ind w:left="0" w:leftChars="0" w:firstLine="240" w:firstLineChars="100"/>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（7）参加政府采购活动前3年内在经营活动中没有重大违法记录的书面声明。</w:t>
            </w:r>
          </w:p>
          <w:p w14:paraId="4C197318">
            <w:pPr>
              <w:ind w:firstLine="240" w:firstLineChars="100"/>
              <w:rPr>
                <w:rFonts w:hint="default"/>
                <w:lang w:val="en-US" w:eastAsia="zh-CN"/>
              </w:rPr>
            </w:pPr>
            <w:r>
              <w:rPr>
                <w:rFonts w:hint="eastAsia" w:ascii="宋体" w:hAnsi="宋体" w:eastAsia="宋体" w:cs="宋体"/>
                <w:b w:val="0"/>
                <w:bCs/>
                <w:i w:val="0"/>
                <w:iCs w:val="0"/>
                <w:color w:val="auto"/>
                <w:kern w:val="2"/>
                <w:sz w:val="24"/>
                <w:szCs w:val="24"/>
                <w:highlight w:val="none"/>
                <w:lang w:val="en-US" w:eastAsia="zh-CN" w:bidi="ar-SA"/>
              </w:rPr>
              <w:t>（8）</w:t>
            </w:r>
            <w:r>
              <w:rPr>
                <w:rFonts w:hint="eastAsia" w:ascii="宋体" w:hAnsi="宋体" w:cs="宋体"/>
                <w:b w:val="0"/>
                <w:bCs/>
                <w:i w:val="0"/>
                <w:iCs w:val="0"/>
                <w:color w:val="auto"/>
                <w:kern w:val="2"/>
                <w:sz w:val="24"/>
                <w:szCs w:val="24"/>
                <w:highlight w:val="none"/>
                <w:lang w:val="en-US" w:eastAsia="zh-CN" w:bidi="ar-SA"/>
              </w:rPr>
              <w:t>提供2024年度的财务审计报告</w:t>
            </w:r>
            <w:r>
              <w:rPr>
                <w:rFonts w:hint="eastAsia" w:ascii="宋体" w:hAnsi="宋体" w:eastAsia="宋体" w:cs="宋体"/>
                <w:b w:val="0"/>
                <w:bCs/>
                <w:i w:val="0"/>
                <w:iCs w:val="0"/>
                <w:color w:val="auto"/>
                <w:kern w:val="2"/>
                <w:sz w:val="24"/>
                <w:szCs w:val="24"/>
                <w:highlight w:val="none"/>
                <w:lang w:val="en-US" w:eastAsia="zh-CN" w:bidi="ar-SA"/>
              </w:rPr>
              <w:t>（注册成立未满一年新公司提供银行资信证明）。</w:t>
            </w:r>
          </w:p>
          <w:p w14:paraId="0AFB5B8A">
            <w:pPr>
              <w:pageBreakBefore w:val="0"/>
              <w:kinsoku/>
              <w:wordWrap/>
              <w:overflowPunct/>
              <w:topLinePunct w:val="0"/>
              <w:bidi w:val="0"/>
              <w:snapToGrid/>
              <w:spacing w:line="240" w:lineRule="auto"/>
              <w:ind w:firstLine="240" w:firstLineChars="100"/>
              <w:jc w:val="left"/>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9）供应商须提供在①“信用中国网（www.creditchina.gov.cn）”被列入失信被执行人、企业经营异常名录、重大税收违法案件当事人名单、政府采购严重违法失信名单（尚在处罚期内的）；②“中国政府采购网（www.ccgp.gov.cn）”被列入政府采购严重违法失信行为记录名单的（尚在处罚期内的）；③“国家企业信用信息公示系统（http://www.gsxt.gov.cn）”列入经营异常名录信息、列入严重违法失信企业名单（黑名单）信息及企业信用信息公示报告；（提供查询结果网页截图并加盖供应商公章）。</w:t>
            </w:r>
          </w:p>
          <w:p w14:paraId="6BAC3C77">
            <w:pPr>
              <w:pageBreakBefore w:val="0"/>
              <w:kinsoku/>
              <w:wordWrap/>
              <w:overflowPunct/>
              <w:topLinePunct w:val="0"/>
              <w:bidi w:val="0"/>
              <w:snapToGrid/>
              <w:spacing w:line="240" w:lineRule="auto"/>
              <w:ind w:firstLine="240" w:firstLineChars="10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10）项目负责人及项目班子成员在新疆建设云平台可承揽业务；登录新疆工程建设云（http//jsy.xjjs.gov.cn/dataservice/index）可查询注册企业基本信息和人员信息（提供上述网页个人页面截图打印并加盖公章），且在人员、设备、资金等方面具有承担本工程的能力。</w:t>
            </w:r>
          </w:p>
          <w:p w14:paraId="324FC557">
            <w:pPr>
              <w:pStyle w:val="8"/>
              <w:ind w:left="0" w:leftChars="0" w:firstLine="240" w:firstLineChars="100"/>
              <w:rPr>
                <w:rFonts w:hint="eastAsia"/>
                <w:lang w:val="en-US" w:eastAsia="zh-CN"/>
              </w:rPr>
            </w:pPr>
            <w:r>
              <w:rPr>
                <w:rFonts w:hint="eastAsia"/>
                <w:lang w:val="en-US" w:eastAsia="zh-CN"/>
              </w:rPr>
              <w:t>（11）缴纳磋商保证金有效凭证（打款凭证）；</w:t>
            </w:r>
          </w:p>
          <w:p w14:paraId="6F2400E8">
            <w:pPr>
              <w:pStyle w:val="9"/>
              <w:ind w:left="0" w:leftChars="0" w:firstLine="240" w:firstLineChars="100"/>
              <w:rPr>
                <w:rFonts w:hint="default" w:ascii="宋体" w:hAnsi="Times New Roman" w:eastAsia="宋体" w:cs="Times New Roman"/>
                <w:kern w:val="0"/>
                <w:sz w:val="24"/>
                <w:szCs w:val="20"/>
                <w:lang w:val="en-US" w:eastAsia="zh-CN" w:bidi="ar-SA"/>
              </w:rPr>
            </w:pPr>
            <w:r>
              <w:rPr>
                <w:rFonts w:hint="eastAsia" w:ascii="宋体" w:hAnsi="Times New Roman" w:eastAsia="宋体" w:cs="Times New Roman"/>
                <w:kern w:val="0"/>
                <w:sz w:val="24"/>
                <w:szCs w:val="20"/>
                <w:lang w:val="en-US" w:eastAsia="zh-CN" w:bidi="ar-SA"/>
              </w:rPr>
              <w:t>（12）中小企业声明函；</w:t>
            </w:r>
          </w:p>
          <w:p w14:paraId="6CE52228">
            <w:pPr>
              <w:pStyle w:val="8"/>
              <w:ind w:left="0" w:leftChars="0" w:firstLine="0" w:firstLineChars="0"/>
              <w:rPr>
                <w:rFonts w:hint="eastAsia"/>
              </w:rPr>
            </w:pPr>
            <w:r>
              <w:rPr>
                <w:rFonts w:hint="eastAsia"/>
              </w:rPr>
              <w:t>本项目不接受联合体</w:t>
            </w:r>
            <w:r>
              <w:rPr>
                <w:rFonts w:hint="eastAsia"/>
                <w:lang w:eastAsia="zh-CN"/>
              </w:rPr>
              <w:t>递交响应文件</w:t>
            </w:r>
            <w:r>
              <w:rPr>
                <w:rFonts w:hint="eastAsia"/>
              </w:rPr>
              <w:t>。</w:t>
            </w:r>
          </w:p>
          <w:p w14:paraId="4B683394">
            <w:pPr>
              <w:pStyle w:val="13"/>
              <w:ind w:left="0" w:leftChars="0" w:firstLine="0" w:firstLineChars="0"/>
              <w:jc w:val="left"/>
              <w:rPr>
                <w:rFonts w:hint="eastAsia"/>
              </w:rPr>
            </w:pPr>
            <w:r>
              <w:rPr>
                <w:rFonts w:hint="eastAsia" w:asciiTheme="minorEastAsia" w:hAnsiTheme="minorEastAsia" w:eastAsiaTheme="minorEastAsia" w:cstheme="minorEastAsia"/>
                <w:b/>
                <w:bCs/>
                <w:color w:val="auto"/>
                <w:kern w:val="2"/>
                <w:sz w:val="24"/>
                <w:szCs w:val="24"/>
                <w:highlight w:val="none"/>
                <w:lang w:val="en-US" w:eastAsia="zh-CN" w:bidi="ar-SA"/>
              </w:rPr>
              <w:t>注：1、“税务局开具的依法缴纳近三个月任意一个月的税收证明的良好记录”：①若供应商某月税收为零申报，须提供当月加盖税务局公章的无欠税证明或 “国家税务总局电子税务（12366.chinatax.gov.cn/bsfw/onlinetaxation/main）”的申报结果查询截图。②完税证明中“税种”非养老保险、医疗保险、失业保险、工伤保险和生育保险。请各供应商注意！</w:t>
            </w:r>
          </w:p>
        </w:tc>
      </w:tr>
      <w:tr w14:paraId="4D8EE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035" w:type="dxa"/>
            <w:vAlign w:val="center"/>
          </w:tcPr>
          <w:p w14:paraId="06EC7322">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1.3.5</w:t>
            </w:r>
          </w:p>
        </w:tc>
        <w:tc>
          <w:tcPr>
            <w:tcW w:w="8385" w:type="dxa"/>
            <w:vAlign w:val="center"/>
          </w:tcPr>
          <w:p w14:paraId="4DC9628E">
            <w:pPr>
              <w:spacing w:line="24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是否允许采购进口产品：</w:t>
            </w:r>
            <w:r>
              <w:rPr>
                <w:rFonts w:hint="eastAsia" w:asciiTheme="minorEastAsia" w:hAnsiTheme="minorEastAsia" w:eastAsiaTheme="minorEastAsia" w:cstheme="minorEastAsia"/>
                <w:sz w:val="24"/>
                <w:u w:val="single"/>
              </w:rPr>
              <w:t>否</w:t>
            </w:r>
            <w:r>
              <w:rPr>
                <w:rFonts w:hint="eastAsia" w:asciiTheme="minorEastAsia" w:hAnsiTheme="minorEastAsia" w:eastAsiaTheme="minorEastAsia" w:cstheme="minorEastAsia"/>
                <w:sz w:val="24"/>
              </w:rPr>
              <w:t>（是、否）</w:t>
            </w:r>
          </w:p>
        </w:tc>
      </w:tr>
      <w:tr w14:paraId="34058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035" w:type="dxa"/>
            <w:vAlign w:val="center"/>
          </w:tcPr>
          <w:p w14:paraId="43D0D4B8">
            <w:pPr>
              <w:spacing w:line="240" w:lineRule="atLeas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1.3.6</w:t>
            </w:r>
          </w:p>
        </w:tc>
        <w:tc>
          <w:tcPr>
            <w:tcW w:w="8385" w:type="dxa"/>
            <w:vAlign w:val="center"/>
          </w:tcPr>
          <w:p w14:paraId="1D655780">
            <w:pPr>
              <w:spacing w:line="240" w:lineRule="atLeast"/>
              <w:rPr>
                <w:rFonts w:hint="eastAsia" w:ascii="宋体" w:hAnsi="宋体" w:cs="宋体"/>
                <w:b/>
                <w:bCs/>
                <w:color w:val="auto"/>
                <w:sz w:val="24"/>
                <w:u w:val="single"/>
                <w:lang w:eastAsia="zh-CN"/>
              </w:rPr>
            </w:pPr>
            <w:r>
              <w:rPr>
                <w:rFonts w:hint="eastAsia" w:ascii="宋体" w:hAnsi="宋体" w:cs="宋体"/>
                <w:color w:val="auto"/>
                <w:sz w:val="24"/>
              </w:rPr>
              <w:t>是否为</w:t>
            </w:r>
            <w:r>
              <w:rPr>
                <w:rFonts w:hint="eastAsia" w:ascii="宋体" w:hAnsi="宋体" w:cs="宋体"/>
                <w:color w:val="auto"/>
                <w:sz w:val="24"/>
                <w:lang w:val="en-US" w:eastAsia="zh-CN"/>
              </w:rPr>
              <w:t>专门</w:t>
            </w:r>
            <w:r>
              <w:rPr>
                <w:rFonts w:hint="eastAsia" w:ascii="宋体" w:hAnsi="宋体" w:cs="宋体"/>
                <w:color w:val="auto"/>
                <w:sz w:val="24"/>
              </w:rPr>
              <w:t>面向中小企业采购：</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是</w:t>
            </w:r>
            <w:r>
              <w:rPr>
                <w:rFonts w:hint="eastAsia" w:ascii="宋体" w:hAnsi="宋体" w:cs="宋体"/>
                <w:color w:val="auto"/>
                <w:sz w:val="24"/>
                <w:u w:val="single"/>
              </w:rPr>
              <w:t xml:space="preserve">  </w:t>
            </w:r>
            <w:r>
              <w:rPr>
                <w:rFonts w:hint="eastAsia" w:ascii="宋体" w:hAnsi="宋体" w:cs="宋体"/>
                <w:color w:val="auto"/>
                <w:sz w:val="24"/>
              </w:rPr>
              <w:t>（是、否）</w:t>
            </w:r>
            <w:r>
              <w:rPr>
                <w:rFonts w:hint="eastAsia" w:ascii="宋体" w:hAnsi="宋体" w:cs="宋体"/>
                <w:color w:val="auto"/>
                <w:sz w:val="24"/>
                <w:lang w:eastAsia="zh-CN"/>
              </w:rPr>
              <w:t>，（</w:t>
            </w:r>
            <w:r>
              <w:rPr>
                <w:rFonts w:hint="eastAsia" w:ascii="宋体" w:hAnsi="宋体" w:cs="宋体"/>
                <w:b/>
                <w:bCs/>
                <w:color w:val="auto"/>
                <w:sz w:val="24"/>
                <w:u w:val="single"/>
                <w:lang w:val="en-US" w:eastAsia="zh-CN"/>
              </w:rPr>
              <w:t>潜在供应商企业属于中小微企业的，请在响应文件中提供“中小企业声明函”，如果未提供或提供虚假的“中小企业声明函”，供应商将承担由此造成的一切不利后果</w:t>
            </w:r>
            <w:r>
              <w:rPr>
                <w:rFonts w:hint="eastAsia" w:ascii="宋体" w:hAnsi="宋体" w:cs="宋体"/>
                <w:b/>
                <w:bCs/>
                <w:color w:val="auto"/>
                <w:sz w:val="24"/>
                <w:u w:val="single"/>
                <w:lang w:eastAsia="zh-CN"/>
              </w:rPr>
              <w:t>）。</w:t>
            </w:r>
          </w:p>
          <w:p w14:paraId="3F39991D">
            <w:pPr>
              <w:spacing w:line="240" w:lineRule="atLeast"/>
              <w:ind w:firstLine="241" w:firstLineChars="100"/>
              <w:rPr>
                <w:rFonts w:hint="default" w:asciiTheme="minorEastAsia" w:hAnsiTheme="minorEastAsia" w:eastAsiaTheme="minorEastAsia" w:cstheme="minorEastAsia"/>
                <w:sz w:val="24"/>
                <w:lang w:val="en-US"/>
              </w:rPr>
            </w:pPr>
            <w:r>
              <w:rPr>
                <w:rFonts w:hint="eastAsia" w:ascii="宋体" w:hAnsi="宋体" w:cs="宋体"/>
                <w:b/>
                <w:bCs/>
                <w:color w:val="auto"/>
                <w:sz w:val="24"/>
                <w:u w:val="single"/>
                <w:lang w:eastAsia="zh-CN"/>
              </w:rPr>
              <w:t>行业类型：</w:t>
            </w:r>
            <w:r>
              <w:rPr>
                <w:rFonts w:hint="eastAsia" w:ascii="宋体" w:hAnsi="宋体" w:cs="宋体"/>
                <w:b/>
                <w:bCs/>
                <w:color w:val="auto"/>
                <w:sz w:val="24"/>
                <w:u w:val="single"/>
                <w:lang w:val="en-US" w:eastAsia="zh-CN"/>
              </w:rPr>
              <w:t>建筑行业</w:t>
            </w:r>
          </w:p>
        </w:tc>
      </w:tr>
      <w:tr w14:paraId="5FC7B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035" w:type="dxa"/>
            <w:vAlign w:val="center"/>
          </w:tcPr>
          <w:p w14:paraId="060F0F30">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1.4.8</w:t>
            </w:r>
          </w:p>
        </w:tc>
        <w:tc>
          <w:tcPr>
            <w:tcW w:w="8385" w:type="dxa"/>
            <w:vAlign w:val="center"/>
          </w:tcPr>
          <w:p w14:paraId="6EE0B5EF">
            <w:pPr>
              <w:spacing w:line="24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是否允许联合体</w:t>
            </w:r>
            <w:r>
              <w:rPr>
                <w:rFonts w:hint="eastAsia" w:asciiTheme="minorEastAsia" w:hAnsiTheme="minorEastAsia" w:eastAsiaTheme="minorEastAsia" w:cstheme="minorEastAsia"/>
                <w:sz w:val="24"/>
                <w:lang w:eastAsia="zh-CN"/>
              </w:rPr>
              <w:t>递交响应文件</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否</w:t>
            </w:r>
            <w:r>
              <w:rPr>
                <w:rFonts w:hint="eastAsia" w:asciiTheme="minorEastAsia" w:hAnsiTheme="minorEastAsia" w:eastAsiaTheme="minorEastAsia" w:cstheme="minorEastAsia"/>
                <w:sz w:val="24"/>
              </w:rPr>
              <w:t>（是、否）</w:t>
            </w:r>
          </w:p>
        </w:tc>
      </w:tr>
      <w:tr w14:paraId="52F54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1035" w:type="dxa"/>
            <w:vAlign w:val="center"/>
          </w:tcPr>
          <w:p w14:paraId="176DA9F3">
            <w:pPr>
              <w:spacing w:line="240" w:lineRule="atLeas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w:t>
            </w:r>
          </w:p>
        </w:tc>
        <w:tc>
          <w:tcPr>
            <w:tcW w:w="8385" w:type="dxa"/>
            <w:vAlign w:val="center"/>
          </w:tcPr>
          <w:p w14:paraId="68ECDED6">
            <w:pPr>
              <w:spacing w:line="240" w:lineRule="atLeas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w:t>
            </w:r>
            <w:r>
              <w:rPr>
                <w:rFonts w:hint="eastAsia" w:asciiTheme="minorEastAsia" w:hAnsiTheme="minorEastAsia" w:eastAsiaTheme="minorEastAsia" w:cstheme="minorEastAsia"/>
                <w:sz w:val="24"/>
                <w:highlight w:val="none"/>
                <w:lang w:val="en-US" w:eastAsia="zh-CN"/>
              </w:rPr>
              <w:t>控制价</w:t>
            </w:r>
            <w:r>
              <w:rPr>
                <w:rFonts w:hint="eastAsia" w:asciiTheme="minorEastAsia" w:hAnsiTheme="minorEastAsia" w:eastAsiaTheme="minorEastAsia" w:cstheme="minorEastAsia"/>
                <w:sz w:val="24"/>
                <w:highlight w:val="none"/>
              </w:rPr>
              <w:t>：471271.45</w:t>
            </w:r>
            <w:r>
              <w:rPr>
                <w:rFonts w:hint="eastAsia" w:asciiTheme="minorEastAsia" w:hAnsiTheme="minorEastAsia" w:eastAsiaTheme="minorEastAsia" w:cstheme="minorEastAsia"/>
                <w:b/>
                <w:bCs/>
                <w:sz w:val="24"/>
                <w:highlight w:val="none"/>
                <w:lang w:val="en-US" w:eastAsia="zh-CN"/>
              </w:rPr>
              <w:t>元</w:t>
            </w:r>
            <w:r>
              <w:rPr>
                <w:rFonts w:hint="eastAsia" w:ascii="宋体" w:hAnsi="宋体" w:eastAsia="宋体" w:cs="宋体"/>
                <w:b/>
                <w:bCs/>
                <w:sz w:val="24"/>
                <w:highlight w:val="none"/>
                <w:lang w:val="en-US" w:eastAsia="zh-CN"/>
              </w:rPr>
              <w:t>（</w:t>
            </w:r>
            <w:r>
              <w:rPr>
                <w:rFonts w:hint="eastAsia" w:ascii="宋体" w:hAnsi="宋体" w:cs="宋体"/>
                <w:b/>
                <w:bCs/>
                <w:sz w:val="24"/>
                <w:highlight w:val="none"/>
                <w:lang w:val="en-US" w:eastAsia="zh-CN"/>
              </w:rPr>
              <w:t>供应商</w:t>
            </w:r>
            <w:r>
              <w:rPr>
                <w:rFonts w:hint="eastAsia" w:ascii="宋体" w:hAnsi="宋体" w:eastAsia="宋体" w:cs="宋体"/>
                <w:b/>
                <w:bCs/>
                <w:sz w:val="24"/>
                <w:highlight w:val="none"/>
                <w:lang w:val="en-US" w:eastAsia="zh-CN"/>
              </w:rPr>
              <w:t>的响应报价超出项目控制价者按废标处理）</w:t>
            </w:r>
          </w:p>
        </w:tc>
      </w:tr>
      <w:tr w14:paraId="069AC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35" w:type="dxa"/>
            <w:vAlign w:val="center"/>
          </w:tcPr>
          <w:p w14:paraId="302D038C">
            <w:pPr>
              <w:spacing w:line="240" w:lineRule="atLeas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w:t>
            </w:r>
          </w:p>
        </w:tc>
        <w:tc>
          <w:tcPr>
            <w:tcW w:w="8385" w:type="dxa"/>
            <w:vAlign w:val="center"/>
          </w:tcPr>
          <w:p w14:paraId="42002FEC">
            <w:pPr>
              <w:pStyle w:val="51"/>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磋商保证金</w:t>
            </w:r>
            <w:r>
              <w:rPr>
                <w:rFonts w:hint="eastAsia" w:asciiTheme="minorEastAsia" w:hAnsiTheme="minorEastAsia" w:eastAsiaTheme="minorEastAsia" w:cstheme="minorEastAsia"/>
                <w:color w:val="auto"/>
                <w:highlight w:val="none"/>
                <w:lang w:eastAsia="zh-CN"/>
              </w:rPr>
              <w:t>形式：</w:t>
            </w:r>
            <w:r>
              <w:rPr>
                <w:rFonts w:hint="eastAsia" w:asciiTheme="minorEastAsia" w:hAnsiTheme="minorEastAsia" w:eastAsiaTheme="minorEastAsia" w:cstheme="minorEastAsia"/>
                <w:color w:val="auto"/>
                <w:highlight w:val="none"/>
                <w:lang w:val="en-US" w:eastAsia="zh-CN"/>
              </w:rPr>
              <w:t>以</w:t>
            </w:r>
            <w:r>
              <w:rPr>
                <w:rFonts w:hint="eastAsia" w:asciiTheme="minorEastAsia" w:hAnsiTheme="minorEastAsia" w:eastAsiaTheme="minorEastAsia" w:cstheme="minorEastAsia"/>
                <w:color w:val="auto"/>
                <w:highlight w:val="none"/>
                <w:lang w:eastAsia="zh-CN"/>
              </w:rPr>
              <w:t>基本账户形式提交☑</w:t>
            </w:r>
            <w:r>
              <w:rPr>
                <w:rFonts w:hint="eastAsia" w:asciiTheme="minorEastAsia" w:hAnsiTheme="minorEastAsia" w:eastAsiaTheme="minorEastAsia" w:cstheme="minorEastAsia"/>
                <w:color w:val="auto"/>
                <w:highlight w:val="none"/>
                <w:lang w:val="en-US" w:eastAsia="zh-CN"/>
              </w:rPr>
              <w:t xml:space="preserve">保函 </w:t>
            </w:r>
            <w:r>
              <w:rPr>
                <w:rFonts w:hint="eastAsia" w:asciiTheme="minorEastAsia" w:hAnsiTheme="minorEastAsia" w:eastAsiaTheme="minorEastAsia" w:cstheme="minorEastAsia"/>
                <w:color w:val="auto"/>
                <w:highlight w:val="none"/>
                <w:lang w:eastAsia="zh-CN"/>
              </w:rPr>
              <w:t>☑电汇☑支票</w:t>
            </w:r>
            <w:r>
              <w:rPr>
                <w:rFonts w:hint="eastAsia" w:asciiTheme="minorEastAsia" w:hAnsiTheme="minorEastAsia" w:eastAsiaTheme="minorEastAsia" w:cstheme="minorEastAsia"/>
                <w:color w:val="auto"/>
                <w:highlight w:val="none"/>
                <w:lang w:eastAsia="zh-CN"/>
              </w:rPr>
              <w:sym w:font="Wingdings" w:char="00FE"/>
            </w:r>
            <w:r>
              <w:rPr>
                <w:rFonts w:hint="eastAsia" w:asciiTheme="minorEastAsia" w:hAnsiTheme="minorEastAsia" w:eastAsiaTheme="minorEastAsia" w:cstheme="minorEastAsia"/>
                <w:color w:val="auto"/>
                <w:highlight w:val="none"/>
                <w:lang w:eastAsia="zh-CN"/>
              </w:rPr>
              <w:t xml:space="preserve">网银☑对公转账 （本项目允许的其他形式） </w:t>
            </w:r>
          </w:p>
          <w:p w14:paraId="71210901">
            <w:pPr>
              <w:pStyle w:val="51"/>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保证金数额：</w:t>
            </w:r>
            <w:r>
              <w:rPr>
                <w:rFonts w:hint="eastAsia" w:asciiTheme="minorEastAsia" w:hAnsiTheme="minorEastAsia" w:eastAsiaTheme="minorEastAsia" w:cstheme="minorEastAsia"/>
                <w:color w:val="auto"/>
                <w:highlight w:val="none"/>
                <w:lang w:val="en-US" w:eastAsia="zh-CN"/>
              </w:rPr>
              <w:t>5000.00</w:t>
            </w:r>
            <w:r>
              <w:rPr>
                <w:rFonts w:hint="eastAsia" w:asciiTheme="minorEastAsia" w:hAnsiTheme="minorEastAsia" w:eastAsiaTheme="minorEastAsia" w:cstheme="minorEastAsia"/>
                <w:color w:val="auto"/>
                <w:highlight w:val="none"/>
                <w:lang w:eastAsia="zh-CN"/>
              </w:rPr>
              <w:t>元（</w:t>
            </w:r>
            <w:r>
              <w:rPr>
                <w:rFonts w:hint="eastAsia" w:asciiTheme="minorEastAsia" w:hAnsiTheme="minorEastAsia" w:eastAsiaTheme="minorEastAsia" w:cstheme="minorEastAsia"/>
                <w:color w:val="auto"/>
                <w:highlight w:val="none"/>
                <w:lang w:val="en-US" w:eastAsia="zh-CN"/>
              </w:rPr>
              <w:t>伍仟元整</w:t>
            </w:r>
            <w:r>
              <w:rPr>
                <w:rFonts w:hint="eastAsia" w:asciiTheme="minorEastAsia" w:hAnsiTheme="minorEastAsia" w:eastAsiaTheme="minorEastAsia" w:cstheme="minorEastAsia"/>
                <w:color w:val="auto"/>
                <w:highlight w:val="none"/>
                <w:lang w:eastAsia="zh-CN"/>
              </w:rPr>
              <w:t>）（按照各分包控制金额2%以内整数计算）</w:t>
            </w:r>
          </w:p>
          <w:p w14:paraId="279EF724">
            <w:pPr>
              <w:pStyle w:val="51"/>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账户名称：新疆亘勤工程管理咨询有限公司</w:t>
            </w:r>
          </w:p>
          <w:p w14:paraId="358DF239">
            <w:pPr>
              <w:pStyle w:val="51"/>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 xml:space="preserve">开户行：中国工商银行股份有限公司乌鲁木齐迎宾路支行   </w:t>
            </w:r>
          </w:p>
          <w:p w14:paraId="19630C1C">
            <w:pPr>
              <w:pStyle w:val="51"/>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账号：3002019609200025628</w:t>
            </w:r>
          </w:p>
          <w:p w14:paraId="7963A3B1">
            <w:pPr>
              <w:pStyle w:val="51"/>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地址：喀什市深喀大道永昌大厦 5-3 室</w:t>
            </w:r>
          </w:p>
          <w:p w14:paraId="2037F112">
            <w:pPr>
              <w:pStyle w:val="51"/>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联系人：袁媛</w:t>
            </w:r>
          </w:p>
          <w:p w14:paraId="68386F40">
            <w:pPr>
              <w:pStyle w:val="51"/>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联系电话：13565665678</w:t>
            </w:r>
          </w:p>
          <w:p w14:paraId="66D04411">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打款时必须注明</w:t>
            </w:r>
            <w:r>
              <w:rPr>
                <w:rFonts w:hint="eastAsia" w:asciiTheme="minorEastAsia" w:hAnsiTheme="minorEastAsia" w:eastAsiaTheme="minorEastAsia" w:cstheme="minorEastAsia"/>
                <w:sz w:val="24"/>
                <w:highlight w:val="none"/>
                <w:lang w:eastAsia="zh-CN"/>
              </w:rPr>
              <w:t>响应</w:t>
            </w:r>
            <w:r>
              <w:rPr>
                <w:rFonts w:hint="eastAsia" w:asciiTheme="minorEastAsia" w:hAnsiTheme="minorEastAsia" w:eastAsiaTheme="minorEastAsia" w:cstheme="minorEastAsia"/>
                <w:sz w:val="24"/>
                <w:highlight w:val="none"/>
              </w:rPr>
              <w:t>保证金项目名称或项目编号（否则视为无效打款）。到账截止时间：</w:t>
            </w:r>
            <w:r>
              <w:rPr>
                <w:rFonts w:hint="eastAsia" w:asciiTheme="minorEastAsia" w:hAnsiTheme="minorEastAsia" w:eastAsiaTheme="minorEastAsia" w:cstheme="minorEastAsia"/>
                <w:sz w:val="24"/>
                <w:highlight w:val="none"/>
                <w:lang w:eastAsia="zh-CN"/>
              </w:rPr>
              <w:t>响应</w:t>
            </w:r>
            <w:r>
              <w:rPr>
                <w:rFonts w:hint="eastAsia" w:asciiTheme="minorEastAsia" w:hAnsiTheme="minorEastAsia" w:eastAsiaTheme="minorEastAsia" w:cstheme="minorEastAsia"/>
                <w:sz w:val="24"/>
                <w:highlight w:val="none"/>
              </w:rPr>
              <w:t>截止时间前（以到账时间为准，节假日除外）。</w:t>
            </w:r>
          </w:p>
          <w:p w14:paraId="35E0D32E">
            <w:pP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2、磋商保证金以电子保函形式缴纳。电子保函按照“一标项一保函 ”的原则办理，同时须在磋商文件规定的响应截止时间前办理完成。供应商以保函形式缴纳磋商保证金的，购买电子保函所支付的费用须从供应商企业基本账户转出，同时将电子保函扫描件作为电子响应文件组成部分在响应时一并上传。</w:t>
            </w:r>
          </w:p>
          <w:p w14:paraId="3FA23D4E">
            <w:pP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（1）供应商需附本单位的基本账户信息；</w:t>
            </w:r>
          </w:p>
          <w:p w14:paraId="6597886A">
            <w:pP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（2）供应商需附保函手续费汇款凭证（汇款凭证需备注项目名称）。</w:t>
            </w:r>
          </w:p>
          <w:p w14:paraId="15CF4BB6">
            <w:pP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注：使用保函时未按要求提供材料按无效响应处理。</w:t>
            </w:r>
          </w:p>
          <w:p w14:paraId="3745B96C">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.本项目不需要换取收据，银行汇款凭证用于</w:t>
            </w:r>
            <w:r>
              <w:rPr>
                <w:rFonts w:hint="eastAsia" w:asciiTheme="minorEastAsia" w:hAnsiTheme="minorEastAsia" w:eastAsiaTheme="minorEastAsia" w:cstheme="minorEastAsia"/>
                <w:sz w:val="24"/>
                <w:highlight w:val="none"/>
                <w:lang w:eastAsia="zh-CN"/>
              </w:rPr>
              <w:t>响应</w:t>
            </w:r>
            <w:r>
              <w:rPr>
                <w:rFonts w:hint="eastAsia" w:asciiTheme="minorEastAsia" w:hAnsiTheme="minorEastAsia" w:eastAsiaTheme="minorEastAsia" w:cstheme="minorEastAsia"/>
                <w:sz w:val="24"/>
                <w:highlight w:val="none"/>
              </w:rPr>
              <w:t>保证金证明。如因</w:t>
            </w:r>
            <w:r>
              <w:rPr>
                <w:rFonts w:hint="eastAsia" w:asciiTheme="minorEastAsia" w:hAnsiTheme="minorEastAsia" w:eastAsiaTheme="minorEastAsia" w:cstheme="minorEastAsia"/>
                <w:sz w:val="24"/>
                <w:highlight w:val="none"/>
                <w:lang w:eastAsia="zh-CN"/>
              </w:rPr>
              <w:t>供应商</w:t>
            </w:r>
            <w:r>
              <w:rPr>
                <w:rFonts w:hint="eastAsia" w:asciiTheme="minorEastAsia" w:hAnsiTheme="minorEastAsia" w:eastAsiaTheme="minorEastAsia" w:cstheme="minorEastAsia"/>
                <w:sz w:val="24"/>
                <w:highlight w:val="none"/>
              </w:rPr>
              <w:t>自身原因打款不成功的，代理公司不承担任何责任。</w:t>
            </w:r>
          </w:p>
          <w:p w14:paraId="0B607D18">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eastAsia="zh-CN"/>
              </w:rPr>
              <w:t>成交</w:t>
            </w:r>
            <w:r>
              <w:rPr>
                <w:rFonts w:hint="eastAsia" w:asciiTheme="minorEastAsia" w:hAnsiTheme="minorEastAsia" w:eastAsiaTheme="minorEastAsia" w:cstheme="minorEastAsia"/>
                <w:sz w:val="24"/>
                <w:highlight w:val="none"/>
              </w:rPr>
              <w:t>人应在与采购人签订合同之日起5个工作日内，保证金收受机构根据</w:t>
            </w:r>
            <w:r>
              <w:rPr>
                <w:rFonts w:hint="eastAsia" w:asciiTheme="minorEastAsia" w:hAnsiTheme="minorEastAsia" w:eastAsiaTheme="minorEastAsia" w:cstheme="minorEastAsia"/>
                <w:sz w:val="24"/>
                <w:highlight w:val="none"/>
                <w:lang w:eastAsia="zh-CN"/>
              </w:rPr>
              <w:t>成交</w:t>
            </w:r>
            <w:r>
              <w:rPr>
                <w:rFonts w:hint="eastAsia" w:asciiTheme="minorEastAsia" w:hAnsiTheme="minorEastAsia" w:eastAsiaTheme="minorEastAsia" w:cstheme="minorEastAsia"/>
                <w:sz w:val="24"/>
                <w:highlight w:val="none"/>
              </w:rPr>
              <w:t>人提供的打款凭证及时办理</w:t>
            </w:r>
            <w:r>
              <w:rPr>
                <w:rFonts w:hint="eastAsia" w:asciiTheme="minorEastAsia" w:hAnsiTheme="minorEastAsia" w:eastAsiaTheme="minorEastAsia" w:cstheme="minorEastAsia"/>
                <w:sz w:val="24"/>
                <w:highlight w:val="none"/>
                <w:lang w:eastAsia="zh-CN"/>
              </w:rPr>
              <w:t>响应</w:t>
            </w:r>
            <w:r>
              <w:rPr>
                <w:rFonts w:hint="eastAsia" w:asciiTheme="minorEastAsia" w:hAnsiTheme="minorEastAsia" w:eastAsiaTheme="minorEastAsia" w:cstheme="minorEastAsia"/>
                <w:sz w:val="24"/>
                <w:highlight w:val="none"/>
              </w:rPr>
              <w:t>保证金无息退还手续。</w:t>
            </w:r>
          </w:p>
          <w:p w14:paraId="59CDC0C5">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.未</w:t>
            </w:r>
            <w:r>
              <w:rPr>
                <w:rFonts w:hint="eastAsia" w:asciiTheme="minorEastAsia" w:hAnsiTheme="minorEastAsia" w:eastAsiaTheme="minorEastAsia" w:cstheme="minorEastAsia"/>
                <w:sz w:val="24"/>
                <w:highlight w:val="none"/>
                <w:lang w:eastAsia="zh-CN"/>
              </w:rPr>
              <w:t>成交供应商</w:t>
            </w:r>
            <w:r>
              <w:rPr>
                <w:rFonts w:hint="eastAsia" w:asciiTheme="minorEastAsia" w:hAnsiTheme="minorEastAsia" w:eastAsiaTheme="minorEastAsia" w:cstheme="minorEastAsia"/>
                <w:sz w:val="24"/>
                <w:highlight w:val="none"/>
              </w:rPr>
              <w:t>的</w:t>
            </w:r>
            <w:r>
              <w:rPr>
                <w:rFonts w:hint="eastAsia" w:asciiTheme="minorEastAsia" w:hAnsiTheme="minorEastAsia" w:eastAsiaTheme="minorEastAsia" w:cstheme="minorEastAsia"/>
                <w:sz w:val="24"/>
                <w:highlight w:val="none"/>
                <w:lang w:eastAsia="zh-CN"/>
              </w:rPr>
              <w:t>响应</w:t>
            </w:r>
            <w:r>
              <w:rPr>
                <w:rFonts w:hint="eastAsia" w:asciiTheme="minorEastAsia" w:hAnsiTheme="minorEastAsia" w:eastAsiaTheme="minorEastAsia" w:cstheme="minorEastAsia"/>
                <w:sz w:val="24"/>
                <w:highlight w:val="none"/>
              </w:rPr>
              <w:t>保证金将在</w:t>
            </w:r>
            <w:r>
              <w:rPr>
                <w:rFonts w:hint="eastAsia" w:asciiTheme="minorEastAsia" w:hAnsiTheme="minorEastAsia" w:eastAsiaTheme="minorEastAsia" w:cstheme="minorEastAsia"/>
                <w:sz w:val="24"/>
                <w:highlight w:val="none"/>
                <w:lang w:eastAsia="zh-CN"/>
              </w:rPr>
              <w:t>成交</w:t>
            </w:r>
            <w:r>
              <w:rPr>
                <w:rFonts w:hint="eastAsia" w:asciiTheme="minorEastAsia" w:hAnsiTheme="minorEastAsia" w:eastAsiaTheme="minorEastAsia" w:cstheme="minorEastAsia"/>
                <w:sz w:val="24"/>
                <w:highlight w:val="none"/>
              </w:rPr>
              <w:t>通知书发出之日暨</w:t>
            </w:r>
            <w:r>
              <w:rPr>
                <w:rFonts w:hint="eastAsia" w:asciiTheme="minorEastAsia" w:hAnsiTheme="minorEastAsia" w:eastAsiaTheme="minorEastAsia" w:cstheme="minorEastAsia"/>
                <w:sz w:val="24"/>
                <w:highlight w:val="none"/>
                <w:lang w:eastAsia="zh-CN"/>
              </w:rPr>
              <w:t>成交</w:t>
            </w:r>
            <w:r>
              <w:rPr>
                <w:rFonts w:hint="eastAsia" w:asciiTheme="minorEastAsia" w:hAnsiTheme="minorEastAsia" w:eastAsiaTheme="minorEastAsia" w:cstheme="minorEastAsia"/>
                <w:sz w:val="24"/>
                <w:highlight w:val="none"/>
              </w:rPr>
              <w:t>结果公告公布之日起5个工作日内无息退还，保证金收受机构根据未</w:t>
            </w:r>
            <w:r>
              <w:rPr>
                <w:rFonts w:hint="eastAsia" w:asciiTheme="minorEastAsia" w:hAnsiTheme="minorEastAsia" w:eastAsiaTheme="minorEastAsia" w:cstheme="minorEastAsia"/>
                <w:sz w:val="24"/>
                <w:highlight w:val="none"/>
                <w:lang w:eastAsia="zh-CN"/>
              </w:rPr>
              <w:t>成交</w:t>
            </w:r>
            <w:r>
              <w:rPr>
                <w:rFonts w:hint="eastAsia" w:asciiTheme="minorEastAsia" w:hAnsiTheme="minorEastAsia" w:eastAsiaTheme="minorEastAsia" w:cstheme="minorEastAsia"/>
                <w:sz w:val="24"/>
                <w:highlight w:val="none"/>
              </w:rPr>
              <w:t>人提供的打款凭证及时办理退还</w:t>
            </w:r>
            <w:r>
              <w:rPr>
                <w:rFonts w:hint="eastAsia" w:asciiTheme="minorEastAsia" w:hAnsiTheme="minorEastAsia" w:eastAsiaTheme="minorEastAsia" w:cstheme="minorEastAsia"/>
                <w:sz w:val="24"/>
                <w:highlight w:val="none"/>
                <w:lang w:eastAsia="zh-CN"/>
              </w:rPr>
              <w:t>响应</w:t>
            </w:r>
            <w:r>
              <w:rPr>
                <w:rFonts w:hint="eastAsia" w:asciiTheme="minorEastAsia" w:hAnsiTheme="minorEastAsia" w:eastAsiaTheme="minorEastAsia" w:cstheme="minorEastAsia"/>
                <w:sz w:val="24"/>
                <w:highlight w:val="none"/>
              </w:rPr>
              <w:t>保证金手续。</w:t>
            </w:r>
          </w:p>
        </w:tc>
      </w:tr>
      <w:tr w14:paraId="6BB81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4" w:hRule="atLeast"/>
        </w:trPr>
        <w:tc>
          <w:tcPr>
            <w:tcW w:w="1035" w:type="dxa"/>
            <w:vAlign w:val="center"/>
          </w:tcPr>
          <w:p w14:paraId="1BD06CA5">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13.1</w:t>
            </w:r>
          </w:p>
        </w:tc>
        <w:tc>
          <w:tcPr>
            <w:tcW w:w="8385" w:type="dxa"/>
            <w:vAlign w:val="center"/>
          </w:tcPr>
          <w:p w14:paraId="69FB60B7">
            <w:pPr>
              <w:spacing w:line="240" w:lineRule="atLeas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磋商有效期：</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0日历日</w:t>
            </w:r>
          </w:p>
        </w:tc>
      </w:tr>
      <w:tr w14:paraId="12829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035" w:type="dxa"/>
            <w:vAlign w:val="center"/>
          </w:tcPr>
          <w:p w14:paraId="4EFA0AD9">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14.1</w:t>
            </w:r>
          </w:p>
        </w:tc>
        <w:tc>
          <w:tcPr>
            <w:tcW w:w="8385" w:type="dxa"/>
            <w:vAlign w:val="center"/>
          </w:tcPr>
          <w:p w14:paraId="7224CEC3">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6C39895F">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2.本项目实行网上投标，采用电子响应文件(供应商须使用CA加密设备通过政采云电子投标客户端制作响应文件)。若供应商参与投标，自行承担投标一切费用。</w:t>
            </w:r>
          </w:p>
          <w:p w14:paraId="0FE0F2B6">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4F0E6130">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400-881-7190进行咨询。</w:t>
            </w:r>
          </w:p>
          <w:p w14:paraId="1775F5E2">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5.供应商在开标时须使用制作加密电子响应文件所使用的CA锁及电脑，电脑须提前配置好浏览器（建议使用360浏览器或谷歌浏览器），以便开标时解锁。</w:t>
            </w:r>
          </w:p>
          <w:p w14:paraId="7C908CC4">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6.保证金缴纳及确认时间：凡拟参加本次招标项目的供应商，必须在开标前将保证金汇入指定账户。否则，届时其投标将被拒绝。</w:t>
            </w:r>
          </w:p>
          <w:p w14:paraId="3CB1172F">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7DF69263">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8.各供应商</w:t>
            </w:r>
            <w:r>
              <w:rPr>
                <w:rFonts w:hint="eastAsia" w:asciiTheme="minorEastAsia" w:hAnsiTheme="minorEastAsia" w:eastAsiaTheme="minorEastAsia" w:cstheme="minorEastAsia"/>
                <w:sz w:val="24"/>
                <w:lang w:eastAsia="zh-CN"/>
              </w:rPr>
              <w:t>须在递交截止时间前完成在系统上递交电子</w:t>
            </w:r>
            <w:r>
              <w:rPr>
                <w:rFonts w:hint="eastAsia" w:asciiTheme="minorEastAsia" w:hAnsiTheme="minorEastAsia" w:eastAsiaTheme="minorEastAsia" w:cstheme="minorEastAsia"/>
                <w:sz w:val="24"/>
                <w:lang w:val="en-US" w:eastAsia="zh-CN"/>
              </w:rPr>
              <w:t>响应文件</w:t>
            </w:r>
            <w:r>
              <w:rPr>
                <w:rFonts w:hint="eastAsia" w:asciiTheme="minorEastAsia" w:hAnsiTheme="minorEastAsia" w:eastAsiaTheme="minorEastAsia" w:cstheme="minorEastAsia"/>
                <w:sz w:val="24"/>
                <w:lang w:eastAsia="zh-CN"/>
              </w:rPr>
              <w:t>。供应商的电子响应文件是经过CA证书加密后上传提交的，任何单位或个人均无法在递交截止时间(即开标时间)之前查看或篡改，不存在泄密风险。（严格按照政采云电子投标流程制作并上传电子响应文件）</w:t>
            </w:r>
          </w:p>
          <w:p w14:paraId="0ECAF12D">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9.各供应商在递交截止时间前将“响应文件”上传至政采云平台。响应文件应按照磋商文件规定的格式填写、签署和盖章，并以PDF格式上传至政采云开评标平台（响应文件为正本扫描件）。</w:t>
            </w:r>
          </w:p>
          <w:p w14:paraId="63DB3E44">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10.解密时长为30分钟。</w:t>
            </w:r>
          </w:p>
          <w:p w14:paraId="225077D0">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11.供应商须提供备份的响应文件。</w:t>
            </w:r>
          </w:p>
          <w:p w14:paraId="784ED2B6">
            <w:pPr>
              <w:rPr>
                <w:rFonts w:hint="eastAsia"/>
              </w:rPr>
            </w:pPr>
            <w:r>
              <w:rPr>
                <w:rFonts w:hint="eastAsia" w:asciiTheme="minorEastAsia" w:hAnsiTheme="minorEastAsia" w:eastAsiaTheme="minorEastAsia" w:cstheme="minorEastAsia"/>
                <w:sz w:val="24"/>
                <w:lang w:val="en-US" w:eastAsia="zh-CN"/>
              </w:rPr>
              <w:t>12.无论何种原因，在响应文件中未提供相应材料的，磋商小组将视同其未提供。</w:t>
            </w:r>
          </w:p>
        </w:tc>
      </w:tr>
      <w:tr w14:paraId="4EFEF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9" w:hRule="atLeast"/>
        </w:trPr>
        <w:tc>
          <w:tcPr>
            <w:tcW w:w="1035" w:type="dxa"/>
            <w:vAlign w:val="center"/>
          </w:tcPr>
          <w:p w14:paraId="030AD6C7">
            <w:pPr>
              <w:spacing w:line="240" w:lineRule="atLeas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16．1</w:t>
            </w:r>
          </w:p>
        </w:tc>
        <w:tc>
          <w:tcPr>
            <w:tcW w:w="8385" w:type="dxa"/>
            <w:vAlign w:val="center"/>
          </w:tcPr>
          <w:p w14:paraId="37E45FF2">
            <w:pPr>
              <w:spacing w:line="240" w:lineRule="atLeas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响应文件递交截止时间：</w:t>
            </w:r>
            <w:r>
              <w:rPr>
                <w:rFonts w:hint="eastAsia" w:asciiTheme="minorEastAsia" w:hAnsiTheme="minorEastAsia" w:eastAsiaTheme="minorEastAsia" w:cstheme="minorEastAsia"/>
                <w:color w:val="auto"/>
                <w:sz w:val="24"/>
                <w:highlight w:val="none"/>
                <w:lang w:val="en-US" w:eastAsia="zh-CN"/>
              </w:rPr>
              <w:t>2025年07月14日</w:t>
            </w:r>
            <w:r>
              <w:rPr>
                <w:rFonts w:hint="eastAsia" w:asciiTheme="minorEastAsia" w:hAnsiTheme="minorEastAsia" w:eastAsiaTheme="minorEastAsia" w:cstheme="minorEastAsia"/>
                <w:color w:val="auto"/>
                <w:sz w:val="24"/>
                <w:highlight w:val="none"/>
                <w:lang w:val="en-US" w:eastAsia="zh-CN"/>
              </w:rPr>
              <w:t>11点00分（北京时间）</w:t>
            </w:r>
          </w:p>
        </w:tc>
      </w:tr>
      <w:tr w14:paraId="57E38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8" w:hRule="atLeast"/>
        </w:trPr>
        <w:tc>
          <w:tcPr>
            <w:tcW w:w="1035" w:type="dxa"/>
            <w:vAlign w:val="center"/>
          </w:tcPr>
          <w:p w14:paraId="083558B6">
            <w:pPr>
              <w:spacing w:line="240" w:lineRule="atLeast"/>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18.1</w:t>
            </w:r>
          </w:p>
        </w:tc>
        <w:tc>
          <w:tcPr>
            <w:tcW w:w="8385" w:type="dxa"/>
            <w:vAlign w:val="center"/>
          </w:tcPr>
          <w:p w14:paraId="4334F17F">
            <w:pPr>
              <w:spacing w:line="240" w:lineRule="atLeas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磋商开启时间：</w:t>
            </w:r>
            <w:r>
              <w:rPr>
                <w:rFonts w:hint="eastAsia" w:asciiTheme="minorEastAsia" w:hAnsiTheme="minorEastAsia" w:eastAsiaTheme="minorEastAsia" w:cstheme="minorEastAsia"/>
                <w:color w:val="auto"/>
                <w:sz w:val="24"/>
                <w:highlight w:val="none"/>
                <w:lang w:val="en-US" w:eastAsia="zh-CN"/>
              </w:rPr>
              <w:t>2025年07月14日</w:t>
            </w:r>
            <w:r>
              <w:rPr>
                <w:rFonts w:hint="eastAsia" w:asciiTheme="minorEastAsia" w:hAnsiTheme="minorEastAsia" w:eastAsiaTheme="minorEastAsia" w:cstheme="minorEastAsia"/>
                <w:color w:val="auto"/>
                <w:sz w:val="24"/>
                <w:highlight w:val="none"/>
                <w:lang w:val="en-US" w:eastAsia="zh-CN"/>
              </w:rPr>
              <w:t>11点00分（北京时间）</w:t>
            </w:r>
          </w:p>
          <w:p w14:paraId="24DABBB6">
            <w:pPr>
              <w:spacing w:line="240" w:lineRule="atLeas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磋商开启地点：</w:t>
            </w:r>
            <w:r>
              <w:rPr>
                <w:rFonts w:hint="eastAsia" w:asciiTheme="minorEastAsia" w:hAnsiTheme="minorEastAsia" w:eastAsiaTheme="minorEastAsia" w:cstheme="minorEastAsia"/>
                <w:color w:val="auto"/>
                <w:sz w:val="24"/>
                <w:highlight w:val="none"/>
                <w:lang w:val="en-US" w:eastAsia="zh-CN"/>
              </w:rPr>
              <w:t>政采云平台（https://login.zcygov.cn/user-login/#/login</w:t>
            </w:r>
          </w:p>
        </w:tc>
      </w:tr>
      <w:tr w14:paraId="6504E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1" w:hRule="atLeast"/>
        </w:trPr>
        <w:tc>
          <w:tcPr>
            <w:tcW w:w="1035" w:type="dxa"/>
            <w:vAlign w:val="center"/>
          </w:tcPr>
          <w:p w14:paraId="6F8E43DF">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23.2</w:t>
            </w:r>
          </w:p>
        </w:tc>
        <w:tc>
          <w:tcPr>
            <w:tcW w:w="8385" w:type="dxa"/>
            <w:vAlign w:val="center"/>
          </w:tcPr>
          <w:p w14:paraId="7B012DD9">
            <w:pPr>
              <w:spacing w:line="24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评审方法：综合评分法，</w:t>
            </w:r>
            <w:r>
              <w:rPr>
                <w:rFonts w:hint="eastAsia" w:asciiTheme="minorEastAsia" w:hAnsiTheme="minorEastAsia" w:eastAsiaTheme="minorEastAsia" w:cstheme="minorEastAsia"/>
                <w:sz w:val="24"/>
                <w:lang w:val="en-US" w:eastAsia="zh-CN"/>
              </w:rPr>
              <w:t>本项目采用两次报价且第二次报价不得高于第一次报价，供应商提交最后的报价后，磋商小组对所有满足实质性要求且提交最后报价的供应商的响应文件按评审因素评审得分，最终汇总得分由高到低排序推荐第一、第二、第三中标候选人</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bCs/>
                <w:sz w:val="24"/>
              </w:rPr>
              <w:t>(注:若投标人最后轮投标总报价相对于第一次投标总报价有所变化,请在提交最后投标总报价的同时在政采云系统上提交与最后投标总报价相对应的已标价工程量清单(PDF格式、按要求盖章和(或)字(章)。)</w:t>
            </w:r>
            <w:r>
              <w:rPr>
                <w:rFonts w:hint="eastAsia" w:asciiTheme="minorEastAsia" w:hAnsiTheme="minorEastAsia" w:eastAsiaTheme="minorEastAsia" w:cstheme="minorEastAsia"/>
                <w:sz w:val="24"/>
              </w:rPr>
              <w:t>　　　　　</w:t>
            </w:r>
          </w:p>
        </w:tc>
      </w:tr>
      <w:tr w14:paraId="7AAD8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2" w:hRule="atLeast"/>
        </w:trPr>
        <w:tc>
          <w:tcPr>
            <w:tcW w:w="1035" w:type="dxa"/>
            <w:vAlign w:val="center"/>
          </w:tcPr>
          <w:p w14:paraId="05EF0F53">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w:t>
            </w:r>
          </w:p>
        </w:tc>
        <w:tc>
          <w:tcPr>
            <w:tcW w:w="8385" w:type="dxa"/>
            <w:vAlign w:val="center"/>
          </w:tcPr>
          <w:p w14:paraId="7F64EA0B">
            <w:pPr>
              <w:spacing w:line="24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推荐成交候选</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的数量：</w:t>
            </w:r>
            <w:r>
              <w:rPr>
                <w:rFonts w:hint="eastAsia" w:asciiTheme="minorEastAsia" w:hAnsiTheme="minorEastAsia" w:eastAsiaTheme="minorEastAsia" w:cstheme="minorEastAsia"/>
                <w:sz w:val="24"/>
                <w:u w:val="single"/>
              </w:rPr>
              <w:t>3个</w:t>
            </w:r>
          </w:p>
        </w:tc>
      </w:tr>
      <w:tr w14:paraId="3A901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2" w:hRule="atLeast"/>
        </w:trPr>
        <w:tc>
          <w:tcPr>
            <w:tcW w:w="1035" w:type="dxa"/>
            <w:vAlign w:val="center"/>
          </w:tcPr>
          <w:p w14:paraId="5EBC9E42">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27.1</w:t>
            </w:r>
          </w:p>
        </w:tc>
        <w:tc>
          <w:tcPr>
            <w:tcW w:w="8385" w:type="dxa"/>
            <w:vAlign w:val="center"/>
          </w:tcPr>
          <w:p w14:paraId="413BFDB4">
            <w:pPr>
              <w:spacing w:line="24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采购人</w:t>
            </w:r>
            <w:r>
              <w:rPr>
                <w:rFonts w:hint="eastAsia" w:asciiTheme="minorEastAsia" w:hAnsiTheme="minorEastAsia" w:eastAsiaTheme="minorEastAsia" w:cstheme="minorEastAsia"/>
                <w:sz w:val="24"/>
              </w:rPr>
              <w:t>是否委托</w:t>
            </w:r>
            <w:r>
              <w:rPr>
                <w:rFonts w:hint="eastAsia" w:asciiTheme="minorEastAsia" w:hAnsiTheme="minorEastAsia" w:eastAsiaTheme="minorEastAsia" w:cstheme="minorEastAsia"/>
                <w:sz w:val="24"/>
                <w:lang w:val="en-US" w:eastAsia="zh-CN"/>
              </w:rPr>
              <w:t>磋商小组</w:t>
            </w:r>
            <w:r>
              <w:rPr>
                <w:rFonts w:hint="eastAsia" w:asciiTheme="minorEastAsia" w:hAnsiTheme="minorEastAsia" w:eastAsiaTheme="minorEastAsia" w:cstheme="minorEastAsia"/>
                <w:sz w:val="24"/>
              </w:rPr>
              <w:t>直接确定成交人：</w:t>
            </w:r>
            <w:r>
              <w:rPr>
                <w:rFonts w:hint="eastAsia" w:asciiTheme="minorEastAsia" w:hAnsiTheme="minorEastAsia" w:eastAsiaTheme="minorEastAsia" w:cstheme="minorEastAsia"/>
                <w:sz w:val="24"/>
                <w:u w:val="single"/>
              </w:rPr>
              <w:t>否</w:t>
            </w:r>
            <w:r>
              <w:rPr>
                <w:rFonts w:hint="eastAsia" w:asciiTheme="minorEastAsia" w:hAnsiTheme="minorEastAsia" w:eastAsiaTheme="minorEastAsia" w:cstheme="minorEastAsia"/>
                <w:sz w:val="24"/>
              </w:rPr>
              <w:t xml:space="preserve"> （是、否）</w:t>
            </w:r>
          </w:p>
        </w:tc>
      </w:tr>
      <w:tr w14:paraId="6D420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35" w:type="dxa"/>
            <w:vAlign w:val="center"/>
          </w:tcPr>
          <w:p w14:paraId="214D4F6C">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31.1</w:t>
            </w:r>
          </w:p>
        </w:tc>
        <w:tc>
          <w:tcPr>
            <w:tcW w:w="8385" w:type="dxa"/>
            <w:vAlign w:val="center"/>
          </w:tcPr>
          <w:p w14:paraId="45C276CC">
            <w:pPr>
              <w:spacing w:line="240" w:lineRule="atLeast"/>
              <w:rPr>
                <w:rFonts w:hint="default" w:asciiTheme="minorEastAsia" w:hAnsiTheme="minorEastAsia" w:eastAsiaTheme="minorEastAsia" w:cstheme="minorEastAsia"/>
                <w:sz w:val="24"/>
                <w:lang w:val="en-US" w:eastAsia="zh-CN"/>
              </w:rPr>
            </w:pPr>
            <w:r>
              <w:rPr>
                <w:rFonts w:hint="default" w:eastAsia="宋体"/>
                <w:lang w:val="en-US" w:eastAsia="zh-CN"/>
              </w:rPr>
              <w:t>履</w:t>
            </w:r>
            <w:r>
              <w:rPr>
                <w:rFonts w:hint="default" w:asciiTheme="minorEastAsia" w:hAnsiTheme="minorEastAsia" w:eastAsiaTheme="minorEastAsia" w:cstheme="minorEastAsia"/>
                <w:sz w:val="24"/>
                <w:lang w:val="en-US" w:eastAsia="zh-CN"/>
              </w:rPr>
              <w:t>约担保：</w:t>
            </w:r>
            <w:r>
              <w:rPr>
                <w:rFonts w:hint="default" w:asciiTheme="minorEastAsia" w:hAnsiTheme="minorEastAsia" w:eastAsiaTheme="minorEastAsia" w:cstheme="minorEastAsia"/>
                <w:sz w:val="24"/>
                <w:highlight w:val="none"/>
                <w:lang w:val="en-US" w:eastAsia="zh-CN"/>
              </w:rPr>
              <w:t>合同价款的</w:t>
            </w:r>
            <w:r>
              <w:rPr>
                <w:rFonts w:hint="eastAsia" w:asciiTheme="minorEastAsia" w:hAnsiTheme="minorEastAsia" w:eastAsiaTheme="minorEastAsia" w:cstheme="minorEastAsia"/>
                <w:sz w:val="24"/>
                <w:highlight w:val="none"/>
                <w:lang w:val="en-US" w:eastAsia="zh-CN"/>
              </w:rPr>
              <w:t>5</w:t>
            </w:r>
            <w:r>
              <w:rPr>
                <w:rFonts w:hint="default" w:asciiTheme="minorEastAsia" w:hAnsiTheme="minorEastAsia" w:eastAsiaTheme="minorEastAsia" w:cstheme="minorEastAsia"/>
                <w:sz w:val="24"/>
                <w:highlight w:val="none"/>
                <w:lang w:val="en-US" w:eastAsia="zh-CN"/>
              </w:rPr>
              <w:t>%（</w:t>
            </w:r>
            <w:r>
              <w:rPr>
                <w:rFonts w:hint="default" w:asciiTheme="minorEastAsia" w:hAnsiTheme="minorEastAsia" w:eastAsiaTheme="minorEastAsia" w:cstheme="minorEastAsia"/>
                <w:sz w:val="24"/>
                <w:lang w:val="en-US" w:eastAsia="zh-CN"/>
              </w:rPr>
              <w:t>不超过中标金额的10%），</w:t>
            </w:r>
            <w:r>
              <w:rPr>
                <w:rFonts w:hint="eastAsia" w:asciiTheme="minorEastAsia" w:hAnsiTheme="minorEastAsia" w:eastAsiaTheme="minorEastAsia" w:cstheme="minorEastAsia"/>
                <w:sz w:val="24"/>
                <w:lang w:val="en-US" w:eastAsia="zh-CN"/>
              </w:rPr>
              <w:t>供应商</w:t>
            </w:r>
            <w:r>
              <w:rPr>
                <w:rFonts w:hint="default" w:asciiTheme="minorEastAsia" w:hAnsiTheme="minorEastAsia" w:eastAsiaTheme="minorEastAsia" w:cstheme="minorEastAsia"/>
                <w:sz w:val="24"/>
                <w:lang w:val="en-US" w:eastAsia="zh-CN"/>
              </w:rPr>
              <w:t>在收到</w:t>
            </w:r>
            <w:r>
              <w:rPr>
                <w:rFonts w:hint="eastAsia" w:asciiTheme="minorEastAsia" w:hAnsiTheme="minorEastAsia" w:eastAsiaTheme="minorEastAsia" w:cstheme="minorEastAsia"/>
                <w:sz w:val="24"/>
                <w:lang w:val="en-US" w:eastAsia="zh-CN"/>
              </w:rPr>
              <w:t>成交通知书</w:t>
            </w:r>
            <w:r>
              <w:rPr>
                <w:rFonts w:hint="default" w:asciiTheme="minorEastAsia" w:hAnsiTheme="minorEastAsia" w:eastAsiaTheme="minorEastAsia" w:cstheme="minorEastAsia"/>
                <w:sz w:val="24"/>
                <w:lang w:val="en-US" w:eastAsia="zh-CN"/>
              </w:rPr>
              <w:t>后，须在7日内向</w:t>
            </w:r>
            <w:r>
              <w:rPr>
                <w:rFonts w:hint="eastAsia" w:asciiTheme="minorEastAsia" w:hAnsiTheme="minorEastAsia" w:eastAsiaTheme="minorEastAsia" w:cstheme="minorEastAsia"/>
                <w:sz w:val="24"/>
                <w:lang w:val="en-US" w:eastAsia="zh-CN"/>
              </w:rPr>
              <w:t>采购人</w:t>
            </w:r>
            <w:r>
              <w:rPr>
                <w:rFonts w:hint="default" w:asciiTheme="minorEastAsia" w:hAnsiTheme="minorEastAsia" w:eastAsiaTheme="minorEastAsia" w:cstheme="minorEastAsia"/>
                <w:sz w:val="24"/>
                <w:lang w:val="en-US" w:eastAsia="zh-CN"/>
              </w:rPr>
              <w:t>足额提交履约保证金，否则</w:t>
            </w:r>
            <w:r>
              <w:rPr>
                <w:rFonts w:hint="eastAsia" w:asciiTheme="minorEastAsia" w:hAnsiTheme="minorEastAsia" w:eastAsiaTheme="minorEastAsia" w:cstheme="minorEastAsia"/>
                <w:sz w:val="24"/>
                <w:lang w:val="en-US" w:eastAsia="zh-CN"/>
              </w:rPr>
              <w:t>采购人</w:t>
            </w:r>
            <w:r>
              <w:rPr>
                <w:rFonts w:hint="default" w:asciiTheme="minorEastAsia" w:hAnsiTheme="minorEastAsia" w:eastAsiaTheme="minorEastAsia" w:cstheme="minorEastAsia"/>
                <w:sz w:val="24"/>
                <w:lang w:val="en-US" w:eastAsia="zh-CN"/>
              </w:rPr>
              <w:t>可以取消其中标资格。</w:t>
            </w:r>
          </w:p>
          <w:p w14:paraId="6E0A44FE">
            <w:pPr>
              <w:spacing w:line="240" w:lineRule="atLeast"/>
              <w:rPr>
                <w:rFonts w:hint="default" w:eastAsia="宋体"/>
                <w:lang w:val="en-US" w:eastAsia="zh-CN"/>
              </w:rPr>
            </w:pPr>
            <w:r>
              <w:rPr>
                <w:rFonts w:hint="default" w:asciiTheme="minorEastAsia" w:hAnsiTheme="minorEastAsia" w:eastAsiaTheme="minorEastAsia" w:cstheme="minorEastAsia"/>
                <w:sz w:val="24"/>
                <w:lang w:val="en-US" w:eastAsia="zh-CN"/>
              </w:rPr>
              <w:t>履约担保形式：履约担保可以采用银行保函</w:t>
            </w:r>
            <w:r>
              <w:rPr>
                <w:rFonts w:hint="eastAsia" w:asciiTheme="minorEastAsia" w:hAnsiTheme="minorEastAsia" w:eastAsiaTheme="minorEastAsia" w:cstheme="minorEastAsia"/>
                <w:sz w:val="24"/>
                <w:lang w:val="en-US" w:eastAsia="zh-CN"/>
              </w:rPr>
              <w:t>、电汇、支票、网银、公对公基本账户转账的形式。</w:t>
            </w:r>
          </w:p>
        </w:tc>
      </w:tr>
      <w:tr w14:paraId="323D5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035" w:type="dxa"/>
            <w:vAlign w:val="center"/>
          </w:tcPr>
          <w:p w14:paraId="10C1C3B6">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w:t>
            </w:r>
          </w:p>
        </w:tc>
        <w:tc>
          <w:tcPr>
            <w:tcW w:w="8385" w:type="dxa"/>
            <w:vAlign w:val="center"/>
          </w:tcPr>
          <w:p w14:paraId="5007DBA7">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成交服务费：</w:t>
            </w:r>
          </w:p>
          <w:p w14:paraId="0130F194">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☑参照发改价格[2015]299号文收取，经采购单位与招标代理公司协商确定，代理服务费按照成交价的1.5%向成交单位收取。工程预算费按（中价协[2013]35号文）执行。</w:t>
            </w:r>
          </w:p>
          <w:p w14:paraId="6CE5AD6B">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支付方：由成交供应商支付；</w:t>
            </w:r>
          </w:p>
          <w:p w14:paraId="00A4E9F5">
            <w:pP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支付形式：对公转账 、电汇、网银；</w:t>
            </w:r>
          </w:p>
          <w:p w14:paraId="0EE77206">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支付时间：领取成交通知书时一次性支付；</w:t>
            </w:r>
          </w:p>
        </w:tc>
      </w:tr>
      <w:tr w14:paraId="2A6C6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035" w:type="dxa"/>
            <w:vAlign w:val="center"/>
          </w:tcPr>
          <w:p w14:paraId="77785A57">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w:t>
            </w:r>
          </w:p>
        </w:tc>
        <w:tc>
          <w:tcPr>
            <w:tcW w:w="8385" w:type="dxa"/>
            <w:vAlign w:val="center"/>
          </w:tcPr>
          <w:p w14:paraId="4AE41BC0">
            <w:pPr>
              <w:spacing w:line="24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本项目是否属于信用担保试点范围：</w:t>
            </w:r>
            <w:r>
              <w:rPr>
                <w:rFonts w:hint="eastAsia" w:asciiTheme="minorEastAsia" w:hAnsiTheme="minorEastAsia" w:eastAsiaTheme="minorEastAsia" w:cstheme="minorEastAsia"/>
                <w:sz w:val="24"/>
                <w:u w:val="single"/>
              </w:rPr>
              <w:t>否</w:t>
            </w:r>
          </w:p>
        </w:tc>
      </w:tr>
      <w:tr w14:paraId="4B9B9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035" w:type="dxa"/>
            <w:vAlign w:val="center"/>
          </w:tcPr>
          <w:p w14:paraId="0C32B4AB">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33.1</w:t>
            </w:r>
          </w:p>
        </w:tc>
        <w:tc>
          <w:tcPr>
            <w:tcW w:w="8385" w:type="dxa"/>
            <w:vAlign w:val="center"/>
          </w:tcPr>
          <w:p w14:paraId="0C2FC400">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rPr>
              <w:t>本项目是否属于信用担保试点范围：</w:t>
            </w:r>
            <w:r>
              <w:rPr>
                <w:rFonts w:hint="eastAsia" w:ascii="宋体" w:hAnsi="宋体" w:eastAsia="宋体" w:cs="宋体"/>
                <w:sz w:val="24"/>
                <w:u w:val="single"/>
              </w:rPr>
              <w:t xml:space="preserve"> 否</w:t>
            </w:r>
            <w:r>
              <w:rPr>
                <w:rFonts w:hint="eastAsia" w:ascii="宋体" w:hAnsi="宋体" w:eastAsia="宋体" w:cs="宋体"/>
                <w:sz w:val="24"/>
              </w:rPr>
              <w:t xml:space="preserve"> </w:t>
            </w:r>
            <w:r>
              <w:rPr>
                <w:rFonts w:hint="eastAsia" w:ascii="宋体" w:hAnsi="宋体" w:eastAsia="宋体" w:cs="宋体"/>
                <w:i/>
                <w:sz w:val="24"/>
              </w:rPr>
              <w:t>（是、否）</w:t>
            </w:r>
          </w:p>
        </w:tc>
      </w:tr>
      <w:tr w14:paraId="0463E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035" w:type="dxa"/>
            <w:vAlign w:val="center"/>
          </w:tcPr>
          <w:p w14:paraId="14364506">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34.3</w:t>
            </w:r>
          </w:p>
        </w:tc>
        <w:tc>
          <w:tcPr>
            <w:tcW w:w="8385" w:type="dxa"/>
            <w:vAlign w:val="center"/>
          </w:tcPr>
          <w:p w14:paraId="1F4B48D3">
            <w:pPr>
              <w:spacing w:line="360" w:lineRule="auto"/>
              <w:ind w:left="710" w:leftChars="-23" w:hanging="758" w:hangingChars="316"/>
              <w:rPr>
                <w:rFonts w:hint="eastAsia" w:ascii="宋体" w:hAnsi="宋体" w:eastAsia="宋体" w:cs="宋体"/>
                <w:kern w:val="2"/>
                <w:sz w:val="24"/>
                <w:szCs w:val="24"/>
                <w:lang w:val="en-US" w:eastAsia="zh-CN" w:bidi="ar-SA"/>
              </w:rPr>
            </w:pPr>
            <w:r>
              <w:rPr>
                <w:rFonts w:hint="eastAsia" w:ascii="宋体" w:hAnsi="宋体" w:eastAsia="宋体" w:cs="宋体"/>
                <w:sz w:val="24"/>
              </w:rPr>
              <w:t>反腐倡廉监督电话/邮箱：</w:t>
            </w:r>
            <w:r>
              <w:rPr>
                <w:rFonts w:hint="eastAsia" w:ascii="宋体" w:hAnsi="宋体" w:eastAsia="宋体" w:cs="宋体"/>
                <w:sz w:val="24"/>
                <w:u w:val="single"/>
              </w:rPr>
              <w:t xml:space="preserve">  0998-2597200  2597000</w:t>
            </w:r>
          </w:p>
        </w:tc>
      </w:tr>
      <w:tr w14:paraId="1F8F8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035" w:type="dxa"/>
            <w:vAlign w:val="center"/>
          </w:tcPr>
          <w:p w14:paraId="5F9A7807">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36.3</w:t>
            </w:r>
          </w:p>
        </w:tc>
        <w:tc>
          <w:tcPr>
            <w:tcW w:w="8385" w:type="dxa"/>
            <w:vAlign w:val="center"/>
          </w:tcPr>
          <w:p w14:paraId="4974600F">
            <w:pPr>
              <w:spacing w:line="240" w:lineRule="auto"/>
              <w:ind w:left="710" w:leftChars="-23" w:hanging="758" w:hangingChars="316"/>
              <w:rPr>
                <w:rFonts w:hint="eastAsia" w:ascii="宋体" w:hAnsi="宋体" w:eastAsia="宋体" w:cs="宋体"/>
                <w:sz w:val="24"/>
              </w:rPr>
            </w:pPr>
            <w:r>
              <w:rPr>
                <w:rFonts w:hint="eastAsia" w:ascii="宋体" w:hAnsi="宋体" w:eastAsia="宋体" w:cs="宋体"/>
                <w:sz w:val="24"/>
              </w:rPr>
              <w:t xml:space="preserve">接收部门： </w:t>
            </w:r>
            <w:r>
              <w:rPr>
                <w:rFonts w:hint="eastAsia" w:ascii="宋体" w:hAnsi="宋体" w:cs="宋体"/>
                <w:sz w:val="24"/>
                <w:lang w:eastAsia="zh-CN"/>
              </w:rPr>
              <w:t>新疆亘勤工程管理咨询有限公司</w:t>
            </w:r>
            <w:r>
              <w:rPr>
                <w:rFonts w:hint="eastAsia" w:ascii="宋体" w:hAnsi="宋体" w:eastAsia="宋体" w:cs="宋体"/>
                <w:sz w:val="24"/>
              </w:rPr>
              <w:t xml:space="preserve">  </w:t>
            </w:r>
          </w:p>
          <w:p w14:paraId="1073D942">
            <w:pPr>
              <w:spacing w:line="240" w:lineRule="auto"/>
              <w:ind w:left="710" w:leftChars="-23" w:hanging="758" w:hangingChars="316"/>
              <w:rPr>
                <w:rFonts w:hint="eastAsia" w:ascii="宋体" w:hAnsi="宋体" w:eastAsia="宋体" w:cs="宋体"/>
                <w:sz w:val="24"/>
                <w:lang w:val="en-US" w:eastAsia="zh-CN"/>
              </w:rPr>
            </w:pPr>
            <w:r>
              <w:rPr>
                <w:rFonts w:hint="eastAsia" w:ascii="宋体" w:hAnsi="宋体" w:eastAsia="宋体" w:cs="宋体"/>
                <w:sz w:val="24"/>
              </w:rPr>
              <w:t>联系电话：</w:t>
            </w:r>
            <w:r>
              <w:rPr>
                <w:rFonts w:hint="eastAsia" w:ascii="宋体" w:hAnsi="宋体" w:cs="宋体"/>
                <w:sz w:val="24"/>
                <w:lang w:val="en-US" w:eastAsia="zh-CN"/>
              </w:rPr>
              <w:t>13565665678</w:t>
            </w:r>
          </w:p>
          <w:p w14:paraId="489E6A45">
            <w:pPr>
              <w:spacing w:line="240" w:lineRule="auto"/>
              <w:ind w:left="710" w:leftChars="-23" w:hanging="758" w:hangingChars="316"/>
              <w:rPr>
                <w:rFonts w:hint="eastAsia" w:ascii="宋体" w:hAnsi="宋体" w:eastAsia="宋体" w:cs="宋体"/>
                <w:kern w:val="2"/>
                <w:sz w:val="24"/>
                <w:szCs w:val="24"/>
                <w:lang w:val="en-US" w:eastAsia="zh-CN" w:bidi="ar-SA"/>
              </w:rPr>
            </w:pPr>
            <w:r>
              <w:rPr>
                <w:rFonts w:hint="eastAsia" w:ascii="宋体" w:hAnsi="宋体" w:eastAsia="宋体" w:cs="宋体"/>
                <w:sz w:val="24"/>
              </w:rPr>
              <w:t>通讯地址：</w:t>
            </w:r>
            <w:r>
              <w:rPr>
                <w:rFonts w:hint="eastAsia" w:ascii="宋体" w:hAnsi="宋体" w:cs="宋体"/>
                <w:sz w:val="24"/>
                <w:lang w:val="en-US" w:eastAsia="zh-CN"/>
              </w:rPr>
              <w:t xml:space="preserve"> 喀什市深喀大道永昌大厦 5-3 室</w:t>
            </w:r>
            <w:r>
              <w:rPr>
                <w:rFonts w:hint="eastAsia" w:ascii="宋体" w:hAnsi="宋体" w:eastAsia="宋体" w:cs="宋体"/>
                <w:sz w:val="24"/>
              </w:rPr>
              <w:t xml:space="preserve">  </w:t>
            </w:r>
          </w:p>
        </w:tc>
      </w:tr>
      <w:tr w14:paraId="319BB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20" w:type="dxa"/>
            <w:gridSpan w:val="2"/>
            <w:vAlign w:val="center"/>
          </w:tcPr>
          <w:p w14:paraId="182E47B0">
            <w:pPr>
              <w:spacing w:line="240" w:lineRule="atLeast"/>
              <w:rPr>
                <w:rFonts w:hint="eastAsia" w:ascii="宋体" w:hAnsi="宋体" w:eastAsia="宋体" w:cs="宋体"/>
                <w:sz w:val="24"/>
              </w:rPr>
            </w:pPr>
            <w:r>
              <w:rPr>
                <w:rFonts w:hint="eastAsia" w:ascii="宋体" w:hAnsi="宋体" w:eastAsia="宋体" w:cs="宋体"/>
                <w:b/>
                <w:bCs/>
                <w:sz w:val="24"/>
              </w:rPr>
              <w:t>适用于本</w:t>
            </w:r>
            <w:r>
              <w:rPr>
                <w:rFonts w:hint="eastAsia" w:ascii="宋体" w:hAnsi="宋体" w:cs="宋体"/>
                <w:b/>
                <w:bCs/>
                <w:sz w:val="24"/>
                <w:lang w:eastAsia="zh-CN"/>
              </w:rPr>
              <w:t>供应商</w:t>
            </w:r>
            <w:r>
              <w:rPr>
                <w:rFonts w:hint="eastAsia" w:ascii="宋体" w:hAnsi="宋体" w:eastAsia="宋体" w:cs="宋体"/>
                <w:b/>
                <w:bCs/>
                <w:sz w:val="24"/>
              </w:rPr>
              <w:t>须知的额外增加的变动：</w:t>
            </w:r>
          </w:p>
        </w:tc>
      </w:tr>
      <w:tr w14:paraId="772C9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20" w:type="dxa"/>
            <w:gridSpan w:val="2"/>
            <w:vAlign w:val="center"/>
          </w:tcPr>
          <w:p w14:paraId="7EF60CC4">
            <w:pPr>
              <w:spacing w:line="240" w:lineRule="atLeast"/>
              <w:rPr>
                <w:rFonts w:hint="eastAsia" w:ascii="宋体" w:hAnsi="宋体" w:eastAsia="宋体" w:cs="宋体"/>
                <w:sz w:val="24"/>
              </w:rPr>
            </w:pPr>
            <w:r>
              <w:rPr>
                <w:rFonts w:hint="eastAsia" w:ascii="宋体" w:hAnsi="宋体" w:eastAsia="宋体" w:cs="宋体"/>
                <w:sz w:val="24"/>
                <w:highlight w:val="none"/>
              </w:rPr>
              <w:t>中标的供应商在领取成交通知书时须向招标代理机构递交纸质</w:t>
            </w:r>
            <w:r>
              <w:rPr>
                <w:rFonts w:hint="eastAsia" w:ascii="宋体" w:hAnsi="宋体" w:cs="宋体"/>
                <w:sz w:val="24"/>
                <w:highlight w:val="none"/>
                <w:lang w:eastAsia="zh-CN"/>
              </w:rPr>
              <w:t>响应文件</w:t>
            </w:r>
            <w:r>
              <w:rPr>
                <w:rFonts w:hint="eastAsia" w:ascii="宋体" w:hAnsi="宋体" w:eastAsia="宋体" w:cs="宋体"/>
                <w:sz w:val="24"/>
                <w:highlight w:val="none"/>
              </w:rPr>
              <w:t>正本</w:t>
            </w:r>
            <w:r>
              <w:rPr>
                <w:rFonts w:hint="eastAsia" w:ascii="宋体" w:hAnsi="宋体" w:cs="宋体"/>
                <w:sz w:val="24"/>
                <w:highlight w:val="none"/>
                <w:lang w:eastAsia="zh-CN"/>
              </w:rPr>
              <w:t>壹</w:t>
            </w:r>
            <w:r>
              <w:rPr>
                <w:rFonts w:hint="eastAsia" w:ascii="宋体" w:hAnsi="宋体" w:eastAsia="宋体" w:cs="宋体"/>
                <w:sz w:val="24"/>
                <w:highlight w:val="none"/>
              </w:rPr>
              <w:t>份、副本</w:t>
            </w:r>
            <w:r>
              <w:rPr>
                <w:rFonts w:hint="eastAsia" w:ascii="宋体" w:hAnsi="宋体" w:cs="宋体"/>
                <w:sz w:val="24"/>
                <w:highlight w:val="none"/>
                <w:lang w:eastAsia="zh-CN"/>
              </w:rPr>
              <w:t>肆</w:t>
            </w:r>
            <w:r>
              <w:rPr>
                <w:rFonts w:hint="eastAsia" w:ascii="宋体" w:hAnsi="宋体" w:eastAsia="宋体" w:cs="宋体"/>
                <w:sz w:val="24"/>
                <w:highlight w:val="none"/>
              </w:rPr>
              <w:t>份，格式为PDF的电子</w:t>
            </w:r>
            <w:r>
              <w:rPr>
                <w:rFonts w:hint="eastAsia" w:ascii="宋体" w:hAnsi="宋体" w:cs="宋体"/>
                <w:sz w:val="24"/>
                <w:highlight w:val="none"/>
                <w:lang w:eastAsia="zh-CN"/>
              </w:rPr>
              <w:t>响应文件</w:t>
            </w:r>
            <w:r>
              <w:rPr>
                <w:rFonts w:hint="eastAsia" w:ascii="宋体" w:hAnsi="宋体" w:eastAsia="宋体" w:cs="宋体"/>
                <w:sz w:val="24"/>
                <w:highlight w:val="none"/>
              </w:rPr>
              <w:t>正本1份（U盘存储，与提交政采云平台的</w:t>
            </w:r>
            <w:r>
              <w:rPr>
                <w:rFonts w:hint="eastAsia" w:ascii="宋体" w:hAnsi="宋体" w:cs="宋体"/>
                <w:sz w:val="24"/>
                <w:highlight w:val="none"/>
                <w:lang w:eastAsia="zh-CN"/>
              </w:rPr>
              <w:t>响应文件</w:t>
            </w:r>
            <w:r>
              <w:rPr>
                <w:rFonts w:hint="eastAsia" w:ascii="宋体" w:hAnsi="宋体" w:eastAsia="宋体" w:cs="宋体"/>
                <w:sz w:val="24"/>
                <w:highlight w:val="none"/>
              </w:rPr>
              <w:t>内容一致）</w:t>
            </w:r>
          </w:p>
        </w:tc>
      </w:tr>
      <w:tr w14:paraId="4522E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9420" w:type="dxa"/>
            <w:gridSpan w:val="2"/>
            <w:vAlign w:val="center"/>
          </w:tcPr>
          <w:p w14:paraId="61D2B198">
            <w:pPr>
              <w:spacing w:line="240" w:lineRule="atLeast"/>
              <w:rPr>
                <w:rFonts w:hint="eastAsia" w:ascii="宋体" w:hAnsi="宋体" w:eastAsia="宋体" w:cs="宋体"/>
                <w:sz w:val="24"/>
              </w:rPr>
            </w:pPr>
            <w:r>
              <w:rPr>
                <w:rFonts w:hint="eastAsia" w:ascii="宋体" w:hAnsi="宋体" w:eastAsia="宋体" w:cs="宋体"/>
                <w:sz w:val="24"/>
                <w:highlight w:val="none"/>
              </w:rPr>
              <w:t>本次采购，供应商须按招标文件中规定提交</w:t>
            </w:r>
            <w:r>
              <w:rPr>
                <w:rFonts w:hint="eastAsia" w:ascii="宋体" w:hAnsi="宋体" w:cs="宋体"/>
                <w:sz w:val="24"/>
                <w:highlight w:val="none"/>
                <w:lang w:eastAsia="zh-CN"/>
              </w:rPr>
              <w:t>响应文件</w:t>
            </w:r>
            <w:r>
              <w:rPr>
                <w:rFonts w:hint="eastAsia" w:ascii="宋体" w:hAnsi="宋体" w:eastAsia="宋体" w:cs="宋体"/>
                <w:sz w:val="24"/>
                <w:highlight w:val="none"/>
              </w:rPr>
              <w:t>。并根据第</w:t>
            </w:r>
            <w:r>
              <w:rPr>
                <w:rFonts w:hint="eastAsia" w:ascii="宋体" w:hAnsi="宋体" w:eastAsia="宋体" w:cs="宋体"/>
                <w:sz w:val="24"/>
                <w:highlight w:val="none"/>
                <w:lang w:eastAsia="zh-CN"/>
              </w:rPr>
              <w:t>二</w:t>
            </w:r>
            <w:r>
              <w:rPr>
                <w:rFonts w:hint="eastAsia" w:ascii="宋体" w:hAnsi="宋体" w:eastAsia="宋体" w:cs="宋体"/>
                <w:sz w:val="24"/>
                <w:highlight w:val="none"/>
              </w:rPr>
              <w:t>章“</w:t>
            </w:r>
            <w:r>
              <w:rPr>
                <w:rFonts w:hint="eastAsia" w:ascii="宋体" w:hAnsi="宋体" w:cs="宋体"/>
                <w:sz w:val="24"/>
                <w:highlight w:val="none"/>
                <w:lang w:eastAsia="zh-CN"/>
              </w:rPr>
              <w:t>响应文件</w:t>
            </w:r>
            <w:r>
              <w:rPr>
                <w:rFonts w:hint="eastAsia" w:ascii="宋体" w:hAnsi="宋体" w:eastAsia="宋体" w:cs="宋体"/>
                <w:sz w:val="24"/>
                <w:highlight w:val="none"/>
              </w:rPr>
              <w:t>格式”中的全部内容进行</w:t>
            </w:r>
            <w:r>
              <w:rPr>
                <w:rFonts w:hint="eastAsia" w:ascii="宋体" w:hAnsi="宋体" w:cs="宋体"/>
                <w:sz w:val="24"/>
                <w:highlight w:val="none"/>
                <w:lang w:eastAsia="zh-CN"/>
              </w:rPr>
              <w:t>响应文件</w:t>
            </w:r>
            <w:r>
              <w:rPr>
                <w:rFonts w:hint="eastAsia" w:ascii="宋体" w:hAnsi="宋体" w:eastAsia="宋体" w:cs="宋体"/>
                <w:sz w:val="24"/>
                <w:highlight w:val="none"/>
              </w:rPr>
              <w:t>的编制，在评</w:t>
            </w:r>
            <w:r>
              <w:rPr>
                <w:rFonts w:hint="eastAsia" w:ascii="宋体" w:hAnsi="宋体" w:cs="宋体"/>
                <w:sz w:val="24"/>
                <w:highlight w:val="none"/>
                <w:lang w:eastAsia="zh-CN"/>
              </w:rPr>
              <w:t>审</w:t>
            </w:r>
            <w:r>
              <w:rPr>
                <w:rFonts w:hint="eastAsia" w:ascii="宋体" w:hAnsi="宋体" w:eastAsia="宋体" w:cs="宋体"/>
                <w:sz w:val="24"/>
                <w:highlight w:val="none"/>
              </w:rPr>
              <w:t>过程中若发现供应商的</w:t>
            </w:r>
            <w:r>
              <w:rPr>
                <w:rFonts w:hint="eastAsia" w:ascii="宋体" w:hAnsi="宋体" w:cs="宋体"/>
                <w:sz w:val="24"/>
                <w:highlight w:val="none"/>
                <w:lang w:eastAsia="zh-CN"/>
              </w:rPr>
              <w:t>响应文件</w:t>
            </w:r>
            <w:r>
              <w:rPr>
                <w:rFonts w:hint="eastAsia" w:ascii="宋体" w:hAnsi="宋体" w:eastAsia="宋体" w:cs="宋体"/>
                <w:sz w:val="24"/>
                <w:highlight w:val="none"/>
              </w:rPr>
              <w:t>内容未按照招标文件编制，编制内容存在缺失或提供无效资料的，将导致投标</w:t>
            </w:r>
            <w:r>
              <w:rPr>
                <w:rFonts w:hint="eastAsia" w:ascii="宋体" w:hAnsi="宋体" w:cs="宋体"/>
                <w:sz w:val="24"/>
                <w:highlight w:val="none"/>
                <w:lang w:val="en-US" w:eastAsia="zh-CN"/>
              </w:rPr>
              <w:t>响应</w:t>
            </w:r>
            <w:r>
              <w:rPr>
                <w:rFonts w:hint="eastAsia" w:ascii="宋体" w:hAnsi="宋体" w:eastAsia="宋体" w:cs="宋体"/>
                <w:sz w:val="24"/>
                <w:highlight w:val="none"/>
              </w:rPr>
              <w:t>被拒绝。所有资料均不允许在</w:t>
            </w:r>
            <w:r>
              <w:rPr>
                <w:rFonts w:hint="eastAsia" w:ascii="宋体" w:hAnsi="宋体" w:cs="宋体"/>
                <w:sz w:val="24"/>
                <w:highlight w:val="none"/>
                <w:lang w:eastAsia="zh-CN"/>
              </w:rPr>
              <w:t>递交截止</w:t>
            </w:r>
            <w:r>
              <w:rPr>
                <w:rFonts w:hint="eastAsia" w:ascii="宋体" w:hAnsi="宋体" w:eastAsia="宋体" w:cs="宋体"/>
                <w:sz w:val="24"/>
                <w:highlight w:val="none"/>
              </w:rPr>
              <w:t>时间后补正。</w:t>
            </w:r>
          </w:p>
        </w:tc>
      </w:tr>
    </w:tbl>
    <w:p w14:paraId="0D211DB2">
      <w:pPr>
        <w:spacing w:line="240" w:lineRule="atLeast"/>
        <w:ind w:left="1080" w:leftChars="257" w:hanging="540"/>
        <w:rPr>
          <w:rFonts w:hint="eastAsia" w:asciiTheme="minorEastAsia" w:hAnsiTheme="minorEastAsia" w:eastAsiaTheme="minorEastAsia" w:cstheme="minorEastAsia"/>
          <w:color w:val="FF0000"/>
          <w:sz w:val="24"/>
        </w:rPr>
        <w:sectPr>
          <w:headerReference r:id="rId15" w:type="default"/>
          <w:footerReference r:id="rId17" w:type="default"/>
          <w:headerReference r:id="rId16" w:type="even"/>
          <w:footerReference r:id="rId18" w:type="even"/>
          <w:pgSz w:w="11906" w:h="16838"/>
          <w:pgMar w:top="1440" w:right="1080" w:bottom="1440" w:left="1080" w:header="510" w:footer="992" w:gutter="0"/>
          <w:pgNumType w:fmt="decimal"/>
          <w:cols w:space="720" w:num="1"/>
          <w:docGrid w:linePitch="312" w:charSpace="0"/>
        </w:sectPr>
      </w:pPr>
    </w:p>
    <w:p w14:paraId="65B6B996">
      <w:pPr>
        <w:pStyle w:val="2"/>
        <w:numPr>
          <w:ilvl w:val="0"/>
          <w:numId w:val="16"/>
        </w:numPr>
        <w:tabs>
          <w:tab w:val="left" w:pos="0"/>
        </w:tabs>
        <w:spacing w:before="0" w:after="0" w:line="240" w:lineRule="atLeast"/>
        <w:jc w:val="center"/>
        <w:rPr>
          <w:rFonts w:hint="eastAsia"/>
          <w:sz w:val="28"/>
          <w:szCs w:val="18"/>
          <w:lang w:val="en-US" w:eastAsia="zh-CN"/>
        </w:rPr>
      </w:pPr>
      <w:bookmarkStart w:id="349" w:name="_Toc518923126"/>
      <w:bookmarkStart w:id="350" w:name="_Toc507399906"/>
      <w:bookmarkStart w:id="351" w:name="_Toc216582825"/>
      <w:bookmarkStart w:id="352" w:name="_Toc29079_WPSOffice_Level1"/>
      <w:bookmarkStart w:id="353" w:name="_Toc7112"/>
      <w:bookmarkStart w:id="354" w:name="_Toc218935354"/>
      <w:bookmarkStart w:id="355" w:name="_Toc219175638"/>
      <w:bookmarkStart w:id="356" w:name="_Toc512937852"/>
      <w:r>
        <w:rPr>
          <w:rFonts w:hint="eastAsia" w:asciiTheme="minorEastAsia" w:hAnsiTheme="minorEastAsia" w:eastAsiaTheme="minorEastAsia" w:cstheme="minorEastAsia"/>
          <w:sz w:val="28"/>
          <w:szCs w:val="18"/>
          <w:highlight w:val="none"/>
          <w:lang w:val="en-US" w:eastAsia="zh-CN"/>
        </w:rPr>
        <w:t xml:space="preserve">  </w:t>
      </w:r>
      <w:bookmarkStart w:id="357" w:name="_Toc14977"/>
      <w:r>
        <w:rPr>
          <w:rFonts w:hint="eastAsia" w:asciiTheme="minorEastAsia" w:hAnsiTheme="minorEastAsia" w:eastAsiaTheme="minorEastAsia" w:cstheme="minorEastAsia"/>
          <w:sz w:val="28"/>
          <w:szCs w:val="18"/>
          <w:highlight w:val="none"/>
          <w:lang w:val="en-US" w:eastAsia="zh-CN"/>
        </w:rPr>
        <w:t>采购</w:t>
      </w:r>
      <w:r>
        <w:rPr>
          <w:rFonts w:hint="eastAsia" w:asciiTheme="minorEastAsia" w:hAnsiTheme="minorEastAsia" w:eastAsiaTheme="minorEastAsia" w:cstheme="minorEastAsia"/>
          <w:sz w:val="28"/>
          <w:szCs w:val="18"/>
          <w:highlight w:val="none"/>
        </w:rPr>
        <w:t>需求</w:t>
      </w:r>
      <w:bookmarkEnd w:id="349"/>
      <w:bookmarkEnd w:id="350"/>
      <w:bookmarkEnd w:id="351"/>
      <w:bookmarkEnd w:id="352"/>
      <w:bookmarkEnd w:id="353"/>
      <w:bookmarkEnd w:id="354"/>
      <w:bookmarkEnd w:id="355"/>
      <w:r>
        <w:rPr>
          <w:rFonts w:hint="eastAsia" w:asciiTheme="minorEastAsia" w:hAnsiTheme="minorEastAsia" w:eastAsiaTheme="minorEastAsia" w:cstheme="minorEastAsia"/>
          <w:sz w:val="28"/>
          <w:szCs w:val="18"/>
          <w:highlight w:val="none"/>
        </w:rPr>
        <w:t>及技术规</w:t>
      </w:r>
      <w:bookmarkEnd w:id="356"/>
      <w:r>
        <w:rPr>
          <w:rFonts w:hint="eastAsia" w:asciiTheme="minorEastAsia" w:hAnsiTheme="minorEastAsia" w:eastAsiaTheme="minorEastAsia" w:cstheme="minorEastAsia"/>
          <w:sz w:val="28"/>
          <w:szCs w:val="18"/>
          <w:highlight w:val="none"/>
          <w:lang w:val="en-US" w:eastAsia="zh-CN"/>
        </w:rPr>
        <w:t>格</w:t>
      </w:r>
      <w:bookmarkEnd w:id="357"/>
    </w:p>
    <w:p w14:paraId="098D96A8">
      <w:pPr>
        <w:numPr>
          <w:ilvl w:val="0"/>
          <w:numId w:val="0"/>
        </w:numPr>
        <w:jc w:val="both"/>
        <w:rPr>
          <w:rFonts w:hint="eastAsia" w:cs="宋体"/>
          <w:b/>
          <w:color w:val="000000"/>
          <w:sz w:val="24"/>
          <w:szCs w:val="24"/>
          <w:lang w:val="en-US" w:eastAsia="zh-CN"/>
        </w:rPr>
      </w:pPr>
    </w:p>
    <w:p w14:paraId="6DC4CCD2">
      <w:pPr>
        <w:pStyle w:val="4"/>
        <w:numPr>
          <w:ilvl w:val="0"/>
          <w:numId w:val="17"/>
        </w:numPr>
        <w:tabs>
          <w:tab w:val="left" w:pos="0"/>
        </w:tabs>
        <w:spacing w:before="0" w:after="0" w:line="240" w:lineRule="atLeast"/>
        <w:outlineLvl w:val="2"/>
        <w:rPr>
          <w:rFonts w:hint="eastAsia" w:asciiTheme="minorEastAsia" w:hAnsiTheme="minorEastAsia" w:eastAsiaTheme="minorEastAsia" w:cstheme="minorEastAsia"/>
          <w:color w:val="auto"/>
          <w:sz w:val="24"/>
          <w:szCs w:val="24"/>
        </w:rPr>
      </w:pPr>
      <w:bookmarkStart w:id="358" w:name="_Toc22232"/>
      <w:bookmarkStart w:id="359" w:name="_Toc19316"/>
      <w:r>
        <w:rPr>
          <w:rFonts w:hint="eastAsia" w:asciiTheme="minorEastAsia" w:hAnsiTheme="minorEastAsia" w:eastAsiaTheme="minorEastAsia" w:cstheme="minorEastAsia"/>
          <w:color w:val="auto"/>
          <w:sz w:val="24"/>
          <w:szCs w:val="24"/>
        </w:rPr>
        <w:t>技术规格</w:t>
      </w:r>
      <w:bookmarkEnd w:id="358"/>
      <w:bookmarkEnd w:id="359"/>
      <w:bookmarkStart w:id="360" w:name="_Hlk26116104"/>
    </w:p>
    <w:p w14:paraId="4EF72034">
      <w:pPr>
        <w:keepNext w:val="0"/>
        <w:keepLines w:val="0"/>
        <w:kinsoku/>
        <w:wordWrap/>
        <w:overflowPunct/>
        <w:topLinePunct w:val="0"/>
        <w:autoSpaceDE/>
        <w:autoSpaceDN/>
        <w:bidi w:val="0"/>
        <w:spacing w:line="240" w:lineRule="auto"/>
        <w:ind w:firstLine="480" w:firstLineChars="200"/>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建筑规模：</w:t>
      </w:r>
      <w:r>
        <w:rPr>
          <w:rFonts w:hint="eastAsia" w:asciiTheme="minorEastAsia" w:hAnsiTheme="minorEastAsia" w:eastAsiaTheme="minorEastAsia" w:cstheme="minorEastAsia"/>
          <w:b w:val="0"/>
          <w:bCs w:val="0"/>
          <w:sz w:val="24"/>
          <w:szCs w:val="24"/>
          <w:highlight w:val="none"/>
          <w:lang w:val="en-US" w:eastAsia="zh-CN"/>
        </w:rPr>
        <w:t>对疏勒县疾病预防控制中心综合楼(实验室)进行房屋、水电暖维修改造。</w:t>
      </w:r>
      <w:r>
        <w:rPr>
          <w:rFonts w:hint="eastAsia" w:asciiTheme="minorEastAsia" w:hAnsiTheme="minorEastAsia" w:eastAsiaTheme="minorEastAsia" w:cstheme="minorEastAsia"/>
          <w:b w:val="0"/>
          <w:bCs w:val="0"/>
          <w:sz w:val="24"/>
          <w:szCs w:val="24"/>
          <w:lang w:val="en-US" w:eastAsia="zh-CN"/>
        </w:rPr>
        <w:t>工程量清单及施工图纸范围内的全部工作内容。</w:t>
      </w:r>
    </w:p>
    <w:p w14:paraId="32E92E0D">
      <w:p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color w:val="C00000"/>
          <w:sz w:val="24"/>
          <w:szCs w:val="24"/>
          <w:lang w:eastAsia="zh-CN"/>
        </w:rPr>
        <w:t>详见附件：工程量清单</w:t>
      </w:r>
    </w:p>
    <w:bookmarkEnd w:id="360"/>
    <w:p w14:paraId="13CB92CB">
      <w:pPr>
        <w:pStyle w:val="100"/>
        <w:pageBreakBefore w:val="0"/>
        <w:numPr>
          <w:ilvl w:val="0"/>
          <w:numId w:val="0"/>
        </w:numPr>
        <w:tabs>
          <w:tab w:val="left" w:pos="2095"/>
        </w:tabs>
        <w:kinsoku/>
        <w:wordWrap/>
        <w:overflowPunct/>
        <w:topLinePunct w:val="0"/>
        <w:bidi w:val="0"/>
        <w:adjustRightInd/>
        <w:snapToGrid/>
        <w:spacing w:before="0" w:after="0" w:line="560" w:lineRule="exact"/>
        <w:ind w:right="0" w:rightChars="0"/>
        <w:jc w:val="both"/>
        <w:textAlignment w:val="auto"/>
        <w:rPr>
          <w:rFonts w:hint="eastAsia" w:asciiTheme="minorEastAsia" w:hAnsiTheme="minorEastAsia" w:eastAsiaTheme="minorEastAsia" w:cstheme="minorEastAsia"/>
          <w:b/>
          <w:color w:val="000000"/>
          <w:kern w:val="0"/>
          <w:sz w:val="24"/>
          <w:szCs w:val="24"/>
          <w:lang w:val="en-US" w:eastAsia="zh-CN" w:bidi="ar"/>
        </w:rPr>
      </w:pPr>
      <w:r>
        <w:rPr>
          <w:rFonts w:hint="eastAsia" w:asciiTheme="minorEastAsia" w:hAnsiTheme="minorEastAsia" w:eastAsiaTheme="minorEastAsia" w:cstheme="minorEastAsia"/>
          <w:b/>
          <w:color w:val="000000"/>
          <w:kern w:val="0"/>
          <w:sz w:val="24"/>
          <w:szCs w:val="24"/>
          <w:lang w:val="en-US" w:eastAsia="zh-CN" w:bidi="ar"/>
        </w:rPr>
        <w:t>注：报价应包括工程成本费、运输费、装卸费（含装卸人工费、设施费）、检验费、安装费、调试费、技术服务费、利润、税费等与本项目相关的一切费用。</w:t>
      </w:r>
    </w:p>
    <w:p w14:paraId="169DEAE0">
      <w:pPr>
        <w:pStyle w:val="100"/>
        <w:pageBreakBefore w:val="0"/>
        <w:numPr>
          <w:ilvl w:val="0"/>
          <w:numId w:val="0"/>
        </w:numPr>
        <w:tabs>
          <w:tab w:val="left" w:pos="2095"/>
        </w:tabs>
        <w:kinsoku/>
        <w:wordWrap/>
        <w:overflowPunct/>
        <w:topLinePunct w:val="0"/>
        <w:bidi w:val="0"/>
        <w:adjustRightInd/>
        <w:snapToGrid/>
        <w:spacing w:before="0" w:after="0" w:line="560" w:lineRule="exact"/>
        <w:ind w:right="0" w:rightChars="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color w:val="000000"/>
          <w:kern w:val="0"/>
          <w:sz w:val="24"/>
          <w:szCs w:val="24"/>
          <w:lang w:val="en-US" w:eastAsia="zh-CN" w:bidi="ar"/>
        </w:rPr>
        <w:t>二、</w:t>
      </w:r>
      <w:r>
        <w:rPr>
          <w:rFonts w:hint="eastAsia" w:asciiTheme="minorEastAsia" w:hAnsiTheme="minorEastAsia" w:eastAsiaTheme="minorEastAsia" w:cstheme="minorEastAsia"/>
          <w:b/>
          <w:bCs/>
          <w:sz w:val="24"/>
          <w:szCs w:val="24"/>
          <w:u w:val="single"/>
          <w:lang w:val="en-US" w:eastAsia="zh-CN"/>
        </w:rPr>
        <w:t>主要技术要求</w:t>
      </w:r>
    </w:p>
    <w:p w14:paraId="56777F17">
      <w:pPr>
        <w:keepNext w:val="0"/>
        <w:keepLines w:val="0"/>
        <w:numPr>
          <w:ilvl w:val="0"/>
          <w:numId w:val="0"/>
        </w:numPr>
        <w:kinsoku/>
        <w:wordWrap/>
        <w:overflowPunct/>
        <w:topLinePunct w:val="0"/>
        <w:autoSpaceDE/>
        <w:autoSpaceDN/>
        <w:bidi w:val="0"/>
        <w:spacing w:line="240" w:lineRule="auto"/>
        <w:ind w:leftChars="0" w:firstLine="480" w:firstLineChars="200"/>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z w:val="24"/>
          <w:szCs w:val="24"/>
        </w:rPr>
        <w:t>本工程必</w:t>
      </w:r>
      <w:r>
        <w:rPr>
          <w:rFonts w:hint="eastAsia" w:asciiTheme="minorEastAsia" w:hAnsiTheme="minorEastAsia" w:eastAsiaTheme="minorEastAsia" w:cstheme="minorEastAsia"/>
          <w:b w:val="0"/>
          <w:bCs w:val="0"/>
          <w:sz w:val="24"/>
          <w:szCs w:val="24"/>
          <w:lang w:val="en-US" w:eastAsia="zh-CN"/>
        </w:rPr>
        <w:t>须符合国家和地方现行相关质量评定标准和施工技术规范、施工图设计要求。主要技术支持文件包括但不限于以下文件：</w:t>
      </w:r>
    </w:p>
    <w:p w14:paraId="2C5DD85A">
      <w:pPr>
        <w:keepNext w:val="0"/>
        <w:keepLines w:val="0"/>
        <w:kinsoku/>
        <w:wordWrap/>
        <w:overflowPunct/>
        <w:topLinePunct w:val="0"/>
        <w:autoSpaceDE/>
        <w:autoSpaceDN/>
        <w:bidi w:val="0"/>
        <w:spacing w:line="24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val="0"/>
          <w:bCs w:val="0"/>
          <w:sz w:val="24"/>
          <w:szCs w:val="24"/>
          <w:lang w:val="en-US" w:eastAsia="zh-CN"/>
        </w:rPr>
        <w:t>项目管理机构组成表（项目班组人员组成）；</w:t>
      </w:r>
    </w:p>
    <w:p w14:paraId="237DC7DD">
      <w:pPr>
        <w:keepNext w:val="0"/>
        <w:keepLines w:val="0"/>
        <w:kinsoku/>
        <w:wordWrap/>
        <w:overflowPunct/>
        <w:topLinePunct w:val="0"/>
        <w:autoSpaceDE/>
        <w:autoSpaceDN/>
        <w:bidi w:val="0"/>
        <w:spacing w:line="240" w:lineRule="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val="0"/>
          <w:bCs w:val="0"/>
          <w:sz w:val="24"/>
          <w:szCs w:val="24"/>
          <w:lang w:val="en-US" w:eastAsia="zh-CN"/>
        </w:rPr>
        <w:t>项目负责人需具备建筑工程专业二级以上（含二级）注册建造师执业资格，具备有效的安全生产考核合格证书，且不得担任其他在建项目负责人（项目经理无在建承诺书）。响应文件中应附有相关证明资料。</w:t>
      </w:r>
    </w:p>
    <w:p w14:paraId="65EC7FF5">
      <w:pPr>
        <w:keepNext w:val="0"/>
        <w:keepLines w:val="0"/>
        <w:kinsoku/>
        <w:wordWrap/>
        <w:overflowPunct/>
        <w:topLinePunct w:val="0"/>
        <w:autoSpaceDE/>
        <w:autoSpaceDN/>
        <w:bidi w:val="0"/>
        <w:spacing w:line="240" w:lineRule="auto"/>
        <w:ind w:left="211" w:hanging="241" w:hangingChars="1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val="0"/>
          <w:bCs w:val="0"/>
          <w:sz w:val="24"/>
          <w:szCs w:val="24"/>
          <w:lang w:val="en-US" w:eastAsia="zh-CN"/>
        </w:rPr>
        <w:t>项目负责人简历表（附相关证书及在本单位近三个月任意一个月的社保缴纳记录）；</w:t>
      </w:r>
      <w:r>
        <w:rPr>
          <w:rFonts w:hint="eastAsia" w:asciiTheme="minorEastAsia" w:hAnsiTheme="minorEastAsia" w:eastAsiaTheme="minorEastAsia" w:cstheme="minorEastAsia"/>
          <w:sz w:val="24"/>
          <w:szCs w:val="24"/>
          <w:lang w:val="en-US" w:eastAsia="zh-CN"/>
        </w:rPr>
        <w:t>项目负责人职称：指建筑专业高级职称及以上(高级工程师)、建筑专业中级职称 (工程师)、建筑专业初级职称 (助理工程师)。</w:t>
      </w:r>
    </w:p>
    <w:p w14:paraId="6D4B0385">
      <w:pPr>
        <w:keepNext w:val="0"/>
        <w:keepLines w:val="0"/>
        <w:kinsoku/>
        <w:wordWrap/>
        <w:overflowPunct/>
        <w:topLinePunct w:val="0"/>
        <w:autoSpaceDE/>
        <w:autoSpaceDN/>
        <w:bidi w:val="0"/>
        <w:spacing w:line="24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val="0"/>
          <w:bCs w:val="0"/>
          <w:sz w:val="24"/>
          <w:szCs w:val="24"/>
          <w:lang w:val="en-US" w:eastAsia="zh-CN"/>
        </w:rPr>
        <w:t>主要项目管理人员简历表；</w:t>
      </w:r>
    </w:p>
    <w:p w14:paraId="1BAFDA7B">
      <w:pPr>
        <w:keepNext w:val="0"/>
        <w:keepLines w:val="0"/>
        <w:pageBreakBefore w:val="0"/>
        <w:kinsoku/>
        <w:wordWrap/>
        <w:overflowPunct/>
        <w:topLinePunct w:val="0"/>
        <w:autoSpaceDE/>
        <w:autoSpaceDN/>
        <w:bidi w:val="0"/>
        <w:adjustRightInd/>
        <w:snapToGrid/>
        <w:spacing w:line="260" w:lineRule="exac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工程量清单响应报价规定：</w:t>
      </w:r>
    </w:p>
    <w:p w14:paraId="08D45AD8">
      <w:pPr>
        <w:keepNext w:val="0"/>
        <w:keepLines w:val="0"/>
        <w:pageBreakBefore w:val="0"/>
        <w:kinsoku/>
        <w:wordWrap/>
        <w:overflowPunct/>
        <w:topLinePunct w:val="0"/>
        <w:autoSpaceDE/>
        <w:autoSpaceDN/>
        <w:bidi w:val="0"/>
        <w:adjustRightInd/>
        <w:snapToGrid/>
        <w:spacing w:line="260" w:lineRule="exact"/>
        <w:ind w:firstLine="240" w:firstLineChars="1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1、工程量清单应与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须知、合同通用条款、合同专用条款、设计图纸、规范要求、图纸答疑、设计变更等文件及中华人民共和国国家标准GB50500-2013《建设工程工程量清单计价规范》结合起来理解或解释；</w:t>
      </w:r>
    </w:p>
    <w:p w14:paraId="5BAEB1BA">
      <w:pPr>
        <w:keepNext w:val="0"/>
        <w:keepLines w:val="0"/>
        <w:pageBreakBefore w:val="0"/>
        <w:kinsoku/>
        <w:wordWrap/>
        <w:overflowPunct/>
        <w:topLinePunct w:val="0"/>
        <w:autoSpaceDE/>
        <w:autoSpaceDN/>
        <w:bidi w:val="0"/>
        <w:adjustRightInd/>
        <w:snapToGrid/>
        <w:spacing w:line="260" w:lineRule="exact"/>
        <w:ind w:firstLine="240" w:firstLineChars="1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报价时不允许对工程项目、数量进行调整和改动，结算时按中标的综合单价进行结算与支付。其他变更项目，按合同条款确定的单价进行结算与支付；</w:t>
      </w:r>
    </w:p>
    <w:p w14:paraId="67051366">
      <w:pPr>
        <w:keepNext w:val="0"/>
        <w:keepLines w:val="0"/>
        <w:pageBreakBefore w:val="0"/>
        <w:kinsoku/>
        <w:wordWrap/>
        <w:overflowPunct/>
        <w:topLinePunct w:val="0"/>
        <w:autoSpaceDE/>
        <w:autoSpaceDN/>
        <w:bidi w:val="0"/>
        <w:adjustRightInd/>
        <w:snapToGrid/>
        <w:spacing w:line="260" w:lineRule="exact"/>
        <w:ind w:firstLine="240" w:firstLineChars="1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工程量清单中所填入的综合单价为按技术规范与技术要求完成一个规定计量单位的工程所需的人工费、材料费、机械使用费、管理费和利润，按技术规范要求完成一个规定计量单位的工程量所需的其他一切费用，并包括工程量清单项目中没有体现的但施工过程中又必须发生的工程内容所需的费用。除非</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在措施项目清单中列出，否则视为已包含在工程量清单各项目的综合单价中；</w:t>
      </w:r>
    </w:p>
    <w:p w14:paraId="2CAF15B1">
      <w:pPr>
        <w:keepNext w:val="0"/>
        <w:keepLines w:val="0"/>
        <w:pageBreakBefore w:val="0"/>
        <w:kinsoku/>
        <w:wordWrap/>
        <w:overflowPunct/>
        <w:topLinePunct w:val="0"/>
        <w:autoSpaceDE/>
        <w:autoSpaceDN/>
        <w:bidi w:val="0"/>
        <w:adjustRightInd/>
        <w:snapToGrid/>
        <w:spacing w:line="260" w:lineRule="exact"/>
        <w:ind w:firstLine="240" w:firstLineChars="1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4、工程量清单中的每一项目必须填入综合单价和合价，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没有填入综合单价和合价的项目，其费用均视为已包含在工程量清单的其他单价和合价中；</w:t>
      </w:r>
    </w:p>
    <w:p w14:paraId="00E46CFA">
      <w:pPr>
        <w:keepNext w:val="0"/>
        <w:keepLines w:val="0"/>
        <w:pageBreakBefore w:val="0"/>
        <w:kinsoku/>
        <w:wordWrap/>
        <w:overflowPunct/>
        <w:topLinePunct w:val="0"/>
        <w:autoSpaceDE/>
        <w:autoSpaceDN/>
        <w:bidi w:val="0"/>
        <w:adjustRightInd/>
        <w:snapToGrid/>
        <w:spacing w:line="260" w:lineRule="exact"/>
        <w:ind w:firstLine="240" w:firstLineChars="1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5、措施项目费是为完成工程项目施工，发生于该工程施工前和施工过程中技术、生活、安全等方面的非工程实体项目所产生的全部措施费用。清单中所列措施项目是</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人根据一般情况所列的项目，</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根据实际措施不同时，可根据具体列项内容自行报价。中标后，除合同条款没有明确约定的，工程措施项目费将以总价包干，结算时不再进行调整；</w:t>
      </w:r>
    </w:p>
    <w:p w14:paraId="14830704">
      <w:pPr>
        <w:keepNext w:val="0"/>
        <w:keepLines w:val="0"/>
        <w:pageBreakBefore w:val="0"/>
        <w:kinsoku/>
        <w:wordWrap/>
        <w:overflowPunct/>
        <w:topLinePunct w:val="0"/>
        <w:autoSpaceDE/>
        <w:autoSpaceDN/>
        <w:bidi w:val="0"/>
        <w:adjustRightInd/>
        <w:snapToGrid/>
        <w:spacing w:line="260" w:lineRule="exact"/>
        <w:ind w:firstLine="240" w:firstLineChars="1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人提供的工程量清单，是</w:t>
      </w:r>
      <w:r>
        <w:rPr>
          <w:rFonts w:hint="eastAsia" w:asciiTheme="minorEastAsia" w:hAnsiTheme="minorEastAsia" w:eastAsiaTheme="minorEastAsia" w:cstheme="minorEastAsia"/>
          <w:color w:val="auto"/>
          <w:sz w:val="24"/>
          <w:szCs w:val="24"/>
          <w:highlight w:val="none"/>
          <w:lang w:eastAsia="zh-CN"/>
        </w:rPr>
        <w:t>供应商响应报价</w:t>
      </w:r>
      <w:r>
        <w:rPr>
          <w:rFonts w:hint="eastAsia" w:asciiTheme="minorEastAsia" w:hAnsiTheme="minorEastAsia" w:eastAsiaTheme="minorEastAsia" w:cstheme="minorEastAsia"/>
          <w:color w:val="auto"/>
          <w:sz w:val="24"/>
          <w:szCs w:val="24"/>
          <w:highlight w:val="none"/>
        </w:rPr>
        <w:t>的基础，</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所填写的工程量清单中的综合单价作为签订合同、拨付工程进度款和工程结算的依据。中标人由于自身原因造成工程量的增加，均不予以调增；</w:t>
      </w:r>
    </w:p>
    <w:p w14:paraId="301D3400">
      <w:pPr>
        <w:keepNext w:val="0"/>
        <w:keepLines w:val="0"/>
        <w:pageBreakBefore w:val="0"/>
        <w:kinsoku/>
        <w:wordWrap/>
        <w:overflowPunct/>
        <w:topLinePunct w:val="0"/>
        <w:autoSpaceDE/>
        <w:autoSpaceDN/>
        <w:bidi w:val="0"/>
        <w:adjustRightInd/>
        <w:snapToGrid/>
        <w:spacing w:line="260" w:lineRule="exact"/>
        <w:ind w:firstLine="240" w:firstLineChars="1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7、工程量清单中的项目名称、项目特征所描述内容为主要内容，</w:t>
      </w:r>
      <w:r>
        <w:rPr>
          <w:rFonts w:hint="eastAsia" w:asciiTheme="minorEastAsia" w:hAnsiTheme="minorEastAsia" w:eastAsiaTheme="minorEastAsia" w:cstheme="minorEastAsia"/>
          <w:color w:val="auto"/>
          <w:sz w:val="24"/>
          <w:szCs w:val="24"/>
          <w:highlight w:val="none"/>
          <w:lang w:eastAsia="zh-CN"/>
        </w:rPr>
        <w:t>供应商响应报价</w:t>
      </w:r>
      <w:r>
        <w:rPr>
          <w:rFonts w:hint="eastAsia" w:asciiTheme="minorEastAsia" w:hAnsiTheme="minorEastAsia" w:eastAsiaTheme="minorEastAsia" w:cstheme="minorEastAsia"/>
          <w:color w:val="auto"/>
          <w:sz w:val="24"/>
          <w:szCs w:val="24"/>
          <w:highlight w:val="none"/>
        </w:rPr>
        <w:t>时应详细阅读施工图纸及根据有关规范的要求等，综合单价为完成该项目的全部工作内容。本工程量清单叙述不到位的，由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根据施工图纸、施工组织设计和相关施工规范等内容考虑在报价中；</w:t>
      </w:r>
    </w:p>
    <w:p w14:paraId="5D5CF120">
      <w:pPr>
        <w:keepNext w:val="0"/>
        <w:keepLines w:val="0"/>
        <w:kinsoku/>
        <w:wordWrap/>
        <w:overflowPunct/>
        <w:topLinePunct w:val="0"/>
        <w:autoSpaceDE/>
        <w:autoSpaceDN/>
        <w:bidi w:val="0"/>
        <w:spacing w:line="240" w:lineRule="auto"/>
        <w:outlineLvl w:val="9"/>
        <w:rPr>
          <w:rFonts w:hint="eastAsia" w:asciiTheme="minorEastAsia" w:hAnsiTheme="minorEastAsia" w:eastAsiaTheme="minorEastAsia" w:cstheme="minorEastAsia"/>
          <w:color w:val="auto"/>
          <w:sz w:val="24"/>
          <w:szCs w:val="24"/>
          <w:highlight w:val="none"/>
        </w:rPr>
        <w:sectPr>
          <w:footerReference r:id="rId19" w:type="default"/>
          <w:pgSz w:w="11906" w:h="16838"/>
          <w:pgMar w:top="1418" w:right="1555" w:bottom="1418" w:left="1531" w:header="851" w:footer="992" w:gutter="0"/>
          <w:pgNumType w:fmt="decimal"/>
          <w:cols w:space="720" w:num="1"/>
          <w:titlePg/>
          <w:docGrid w:type="lines" w:linePitch="312" w:charSpace="0"/>
        </w:sectPr>
      </w:pPr>
    </w:p>
    <w:p w14:paraId="693C0B2D">
      <w:pPr>
        <w:keepNext w:val="0"/>
        <w:keepLines w:val="0"/>
        <w:numPr>
          <w:ilvl w:val="0"/>
          <w:numId w:val="0"/>
        </w:numPr>
        <w:kinsoku/>
        <w:wordWrap/>
        <w:overflowPunct/>
        <w:topLinePunct w:val="0"/>
        <w:autoSpaceDE/>
        <w:autoSpaceDN/>
        <w:bidi w:val="0"/>
        <w:spacing w:line="24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lang w:val="en-US" w:eastAsia="zh-CN" w:bidi="ar-SA"/>
        </w:rPr>
        <w:t>8、</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必须依据施工图纸及相关规范认真核对清单项目和工程量。如有疑问，图纸答疑时应及时提出，并与清单编制单位核对。若未提出疑问或不与清单编制单位核对，视为接受，结算时一律不予调整。</w:t>
      </w:r>
    </w:p>
    <w:p w14:paraId="2F6E5554">
      <w:pPr>
        <w:keepNext w:val="0"/>
        <w:keepLines w:val="0"/>
        <w:numPr>
          <w:ilvl w:val="0"/>
          <w:numId w:val="0"/>
        </w:numPr>
        <w:kinsoku/>
        <w:wordWrap/>
        <w:overflowPunct/>
        <w:topLinePunct w:val="0"/>
        <w:autoSpaceDE/>
        <w:autoSpaceDN/>
        <w:bidi w:val="0"/>
        <w:spacing w:line="240" w:lineRule="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lang w:val="en-US" w:eastAsia="zh-CN" w:bidi="ar-SA"/>
        </w:rPr>
        <w:t>9、</w:t>
      </w:r>
      <w:r>
        <w:rPr>
          <w:rFonts w:hint="eastAsia" w:asciiTheme="minorEastAsia" w:hAnsiTheme="minorEastAsia" w:eastAsiaTheme="minorEastAsia" w:cstheme="minorEastAsia"/>
          <w:color w:val="auto"/>
          <w:sz w:val="24"/>
          <w:szCs w:val="24"/>
          <w:highlight w:val="none"/>
          <w:lang w:val="en-US" w:eastAsia="zh-CN"/>
        </w:rPr>
        <w:t>中标供应商须按最终报价修正“已标价工程量清单”中的相应报价，修正后的报价文件经法定代表人或授权委托人签署并加盖供应商公章，在领取中标通知书之前递交到招标代理机构。</w:t>
      </w:r>
      <w:r>
        <w:rPr>
          <w:rFonts w:hint="eastAsia" w:asciiTheme="minorEastAsia" w:hAnsiTheme="minorEastAsia" w:eastAsiaTheme="minorEastAsia" w:cstheme="minorEastAsia"/>
          <w:color w:val="auto"/>
          <w:sz w:val="24"/>
          <w:szCs w:val="24"/>
          <w:highlight w:val="none"/>
        </w:rPr>
        <w:t xml:space="preserve">    </w:t>
      </w:r>
    </w:p>
    <w:p w14:paraId="3C4F2A56">
      <w:pPr>
        <w:keepNext w:val="0"/>
        <w:keepLines w:val="0"/>
        <w:kinsoku/>
        <w:wordWrap/>
        <w:overflowPunct/>
        <w:topLinePunct w:val="0"/>
        <w:autoSpaceDE/>
        <w:autoSpaceDN/>
        <w:bidi w:val="0"/>
        <w:spacing w:line="240" w:lineRule="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lang w:eastAsia="zh-CN"/>
        </w:rPr>
        <w:t>报价</w:t>
      </w:r>
      <w:r>
        <w:rPr>
          <w:rFonts w:hint="eastAsia" w:asciiTheme="minorEastAsia" w:hAnsiTheme="minorEastAsia" w:eastAsiaTheme="minorEastAsia" w:cstheme="minorEastAsia"/>
          <w:b/>
          <w:bCs/>
          <w:sz w:val="24"/>
          <w:szCs w:val="24"/>
          <w:lang w:val="en-US" w:eastAsia="zh-CN"/>
        </w:rPr>
        <w:t>要求</w:t>
      </w:r>
    </w:p>
    <w:p w14:paraId="66A353FF">
      <w:pPr>
        <w:keepNext w:val="0"/>
        <w:keepLines w:val="0"/>
        <w:kinsoku/>
        <w:wordWrap/>
        <w:overflowPunct/>
        <w:topLinePunct w:val="0"/>
        <w:autoSpaceDE/>
        <w:autoSpaceDN/>
        <w:bidi w:val="0"/>
        <w:spacing w:line="24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 xml:space="preserve">的报价应为所确定的招标范围内的全部工作内容的价格体现。 </w:t>
      </w:r>
    </w:p>
    <w:p w14:paraId="65B50383">
      <w:pPr>
        <w:keepNext w:val="0"/>
        <w:keepLines w:val="0"/>
        <w:kinsoku/>
        <w:wordWrap/>
        <w:overflowPunct/>
        <w:topLinePunct w:val="0"/>
        <w:autoSpaceDE/>
        <w:autoSpaceDN/>
        <w:bidi w:val="0"/>
        <w:spacing w:line="24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工程报价方式：工程量清单</w:t>
      </w:r>
    </w:p>
    <w:p w14:paraId="0F9C1330">
      <w:pPr>
        <w:numPr>
          <w:ilvl w:val="0"/>
          <w:numId w:val="0"/>
        </w:numPr>
        <w:spacing w:line="240" w:lineRule="auto"/>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、竞争性磋商报价以最终报价为准，单价同比例下浮。</w:t>
      </w:r>
    </w:p>
    <w:p w14:paraId="42B43401">
      <w:pPr>
        <w:keepNext w:val="0"/>
        <w:keepLines w:val="0"/>
        <w:kinsoku/>
        <w:wordWrap/>
        <w:overflowPunct/>
        <w:topLinePunct w:val="0"/>
        <w:autoSpaceDE/>
        <w:autoSpaceDN/>
        <w:bidi w:val="0"/>
        <w:spacing w:line="360" w:lineRule="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三、主要商务要求如下：</w:t>
      </w:r>
    </w:p>
    <w:p w14:paraId="541BA619">
      <w:pPr>
        <w:keepNext w:val="0"/>
        <w:keepLines w:val="0"/>
        <w:kinsoku/>
        <w:wordWrap/>
        <w:overflowPunct/>
        <w:topLinePunct w:val="0"/>
        <w:autoSpaceDE/>
        <w:autoSpaceDN/>
        <w:bidi w:val="0"/>
        <w:spacing w:line="240" w:lineRule="auto"/>
        <w:outlineLvl w:val="9"/>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lang w:val="en-US" w:eastAsia="zh-CN" w:bidi="ar-SA"/>
        </w:rPr>
        <w:t>1、合同履行期限：</w:t>
      </w:r>
      <w:r>
        <w:rPr>
          <w:rFonts w:hint="eastAsia" w:asciiTheme="minorEastAsia" w:hAnsiTheme="minorEastAsia" w:eastAsiaTheme="minorEastAsia" w:cstheme="minorEastAsia"/>
          <w:b w:val="0"/>
          <w:bCs w:val="0"/>
          <w:color w:val="auto"/>
          <w:kern w:val="2"/>
          <w:sz w:val="24"/>
          <w:szCs w:val="24"/>
          <w:highlight w:val="none"/>
          <w:lang w:val="en-US" w:eastAsia="zh-CN" w:bidi="ar-SA"/>
        </w:rPr>
        <w:t>自合同签订</w:t>
      </w:r>
      <w:r>
        <w:rPr>
          <w:rFonts w:hint="eastAsia" w:asciiTheme="minorEastAsia" w:hAnsiTheme="minorEastAsia" w:eastAsiaTheme="minorEastAsia" w:cstheme="minorEastAsia"/>
          <w:b w:val="0"/>
          <w:bCs w:val="0"/>
          <w:sz w:val="24"/>
          <w:szCs w:val="24"/>
          <w:highlight w:val="none"/>
          <w:lang w:val="en-US" w:eastAsia="zh-CN"/>
        </w:rPr>
        <w:t>之日起45日</w:t>
      </w:r>
    </w:p>
    <w:p w14:paraId="15FB655C">
      <w:pPr>
        <w:keepNext w:val="0"/>
        <w:keepLines w:val="0"/>
        <w:kinsoku/>
        <w:wordWrap/>
        <w:overflowPunct/>
        <w:topLinePunct w:val="0"/>
        <w:autoSpaceDE/>
        <w:autoSpaceDN/>
        <w:bidi w:val="0"/>
        <w:spacing w:line="24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2、合同价格形式：固定总价合同</w:t>
      </w:r>
    </w:p>
    <w:p w14:paraId="2DC90F37">
      <w:pPr>
        <w:keepNext w:val="0"/>
        <w:keepLines w:val="0"/>
        <w:kinsoku/>
        <w:wordWrap/>
        <w:overflowPunct/>
        <w:topLinePunct w:val="0"/>
        <w:autoSpaceDE/>
        <w:autoSpaceDN/>
        <w:bidi w:val="0"/>
        <w:spacing w:line="240" w:lineRule="auto"/>
        <w:outlineLvl w:val="9"/>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lang w:val="en-US" w:eastAsia="zh-CN"/>
        </w:rPr>
        <w:t>3、付款方式</w:t>
      </w:r>
      <w:r>
        <w:rPr>
          <w:rFonts w:hint="eastAsia" w:asciiTheme="minorEastAsia" w:hAnsiTheme="minorEastAsia" w:eastAsiaTheme="minorEastAsia" w:cstheme="minorEastAsia"/>
          <w:b w:val="0"/>
          <w:bCs w:val="0"/>
          <w:sz w:val="24"/>
          <w:szCs w:val="24"/>
          <w:highlight w:val="none"/>
          <w:lang w:val="en-US" w:eastAsia="zh-CN"/>
        </w:rPr>
        <w:t>：合同签订后付合同签订价款的30%为</w:t>
      </w:r>
      <w:bookmarkStart w:id="1430" w:name="_GoBack"/>
      <w:bookmarkEnd w:id="1430"/>
      <w:r>
        <w:rPr>
          <w:rFonts w:hint="eastAsia" w:asciiTheme="minorEastAsia" w:hAnsiTheme="minorEastAsia" w:eastAsiaTheme="minorEastAsia" w:cstheme="minorEastAsia"/>
          <w:b w:val="0"/>
          <w:bCs w:val="0"/>
          <w:sz w:val="24"/>
          <w:szCs w:val="24"/>
          <w:highlight w:val="none"/>
          <w:lang w:val="en-US" w:eastAsia="zh-CN"/>
        </w:rPr>
        <w:t>预付款，根据进度付款，工程验收合格后付至合同签订价款的95%，竣工结算审计后付至合同签订价款的97%，剩余合同签订价款的3%为质保金。待缺陷责任期届满后，采购人向成交人一次性无息支付（具体以签订合同为准）。</w:t>
      </w:r>
    </w:p>
    <w:p w14:paraId="279E27D8">
      <w:pPr>
        <w:keepNext w:val="0"/>
        <w:keepLines w:val="0"/>
        <w:kinsoku/>
        <w:wordWrap/>
        <w:overflowPunct/>
        <w:topLinePunct w:val="0"/>
        <w:autoSpaceDE/>
        <w:autoSpaceDN/>
        <w:bidi w:val="0"/>
        <w:spacing w:line="240" w:lineRule="auto"/>
        <w:outlineLvl w:val="9"/>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4、保修期限：1年 。</w:t>
      </w:r>
    </w:p>
    <w:p w14:paraId="5AB205D3">
      <w:pPr>
        <w:keepNext w:val="0"/>
        <w:keepLines w:val="0"/>
        <w:kinsoku/>
        <w:wordWrap/>
        <w:overflowPunct/>
        <w:topLinePunct w:val="0"/>
        <w:autoSpaceDE/>
        <w:autoSpaceDN/>
        <w:bidi w:val="0"/>
        <w:spacing w:line="24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5、质量要求：合格</w:t>
      </w:r>
    </w:p>
    <w:p w14:paraId="76AAE598">
      <w:pPr>
        <w:keepNext w:val="0"/>
        <w:keepLines w:val="0"/>
        <w:kinsoku/>
        <w:wordWrap/>
        <w:overflowPunct/>
        <w:topLinePunct w:val="0"/>
        <w:autoSpaceDE/>
        <w:autoSpaceDN/>
        <w:bidi w:val="0"/>
        <w:spacing w:line="24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验收依据：本工程的材料检验和质量、工艺试验等按《工程建设标准强制性条文》、《建筑工程质量检验评定标准》（GBJ301-88）、《建筑工程施工质量验收统一标准》（GB50300-2001）、《建筑地面工程施工质量验收规范》（GB50208-2002）、《建筑装修工程质量验收规范》（GB05210-2001）及国家、地方现行相关规定执行。</w:t>
      </w:r>
    </w:p>
    <w:p w14:paraId="23DACD34">
      <w:pPr>
        <w:keepNext w:val="0"/>
        <w:keepLines w:val="0"/>
        <w:kinsoku/>
        <w:wordWrap/>
        <w:overflowPunct/>
        <w:topLinePunct w:val="0"/>
        <w:autoSpaceDE/>
        <w:autoSpaceDN/>
        <w:bidi w:val="0"/>
        <w:spacing w:line="24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7、验收单位：疏勒县疾病预防控制中心及相关单位</w:t>
      </w:r>
      <w:bookmarkStart w:id="361" w:name="_Toc23613_WPSOffice_Level2"/>
      <w:bookmarkStart w:id="362" w:name="_Toc31997_WPSOffice_Level2"/>
    </w:p>
    <w:p w14:paraId="2BD7620D">
      <w:pPr>
        <w:keepNext w:val="0"/>
        <w:keepLines w:val="0"/>
        <w:kinsoku/>
        <w:wordWrap/>
        <w:overflowPunct/>
        <w:topLinePunct w:val="0"/>
        <w:autoSpaceDE/>
        <w:autoSpaceDN/>
        <w:bidi w:val="0"/>
        <w:spacing w:line="240" w:lineRule="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8、本工程的工程设计图纸将同磋商文件一并上传至政采云平台，供应商自行下载获取。</w:t>
      </w:r>
    </w:p>
    <w:p w14:paraId="0BDB582F">
      <w:pPr>
        <w:pStyle w:val="55"/>
        <w:rPr>
          <w:rFonts w:hint="eastAsia"/>
        </w:rPr>
      </w:pPr>
    </w:p>
    <w:p w14:paraId="2D8AA785">
      <w:pPr>
        <w:pStyle w:val="2"/>
        <w:tabs>
          <w:tab w:val="left" w:pos="0"/>
        </w:tabs>
        <w:spacing w:before="0" w:after="0" w:line="340" w:lineRule="exact"/>
        <w:jc w:val="center"/>
        <w:rPr>
          <w:rFonts w:hint="eastAsia" w:asciiTheme="minorEastAsia" w:hAnsiTheme="minorEastAsia" w:eastAsiaTheme="minorEastAsia" w:cstheme="minorEastAsia"/>
          <w:color w:val="000000"/>
        </w:rPr>
      </w:pPr>
    </w:p>
    <w:p w14:paraId="12962B41">
      <w:pPr>
        <w:pStyle w:val="2"/>
        <w:tabs>
          <w:tab w:val="left" w:pos="0"/>
        </w:tabs>
        <w:spacing w:before="0" w:after="0" w:line="340" w:lineRule="exact"/>
        <w:jc w:val="center"/>
        <w:rPr>
          <w:rFonts w:hint="eastAsia" w:asciiTheme="minorEastAsia" w:hAnsiTheme="minorEastAsia" w:eastAsiaTheme="minorEastAsia" w:cstheme="minorEastAsia"/>
          <w:color w:val="000000"/>
        </w:rPr>
      </w:pPr>
    </w:p>
    <w:p w14:paraId="0FF7E573">
      <w:pPr>
        <w:rPr>
          <w:rFonts w:hint="eastAsia" w:asciiTheme="minorEastAsia" w:hAnsiTheme="minorEastAsia" w:eastAsiaTheme="minorEastAsia" w:cstheme="minorEastAsia"/>
          <w:color w:val="000000"/>
        </w:rPr>
      </w:pPr>
    </w:p>
    <w:p w14:paraId="40CC8058">
      <w:pPr>
        <w:pStyle w:val="55"/>
        <w:rPr>
          <w:rFonts w:hint="eastAsia"/>
        </w:rPr>
      </w:pPr>
    </w:p>
    <w:p w14:paraId="415B46CA">
      <w:pPr>
        <w:pStyle w:val="56"/>
        <w:rPr>
          <w:rFonts w:hint="eastAsia" w:asciiTheme="minorEastAsia" w:hAnsiTheme="minorEastAsia" w:eastAsiaTheme="minorEastAsia" w:cstheme="minorEastAsia"/>
          <w:color w:val="000000"/>
        </w:rPr>
      </w:pPr>
    </w:p>
    <w:p w14:paraId="735CFA1A">
      <w:pPr>
        <w:pStyle w:val="56"/>
        <w:rPr>
          <w:rFonts w:hint="eastAsia" w:asciiTheme="minorEastAsia" w:hAnsiTheme="minorEastAsia" w:eastAsiaTheme="minorEastAsia" w:cstheme="minorEastAsia"/>
          <w:color w:val="000000"/>
        </w:rPr>
      </w:pPr>
    </w:p>
    <w:p w14:paraId="20830CFA">
      <w:pPr>
        <w:pStyle w:val="56"/>
        <w:rPr>
          <w:rFonts w:hint="eastAsia" w:asciiTheme="minorEastAsia" w:hAnsiTheme="minorEastAsia" w:eastAsiaTheme="minorEastAsia" w:cstheme="minorEastAsia"/>
          <w:color w:val="000000"/>
        </w:rPr>
      </w:pPr>
    </w:p>
    <w:p w14:paraId="0AC8A5C5">
      <w:pPr>
        <w:pStyle w:val="56"/>
        <w:rPr>
          <w:rFonts w:hint="eastAsia" w:asciiTheme="minorEastAsia" w:hAnsiTheme="minorEastAsia" w:eastAsiaTheme="minorEastAsia" w:cstheme="minorEastAsia"/>
          <w:color w:val="000000"/>
        </w:rPr>
      </w:pPr>
    </w:p>
    <w:p w14:paraId="59CF1873">
      <w:pPr>
        <w:pStyle w:val="56"/>
        <w:rPr>
          <w:rFonts w:hint="eastAsia" w:asciiTheme="minorEastAsia" w:hAnsiTheme="minorEastAsia" w:eastAsiaTheme="minorEastAsia" w:cstheme="minorEastAsia"/>
          <w:color w:val="000000"/>
        </w:rPr>
      </w:pPr>
    </w:p>
    <w:p w14:paraId="6899D384">
      <w:pPr>
        <w:pStyle w:val="56"/>
        <w:rPr>
          <w:rFonts w:hint="eastAsia" w:asciiTheme="minorEastAsia" w:hAnsiTheme="minorEastAsia" w:eastAsiaTheme="minorEastAsia" w:cstheme="minorEastAsia"/>
          <w:color w:val="000000"/>
        </w:rPr>
      </w:pPr>
    </w:p>
    <w:p w14:paraId="18151C6E">
      <w:pPr>
        <w:pStyle w:val="56"/>
        <w:rPr>
          <w:rFonts w:hint="eastAsia" w:asciiTheme="minorEastAsia" w:hAnsiTheme="minorEastAsia" w:eastAsiaTheme="minorEastAsia" w:cstheme="minorEastAsia"/>
          <w:color w:val="000000"/>
        </w:rPr>
      </w:pPr>
    </w:p>
    <w:p w14:paraId="2A5E1292">
      <w:pPr>
        <w:pStyle w:val="56"/>
        <w:rPr>
          <w:rFonts w:hint="eastAsia" w:asciiTheme="minorEastAsia" w:hAnsiTheme="minorEastAsia" w:eastAsiaTheme="minorEastAsia" w:cstheme="minorEastAsia"/>
          <w:color w:val="000000"/>
        </w:rPr>
      </w:pPr>
    </w:p>
    <w:p w14:paraId="5C61DB96">
      <w:pPr>
        <w:pStyle w:val="2"/>
        <w:tabs>
          <w:tab w:val="left" w:pos="0"/>
        </w:tabs>
        <w:spacing w:before="0" w:after="0" w:line="340" w:lineRule="exact"/>
        <w:jc w:val="center"/>
        <w:rPr>
          <w:rFonts w:hint="eastAsia" w:asciiTheme="minorEastAsia" w:hAnsiTheme="minorEastAsia" w:eastAsiaTheme="minorEastAsia" w:cstheme="minorEastAsia"/>
          <w:color w:val="000000"/>
        </w:rPr>
      </w:pPr>
      <w:bookmarkStart w:id="363" w:name="_Toc10432"/>
      <w:r>
        <w:rPr>
          <w:rFonts w:hint="eastAsia" w:asciiTheme="minorEastAsia" w:hAnsiTheme="minorEastAsia" w:eastAsiaTheme="minorEastAsia" w:cstheme="minorEastAsia"/>
          <w:color w:val="000000"/>
        </w:rPr>
        <w:t xml:space="preserve">第6章  </w:t>
      </w:r>
      <w:bookmarkStart w:id="364" w:name="_Toc23331"/>
      <w:bookmarkStart w:id="365" w:name="_Toc32647"/>
      <w:bookmarkStart w:id="366" w:name="_Toc7971"/>
      <w:bookmarkStart w:id="367" w:name="_Toc515647832"/>
      <w:r>
        <w:rPr>
          <w:rFonts w:hint="eastAsia" w:asciiTheme="minorEastAsia" w:hAnsiTheme="minorEastAsia" w:eastAsiaTheme="minorEastAsia" w:cstheme="minorEastAsia"/>
          <w:color w:val="000000"/>
        </w:rPr>
        <w:t>评</w:t>
      </w:r>
      <w:r>
        <w:rPr>
          <w:rFonts w:hint="eastAsia" w:asciiTheme="minorEastAsia" w:hAnsiTheme="minorEastAsia" w:eastAsiaTheme="minorEastAsia" w:cstheme="minorEastAsia"/>
          <w:color w:val="000000"/>
          <w:lang w:eastAsia="zh-CN"/>
        </w:rPr>
        <w:t>审</w:t>
      </w:r>
      <w:r>
        <w:rPr>
          <w:rFonts w:hint="eastAsia" w:asciiTheme="minorEastAsia" w:hAnsiTheme="minorEastAsia" w:eastAsiaTheme="minorEastAsia" w:cstheme="minorEastAsia"/>
          <w:color w:val="000000"/>
        </w:rPr>
        <w:t>方法和标准</w:t>
      </w:r>
      <w:bookmarkEnd w:id="363"/>
      <w:bookmarkEnd w:id="364"/>
      <w:bookmarkEnd w:id="365"/>
      <w:bookmarkEnd w:id="366"/>
      <w:bookmarkEnd w:id="367"/>
    </w:p>
    <w:p w14:paraId="4BA19CA7">
      <w:pPr>
        <w:spacing w:line="440" w:lineRule="exact"/>
        <w:jc w:val="center"/>
        <w:rPr>
          <w:rFonts w:hint="eastAsia" w:ascii="宋体" w:hAnsi="宋体" w:eastAsia="宋体" w:cs="宋体"/>
          <w:b/>
          <w:sz w:val="28"/>
          <w:szCs w:val="28"/>
          <w:lang w:eastAsia="zh-CN"/>
        </w:rPr>
      </w:pPr>
      <w:bookmarkStart w:id="368" w:name="_Toc6035"/>
      <w:bookmarkStart w:id="369" w:name="_Toc4158"/>
      <w:bookmarkStart w:id="370" w:name="_Toc476758950"/>
      <w:r>
        <w:rPr>
          <w:rFonts w:hint="eastAsia" w:ascii="宋体" w:hAnsi="宋体" w:eastAsia="宋体" w:cs="宋体"/>
          <w:b/>
          <w:sz w:val="28"/>
          <w:szCs w:val="28"/>
          <w:lang w:eastAsia="zh-CN"/>
        </w:rPr>
        <w:t>响应文件递交</w:t>
      </w:r>
    </w:p>
    <w:p w14:paraId="2D358DA7">
      <w:pPr>
        <w:spacing w:line="440" w:lineRule="exact"/>
        <w:ind w:firstLine="482" w:firstLineChars="200"/>
        <w:rPr>
          <w:rFonts w:hint="eastAsia" w:ascii="宋体" w:hAnsi="宋体" w:eastAsia="宋体" w:cs="宋体"/>
          <w:b/>
          <w:sz w:val="24"/>
        </w:rPr>
      </w:pPr>
      <w:r>
        <w:rPr>
          <w:rFonts w:hint="eastAsia" w:ascii="宋体" w:hAnsi="宋体" w:eastAsia="宋体" w:cs="宋体"/>
          <w:b/>
          <w:sz w:val="24"/>
          <w:lang w:val="en-US" w:eastAsia="zh-CN"/>
        </w:rPr>
        <w:t>1</w:t>
      </w:r>
      <w:r>
        <w:rPr>
          <w:rFonts w:hint="eastAsia" w:ascii="宋体" w:hAnsi="宋体" w:eastAsia="宋体" w:cs="宋体"/>
          <w:b/>
          <w:sz w:val="24"/>
          <w:lang w:eastAsia="zh-CN"/>
        </w:rPr>
        <w:t>响应文件</w:t>
      </w:r>
      <w:r>
        <w:rPr>
          <w:rFonts w:hint="eastAsia" w:ascii="宋体" w:hAnsi="宋体" w:eastAsia="宋体" w:cs="宋体"/>
          <w:b/>
          <w:sz w:val="24"/>
        </w:rPr>
        <w:t>的密封与标记</w:t>
      </w:r>
    </w:p>
    <w:p w14:paraId="53E3D921">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 xml:space="preserve">.1 加密的电子响应文件应在递交截止时间前通过政采云平台上传完成。 </w:t>
      </w:r>
    </w:p>
    <w:p w14:paraId="534E1104">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.2 响应文件开启当日，供应商无需到达开标现场，仅需通过政采云平台“不见面”开标大厅完成远程解密。注意：如未在规定时间进行</w:t>
      </w:r>
      <w:r>
        <w:rPr>
          <w:rFonts w:hint="eastAsia" w:ascii="宋体" w:hAnsi="宋体" w:eastAsia="宋体" w:cs="宋体"/>
          <w:sz w:val="24"/>
          <w:lang w:eastAsia="zh-CN"/>
        </w:rPr>
        <w:t>相应</w:t>
      </w:r>
      <w:r>
        <w:rPr>
          <w:rFonts w:hint="eastAsia" w:ascii="宋体" w:hAnsi="宋体" w:eastAsia="宋体" w:cs="宋体"/>
          <w:sz w:val="24"/>
        </w:rPr>
        <w:t>操作，将导致</w:t>
      </w:r>
      <w:r>
        <w:rPr>
          <w:rFonts w:hint="eastAsia" w:ascii="宋体" w:hAnsi="宋体" w:eastAsia="宋体" w:cs="宋体"/>
          <w:b/>
          <w:bCs/>
          <w:sz w:val="24"/>
        </w:rPr>
        <w:t>响应无效</w:t>
      </w:r>
      <w:r>
        <w:rPr>
          <w:rFonts w:hint="eastAsia" w:ascii="宋体" w:hAnsi="宋体" w:eastAsia="宋体" w:cs="宋体"/>
          <w:sz w:val="24"/>
        </w:rPr>
        <w:t>。</w:t>
      </w:r>
    </w:p>
    <w:p w14:paraId="6816A86D">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.3   当出现下列情形之一，</w:t>
      </w:r>
      <w:r>
        <w:rPr>
          <w:rFonts w:hint="eastAsia" w:ascii="宋体" w:hAnsi="宋体" w:eastAsia="宋体" w:cs="宋体"/>
          <w:sz w:val="24"/>
          <w:lang w:eastAsia="zh-CN"/>
        </w:rPr>
        <w:t>响应文件</w:t>
      </w:r>
      <w:r>
        <w:rPr>
          <w:rFonts w:hint="eastAsia" w:ascii="宋体" w:hAnsi="宋体" w:eastAsia="宋体" w:cs="宋体"/>
          <w:sz w:val="24"/>
        </w:rPr>
        <w:t>将予以退回：</w:t>
      </w:r>
    </w:p>
    <w:p w14:paraId="0798B5ED">
      <w:pPr>
        <w:spacing w:line="440" w:lineRule="exact"/>
        <w:ind w:firstLine="480" w:firstLineChars="200"/>
        <w:rPr>
          <w:rFonts w:hint="eastAsia" w:ascii="宋体" w:hAnsi="宋体" w:eastAsia="宋体" w:cs="宋体"/>
          <w:sz w:val="24"/>
        </w:rPr>
      </w:pPr>
      <w:r>
        <w:rPr>
          <w:rFonts w:hint="eastAsia" w:ascii="宋体" w:hAnsi="宋体" w:eastAsia="宋体" w:cs="宋体"/>
          <w:sz w:val="24"/>
        </w:rPr>
        <w:t>（1）供应商在</w:t>
      </w:r>
      <w:r>
        <w:rPr>
          <w:rFonts w:hint="eastAsia" w:ascii="宋体" w:hAnsi="宋体" w:eastAsia="宋体" w:cs="宋体"/>
          <w:sz w:val="24"/>
          <w:lang w:eastAsia="zh-CN"/>
        </w:rPr>
        <w:t>响应文件</w:t>
      </w:r>
      <w:r>
        <w:rPr>
          <w:rFonts w:hint="eastAsia" w:ascii="宋体" w:hAnsi="宋体" w:eastAsia="宋体" w:cs="宋体"/>
          <w:sz w:val="24"/>
        </w:rPr>
        <w:t>递交截止时间前未成功上传加密电子</w:t>
      </w:r>
      <w:r>
        <w:rPr>
          <w:rFonts w:hint="eastAsia" w:ascii="宋体" w:hAnsi="宋体" w:eastAsia="宋体" w:cs="宋体"/>
          <w:sz w:val="24"/>
          <w:lang w:eastAsia="zh-CN"/>
        </w:rPr>
        <w:t>响应文件</w:t>
      </w:r>
      <w:r>
        <w:rPr>
          <w:rFonts w:hint="eastAsia" w:ascii="宋体" w:hAnsi="宋体" w:eastAsia="宋体" w:cs="宋体"/>
          <w:sz w:val="24"/>
        </w:rPr>
        <w:t>；</w:t>
      </w:r>
    </w:p>
    <w:p w14:paraId="2CD681E6">
      <w:pPr>
        <w:spacing w:line="440" w:lineRule="exact"/>
        <w:ind w:firstLine="480" w:firstLineChars="200"/>
        <w:rPr>
          <w:rFonts w:hint="eastAsia" w:ascii="宋体" w:hAnsi="宋体" w:eastAsia="宋体" w:cs="宋体"/>
          <w:sz w:val="24"/>
        </w:rPr>
      </w:pPr>
      <w:r>
        <w:rPr>
          <w:rFonts w:hint="eastAsia" w:ascii="宋体" w:hAnsi="宋体" w:eastAsia="宋体" w:cs="宋体"/>
          <w:sz w:val="24"/>
        </w:rPr>
        <w:t>（2）供应商使用解密的CA数字证书与上传加密</w:t>
      </w:r>
      <w:r>
        <w:rPr>
          <w:rFonts w:hint="eastAsia" w:ascii="宋体" w:hAnsi="宋体" w:eastAsia="宋体" w:cs="宋体"/>
          <w:sz w:val="24"/>
          <w:lang w:eastAsia="zh-CN"/>
        </w:rPr>
        <w:t>响应文件</w:t>
      </w:r>
      <w:r>
        <w:rPr>
          <w:rFonts w:hint="eastAsia" w:ascii="宋体" w:hAnsi="宋体" w:eastAsia="宋体" w:cs="宋体"/>
          <w:sz w:val="24"/>
        </w:rPr>
        <w:t>使用的CA数字证书不一致；</w:t>
      </w:r>
    </w:p>
    <w:p w14:paraId="365E855B">
      <w:pPr>
        <w:spacing w:line="440" w:lineRule="exact"/>
        <w:ind w:firstLine="480" w:firstLineChars="200"/>
        <w:rPr>
          <w:rFonts w:hint="eastAsia" w:ascii="宋体" w:hAnsi="宋体" w:eastAsia="宋体" w:cs="宋体"/>
          <w:sz w:val="24"/>
        </w:rPr>
      </w:pPr>
      <w:r>
        <w:rPr>
          <w:rFonts w:hint="eastAsia" w:ascii="宋体" w:hAnsi="宋体" w:eastAsia="宋体" w:cs="宋体"/>
          <w:sz w:val="24"/>
        </w:rPr>
        <w:t>（3）供应商解密时CA数字证书已过期，导致无法正常解密；</w:t>
      </w:r>
    </w:p>
    <w:p w14:paraId="33806763">
      <w:pPr>
        <w:spacing w:line="440" w:lineRule="exact"/>
        <w:ind w:firstLine="480" w:firstLineChars="200"/>
        <w:rPr>
          <w:rFonts w:hint="eastAsia" w:ascii="宋体" w:hAnsi="宋体" w:eastAsia="宋体" w:cs="宋体"/>
          <w:sz w:val="24"/>
        </w:rPr>
      </w:pPr>
      <w:r>
        <w:rPr>
          <w:rFonts w:hint="eastAsia" w:ascii="宋体" w:hAnsi="宋体" w:eastAsia="宋体" w:cs="宋体"/>
          <w:sz w:val="24"/>
        </w:rPr>
        <w:t>（4）加密</w:t>
      </w:r>
      <w:r>
        <w:rPr>
          <w:rFonts w:hint="eastAsia" w:ascii="宋体" w:hAnsi="宋体" w:eastAsia="宋体" w:cs="宋体"/>
          <w:sz w:val="24"/>
          <w:lang w:eastAsia="zh-CN"/>
        </w:rPr>
        <w:t>响应文件</w:t>
      </w:r>
      <w:r>
        <w:rPr>
          <w:rFonts w:hint="eastAsia" w:ascii="宋体" w:hAnsi="宋体" w:eastAsia="宋体" w:cs="宋体"/>
          <w:sz w:val="24"/>
        </w:rPr>
        <w:t>时，CA数字证书未过期，解密时，显示CA数字证书已过期，导致无法正常解密；</w:t>
      </w:r>
    </w:p>
    <w:p w14:paraId="228C2E7D">
      <w:pPr>
        <w:spacing w:line="440" w:lineRule="exact"/>
        <w:ind w:firstLine="480" w:firstLineChars="200"/>
        <w:rPr>
          <w:rFonts w:hint="eastAsia" w:ascii="宋体" w:hAnsi="宋体" w:eastAsia="宋体" w:cs="宋体"/>
          <w:sz w:val="24"/>
        </w:rPr>
      </w:pPr>
      <w:r>
        <w:rPr>
          <w:rFonts w:hint="eastAsia" w:ascii="宋体" w:hAnsi="宋体" w:eastAsia="宋体" w:cs="宋体"/>
          <w:sz w:val="24"/>
        </w:rPr>
        <w:t>（5）未在规定的</w:t>
      </w:r>
      <w:r>
        <w:rPr>
          <w:rFonts w:hint="eastAsia" w:ascii="宋体" w:hAnsi="宋体" w:eastAsia="宋体" w:cs="宋体"/>
          <w:sz w:val="24"/>
          <w:lang w:eastAsia="zh-CN"/>
        </w:rPr>
        <w:t>响应文件</w:t>
      </w:r>
      <w:r>
        <w:rPr>
          <w:rFonts w:hint="eastAsia" w:ascii="宋体" w:hAnsi="宋体" w:eastAsia="宋体" w:cs="宋体"/>
          <w:sz w:val="24"/>
        </w:rPr>
        <w:t>解密时间内进行解密的；</w:t>
      </w:r>
    </w:p>
    <w:p w14:paraId="0B6F3EB1">
      <w:pPr>
        <w:spacing w:line="440" w:lineRule="exact"/>
        <w:ind w:firstLine="480" w:firstLineChars="200"/>
        <w:rPr>
          <w:rFonts w:hint="eastAsia" w:ascii="宋体" w:hAnsi="宋体" w:eastAsia="宋体" w:cs="宋体"/>
          <w:sz w:val="24"/>
        </w:rPr>
      </w:pPr>
      <w:r>
        <w:rPr>
          <w:rFonts w:hint="eastAsia" w:ascii="宋体" w:hAnsi="宋体" w:eastAsia="宋体" w:cs="宋体"/>
          <w:sz w:val="24"/>
        </w:rPr>
        <w:t>（6）供应商个人原因导致无法解密的其他情形。</w:t>
      </w:r>
    </w:p>
    <w:p w14:paraId="72DBEE22">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.4   供应商需在</w:t>
      </w:r>
      <w:r>
        <w:rPr>
          <w:rFonts w:hint="eastAsia" w:ascii="宋体" w:hAnsi="宋体" w:eastAsia="宋体" w:cs="宋体"/>
          <w:sz w:val="24"/>
          <w:lang w:eastAsia="zh-CN"/>
        </w:rPr>
        <w:t>递交截止</w:t>
      </w:r>
      <w:r>
        <w:rPr>
          <w:rFonts w:hint="eastAsia" w:ascii="宋体" w:hAnsi="宋体" w:eastAsia="宋体" w:cs="宋体"/>
          <w:sz w:val="24"/>
        </w:rPr>
        <w:t>时间前自行测试开标时使用的计算机，如因供应商自身原因导致</w:t>
      </w:r>
      <w:r>
        <w:rPr>
          <w:rFonts w:hint="eastAsia" w:ascii="宋体" w:hAnsi="宋体" w:eastAsia="宋体" w:cs="宋体"/>
          <w:sz w:val="24"/>
          <w:lang w:eastAsia="zh-CN"/>
        </w:rPr>
        <w:t>响应文件</w:t>
      </w:r>
      <w:r>
        <w:rPr>
          <w:rFonts w:hint="eastAsia" w:ascii="宋体" w:hAnsi="宋体" w:eastAsia="宋体" w:cs="宋体"/>
          <w:sz w:val="24"/>
        </w:rPr>
        <w:t>解密失败的，由供应商自行承担相应后果。</w:t>
      </w:r>
    </w:p>
    <w:p w14:paraId="4F3BB1CF">
      <w:pPr>
        <w:spacing w:line="440" w:lineRule="exact"/>
        <w:ind w:firstLine="482" w:firstLineChars="200"/>
        <w:rPr>
          <w:rFonts w:hint="eastAsia" w:ascii="宋体" w:hAnsi="宋体" w:eastAsia="宋体" w:cs="宋体"/>
          <w:b/>
          <w:sz w:val="24"/>
        </w:rPr>
      </w:pPr>
      <w:r>
        <w:rPr>
          <w:rFonts w:hint="eastAsia" w:ascii="宋体" w:hAnsi="宋体" w:eastAsia="宋体" w:cs="宋体"/>
          <w:b/>
          <w:sz w:val="24"/>
          <w:lang w:val="en-US" w:eastAsia="zh-CN"/>
        </w:rPr>
        <w:t>2</w:t>
      </w:r>
      <w:r>
        <w:rPr>
          <w:rFonts w:hint="eastAsia" w:ascii="宋体" w:hAnsi="宋体" w:eastAsia="宋体" w:cs="宋体"/>
          <w:b/>
          <w:sz w:val="24"/>
        </w:rPr>
        <w:t xml:space="preserve">. </w:t>
      </w:r>
      <w:r>
        <w:rPr>
          <w:rFonts w:hint="eastAsia" w:ascii="宋体" w:hAnsi="宋体" w:eastAsia="宋体" w:cs="宋体"/>
          <w:b/>
          <w:sz w:val="24"/>
          <w:lang w:eastAsia="zh-CN"/>
        </w:rPr>
        <w:t>递交截止</w:t>
      </w:r>
      <w:r>
        <w:rPr>
          <w:rFonts w:hint="eastAsia" w:ascii="宋体" w:hAnsi="宋体" w:eastAsia="宋体" w:cs="宋体"/>
          <w:b/>
          <w:sz w:val="24"/>
        </w:rPr>
        <w:t>时间</w:t>
      </w:r>
    </w:p>
    <w:p w14:paraId="513060DF">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 xml:space="preserve">.1 </w:t>
      </w:r>
      <w:r>
        <w:rPr>
          <w:rFonts w:hint="eastAsia" w:ascii="宋体" w:hAnsi="宋体" w:eastAsia="宋体" w:cs="宋体"/>
          <w:sz w:val="24"/>
          <w:lang w:eastAsia="zh-CN"/>
        </w:rPr>
        <w:t>响应文件</w:t>
      </w:r>
      <w:r>
        <w:rPr>
          <w:rFonts w:hint="eastAsia" w:ascii="宋体" w:hAnsi="宋体" w:eastAsia="宋体" w:cs="宋体"/>
          <w:sz w:val="24"/>
        </w:rPr>
        <w:t>的递交截止日期为公开招标公告所规定的时间。</w:t>
      </w:r>
    </w:p>
    <w:p w14:paraId="1BC1126D">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.2 出现因</w:t>
      </w:r>
      <w:r>
        <w:rPr>
          <w:rFonts w:hint="eastAsia" w:ascii="宋体" w:hAnsi="宋体" w:eastAsia="宋体" w:cs="宋体"/>
          <w:sz w:val="24"/>
          <w:lang w:eastAsia="zh-CN"/>
        </w:rPr>
        <w:t>磋商</w:t>
      </w:r>
      <w:r>
        <w:rPr>
          <w:rFonts w:hint="eastAsia" w:ascii="宋体" w:hAnsi="宋体" w:eastAsia="宋体" w:cs="宋体"/>
          <w:sz w:val="24"/>
        </w:rPr>
        <w:t>文件的修改而推迟</w:t>
      </w:r>
      <w:r>
        <w:rPr>
          <w:rFonts w:hint="eastAsia" w:ascii="宋体" w:hAnsi="宋体" w:eastAsia="宋体" w:cs="宋体"/>
          <w:sz w:val="24"/>
          <w:lang w:eastAsia="zh-CN"/>
        </w:rPr>
        <w:t>递交截止</w:t>
      </w:r>
      <w:r>
        <w:rPr>
          <w:rFonts w:hint="eastAsia" w:ascii="宋体" w:hAnsi="宋体" w:eastAsia="宋体" w:cs="宋体"/>
          <w:sz w:val="24"/>
        </w:rPr>
        <w:t>时间的情况时，供应商则须按</w:t>
      </w:r>
      <w:r>
        <w:rPr>
          <w:rFonts w:hint="eastAsia" w:ascii="宋体" w:hAnsi="宋体" w:eastAsia="宋体" w:cs="宋体"/>
          <w:sz w:val="24"/>
          <w:lang w:eastAsia="zh-CN"/>
        </w:rPr>
        <w:t>采购人</w:t>
      </w:r>
      <w:r>
        <w:rPr>
          <w:rFonts w:hint="eastAsia" w:ascii="宋体" w:hAnsi="宋体" w:eastAsia="宋体" w:cs="宋体"/>
          <w:sz w:val="24"/>
        </w:rPr>
        <w:t>的书面修改通知重新规定的时间递交。</w:t>
      </w:r>
    </w:p>
    <w:p w14:paraId="64145CC6">
      <w:pPr>
        <w:spacing w:line="440" w:lineRule="exact"/>
        <w:ind w:firstLine="482" w:firstLineChars="200"/>
        <w:rPr>
          <w:rFonts w:hint="eastAsia" w:ascii="宋体" w:hAnsi="宋体" w:eastAsia="宋体" w:cs="宋体"/>
          <w:b/>
          <w:sz w:val="24"/>
        </w:rPr>
      </w:pPr>
      <w:r>
        <w:rPr>
          <w:rFonts w:hint="eastAsia" w:ascii="宋体" w:hAnsi="宋体" w:eastAsia="宋体" w:cs="宋体"/>
          <w:b/>
          <w:sz w:val="24"/>
          <w:lang w:val="en-US" w:eastAsia="zh-CN"/>
        </w:rPr>
        <w:t>3</w:t>
      </w:r>
      <w:r>
        <w:rPr>
          <w:rFonts w:hint="eastAsia" w:ascii="宋体" w:hAnsi="宋体" w:eastAsia="宋体" w:cs="宋体"/>
          <w:b/>
          <w:sz w:val="24"/>
        </w:rPr>
        <w:t>．</w:t>
      </w:r>
      <w:r>
        <w:rPr>
          <w:rFonts w:hint="eastAsia" w:ascii="宋体" w:hAnsi="宋体" w:eastAsia="宋体" w:cs="宋体"/>
          <w:b/>
          <w:sz w:val="24"/>
          <w:lang w:eastAsia="zh-CN"/>
        </w:rPr>
        <w:t>响应文件</w:t>
      </w:r>
      <w:r>
        <w:rPr>
          <w:rFonts w:hint="eastAsia" w:ascii="宋体" w:hAnsi="宋体" w:eastAsia="宋体" w:cs="宋体"/>
          <w:b/>
          <w:sz w:val="24"/>
        </w:rPr>
        <w:t>的修改和撤销</w:t>
      </w:r>
    </w:p>
    <w:p w14:paraId="42343F11">
      <w:pPr>
        <w:spacing w:line="440" w:lineRule="exact"/>
        <w:ind w:firstLine="480" w:firstLineChars="200"/>
        <w:rPr>
          <w:rFonts w:hint="eastAsia" w:ascii="宋体" w:hAnsi="宋体" w:eastAsia="宋体" w:cs="宋体"/>
          <w:sz w:val="24"/>
          <w:szCs w:val="22"/>
        </w:rPr>
      </w:pPr>
      <w:r>
        <w:rPr>
          <w:rFonts w:hint="eastAsia" w:ascii="宋体" w:hAnsi="宋体" w:eastAsia="宋体" w:cs="宋体"/>
          <w:sz w:val="24"/>
          <w:lang w:val="en-US" w:eastAsia="zh-CN"/>
        </w:rPr>
        <w:t>3</w:t>
      </w:r>
      <w:r>
        <w:rPr>
          <w:rFonts w:hint="eastAsia" w:ascii="宋体" w:hAnsi="宋体" w:eastAsia="宋体" w:cs="宋体"/>
          <w:sz w:val="24"/>
        </w:rPr>
        <w:t>.1</w:t>
      </w:r>
      <w:r>
        <w:rPr>
          <w:rFonts w:hint="eastAsia" w:ascii="宋体" w:hAnsi="宋体" w:eastAsia="宋体" w:cs="宋体"/>
          <w:sz w:val="24"/>
          <w:szCs w:val="22"/>
        </w:rPr>
        <w:t xml:space="preserve"> </w:t>
      </w:r>
      <w:r>
        <w:rPr>
          <w:rFonts w:hint="eastAsia" w:ascii="宋体" w:hAnsi="宋体" w:eastAsia="宋体" w:cs="宋体"/>
          <w:sz w:val="24"/>
          <w:szCs w:val="22"/>
          <w:lang w:eastAsia="zh-CN"/>
        </w:rPr>
        <w:t>响应文件</w:t>
      </w:r>
      <w:r>
        <w:rPr>
          <w:rFonts w:hint="eastAsia" w:ascii="宋体" w:hAnsi="宋体" w:eastAsia="宋体" w:cs="宋体"/>
          <w:sz w:val="24"/>
          <w:szCs w:val="22"/>
        </w:rPr>
        <w:t>上传成功后，在</w:t>
      </w:r>
      <w:r>
        <w:rPr>
          <w:rFonts w:hint="eastAsia" w:ascii="宋体" w:hAnsi="宋体" w:eastAsia="宋体" w:cs="宋体"/>
          <w:sz w:val="24"/>
          <w:szCs w:val="22"/>
          <w:lang w:eastAsia="zh-CN"/>
        </w:rPr>
        <w:t>递交截止</w:t>
      </w:r>
      <w:r>
        <w:rPr>
          <w:rFonts w:hint="eastAsia" w:ascii="宋体" w:hAnsi="宋体" w:eastAsia="宋体" w:cs="宋体"/>
          <w:sz w:val="24"/>
          <w:szCs w:val="22"/>
        </w:rPr>
        <w:t>时间前，供应商可撤回</w:t>
      </w:r>
      <w:r>
        <w:rPr>
          <w:rFonts w:hint="eastAsia" w:ascii="宋体" w:hAnsi="宋体" w:eastAsia="宋体" w:cs="宋体"/>
          <w:sz w:val="24"/>
          <w:szCs w:val="22"/>
          <w:lang w:eastAsia="zh-CN"/>
        </w:rPr>
        <w:t>响应文件</w:t>
      </w:r>
      <w:r>
        <w:rPr>
          <w:rFonts w:hint="eastAsia" w:ascii="宋体" w:hAnsi="宋体" w:eastAsia="宋体" w:cs="宋体"/>
          <w:sz w:val="24"/>
          <w:szCs w:val="22"/>
        </w:rPr>
        <w:t>，修改内容。</w:t>
      </w:r>
    </w:p>
    <w:p w14:paraId="2E8AB751">
      <w:pPr>
        <w:spacing w:line="440" w:lineRule="exact"/>
        <w:ind w:firstLine="480" w:firstLineChars="200"/>
        <w:rPr>
          <w:rFonts w:hint="eastAsia" w:ascii="宋体" w:hAnsi="宋体" w:eastAsia="宋体" w:cs="宋体"/>
          <w:sz w:val="24"/>
          <w:szCs w:val="22"/>
        </w:rPr>
      </w:pPr>
      <w:r>
        <w:rPr>
          <w:rFonts w:hint="eastAsia" w:ascii="宋体" w:hAnsi="宋体" w:eastAsia="宋体" w:cs="宋体"/>
          <w:sz w:val="24"/>
          <w:szCs w:val="22"/>
        </w:rPr>
        <w:t>操作路径：登录政采云平台-【项目采购】-【</w:t>
      </w:r>
      <w:r>
        <w:rPr>
          <w:rFonts w:hint="eastAsia" w:ascii="宋体" w:hAnsi="宋体" w:eastAsia="宋体" w:cs="宋体"/>
          <w:sz w:val="24"/>
          <w:szCs w:val="22"/>
          <w:lang w:eastAsia="zh-CN"/>
        </w:rPr>
        <w:t>响应文件</w:t>
      </w:r>
      <w:r>
        <w:rPr>
          <w:rFonts w:hint="eastAsia" w:ascii="宋体" w:hAnsi="宋体" w:eastAsia="宋体" w:cs="宋体"/>
          <w:sz w:val="24"/>
          <w:szCs w:val="22"/>
        </w:rPr>
        <w:t>上传】</w:t>
      </w:r>
    </w:p>
    <w:p w14:paraId="458D7E7E">
      <w:pPr>
        <w:spacing w:line="440" w:lineRule="exact"/>
        <w:ind w:firstLine="480" w:firstLineChars="200"/>
        <w:rPr>
          <w:rFonts w:hint="eastAsia" w:ascii="宋体" w:hAnsi="宋体" w:eastAsia="宋体" w:cs="宋体"/>
          <w:sz w:val="24"/>
          <w:szCs w:val="22"/>
        </w:rPr>
      </w:pPr>
      <w:r>
        <w:rPr>
          <w:rFonts w:hint="eastAsia" w:ascii="宋体" w:hAnsi="宋体" w:eastAsia="宋体" w:cs="宋体"/>
          <w:sz w:val="24"/>
          <w:szCs w:val="22"/>
        </w:rPr>
        <w:t>具体操作：在进行中标签页下，选择状态为已上传，在操作栏点击[撤回]按钮进行撤回；也可点击[查看]按钮，点击页面右上角的[撤回]按钮进行撤回。</w:t>
      </w:r>
    </w:p>
    <w:p w14:paraId="42D4161C">
      <w:pPr>
        <w:pStyle w:val="53"/>
        <w:rPr>
          <w:rFonts w:hint="eastAsia" w:ascii="宋体" w:hAnsi="宋体" w:eastAsia="宋体" w:cs="宋体"/>
        </w:rPr>
      </w:pPr>
      <w:r>
        <w:rPr>
          <w:rFonts w:hint="eastAsia" w:ascii="宋体" w:hAnsi="宋体" w:eastAsia="宋体" w:cs="宋体"/>
          <w:sz w:val="24"/>
          <w:lang w:val="en-US" w:eastAsia="zh-CN"/>
        </w:rPr>
        <w:t>3</w:t>
      </w:r>
      <w:r>
        <w:rPr>
          <w:rFonts w:hint="eastAsia" w:ascii="宋体" w:hAnsi="宋体" w:eastAsia="宋体" w:cs="宋体"/>
          <w:sz w:val="24"/>
        </w:rPr>
        <w:t>.2　供应商不得在开标后至投标</w:t>
      </w:r>
      <w:r>
        <w:rPr>
          <w:rFonts w:hint="eastAsia" w:ascii="宋体" w:hAnsi="宋体" w:eastAsia="宋体" w:cs="宋体"/>
          <w:sz w:val="24"/>
          <w:lang w:val="en-US" w:eastAsia="zh-CN"/>
        </w:rPr>
        <w:t>响应</w:t>
      </w:r>
      <w:r>
        <w:rPr>
          <w:rFonts w:hint="eastAsia" w:ascii="宋体" w:hAnsi="宋体" w:eastAsia="宋体" w:cs="宋体"/>
          <w:sz w:val="24"/>
        </w:rPr>
        <w:t>有效期期满前撤销</w:t>
      </w:r>
      <w:r>
        <w:rPr>
          <w:rFonts w:hint="eastAsia" w:ascii="宋体" w:hAnsi="宋体" w:eastAsia="宋体" w:cs="宋体"/>
          <w:sz w:val="24"/>
          <w:lang w:eastAsia="zh-CN"/>
        </w:rPr>
        <w:t>响应文件</w:t>
      </w:r>
      <w:r>
        <w:rPr>
          <w:rFonts w:hint="eastAsia" w:ascii="宋体" w:hAnsi="宋体" w:eastAsia="宋体" w:cs="宋体"/>
          <w:sz w:val="24"/>
        </w:rPr>
        <w:t>。否则</w:t>
      </w:r>
      <w:r>
        <w:rPr>
          <w:rFonts w:hint="eastAsia" w:ascii="宋体" w:hAnsi="宋体" w:eastAsia="宋体" w:cs="宋体"/>
          <w:sz w:val="24"/>
          <w:lang w:eastAsia="zh-CN"/>
        </w:rPr>
        <w:t>采购人</w:t>
      </w:r>
      <w:r>
        <w:rPr>
          <w:rFonts w:hint="eastAsia" w:ascii="宋体" w:hAnsi="宋体" w:eastAsia="宋体" w:cs="宋体"/>
          <w:sz w:val="24"/>
        </w:rPr>
        <w:t>将没收其</w:t>
      </w:r>
      <w:r>
        <w:rPr>
          <w:rFonts w:hint="eastAsia" w:ascii="宋体" w:hAnsi="宋体" w:eastAsia="宋体" w:cs="宋体"/>
          <w:sz w:val="24"/>
          <w:lang w:val="en-US" w:eastAsia="zh-CN"/>
        </w:rPr>
        <w:t>磋商</w:t>
      </w:r>
      <w:r>
        <w:rPr>
          <w:rFonts w:hint="eastAsia" w:ascii="宋体" w:hAnsi="宋体" w:eastAsia="宋体" w:cs="宋体"/>
          <w:sz w:val="24"/>
        </w:rPr>
        <w:t>保证金。</w:t>
      </w:r>
    </w:p>
    <w:p w14:paraId="16FD476C">
      <w:pPr>
        <w:numPr>
          <w:ilvl w:val="0"/>
          <w:numId w:val="0"/>
        </w:numPr>
        <w:spacing w:line="400" w:lineRule="atLeast"/>
        <w:jc w:val="center"/>
        <w:rPr>
          <w:rFonts w:hint="eastAsia" w:ascii="宋体" w:hAnsi="宋体" w:eastAsia="宋体" w:cs="宋体"/>
          <w:b/>
          <w:sz w:val="28"/>
          <w:szCs w:val="28"/>
        </w:rPr>
      </w:pPr>
    </w:p>
    <w:p w14:paraId="3F0B33FA">
      <w:pPr>
        <w:spacing w:line="440" w:lineRule="exact"/>
        <w:ind w:firstLine="562" w:firstLineChars="200"/>
        <w:jc w:val="center"/>
        <w:rPr>
          <w:rFonts w:hint="eastAsia" w:ascii="宋体" w:hAnsi="宋体" w:cs="宋体"/>
          <w:b/>
          <w:sz w:val="28"/>
          <w:szCs w:val="28"/>
          <w:lang w:val="en-US" w:eastAsia="zh-CN"/>
        </w:rPr>
      </w:pPr>
      <w:r>
        <w:rPr>
          <w:rFonts w:hint="eastAsia" w:ascii="宋体" w:hAnsi="宋体" w:cs="宋体"/>
          <w:b/>
          <w:sz w:val="28"/>
          <w:szCs w:val="28"/>
          <w:lang w:val="en-US" w:eastAsia="zh-CN"/>
        </w:rPr>
        <w:t>评审</w:t>
      </w:r>
    </w:p>
    <w:p w14:paraId="5E2964B3">
      <w:pPr>
        <w:spacing w:line="440" w:lineRule="exact"/>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．开</w:t>
      </w:r>
      <w:r>
        <w:rPr>
          <w:rFonts w:hint="eastAsia" w:ascii="宋体" w:hAnsi="宋体" w:cs="宋体"/>
          <w:b/>
          <w:color w:val="auto"/>
          <w:sz w:val="24"/>
          <w:highlight w:val="none"/>
          <w:lang w:eastAsia="zh-CN"/>
        </w:rPr>
        <w:t>启</w:t>
      </w:r>
    </w:p>
    <w:p w14:paraId="30D62BF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 本次</w:t>
      </w:r>
      <w:r>
        <w:rPr>
          <w:rFonts w:hint="eastAsia" w:ascii="宋体" w:hAnsi="宋体" w:eastAsia="宋体" w:cs="宋体"/>
          <w:color w:val="auto"/>
          <w:sz w:val="24"/>
          <w:highlight w:val="none"/>
          <w:lang w:eastAsia="zh-CN"/>
        </w:rPr>
        <w:t>磋商会议</w:t>
      </w:r>
      <w:r>
        <w:rPr>
          <w:rFonts w:hint="eastAsia" w:ascii="宋体" w:hAnsi="宋体" w:eastAsia="宋体" w:cs="宋体"/>
          <w:color w:val="auto"/>
          <w:sz w:val="24"/>
          <w:highlight w:val="none"/>
        </w:rPr>
        <w:t>将按公告中规定的时间地点</w:t>
      </w:r>
      <w:r>
        <w:rPr>
          <w:rFonts w:hint="eastAsia" w:ascii="宋体" w:hAnsi="宋体" w:eastAsia="宋体" w:cs="宋体"/>
          <w:color w:val="auto"/>
          <w:sz w:val="24"/>
          <w:highlight w:val="none"/>
          <w:lang w:eastAsia="zh-CN"/>
        </w:rPr>
        <w:t>开启</w:t>
      </w:r>
      <w:r>
        <w:rPr>
          <w:rFonts w:hint="eastAsia" w:ascii="宋体" w:hAnsi="宋体" w:eastAsia="宋体" w:cs="宋体"/>
          <w:color w:val="auto"/>
          <w:sz w:val="24"/>
          <w:highlight w:val="none"/>
        </w:rPr>
        <w:t>，将邀请所有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的法定代表人或其授权代理人参加。</w:t>
      </w:r>
    </w:p>
    <w:p w14:paraId="07B9068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.2开标时将通过政采云平台“不见面”开标大厅对</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完成远程解密。</w:t>
      </w:r>
    </w:p>
    <w:p w14:paraId="1960D0CD">
      <w:pPr>
        <w:spacing w:line="44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若采购人宣读的内容与</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不符时，</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有权在开标现场提出异议，经监督人员当场核查确认之后，可重新宣读其</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。若</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现场未提出异议，则认为</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已确认采购人宣读的结果。</w:t>
      </w:r>
    </w:p>
    <w:p w14:paraId="4D5CCA34">
      <w:pPr>
        <w:spacing w:line="440" w:lineRule="exact"/>
        <w:ind w:firstLine="480" w:firstLineChars="200"/>
        <w:rPr>
          <w:rFonts w:hint="eastAsia" w:ascii="宋体" w:hAnsi="宋体" w:eastAsia="宋体" w:cs="宋体"/>
          <w:sz w:val="24"/>
        </w:rPr>
      </w:pPr>
      <w:r>
        <w:rPr>
          <w:rFonts w:hint="eastAsia" w:ascii="宋体" w:hAnsi="宋体" w:eastAsia="宋体" w:cs="宋体"/>
          <w:sz w:val="24"/>
        </w:rPr>
        <w:t>开标由采购人</w:t>
      </w:r>
      <w:r>
        <w:rPr>
          <w:rFonts w:hint="eastAsia" w:ascii="宋体" w:hAnsi="宋体" w:eastAsia="宋体" w:cs="宋体"/>
          <w:sz w:val="24"/>
          <w:lang w:eastAsia="zh-CN"/>
        </w:rPr>
        <w:t>或采购代理机构</w:t>
      </w:r>
      <w:r>
        <w:rPr>
          <w:rFonts w:hint="eastAsia" w:ascii="宋体" w:hAnsi="宋体" w:eastAsia="宋体" w:cs="宋体"/>
          <w:sz w:val="24"/>
        </w:rPr>
        <w:t>主持，邀请监督部门人员现场全过程监督。</w:t>
      </w:r>
    </w:p>
    <w:p w14:paraId="62354EF2">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 xml:space="preserve">  开</w:t>
      </w:r>
      <w:r>
        <w:rPr>
          <w:rFonts w:hint="eastAsia" w:ascii="宋体" w:hAnsi="宋体" w:cs="宋体"/>
          <w:sz w:val="24"/>
          <w:lang w:val="en-US" w:eastAsia="zh-CN"/>
        </w:rPr>
        <w:t>启</w:t>
      </w:r>
      <w:r>
        <w:rPr>
          <w:rFonts w:hint="eastAsia" w:ascii="宋体" w:hAnsi="宋体" w:eastAsia="宋体" w:cs="宋体"/>
          <w:sz w:val="24"/>
        </w:rPr>
        <w:t>时，</w:t>
      </w:r>
      <w:r>
        <w:rPr>
          <w:rFonts w:hint="eastAsia" w:ascii="宋体" w:hAnsi="宋体" w:eastAsia="宋体" w:cs="宋体"/>
          <w:sz w:val="24"/>
          <w:lang w:eastAsia="zh-CN"/>
        </w:rPr>
        <w:t>响应文件</w:t>
      </w:r>
      <w:r>
        <w:rPr>
          <w:rFonts w:hint="eastAsia" w:ascii="宋体" w:hAnsi="宋体" w:eastAsia="宋体" w:cs="宋体"/>
          <w:sz w:val="24"/>
        </w:rPr>
        <w:t>出现下列情形之一的，应当作为无效</w:t>
      </w:r>
      <w:r>
        <w:rPr>
          <w:rFonts w:hint="eastAsia" w:ascii="宋体" w:hAnsi="宋体" w:eastAsia="宋体" w:cs="宋体"/>
          <w:sz w:val="24"/>
          <w:lang w:eastAsia="zh-CN"/>
        </w:rPr>
        <w:t>响应文件</w:t>
      </w:r>
      <w:r>
        <w:rPr>
          <w:rFonts w:hint="eastAsia" w:ascii="宋体" w:hAnsi="宋体" w:eastAsia="宋体" w:cs="宋体"/>
          <w:sz w:val="24"/>
        </w:rPr>
        <w:t>，不得进入评审：</w:t>
      </w:r>
    </w:p>
    <w:p w14:paraId="5124FED1">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 (1)未在政采云系统进行在线签到的；</w:t>
      </w:r>
    </w:p>
    <w:p w14:paraId="6D6271B3">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 (2)未在</w:t>
      </w:r>
      <w:r>
        <w:rPr>
          <w:rFonts w:hint="eastAsia" w:ascii="宋体" w:hAnsi="宋体" w:eastAsia="宋体" w:cs="宋体"/>
          <w:sz w:val="24"/>
          <w:szCs w:val="24"/>
        </w:rPr>
        <w:t>30分钟内完成在线解密的</w:t>
      </w:r>
      <w:r>
        <w:rPr>
          <w:rFonts w:hint="eastAsia" w:ascii="宋体" w:hAnsi="宋体" w:eastAsia="宋体" w:cs="宋体"/>
          <w:sz w:val="24"/>
        </w:rPr>
        <w:t>；</w:t>
      </w:r>
    </w:p>
    <w:p w14:paraId="40607A19">
      <w:pPr>
        <w:spacing w:line="440" w:lineRule="exact"/>
        <w:ind w:firstLine="600" w:firstLineChars="250"/>
        <w:jc w:val="left"/>
        <w:rPr>
          <w:rFonts w:hint="eastAsia" w:ascii="宋体" w:hAnsi="宋体" w:eastAsia="宋体" w:cs="宋体"/>
          <w:sz w:val="24"/>
        </w:rPr>
      </w:pPr>
      <w:r>
        <w:rPr>
          <w:rFonts w:hint="eastAsia" w:ascii="宋体" w:hAnsi="宋体" w:eastAsia="宋体" w:cs="宋体"/>
          <w:sz w:val="24"/>
        </w:rPr>
        <w:t>(3)供应商未按照公开招标文件要求提供</w:t>
      </w:r>
      <w:r>
        <w:rPr>
          <w:rFonts w:hint="eastAsia" w:ascii="宋体" w:hAnsi="宋体" w:eastAsia="宋体" w:cs="宋体"/>
          <w:sz w:val="24"/>
          <w:lang w:val="en-US" w:eastAsia="zh-CN"/>
        </w:rPr>
        <w:t>磋商</w:t>
      </w:r>
      <w:r>
        <w:rPr>
          <w:rFonts w:hint="eastAsia" w:ascii="宋体" w:hAnsi="宋体" w:eastAsia="宋体" w:cs="宋体"/>
          <w:sz w:val="24"/>
        </w:rPr>
        <w:t>保证金的；</w:t>
      </w:r>
    </w:p>
    <w:p w14:paraId="2B487AD6">
      <w:pPr>
        <w:spacing w:line="440" w:lineRule="exact"/>
        <w:ind w:firstLine="600" w:firstLineChars="250"/>
        <w:jc w:val="left"/>
        <w:rPr>
          <w:rFonts w:hint="eastAsia" w:ascii="宋体" w:hAnsi="宋体" w:eastAsia="宋体" w:cs="宋体"/>
        </w:rPr>
      </w:pPr>
      <w:r>
        <w:rPr>
          <w:rFonts w:hint="eastAsia" w:ascii="宋体" w:hAnsi="宋体" w:eastAsia="宋体" w:cs="宋体"/>
          <w:sz w:val="24"/>
        </w:rPr>
        <w:t>(4)按照本文件规定有效证件不齐全的</w:t>
      </w:r>
      <w:r>
        <w:rPr>
          <w:rFonts w:hint="eastAsia" w:ascii="宋体" w:hAnsi="宋体" w:eastAsia="宋体" w:cs="宋体"/>
          <w:sz w:val="24"/>
          <w:lang w:eastAsia="zh-CN"/>
        </w:rPr>
        <w:t>供应商</w:t>
      </w:r>
      <w:r>
        <w:rPr>
          <w:rFonts w:hint="eastAsia" w:ascii="宋体" w:hAnsi="宋体" w:eastAsia="宋体" w:cs="宋体"/>
          <w:sz w:val="24"/>
        </w:rPr>
        <w:t>的</w:t>
      </w:r>
      <w:r>
        <w:rPr>
          <w:rFonts w:hint="eastAsia" w:ascii="宋体" w:hAnsi="宋体" w:eastAsia="宋体" w:cs="宋体"/>
          <w:sz w:val="24"/>
          <w:lang w:eastAsia="zh-CN"/>
        </w:rPr>
        <w:t>响应文件</w:t>
      </w:r>
      <w:r>
        <w:rPr>
          <w:rFonts w:hint="eastAsia" w:ascii="宋体" w:hAnsi="宋体" w:eastAsia="宋体" w:cs="宋体"/>
          <w:sz w:val="24"/>
        </w:rPr>
        <w:t>。</w:t>
      </w:r>
    </w:p>
    <w:p w14:paraId="6F84DD0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代表对开标过程和开标记录有疑义，以及认为采购人、采购代理机构相关工作人员有需要回避的情形的，应当场提出询问或者回避申请。采购人、采购代理机构对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代表提出的询问或者回避申请应当及时处理。</w:t>
      </w:r>
    </w:p>
    <w:p w14:paraId="48687D6E">
      <w:pPr>
        <w:spacing w:line="440" w:lineRule="exact"/>
        <w:ind w:firstLine="480" w:firstLineChars="200"/>
        <w:rPr>
          <w:rFonts w:hint="eastAsia"/>
          <w:lang w:eastAsia="zh-CN"/>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未参加开标的，视同认可开标结果。</w:t>
      </w:r>
    </w:p>
    <w:p w14:paraId="6D1216C3">
      <w:pPr>
        <w:pStyle w:val="55"/>
        <w:jc w:val="center"/>
        <w:rPr>
          <w:rFonts w:hint="eastAsia" w:ascii="宋体" w:hAnsi="宋体" w:cs="宋体"/>
          <w:b/>
          <w:bCs/>
          <w:sz w:val="24"/>
          <w:lang w:eastAsia="zh-CN"/>
        </w:rPr>
      </w:pPr>
      <w:r>
        <w:rPr>
          <w:rFonts w:hint="eastAsia" w:ascii="宋体" w:hAnsi="宋体" w:eastAsia="宋体" w:cs="宋体"/>
          <w:sz w:val="28"/>
          <w:szCs w:val="32"/>
          <w:lang w:val="en-US" w:eastAsia="zh-CN"/>
        </w:rPr>
        <w:t>评  审</w:t>
      </w:r>
    </w:p>
    <w:p w14:paraId="0DCBFD9D">
      <w:pPr>
        <w:spacing w:line="400" w:lineRule="atLeast"/>
        <w:jc w:val="left"/>
        <w:rPr>
          <w:rFonts w:hint="default" w:ascii="宋体" w:hAnsi="宋体" w:cs="宋体"/>
          <w:sz w:val="24"/>
          <w:lang w:val="en-US"/>
        </w:rPr>
      </w:pPr>
      <w:r>
        <w:rPr>
          <w:rFonts w:hint="eastAsia" w:ascii="宋体" w:hAnsi="宋体" w:cs="宋体"/>
          <w:b/>
          <w:bCs/>
          <w:sz w:val="24"/>
          <w:lang w:eastAsia="zh-CN"/>
        </w:rPr>
        <w:t>（</w:t>
      </w:r>
      <w:r>
        <w:rPr>
          <w:rFonts w:hint="eastAsia" w:ascii="宋体" w:hAnsi="宋体" w:cs="宋体"/>
          <w:b/>
          <w:bCs/>
          <w:sz w:val="24"/>
          <w:lang w:val="en-US" w:eastAsia="zh-CN"/>
        </w:rPr>
        <w:t>一</w:t>
      </w:r>
      <w:r>
        <w:rPr>
          <w:rFonts w:hint="eastAsia" w:ascii="宋体" w:hAnsi="宋体" w:cs="宋体"/>
          <w:b/>
          <w:bCs/>
          <w:sz w:val="24"/>
          <w:lang w:eastAsia="zh-CN"/>
        </w:rPr>
        <w:t>）</w:t>
      </w:r>
      <w:r>
        <w:rPr>
          <w:rFonts w:hint="eastAsia" w:ascii="宋体" w:hAnsi="宋体" w:cs="宋体"/>
          <w:b/>
          <w:bCs/>
          <w:sz w:val="24"/>
          <w:lang w:val="en-US" w:eastAsia="zh-CN"/>
        </w:rPr>
        <w:t>磋商小</w:t>
      </w:r>
      <w:r>
        <w:rPr>
          <w:rFonts w:hint="eastAsia" w:ascii="宋体" w:hAnsi="宋体" w:eastAsia="宋体" w:cs="宋体"/>
          <w:b/>
          <w:bCs/>
          <w:sz w:val="24"/>
          <w:lang w:val="en-US" w:eastAsia="zh-CN"/>
        </w:rPr>
        <w:t>组</w:t>
      </w:r>
      <w:r>
        <w:rPr>
          <w:rFonts w:hint="eastAsia" w:ascii="宋体" w:hAnsi="宋体" w:cs="宋体"/>
          <w:b/>
          <w:bCs/>
          <w:sz w:val="24"/>
          <w:lang w:val="en-US" w:eastAsia="zh-CN"/>
        </w:rPr>
        <w:t>的组建</w:t>
      </w:r>
    </w:p>
    <w:p w14:paraId="54A70B9E">
      <w:pPr>
        <w:spacing w:line="400" w:lineRule="atLeast"/>
        <w:ind w:firstLine="472" w:firstLineChars="200"/>
        <w:jc w:val="left"/>
        <w:rPr>
          <w:rFonts w:hint="eastAsia" w:ascii="宋体" w:hAnsi="宋体" w:cs="宋体"/>
          <w:spacing w:val="-2"/>
          <w:sz w:val="24"/>
        </w:rPr>
      </w:pPr>
      <w:r>
        <w:rPr>
          <w:rFonts w:hint="eastAsia" w:ascii="宋体" w:hAnsi="宋体" w:cs="宋体"/>
          <w:spacing w:val="-2"/>
          <w:sz w:val="24"/>
        </w:rPr>
        <w:t>1、</w:t>
      </w:r>
      <w:r>
        <w:rPr>
          <w:rFonts w:hint="eastAsia" w:ascii="宋体" w:hAnsi="宋体" w:cs="宋体"/>
          <w:spacing w:val="-2"/>
          <w:sz w:val="24"/>
          <w:lang w:val="en-US" w:eastAsia="zh-CN"/>
        </w:rPr>
        <w:t>采购人</w:t>
      </w:r>
      <w:r>
        <w:rPr>
          <w:rFonts w:hint="eastAsia" w:ascii="宋体" w:hAnsi="宋体" w:cs="宋体"/>
          <w:spacing w:val="-2"/>
          <w:sz w:val="24"/>
        </w:rPr>
        <w:t>将根据《中华人民共和国政府采购法》</w:t>
      </w:r>
      <w:r>
        <w:rPr>
          <w:rFonts w:hint="eastAsia" w:ascii="宋体" w:hAnsi="宋体" w:cs="宋体"/>
          <w:spacing w:val="-2"/>
          <w:sz w:val="24"/>
          <w:lang w:eastAsia="zh-CN"/>
        </w:rPr>
        <w:t>、</w:t>
      </w:r>
      <w:r>
        <w:rPr>
          <w:rFonts w:hint="eastAsia" w:ascii="宋体" w:hAnsi="宋体" w:cs="宋体"/>
          <w:spacing w:val="-2"/>
          <w:sz w:val="24"/>
        </w:rPr>
        <w:t>《</w:t>
      </w:r>
      <w:r>
        <w:rPr>
          <w:rFonts w:hint="eastAsia" w:ascii="宋体" w:hAnsi="宋体" w:cs="宋体"/>
          <w:spacing w:val="-2"/>
          <w:sz w:val="24"/>
          <w:lang w:eastAsia="zh-CN"/>
        </w:rPr>
        <w:t>政府采购竞争性磋商采购方式管理暂行办法</w:t>
      </w:r>
      <w:r>
        <w:rPr>
          <w:rFonts w:hint="eastAsia" w:ascii="宋体" w:hAnsi="宋体" w:cs="宋体"/>
          <w:spacing w:val="-2"/>
          <w:sz w:val="24"/>
        </w:rPr>
        <w:t>》</w:t>
      </w:r>
      <w:r>
        <w:rPr>
          <w:rFonts w:hint="eastAsia" w:ascii="宋体" w:hAnsi="宋体" w:cs="宋体"/>
          <w:spacing w:val="-2"/>
          <w:sz w:val="24"/>
          <w:lang w:val="en-US" w:eastAsia="zh-CN"/>
        </w:rPr>
        <w:t>等相关法规</w:t>
      </w:r>
      <w:r>
        <w:rPr>
          <w:rFonts w:hint="eastAsia" w:ascii="宋体" w:hAnsi="宋体" w:cs="宋体"/>
          <w:spacing w:val="-2"/>
          <w:sz w:val="24"/>
        </w:rPr>
        <w:t>规定，依法组建本次招标的</w:t>
      </w:r>
      <w:r>
        <w:rPr>
          <w:rFonts w:hint="eastAsia" w:ascii="宋体" w:hAnsi="宋体" w:cs="宋体"/>
          <w:b w:val="0"/>
          <w:bCs w:val="0"/>
          <w:sz w:val="24"/>
          <w:lang w:val="en-US" w:eastAsia="zh-CN"/>
        </w:rPr>
        <w:t>磋商</w:t>
      </w:r>
      <w:r>
        <w:rPr>
          <w:rFonts w:hint="eastAsia" w:ascii="宋体" w:hAnsi="宋体" w:cs="宋体"/>
          <w:spacing w:val="-2"/>
          <w:sz w:val="24"/>
          <w:lang w:val="en-US" w:eastAsia="zh-CN"/>
        </w:rPr>
        <w:t>小组</w:t>
      </w:r>
      <w:r>
        <w:rPr>
          <w:rFonts w:hint="eastAsia" w:ascii="宋体" w:hAnsi="宋体" w:cs="宋体"/>
          <w:spacing w:val="-2"/>
          <w:sz w:val="24"/>
        </w:rPr>
        <w:t>，</w:t>
      </w:r>
      <w:r>
        <w:rPr>
          <w:rFonts w:hint="eastAsia" w:ascii="宋体" w:hAnsi="宋体" w:cs="宋体"/>
          <w:b w:val="0"/>
          <w:bCs w:val="0"/>
          <w:sz w:val="24"/>
          <w:lang w:val="en-US" w:eastAsia="zh-CN"/>
        </w:rPr>
        <w:t>磋商</w:t>
      </w:r>
      <w:r>
        <w:rPr>
          <w:rFonts w:hint="eastAsia" w:ascii="宋体" w:hAnsi="宋体" w:cs="宋体"/>
          <w:spacing w:val="-2"/>
          <w:sz w:val="24"/>
          <w:lang w:val="en-US" w:eastAsia="zh-CN"/>
        </w:rPr>
        <w:t>小组</w:t>
      </w:r>
      <w:r>
        <w:rPr>
          <w:rFonts w:hint="eastAsia" w:ascii="宋体" w:hAnsi="宋体" w:cs="宋体"/>
          <w:spacing w:val="-2"/>
          <w:sz w:val="24"/>
        </w:rPr>
        <w:t>负责本次招标的评</w:t>
      </w:r>
      <w:r>
        <w:rPr>
          <w:rFonts w:hint="eastAsia" w:ascii="宋体" w:hAnsi="宋体" w:cs="宋体"/>
          <w:spacing w:val="-2"/>
          <w:sz w:val="24"/>
          <w:lang w:eastAsia="zh-CN"/>
        </w:rPr>
        <w:t>审</w:t>
      </w:r>
      <w:r>
        <w:rPr>
          <w:rFonts w:hint="eastAsia" w:ascii="宋体" w:hAnsi="宋体" w:cs="宋体"/>
          <w:spacing w:val="-2"/>
          <w:sz w:val="24"/>
        </w:rPr>
        <w:t>活动，并负责向</w:t>
      </w:r>
      <w:r>
        <w:rPr>
          <w:rFonts w:hint="eastAsia" w:ascii="宋体" w:hAnsi="宋体" w:cs="宋体"/>
          <w:spacing w:val="-2"/>
          <w:sz w:val="24"/>
          <w:lang w:val="en-US" w:eastAsia="zh-CN"/>
        </w:rPr>
        <w:t>采购人</w:t>
      </w:r>
      <w:r>
        <w:rPr>
          <w:rFonts w:hint="eastAsia" w:ascii="宋体" w:hAnsi="宋体" w:cs="宋体"/>
          <w:spacing w:val="-2"/>
          <w:sz w:val="24"/>
        </w:rPr>
        <w:t>推荐</w:t>
      </w:r>
      <w:r>
        <w:rPr>
          <w:rFonts w:hint="eastAsia" w:ascii="宋体" w:hAnsi="宋体" w:cs="宋体"/>
          <w:spacing w:val="-2"/>
          <w:sz w:val="24"/>
          <w:lang w:val="en-US" w:eastAsia="zh-CN"/>
        </w:rPr>
        <w:t>成交</w:t>
      </w:r>
      <w:r>
        <w:rPr>
          <w:rFonts w:hint="eastAsia" w:ascii="宋体" w:hAnsi="宋体" w:cs="宋体"/>
          <w:spacing w:val="-2"/>
          <w:sz w:val="24"/>
        </w:rPr>
        <w:t>候选人。磋商小组成员应当按照客观、公正、审慎的原则，根据磋商文件规定的评审程序、评审方法和评审标准进行独立评审。</w:t>
      </w:r>
    </w:p>
    <w:p w14:paraId="6F67C0CE">
      <w:pPr>
        <w:spacing w:line="400" w:lineRule="atLeast"/>
        <w:ind w:firstLine="472" w:firstLineChars="200"/>
        <w:jc w:val="left"/>
        <w:rPr>
          <w:rFonts w:hint="eastAsia" w:ascii="宋体" w:hAnsi="宋体" w:cs="宋体"/>
          <w:spacing w:val="-2"/>
          <w:sz w:val="24"/>
        </w:rPr>
      </w:pPr>
      <w:r>
        <w:rPr>
          <w:rFonts w:hint="eastAsia" w:ascii="宋体" w:hAnsi="宋体" w:cs="宋体"/>
          <w:spacing w:val="-2"/>
          <w:sz w:val="24"/>
        </w:rPr>
        <w:t>2、</w:t>
      </w:r>
      <w:r>
        <w:rPr>
          <w:rFonts w:hint="eastAsia" w:ascii="宋体" w:hAnsi="宋体" w:cs="宋体"/>
          <w:b w:val="0"/>
          <w:bCs w:val="0"/>
          <w:sz w:val="24"/>
          <w:lang w:val="en-US" w:eastAsia="zh-CN"/>
        </w:rPr>
        <w:t>磋商</w:t>
      </w:r>
      <w:r>
        <w:rPr>
          <w:rFonts w:hint="eastAsia" w:ascii="宋体" w:hAnsi="宋体" w:cs="宋体"/>
          <w:spacing w:val="-2"/>
          <w:sz w:val="24"/>
          <w:lang w:val="en-US" w:eastAsia="zh-CN"/>
        </w:rPr>
        <w:t>小组</w:t>
      </w:r>
      <w:r>
        <w:rPr>
          <w:rFonts w:hint="eastAsia" w:ascii="宋体" w:hAnsi="宋体" w:cs="宋体"/>
          <w:spacing w:val="-2"/>
          <w:sz w:val="24"/>
        </w:rPr>
        <w:t>人</w:t>
      </w:r>
      <w:r>
        <w:rPr>
          <w:rFonts w:hint="eastAsia" w:ascii="宋体" w:hAnsi="宋体" w:cs="宋体"/>
          <w:spacing w:val="-2"/>
          <w:sz w:val="24"/>
          <w:lang w:val="en-US" w:eastAsia="zh-CN"/>
        </w:rPr>
        <w:t>员</w:t>
      </w:r>
      <w:r>
        <w:rPr>
          <w:rFonts w:hint="eastAsia" w:ascii="宋体" w:hAnsi="宋体" w:cs="宋体"/>
          <w:spacing w:val="-2"/>
          <w:sz w:val="24"/>
        </w:rPr>
        <w:t>选于开标前确定。</w:t>
      </w:r>
      <w:r>
        <w:rPr>
          <w:rFonts w:hint="eastAsia" w:ascii="宋体" w:hAnsi="宋体" w:cs="宋体"/>
          <w:b w:val="0"/>
          <w:bCs w:val="0"/>
          <w:sz w:val="24"/>
          <w:lang w:val="en-US" w:eastAsia="zh-CN"/>
        </w:rPr>
        <w:t>磋商</w:t>
      </w:r>
      <w:r>
        <w:rPr>
          <w:rFonts w:hint="eastAsia" w:ascii="宋体" w:hAnsi="宋体" w:cs="宋体"/>
          <w:spacing w:val="-2"/>
          <w:sz w:val="24"/>
          <w:lang w:val="en-US" w:eastAsia="zh-CN"/>
        </w:rPr>
        <w:t>小组</w:t>
      </w:r>
      <w:r>
        <w:rPr>
          <w:rFonts w:hint="eastAsia" w:ascii="宋体" w:hAnsi="宋体" w:cs="宋体"/>
          <w:spacing w:val="-2"/>
          <w:sz w:val="24"/>
        </w:rPr>
        <w:t>名单在</w:t>
      </w:r>
      <w:r>
        <w:rPr>
          <w:rFonts w:hint="eastAsia" w:ascii="宋体" w:hAnsi="宋体" w:cs="宋体"/>
          <w:spacing w:val="-2"/>
          <w:sz w:val="24"/>
          <w:lang w:val="en-US" w:eastAsia="zh-CN"/>
        </w:rPr>
        <w:t>成交</w:t>
      </w:r>
      <w:r>
        <w:rPr>
          <w:rFonts w:hint="eastAsia" w:ascii="宋体" w:hAnsi="宋体" w:cs="宋体"/>
          <w:spacing w:val="-2"/>
          <w:sz w:val="24"/>
        </w:rPr>
        <w:t>结果确定前保密。</w:t>
      </w:r>
    </w:p>
    <w:p w14:paraId="0F2172D2">
      <w:pPr>
        <w:spacing w:line="400" w:lineRule="atLeast"/>
        <w:ind w:firstLine="472" w:firstLineChars="200"/>
        <w:jc w:val="left"/>
        <w:rPr>
          <w:rFonts w:hint="eastAsia" w:ascii="宋体" w:hAnsi="宋体" w:cs="宋体"/>
          <w:color w:val="1F497D"/>
          <w:sz w:val="24"/>
          <w:highlight w:val="blue"/>
        </w:rPr>
      </w:pPr>
      <w:r>
        <w:rPr>
          <w:rFonts w:hint="eastAsia" w:ascii="宋体" w:hAnsi="宋体" w:cs="宋体"/>
          <w:spacing w:val="-2"/>
          <w:sz w:val="24"/>
        </w:rPr>
        <w:t>3、</w:t>
      </w:r>
      <w:r>
        <w:rPr>
          <w:rFonts w:hint="eastAsia" w:ascii="宋体" w:hAnsi="宋体" w:cs="宋体"/>
          <w:b w:val="0"/>
          <w:bCs w:val="0"/>
          <w:sz w:val="24"/>
          <w:lang w:val="en-US" w:eastAsia="zh-CN"/>
        </w:rPr>
        <w:t>磋商</w:t>
      </w:r>
      <w:r>
        <w:rPr>
          <w:rFonts w:hint="eastAsia" w:ascii="宋体" w:hAnsi="宋体" w:cs="宋体"/>
          <w:spacing w:val="-2"/>
          <w:sz w:val="24"/>
          <w:lang w:val="en-US" w:eastAsia="zh-CN"/>
        </w:rPr>
        <w:t>小组按照《中华人民共和国政府采购法》、《中华人民共和国政府采购法实施条例》及本项目本级和上级财政部门的有关规定依法组。</w:t>
      </w:r>
    </w:p>
    <w:p w14:paraId="4FC40D57">
      <w:pPr>
        <w:spacing w:line="400" w:lineRule="atLeast"/>
        <w:ind w:firstLine="472" w:firstLineChars="200"/>
        <w:jc w:val="left"/>
        <w:rPr>
          <w:rFonts w:hint="eastAsia" w:ascii="宋体" w:hAnsi="宋体" w:eastAsia="宋体" w:cs="宋体"/>
          <w:spacing w:val="-2"/>
          <w:sz w:val="24"/>
          <w:lang w:eastAsia="zh-CN"/>
        </w:rPr>
      </w:pPr>
      <w:r>
        <w:rPr>
          <w:rFonts w:hint="eastAsia" w:ascii="宋体" w:hAnsi="宋体" w:cs="宋体"/>
          <w:spacing w:val="-2"/>
          <w:sz w:val="24"/>
        </w:rPr>
        <w:t>4、</w:t>
      </w:r>
      <w:r>
        <w:rPr>
          <w:rFonts w:hint="eastAsia" w:ascii="宋体" w:hAnsi="宋体" w:cs="宋体"/>
          <w:b w:val="0"/>
          <w:bCs w:val="0"/>
          <w:sz w:val="24"/>
          <w:lang w:val="en-US" w:eastAsia="zh-CN"/>
        </w:rPr>
        <w:t>磋商</w:t>
      </w:r>
      <w:r>
        <w:rPr>
          <w:rFonts w:hint="eastAsia" w:ascii="宋体" w:hAnsi="宋体" w:cs="宋体"/>
          <w:spacing w:val="-2"/>
          <w:sz w:val="24"/>
          <w:lang w:val="en-US" w:eastAsia="zh-CN"/>
        </w:rPr>
        <w:t>小组</w:t>
      </w:r>
      <w:r>
        <w:rPr>
          <w:rFonts w:hint="eastAsia" w:ascii="宋体" w:hAnsi="宋体" w:cs="宋体"/>
          <w:spacing w:val="-2"/>
          <w:sz w:val="24"/>
        </w:rPr>
        <w:t>的回避规定</w:t>
      </w:r>
      <w:r>
        <w:rPr>
          <w:rFonts w:hint="eastAsia" w:ascii="宋体" w:hAnsi="宋体" w:cs="宋体"/>
          <w:spacing w:val="-2"/>
          <w:sz w:val="24"/>
          <w:lang w:eastAsia="zh-CN"/>
        </w:rPr>
        <w:t>：</w:t>
      </w:r>
    </w:p>
    <w:p w14:paraId="7F5DE6A8">
      <w:pPr>
        <w:spacing w:line="400" w:lineRule="atLeast"/>
        <w:ind w:firstLine="472" w:firstLineChars="200"/>
        <w:jc w:val="left"/>
        <w:rPr>
          <w:rFonts w:hint="eastAsia" w:ascii="宋体" w:hAnsi="宋体" w:eastAsia="宋体" w:cs="宋体"/>
          <w:spacing w:val="-2"/>
          <w:sz w:val="24"/>
          <w:lang w:eastAsia="zh-CN"/>
        </w:rPr>
      </w:pPr>
      <w:r>
        <w:rPr>
          <w:rFonts w:hint="eastAsia" w:ascii="宋体" w:hAnsi="宋体" w:cs="宋体"/>
          <w:spacing w:val="-2"/>
          <w:sz w:val="24"/>
        </w:rPr>
        <w:t>有下列情形之一的，不得担任</w:t>
      </w:r>
      <w:r>
        <w:rPr>
          <w:rFonts w:hint="eastAsia" w:ascii="宋体" w:hAnsi="宋体" w:cs="宋体"/>
          <w:b w:val="0"/>
          <w:bCs w:val="0"/>
          <w:sz w:val="24"/>
          <w:lang w:val="en-US" w:eastAsia="zh-CN"/>
        </w:rPr>
        <w:t>磋商</w:t>
      </w:r>
      <w:r>
        <w:rPr>
          <w:rFonts w:hint="eastAsia" w:ascii="宋体" w:hAnsi="宋体" w:cs="宋体"/>
          <w:spacing w:val="-2"/>
          <w:sz w:val="24"/>
          <w:lang w:val="en-US" w:eastAsia="zh-CN"/>
        </w:rPr>
        <w:t>小组</w:t>
      </w:r>
      <w:r>
        <w:rPr>
          <w:rFonts w:hint="eastAsia" w:ascii="宋体" w:hAnsi="宋体" w:cs="宋体"/>
          <w:spacing w:val="-2"/>
          <w:sz w:val="24"/>
        </w:rPr>
        <w:t>成员</w:t>
      </w:r>
      <w:r>
        <w:rPr>
          <w:rFonts w:hint="eastAsia" w:ascii="宋体" w:hAnsi="宋体" w:cs="宋体"/>
          <w:spacing w:val="-2"/>
          <w:sz w:val="24"/>
          <w:lang w:eastAsia="zh-CN"/>
        </w:rPr>
        <w:t>：</w:t>
      </w:r>
    </w:p>
    <w:p w14:paraId="395851EB">
      <w:pPr>
        <w:spacing w:line="400" w:lineRule="atLeast"/>
        <w:ind w:firstLine="472" w:firstLineChars="200"/>
        <w:jc w:val="left"/>
        <w:rPr>
          <w:rFonts w:hint="eastAsia" w:ascii="宋体" w:hAnsi="宋体" w:cs="宋体"/>
          <w:spacing w:val="-2"/>
          <w:sz w:val="24"/>
        </w:rPr>
      </w:pPr>
      <w:r>
        <w:rPr>
          <w:rFonts w:hint="eastAsia" w:ascii="宋体" w:hAnsi="宋体" w:cs="宋体"/>
          <w:spacing w:val="-2"/>
          <w:sz w:val="24"/>
        </w:rPr>
        <w:t>1）与</w:t>
      </w:r>
      <w:r>
        <w:rPr>
          <w:rFonts w:hint="eastAsia" w:ascii="宋体" w:hAnsi="宋体" w:cs="宋体"/>
          <w:spacing w:val="-2"/>
          <w:sz w:val="24"/>
          <w:lang w:eastAsia="zh-CN"/>
        </w:rPr>
        <w:t>供应商</w:t>
      </w:r>
      <w:r>
        <w:rPr>
          <w:rFonts w:hint="eastAsia" w:ascii="宋体" w:hAnsi="宋体" w:cs="宋体"/>
          <w:spacing w:val="-2"/>
          <w:sz w:val="24"/>
        </w:rPr>
        <w:t>或者</w:t>
      </w:r>
      <w:r>
        <w:rPr>
          <w:rFonts w:hint="eastAsia" w:ascii="宋体" w:hAnsi="宋体" w:cs="宋体"/>
          <w:spacing w:val="-2"/>
          <w:sz w:val="24"/>
          <w:lang w:eastAsia="zh-CN"/>
        </w:rPr>
        <w:t>供应商</w:t>
      </w:r>
      <w:r>
        <w:rPr>
          <w:rFonts w:hint="eastAsia" w:ascii="宋体" w:hAnsi="宋体" w:cs="宋体"/>
          <w:spacing w:val="-2"/>
          <w:sz w:val="24"/>
        </w:rPr>
        <w:t>主要负责人有近亲关系的；</w:t>
      </w:r>
    </w:p>
    <w:p w14:paraId="1F9B51DE">
      <w:pPr>
        <w:spacing w:line="400" w:lineRule="atLeast"/>
        <w:ind w:firstLine="472" w:firstLineChars="200"/>
        <w:jc w:val="left"/>
        <w:rPr>
          <w:rFonts w:hint="eastAsia" w:ascii="宋体" w:hAnsi="宋体" w:cs="宋体"/>
          <w:spacing w:val="-2"/>
          <w:sz w:val="24"/>
        </w:rPr>
      </w:pPr>
      <w:r>
        <w:rPr>
          <w:rFonts w:hint="eastAsia" w:ascii="宋体" w:hAnsi="宋体" w:cs="宋体"/>
          <w:spacing w:val="-2"/>
          <w:sz w:val="24"/>
        </w:rPr>
        <w:t>2）与项目主管部门或者行政监督部门的人员有近亲关系的；</w:t>
      </w:r>
    </w:p>
    <w:p w14:paraId="7CB52C02">
      <w:pPr>
        <w:spacing w:line="400" w:lineRule="atLeast"/>
        <w:ind w:firstLine="472" w:firstLineChars="200"/>
        <w:jc w:val="left"/>
        <w:rPr>
          <w:rFonts w:hint="eastAsia" w:ascii="宋体" w:hAnsi="宋体" w:cs="宋体"/>
          <w:spacing w:val="-2"/>
          <w:sz w:val="24"/>
        </w:rPr>
      </w:pPr>
      <w:r>
        <w:rPr>
          <w:rFonts w:hint="eastAsia" w:ascii="宋体" w:hAnsi="宋体" w:cs="宋体"/>
          <w:spacing w:val="-2"/>
          <w:sz w:val="24"/>
        </w:rPr>
        <w:t>3）与</w:t>
      </w:r>
      <w:r>
        <w:rPr>
          <w:rFonts w:hint="eastAsia" w:ascii="宋体" w:hAnsi="宋体" w:cs="宋体"/>
          <w:spacing w:val="-2"/>
          <w:sz w:val="24"/>
          <w:lang w:eastAsia="zh-CN"/>
        </w:rPr>
        <w:t>供应商</w:t>
      </w:r>
      <w:r>
        <w:rPr>
          <w:rFonts w:hint="eastAsia" w:ascii="宋体" w:hAnsi="宋体" w:cs="宋体"/>
          <w:spacing w:val="-2"/>
          <w:sz w:val="24"/>
        </w:rPr>
        <w:t>有经济利益关系，可能影响对投标</w:t>
      </w:r>
      <w:r>
        <w:rPr>
          <w:rFonts w:hint="eastAsia" w:ascii="宋体" w:hAnsi="宋体" w:cs="宋体"/>
          <w:spacing w:val="-2"/>
          <w:sz w:val="24"/>
          <w:lang w:val="en-US" w:eastAsia="zh-CN"/>
        </w:rPr>
        <w:t>响应</w:t>
      </w:r>
      <w:r>
        <w:rPr>
          <w:rFonts w:hint="eastAsia" w:ascii="宋体" w:hAnsi="宋体" w:cs="宋体"/>
          <w:spacing w:val="-2"/>
          <w:sz w:val="24"/>
        </w:rPr>
        <w:t xml:space="preserve">公正评审的； </w:t>
      </w:r>
    </w:p>
    <w:p w14:paraId="37BD885E">
      <w:pPr>
        <w:spacing w:line="400" w:lineRule="atLeast"/>
        <w:ind w:firstLine="472" w:firstLineChars="200"/>
        <w:jc w:val="left"/>
        <w:rPr>
          <w:rFonts w:hint="eastAsia" w:ascii="宋体" w:hAnsi="宋体" w:cs="宋体"/>
          <w:spacing w:val="-2"/>
          <w:sz w:val="24"/>
        </w:rPr>
      </w:pPr>
      <w:r>
        <w:rPr>
          <w:rFonts w:hint="eastAsia" w:ascii="宋体" w:hAnsi="宋体" w:cs="宋体"/>
          <w:spacing w:val="-2"/>
          <w:sz w:val="24"/>
        </w:rPr>
        <w:t>4）曾因在招标、评标以及其他与招标投标有关活动中从事违法行为而受过行政处罚或刑事处罚的。</w:t>
      </w:r>
    </w:p>
    <w:p w14:paraId="4B3FB8E4">
      <w:pPr>
        <w:spacing w:line="400" w:lineRule="atLeast"/>
        <w:ind w:firstLine="480" w:firstLineChars="200"/>
        <w:jc w:val="left"/>
        <w:rPr>
          <w:rFonts w:hint="eastAsia" w:ascii="宋体" w:hAnsi="宋体" w:cs="宋体"/>
          <w:spacing w:val="-2"/>
          <w:sz w:val="24"/>
        </w:rPr>
      </w:pPr>
      <w:r>
        <w:rPr>
          <w:rFonts w:hint="eastAsia" w:ascii="宋体" w:hAnsi="宋体" w:cs="宋体"/>
          <w:sz w:val="24"/>
        </w:rPr>
        <w:t>6、</w:t>
      </w:r>
      <w:r>
        <w:rPr>
          <w:rFonts w:hint="eastAsia" w:ascii="宋体" w:hAnsi="宋体" w:cs="宋体"/>
          <w:b w:val="0"/>
          <w:bCs w:val="0"/>
          <w:sz w:val="24"/>
          <w:lang w:val="en-US" w:eastAsia="zh-CN"/>
        </w:rPr>
        <w:t>磋商</w:t>
      </w:r>
      <w:r>
        <w:rPr>
          <w:rFonts w:hint="eastAsia" w:ascii="宋体" w:hAnsi="宋体" w:cs="宋体"/>
          <w:spacing w:val="-2"/>
          <w:sz w:val="24"/>
          <w:lang w:val="en-US" w:eastAsia="zh-CN"/>
        </w:rPr>
        <w:t>小组</w:t>
      </w:r>
      <w:r>
        <w:rPr>
          <w:rFonts w:hint="eastAsia" w:ascii="宋体" w:hAnsi="宋体" w:cs="宋体"/>
          <w:spacing w:val="-2"/>
          <w:sz w:val="24"/>
        </w:rPr>
        <w:t>成员应当熟悉并认真研究本文件，至少应了解和熟悉以下内容：</w:t>
      </w:r>
    </w:p>
    <w:p w14:paraId="6530AB05">
      <w:pPr>
        <w:spacing w:line="400" w:lineRule="atLeast"/>
        <w:ind w:firstLine="472" w:firstLineChars="200"/>
        <w:jc w:val="left"/>
        <w:rPr>
          <w:rFonts w:hint="eastAsia" w:ascii="宋体" w:hAnsi="宋体" w:cs="宋体"/>
          <w:spacing w:val="-2"/>
          <w:sz w:val="24"/>
        </w:rPr>
      </w:pPr>
      <w:r>
        <w:rPr>
          <w:rFonts w:hint="eastAsia" w:ascii="宋体" w:hAnsi="宋体" w:cs="宋体"/>
          <w:spacing w:val="-2"/>
          <w:sz w:val="24"/>
        </w:rPr>
        <w:t>1）招标目的；</w:t>
      </w:r>
    </w:p>
    <w:p w14:paraId="74071FDC">
      <w:pPr>
        <w:spacing w:line="400" w:lineRule="atLeast"/>
        <w:ind w:firstLine="472" w:firstLineChars="200"/>
        <w:jc w:val="left"/>
        <w:rPr>
          <w:rFonts w:hint="eastAsia" w:ascii="宋体" w:hAnsi="宋体" w:cs="宋体"/>
          <w:spacing w:val="-2"/>
          <w:sz w:val="24"/>
        </w:rPr>
      </w:pPr>
      <w:r>
        <w:rPr>
          <w:rFonts w:hint="eastAsia" w:ascii="宋体" w:hAnsi="宋体" w:cs="宋体"/>
          <w:spacing w:val="-2"/>
          <w:sz w:val="24"/>
        </w:rPr>
        <w:t>2）招标项目的范围、性质；</w:t>
      </w:r>
    </w:p>
    <w:p w14:paraId="28A252A5">
      <w:pPr>
        <w:spacing w:line="400" w:lineRule="atLeast"/>
        <w:ind w:firstLine="472" w:firstLineChars="200"/>
        <w:jc w:val="left"/>
        <w:rPr>
          <w:rFonts w:hint="eastAsia" w:ascii="宋体" w:hAnsi="宋体" w:cs="宋体"/>
          <w:spacing w:val="-2"/>
          <w:sz w:val="24"/>
        </w:rPr>
      </w:pPr>
      <w:r>
        <w:rPr>
          <w:rFonts w:hint="eastAsia" w:ascii="宋体" w:hAnsi="宋体" w:cs="宋体"/>
          <w:spacing w:val="-2"/>
          <w:sz w:val="24"/>
        </w:rPr>
        <w:t>3）本文件中规定的主要技术要求、标准和商务条款；</w:t>
      </w:r>
    </w:p>
    <w:p w14:paraId="7A812909">
      <w:pPr>
        <w:spacing w:line="400" w:lineRule="atLeast"/>
        <w:ind w:firstLine="472" w:firstLineChars="200"/>
        <w:jc w:val="left"/>
        <w:rPr>
          <w:rFonts w:hint="eastAsia" w:ascii="宋体" w:hAnsi="宋体" w:cs="宋体"/>
          <w:spacing w:val="-2"/>
          <w:sz w:val="24"/>
        </w:rPr>
      </w:pPr>
      <w:r>
        <w:rPr>
          <w:rFonts w:hint="eastAsia" w:ascii="宋体" w:hAnsi="宋体" w:cs="宋体"/>
          <w:spacing w:val="-2"/>
          <w:sz w:val="24"/>
        </w:rPr>
        <w:t>4）本文件规定的评</w:t>
      </w:r>
      <w:r>
        <w:rPr>
          <w:rFonts w:hint="eastAsia" w:ascii="宋体" w:hAnsi="宋体" w:cs="宋体"/>
          <w:spacing w:val="-2"/>
          <w:sz w:val="24"/>
          <w:lang w:eastAsia="zh-CN"/>
        </w:rPr>
        <w:t>审</w:t>
      </w:r>
      <w:r>
        <w:rPr>
          <w:rFonts w:hint="eastAsia" w:ascii="宋体" w:hAnsi="宋体" w:cs="宋体"/>
          <w:spacing w:val="-2"/>
          <w:sz w:val="24"/>
        </w:rPr>
        <w:t>标准、评</w:t>
      </w:r>
      <w:r>
        <w:rPr>
          <w:rFonts w:hint="eastAsia" w:ascii="宋体" w:hAnsi="宋体" w:cs="宋体"/>
          <w:spacing w:val="-2"/>
          <w:sz w:val="24"/>
          <w:lang w:eastAsia="zh-CN"/>
        </w:rPr>
        <w:t>审</w:t>
      </w:r>
      <w:r>
        <w:rPr>
          <w:rFonts w:hint="eastAsia" w:ascii="宋体" w:hAnsi="宋体" w:cs="宋体"/>
          <w:spacing w:val="-2"/>
          <w:sz w:val="24"/>
        </w:rPr>
        <w:t>方法和在评</w:t>
      </w:r>
      <w:r>
        <w:rPr>
          <w:rFonts w:hint="eastAsia" w:ascii="宋体" w:hAnsi="宋体" w:cs="宋体"/>
          <w:spacing w:val="-2"/>
          <w:sz w:val="24"/>
          <w:lang w:val="en-US" w:eastAsia="zh-CN"/>
        </w:rPr>
        <w:t>审</w:t>
      </w:r>
      <w:r>
        <w:rPr>
          <w:rFonts w:hint="eastAsia" w:ascii="宋体" w:hAnsi="宋体" w:cs="宋体"/>
          <w:spacing w:val="-2"/>
          <w:sz w:val="24"/>
        </w:rPr>
        <w:t>过程中应考虑的相关因素。</w:t>
      </w:r>
    </w:p>
    <w:p w14:paraId="4BE8A7B5">
      <w:pPr>
        <w:spacing w:line="400" w:lineRule="atLeast"/>
        <w:ind w:firstLine="472" w:firstLineChars="200"/>
        <w:jc w:val="left"/>
        <w:rPr>
          <w:rFonts w:hint="eastAsia" w:ascii="宋体" w:hAnsi="宋体" w:cs="宋体"/>
          <w:spacing w:val="-2"/>
          <w:sz w:val="24"/>
        </w:rPr>
      </w:pPr>
      <w:r>
        <w:rPr>
          <w:rFonts w:hint="eastAsia" w:ascii="宋体" w:hAnsi="宋体" w:cs="宋体"/>
          <w:spacing w:val="-2"/>
          <w:sz w:val="24"/>
        </w:rPr>
        <w:t>7、</w:t>
      </w:r>
      <w:r>
        <w:rPr>
          <w:rFonts w:hint="eastAsia" w:ascii="宋体" w:hAnsi="宋体" w:cs="宋体"/>
          <w:spacing w:val="-2"/>
          <w:sz w:val="24"/>
          <w:lang w:val="en-US" w:eastAsia="zh-CN"/>
        </w:rPr>
        <w:t>采购人</w:t>
      </w:r>
      <w:r>
        <w:rPr>
          <w:rFonts w:hint="eastAsia" w:ascii="宋体" w:hAnsi="宋体" w:cs="宋体"/>
          <w:spacing w:val="-2"/>
          <w:sz w:val="24"/>
        </w:rPr>
        <w:t>应当向</w:t>
      </w:r>
      <w:r>
        <w:rPr>
          <w:rFonts w:hint="eastAsia" w:ascii="宋体" w:hAnsi="宋体" w:cs="宋体"/>
          <w:b w:val="0"/>
          <w:bCs w:val="0"/>
          <w:sz w:val="24"/>
          <w:lang w:val="en-US" w:eastAsia="zh-CN"/>
        </w:rPr>
        <w:t>磋商</w:t>
      </w:r>
      <w:r>
        <w:rPr>
          <w:rFonts w:hint="eastAsia" w:ascii="宋体" w:hAnsi="宋体" w:cs="宋体"/>
          <w:spacing w:val="-2"/>
          <w:sz w:val="24"/>
          <w:lang w:val="en-US" w:eastAsia="zh-CN"/>
        </w:rPr>
        <w:t>小组</w:t>
      </w:r>
      <w:r>
        <w:rPr>
          <w:rFonts w:hint="eastAsia" w:ascii="宋体" w:hAnsi="宋体" w:cs="宋体"/>
          <w:spacing w:val="-2"/>
          <w:sz w:val="24"/>
        </w:rPr>
        <w:t>提供本文件。</w:t>
      </w:r>
    </w:p>
    <w:p w14:paraId="1FED2FF2">
      <w:pPr>
        <w:spacing w:line="400" w:lineRule="atLeast"/>
        <w:ind w:firstLine="472" w:firstLineChars="200"/>
        <w:jc w:val="left"/>
        <w:rPr>
          <w:rFonts w:hint="eastAsia" w:ascii="宋体" w:hAnsi="宋体" w:cs="宋体"/>
          <w:spacing w:val="-2"/>
          <w:sz w:val="24"/>
        </w:rPr>
      </w:pPr>
      <w:r>
        <w:rPr>
          <w:rFonts w:hint="eastAsia" w:ascii="宋体" w:hAnsi="宋体" w:cs="宋体"/>
          <w:spacing w:val="-2"/>
          <w:sz w:val="24"/>
        </w:rPr>
        <w:t>8、</w:t>
      </w:r>
      <w:r>
        <w:rPr>
          <w:rFonts w:hint="eastAsia" w:ascii="宋体" w:hAnsi="宋体" w:cs="宋体"/>
          <w:b w:val="0"/>
          <w:bCs w:val="0"/>
          <w:sz w:val="24"/>
          <w:lang w:val="en-US" w:eastAsia="zh-CN"/>
        </w:rPr>
        <w:t>磋商</w:t>
      </w:r>
      <w:r>
        <w:rPr>
          <w:rFonts w:hint="eastAsia" w:ascii="宋体" w:hAnsi="宋体" w:cs="宋体"/>
          <w:spacing w:val="-2"/>
          <w:sz w:val="24"/>
          <w:lang w:val="en-US" w:eastAsia="zh-CN"/>
        </w:rPr>
        <w:t>小组</w:t>
      </w:r>
      <w:r>
        <w:rPr>
          <w:rFonts w:hint="eastAsia" w:ascii="宋体" w:hAnsi="宋体" w:cs="宋体"/>
          <w:spacing w:val="-2"/>
          <w:sz w:val="24"/>
        </w:rPr>
        <w:t>应当根据本文件规定的评</w:t>
      </w:r>
      <w:r>
        <w:rPr>
          <w:rFonts w:hint="eastAsia" w:ascii="宋体" w:hAnsi="宋体" w:cs="宋体"/>
          <w:spacing w:val="-2"/>
          <w:sz w:val="24"/>
          <w:lang w:eastAsia="zh-CN"/>
        </w:rPr>
        <w:t>审</w:t>
      </w:r>
      <w:r>
        <w:rPr>
          <w:rFonts w:hint="eastAsia" w:ascii="宋体" w:hAnsi="宋体" w:cs="宋体"/>
          <w:spacing w:val="-2"/>
          <w:sz w:val="24"/>
        </w:rPr>
        <w:t>标准和方法，对</w:t>
      </w:r>
      <w:r>
        <w:rPr>
          <w:rFonts w:hint="eastAsia" w:ascii="宋体" w:hAnsi="宋体" w:cs="宋体"/>
          <w:spacing w:val="-2"/>
          <w:sz w:val="24"/>
          <w:lang w:val="en-US" w:eastAsia="zh-CN"/>
        </w:rPr>
        <w:t>响应</w:t>
      </w:r>
      <w:r>
        <w:rPr>
          <w:rFonts w:hint="eastAsia" w:ascii="宋体" w:hAnsi="宋体" w:cs="宋体"/>
          <w:spacing w:val="-2"/>
          <w:sz w:val="24"/>
        </w:rPr>
        <w:t>文件进行系统地评审和比较。本文件中没有规定的标准和方法不得作为评</w:t>
      </w:r>
      <w:r>
        <w:rPr>
          <w:rFonts w:hint="eastAsia" w:ascii="宋体" w:hAnsi="宋体" w:cs="宋体"/>
          <w:spacing w:val="-2"/>
          <w:sz w:val="24"/>
          <w:lang w:eastAsia="zh-CN"/>
        </w:rPr>
        <w:t>审</w:t>
      </w:r>
      <w:r>
        <w:rPr>
          <w:rFonts w:hint="eastAsia" w:ascii="宋体" w:hAnsi="宋体" w:cs="宋体"/>
          <w:spacing w:val="-2"/>
          <w:sz w:val="24"/>
        </w:rPr>
        <w:t>的依据。</w:t>
      </w:r>
    </w:p>
    <w:p w14:paraId="41B3497E">
      <w:pPr>
        <w:spacing w:line="400" w:lineRule="atLeast"/>
        <w:ind w:firstLine="472" w:firstLineChars="200"/>
        <w:jc w:val="left"/>
        <w:rPr>
          <w:rFonts w:hint="eastAsia" w:ascii="宋体" w:hAnsi="宋体" w:cs="宋体"/>
          <w:spacing w:val="-2"/>
          <w:sz w:val="24"/>
        </w:rPr>
      </w:pPr>
      <w:r>
        <w:rPr>
          <w:rFonts w:hint="eastAsia" w:ascii="宋体" w:hAnsi="宋体" w:cs="宋体"/>
          <w:spacing w:val="-2"/>
          <w:sz w:val="24"/>
        </w:rPr>
        <w:t>9、</w:t>
      </w:r>
      <w:r>
        <w:rPr>
          <w:rFonts w:hint="eastAsia" w:ascii="宋体" w:hAnsi="宋体" w:cs="宋体"/>
          <w:b w:val="0"/>
          <w:bCs w:val="0"/>
          <w:sz w:val="24"/>
          <w:lang w:val="en-US" w:eastAsia="zh-CN"/>
        </w:rPr>
        <w:t>磋商</w:t>
      </w:r>
      <w:r>
        <w:rPr>
          <w:rFonts w:hint="eastAsia" w:ascii="宋体" w:hAnsi="宋体" w:cs="宋体"/>
          <w:spacing w:val="-2"/>
          <w:sz w:val="24"/>
          <w:lang w:val="en-US" w:eastAsia="zh-CN"/>
        </w:rPr>
        <w:t>小组</w:t>
      </w:r>
      <w:r>
        <w:rPr>
          <w:rFonts w:hint="eastAsia" w:ascii="宋体" w:hAnsi="宋体" w:cs="宋体"/>
          <w:spacing w:val="-2"/>
          <w:sz w:val="24"/>
        </w:rPr>
        <w:t>成员应当客观、公正地履行职责，遵守职业道德，并对所提出的评审意见承担个人责任。</w:t>
      </w:r>
      <w:r>
        <w:rPr>
          <w:rFonts w:hint="eastAsia" w:ascii="宋体" w:hAnsi="宋体" w:cs="宋体"/>
          <w:b w:val="0"/>
          <w:bCs w:val="0"/>
          <w:sz w:val="24"/>
          <w:lang w:val="en-US" w:eastAsia="zh-CN"/>
        </w:rPr>
        <w:t>磋商</w:t>
      </w:r>
      <w:r>
        <w:rPr>
          <w:rFonts w:hint="eastAsia" w:ascii="宋体" w:hAnsi="宋体" w:cs="宋体"/>
          <w:spacing w:val="-2"/>
          <w:sz w:val="24"/>
          <w:lang w:val="en-US" w:eastAsia="zh-CN"/>
        </w:rPr>
        <w:t>小组</w:t>
      </w:r>
      <w:r>
        <w:rPr>
          <w:rFonts w:hint="eastAsia" w:ascii="宋体" w:hAnsi="宋体" w:cs="宋体"/>
          <w:spacing w:val="-2"/>
          <w:sz w:val="24"/>
        </w:rPr>
        <w:t>成员不得与任何</w:t>
      </w:r>
      <w:r>
        <w:rPr>
          <w:rFonts w:hint="eastAsia" w:ascii="宋体" w:hAnsi="宋体" w:cs="宋体"/>
          <w:spacing w:val="-2"/>
          <w:sz w:val="24"/>
          <w:lang w:eastAsia="zh-CN"/>
        </w:rPr>
        <w:t>供应商</w:t>
      </w:r>
      <w:r>
        <w:rPr>
          <w:rFonts w:hint="eastAsia" w:ascii="宋体" w:hAnsi="宋体" w:cs="宋体"/>
          <w:spacing w:val="-2"/>
          <w:sz w:val="24"/>
        </w:rPr>
        <w:t>或者与招标结果有利害关系的人员进行私下接触，不得收受</w:t>
      </w:r>
      <w:r>
        <w:rPr>
          <w:rFonts w:hint="eastAsia" w:ascii="宋体" w:hAnsi="宋体" w:cs="宋体"/>
          <w:spacing w:val="-2"/>
          <w:sz w:val="24"/>
          <w:lang w:eastAsia="zh-CN"/>
        </w:rPr>
        <w:t>供应商</w:t>
      </w:r>
      <w:r>
        <w:rPr>
          <w:rFonts w:hint="eastAsia" w:ascii="宋体" w:hAnsi="宋体" w:cs="宋体"/>
          <w:spacing w:val="-2"/>
          <w:sz w:val="24"/>
        </w:rPr>
        <w:t>、中介人或其他有利害关系人的财物或好处。</w:t>
      </w:r>
    </w:p>
    <w:p w14:paraId="37413C1B">
      <w:pPr>
        <w:pStyle w:val="56"/>
        <w:ind w:firstLine="472" w:firstLineChars="200"/>
        <w:rPr>
          <w:rFonts w:hint="default"/>
          <w:lang w:val="en-US" w:eastAsia="zh-CN"/>
        </w:rPr>
      </w:pPr>
      <w:r>
        <w:rPr>
          <w:rFonts w:hint="eastAsia" w:ascii="宋体" w:hAnsi="宋体" w:cs="宋体"/>
          <w:spacing w:val="-2"/>
          <w:sz w:val="24"/>
        </w:rPr>
        <w:t>10、</w:t>
      </w:r>
      <w:r>
        <w:rPr>
          <w:rFonts w:hint="eastAsia" w:ascii="宋体" w:hAnsi="宋体" w:cs="宋体"/>
          <w:spacing w:val="-2"/>
          <w:sz w:val="24"/>
          <w:lang w:val="en-US" w:eastAsia="zh-CN"/>
        </w:rPr>
        <w:t>磋商小组</w:t>
      </w:r>
      <w:r>
        <w:rPr>
          <w:rFonts w:hint="eastAsia" w:ascii="宋体" w:hAnsi="宋体" w:cs="宋体"/>
          <w:spacing w:val="-2"/>
          <w:sz w:val="24"/>
        </w:rPr>
        <w:t>成员和与本次评</w:t>
      </w:r>
      <w:r>
        <w:rPr>
          <w:rFonts w:hint="eastAsia" w:ascii="宋体" w:hAnsi="宋体" w:cs="宋体"/>
          <w:spacing w:val="-2"/>
          <w:sz w:val="24"/>
          <w:lang w:eastAsia="zh-CN"/>
        </w:rPr>
        <w:t>审</w:t>
      </w:r>
      <w:r>
        <w:rPr>
          <w:rFonts w:hint="eastAsia" w:ascii="宋体" w:hAnsi="宋体" w:cs="宋体"/>
          <w:spacing w:val="-2"/>
          <w:sz w:val="24"/>
        </w:rPr>
        <w:t>活动有关的工作人员，不得透露对</w:t>
      </w:r>
      <w:r>
        <w:rPr>
          <w:rFonts w:hint="eastAsia" w:ascii="宋体" w:hAnsi="宋体" w:cs="宋体"/>
          <w:spacing w:val="-2"/>
          <w:sz w:val="24"/>
          <w:lang w:eastAsia="zh-CN"/>
        </w:rPr>
        <w:t>响应文件</w:t>
      </w:r>
      <w:r>
        <w:rPr>
          <w:rFonts w:hint="eastAsia" w:ascii="宋体" w:hAnsi="宋体" w:cs="宋体"/>
          <w:spacing w:val="-2"/>
          <w:sz w:val="24"/>
        </w:rPr>
        <w:t>的评审和比较、</w:t>
      </w:r>
      <w:r>
        <w:rPr>
          <w:rFonts w:hint="eastAsia" w:ascii="宋体" w:hAnsi="宋体" w:cs="宋体"/>
          <w:spacing w:val="-2"/>
          <w:sz w:val="24"/>
          <w:lang w:val="en-US" w:eastAsia="zh-CN"/>
        </w:rPr>
        <w:t>成交</w:t>
      </w:r>
      <w:r>
        <w:rPr>
          <w:rFonts w:hint="eastAsia" w:ascii="宋体" w:hAnsi="宋体" w:cs="宋体"/>
          <w:spacing w:val="-2"/>
          <w:sz w:val="24"/>
        </w:rPr>
        <w:t>候选人的推荐情况以及与评</w:t>
      </w:r>
      <w:r>
        <w:rPr>
          <w:rFonts w:hint="eastAsia" w:ascii="宋体" w:hAnsi="宋体" w:cs="宋体"/>
          <w:spacing w:val="-2"/>
          <w:sz w:val="24"/>
          <w:lang w:eastAsia="zh-CN"/>
        </w:rPr>
        <w:t>审</w:t>
      </w:r>
      <w:r>
        <w:rPr>
          <w:rFonts w:hint="eastAsia" w:ascii="宋体" w:hAnsi="宋体" w:cs="宋体"/>
          <w:spacing w:val="-2"/>
          <w:sz w:val="24"/>
        </w:rPr>
        <w:t>有关的其他情况。</w:t>
      </w:r>
    </w:p>
    <w:p w14:paraId="1C7E3119">
      <w:pPr>
        <w:spacing w:line="360" w:lineRule="auto"/>
        <w:jc w:val="left"/>
        <w:rPr>
          <w:rFonts w:hint="eastAsia" w:ascii="宋体" w:hAnsi="宋体" w:eastAsia="宋体" w:cs="宋体"/>
          <w:sz w:val="24"/>
          <w:lang w:eastAsia="zh-CN"/>
        </w:rPr>
      </w:pPr>
      <w:r>
        <w:rPr>
          <w:rFonts w:hint="eastAsia" w:ascii="宋体" w:hAnsi="宋体" w:cs="宋体"/>
          <w:b/>
          <w:bCs/>
          <w:sz w:val="24"/>
          <w:lang w:eastAsia="zh-CN"/>
        </w:rPr>
        <w:t>（</w:t>
      </w:r>
      <w:r>
        <w:rPr>
          <w:rFonts w:hint="eastAsia" w:ascii="宋体" w:hAnsi="宋体" w:cs="宋体"/>
          <w:b/>
          <w:bCs/>
          <w:sz w:val="24"/>
          <w:lang w:val="en-US" w:eastAsia="zh-CN"/>
        </w:rPr>
        <w:t>二</w:t>
      </w:r>
      <w:r>
        <w:rPr>
          <w:rFonts w:hint="eastAsia" w:ascii="宋体" w:hAnsi="宋体" w:cs="宋体"/>
          <w:b/>
          <w:bCs/>
          <w:sz w:val="24"/>
          <w:lang w:eastAsia="zh-CN"/>
        </w:rPr>
        <w:t>）</w:t>
      </w:r>
      <w:r>
        <w:rPr>
          <w:rFonts w:hint="eastAsia" w:ascii="宋体" w:hAnsi="宋体" w:cs="宋体"/>
          <w:b/>
          <w:bCs/>
          <w:sz w:val="24"/>
          <w:lang w:val="en-US" w:eastAsia="zh-CN"/>
        </w:rPr>
        <w:t>评审</w:t>
      </w:r>
    </w:p>
    <w:p w14:paraId="3A354DB2">
      <w:pPr>
        <w:numPr>
          <w:ilvl w:val="0"/>
          <w:numId w:val="18"/>
        </w:numPr>
        <w:spacing w:line="400" w:lineRule="atLeast"/>
        <w:ind w:left="-60" w:leftChars="0" w:firstLine="480" w:firstLineChars="0"/>
        <w:jc w:val="left"/>
        <w:rPr>
          <w:b/>
          <w:bCs/>
        </w:rPr>
      </w:pPr>
      <w:r>
        <w:rPr>
          <w:rFonts w:hint="eastAsia" w:ascii="宋体" w:hAnsi="宋体" w:cs="宋体"/>
          <w:sz w:val="24"/>
        </w:rPr>
        <w:t>评</w:t>
      </w:r>
      <w:r>
        <w:rPr>
          <w:rFonts w:hint="eastAsia" w:ascii="宋体" w:hAnsi="宋体" w:cs="宋体"/>
          <w:sz w:val="24"/>
          <w:lang w:val="en-US" w:eastAsia="zh-CN"/>
        </w:rPr>
        <w:t>审</w:t>
      </w:r>
      <w:r>
        <w:rPr>
          <w:rFonts w:hint="eastAsia" w:ascii="宋体" w:hAnsi="宋体" w:cs="宋体"/>
          <w:sz w:val="24"/>
        </w:rPr>
        <w:t>的依据为</w:t>
      </w:r>
      <w:r>
        <w:rPr>
          <w:rFonts w:hint="eastAsia" w:ascii="宋体" w:hAnsi="宋体" w:cs="宋体"/>
          <w:sz w:val="24"/>
          <w:lang w:val="en-US" w:eastAsia="zh-CN"/>
        </w:rPr>
        <w:t>采购</w:t>
      </w:r>
      <w:r>
        <w:rPr>
          <w:rFonts w:hint="eastAsia" w:ascii="宋体" w:hAnsi="宋体" w:cs="宋体"/>
          <w:sz w:val="24"/>
        </w:rPr>
        <w:t>文件和</w:t>
      </w:r>
      <w:r>
        <w:rPr>
          <w:rFonts w:hint="eastAsia" w:ascii="宋体" w:hAnsi="宋体" w:cs="宋体"/>
          <w:sz w:val="24"/>
          <w:lang w:val="en-US" w:eastAsia="zh-CN"/>
        </w:rPr>
        <w:t>响应</w:t>
      </w:r>
      <w:r>
        <w:rPr>
          <w:rFonts w:hint="eastAsia" w:ascii="宋体" w:hAnsi="宋体" w:cs="宋体"/>
          <w:sz w:val="24"/>
        </w:rPr>
        <w:t>文件；</w:t>
      </w:r>
      <w:r>
        <w:rPr>
          <w:rFonts w:hint="eastAsia" w:ascii="宋体" w:hAnsi="宋体" w:cs="宋体"/>
          <w:sz w:val="24"/>
          <w:lang w:val="en-US" w:eastAsia="zh-CN"/>
        </w:rPr>
        <w:t>本项目采用综合评分法：</w:t>
      </w:r>
      <w:r>
        <w:rPr>
          <w:rFonts w:hint="eastAsia" w:ascii="宋体" w:hAnsi="宋体" w:eastAsia="宋体" w:cs="宋体"/>
          <w:color w:val="000000"/>
          <w:kern w:val="0"/>
          <w:sz w:val="24"/>
          <w:szCs w:val="24"/>
          <w:lang w:val="en-US" w:eastAsia="zh-CN" w:bidi="ar"/>
        </w:rPr>
        <w:t xml:space="preserve">本项目采用两次报价且第二次报价不得高于第一次报价，供应商提交最后的报价后，磋商小组对所有满足实质性要求且提交最后报价的供应商的响应文件按评审因 素评审得分，最终汇总得分由高到低排序推荐第一、第二、第三中标候选人）。 </w:t>
      </w:r>
      <w:r>
        <w:rPr>
          <w:rFonts w:hint="eastAsia" w:ascii="宋体" w:hAnsi="宋体" w:eastAsia="宋体" w:cs="宋体"/>
          <w:b/>
          <w:bCs/>
          <w:color w:val="000000"/>
          <w:kern w:val="0"/>
          <w:sz w:val="24"/>
          <w:szCs w:val="24"/>
          <w:lang w:val="en-US" w:eastAsia="zh-CN" w:bidi="ar"/>
        </w:rPr>
        <w:t>(注:若投标人最后轮投标总报价相对于第一次投标总报价有所变化,请在提交最后投标总报价的同时在政采云系统上提交与最后投标总报价相对应的已标价工程量清单(PDF格式、按要求盖章和(或)字(章)。)</w:t>
      </w:r>
    </w:p>
    <w:p w14:paraId="05A21C01">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评</w:t>
      </w:r>
      <w:r>
        <w:rPr>
          <w:rFonts w:hint="eastAsia" w:ascii="宋体" w:hAnsi="宋体" w:cs="宋体"/>
          <w:color w:val="000000"/>
          <w:kern w:val="0"/>
          <w:sz w:val="24"/>
          <w:szCs w:val="24"/>
          <w:lang w:val="en-US" w:eastAsia="zh-CN" w:bidi="ar"/>
        </w:rPr>
        <w:t>审</w:t>
      </w:r>
      <w:r>
        <w:rPr>
          <w:rFonts w:hint="eastAsia" w:ascii="宋体" w:hAnsi="宋体" w:eastAsia="宋体" w:cs="宋体"/>
          <w:color w:val="000000"/>
          <w:kern w:val="0"/>
          <w:sz w:val="24"/>
          <w:szCs w:val="24"/>
          <w:lang w:val="en-US" w:eastAsia="zh-CN" w:bidi="ar"/>
        </w:rPr>
        <w:t>因素的设定包括报价、技术水平等有关内容。资格条件不得作为评</w:t>
      </w:r>
      <w:r>
        <w:rPr>
          <w:rFonts w:hint="eastAsia" w:ascii="宋体" w:hAnsi="宋体" w:cs="宋体"/>
          <w:color w:val="000000"/>
          <w:kern w:val="0"/>
          <w:sz w:val="24"/>
          <w:szCs w:val="24"/>
          <w:lang w:val="en-US" w:eastAsia="zh-CN" w:bidi="ar"/>
        </w:rPr>
        <w:t>审</w:t>
      </w:r>
      <w:r>
        <w:rPr>
          <w:rFonts w:hint="eastAsia" w:ascii="宋体" w:hAnsi="宋体" w:eastAsia="宋体" w:cs="宋体"/>
          <w:color w:val="000000"/>
          <w:kern w:val="0"/>
          <w:sz w:val="24"/>
          <w:szCs w:val="24"/>
          <w:lang w:val="en-US" w:eastAsia="zh-CN" w:bidi="ar"/>
        </w:rPr>
        <w:t>因素。最低报价不是确定中标候选人的唯一标准，磋商小组根据供应商企业实力、实施方案、报价等综合因素标准确定中标候选人。</w:t>
      </w:r>
    </w:p>
    <w:p w14:paraId="00CBA517">
      <w:pPr>
        <w:spacing w:line="400" w:lineRule="atLeast"/>
        <w:ind w:firstLine="420" w:firstLineChars="200"/>
        <w:jc w:val="left"/>
        <w:rPr>
          <w:rFonts w:hint="default"/>
          <w:color w:val="FF0000"/>
          <w:lang w:val="en-US"/>
        </w:rPr>
      </w:pPr>
      <w:r>
        <w:rPr>
          <w:rFonts w:hint="eastAsia"/>
          <w:lang w:val="en-US" w:eastAsia="zh-CN"/>
        </w:rPr>
        <w:t>2、</w:t>
      </w:r>
      <w:r>
        <w:rPr>
          <w:rFonts w:hint="eastAsia" w:ascii="宋体" w:hAnsi="宋体" w:cs="宋体"/>
          <w:sz w:val="24"/>
        </w:rPr>
        <w:t>在对</w:t>
      </w:r>
      <w:r>
        <w:rPr>
          <w:rFonts w:hint="eastAsia" w:ascii="宋体" w:hAnsi="宋体" w:cs="宋体"/>
          <w:sz w:val="24"/>
          <w:lang w:eastAsia="zh-CN"/>
        </w:rPr>
        <w:t>响应文件</w:t>
      </w:r>
      <w:r>
        <w:rPr>
          <w:rFonts w:hint="eastAsia" w:ascii="宋体" w:hAnsi="宋体" w:cs="宋体"/>
          <w:sz w:val="24"/>
        </w:rPr>
        <w:t>进行详细评估前，依据</w:t>
      </w:r>
      <w:r>
        <w:rPr>
          <w:rFonts w:hint="eastAsia" w:ascii="宋体" w:hAnsi="宋体" w:cs="宋体"/>
          <w:sz w:val="24"/>
          <w:lang w:eastAsia="zh-CN"/>
        </w:rPr>
        <w:t>供应商</w:t>
      </w:r>
      <w:r>
        <w:rPr>
          <w:rFonts w:hint="eastAsia" w:ascii="宋体" w:hAnsi="宋体" w:cs="宋体"/>
          <w:sz w:val="24"/>
        </w:rPr>
        <w:t>提供的资格证明文件审查</w:t>
      </w:r>
      <w:r>
        <w:rPr>
          <w:rFonts w:hint="eastAsia" w:ascii="宋体" w:hAnsi="宋体" w:cs="宋体"/>
          <w:sz w:val="24"/>
          <w:lang w:eastAsia="zh-CN"/>
        </w:rPr>
        <w:t>供应商</w:t>
      </w:r>
      <w:r>
        <w:rPr>
          <w:rFonts w:hint="eastAsia" w:ascii="宋体" w:hAnsi="宋体" w:cs="宋体"/>
          <w:sz w:val="24"/>
        </w:rPr>
        <w:t>的财务、技术和供货能力。如果确定</w:t>
      </w:r>
      <w:r>
        <w:rPr>
          <w:rFonts w:hint="eastAsia" w:ascii="宋体" w:hAnsi="宋体" w:cs="宋体"/>
          <w:sz w:val="24"/>
          <w:lang w:eastAsia="zh-CN"/>
        </w:rPr>
        <w:t>供应商</w:t>
      </w:r>
      <w:r>
        <w:rPr>
          <w:rFonts w:hint="eastAsia" w:ascii="宋体" w:hAnsi="宋体" w:cs="宋体"/>
          <w:sz w:val="24"/>
        </w:rPr>
        <w:t>无资格履行合同，其投标</w:t>
      </w:r>
      <w:r>
        <w:rPr>
          <w:rFonts w:hint="eastAsia" w:ascii="宋体" w:hAnsi="宋体" w:cs="宋体"/>
          <w:sz w:val="24"/>
          <w:lang w:val="en-US" w:eastAsia="zh-CN"/>
        </w:rPr>
        <w:t>响应</w:t>
      </w:r>
      <w:r>
        <w:rPr>
          <w:rFonts w:hint="eastAsia" w:ascii="宋体" w:hAnsi="宋体" w:cs="宋体"/>
          <w:sz w:val="24"/>
        </w:rPr>
        <w:t>将被拒绝；</w:t>
      </w:r>
    </w:p>
    <w:p w14:paraId="5CAB6B83">
      <w:pPr>
        <w:spacing w:line="400" w:lineRule="atLeast"/>
        <w:ind w:firstLine="480" w:firstLineChars="20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、磋商</w:t>
      </w:r>
      <w:r>
        <w:rPr>
          <w:rFonts w:hint="eastAsia" w:ascii="宋体" w:hAnsi="宋体" w:cs="宋体"/>
          <w:sz w:val="24"/>
          <w:lang w:val="en-US" w:eastAsia="zh-CN"/>
        </w:rPr>
        <w:t>小组</w:t>
      </w:r>
      <w:r>
        <w:rPr>
          <w:rFonts w:hint="eastAsia" w:ascii="宋体" w:hAnsi="宋体" w:cs="宋体"/>
          <w:sz w:val="24"/>
        </w:rPr>
        <w:t>将确定每一</w:t>
      </w:r>
      <w:r>
        <w:rPr>
          <w:rFonts w:hint="eastAsia" w:ascii="宋体" w:hAnsi="宋体" w:cs="宋体"/>
          <w:sz w:val="24"/>
          <w:lang w:val="en-US" w:eastAsia="zh-CN"/>
        </w:rPr>
        <w:t>供应商</w:t>
      </w:r>
      <w:r>
        <w:rPr>
          <w:rFonts w:hint="eastAsia" w:ascii="宋体" w:hAnsi="宋体" w:cs="宋体"/>
          <w:sz w:val="24"/>
        </w:rPr>
        <w:t>是否对</w:t>
      </w:r>
      <w:r>
        <w:rPr>
          <w:rFonts w:hint="eastAsia" w:ascii="宋体" w:hAnsi="宋体" w:cs="宋体"/>
          <w:sz w:val="24"/>
          <w:lang w:val="en-US" w:eastAsia="zh-CN"/>
        </w:rPr>
        <w:t>采购</w:t>
      </w:r>
      <w:r>
        <w:rPr>
          <w:rFonts w:hint="eastAsia" w:ascii="宋体" w:hAnsi="宋体" w:cs="宋体"/>
          <w:sz w:val="24"/>
        </w:rPr>
        <w:t>文件的要求做出了实质性的响应，而没有重大偏离。实质性响应的</w:t>
      </w:r>
      <w:r>
        <w:rPr>
          <w:rFonts w:hint="eastAsia" w:ascii="宋体" w:hAnsi="宋体" w:cs="宋体"/>
          <w:sz w:val="24"/>
          <w:lang w:val="en-US" w:eastAsia="zh-CN"/>
        </w:rPr>
        <w:t>响应</w:t>
      </w:r>
      <w:r>
        <w:rPr>
          <w:rFonts w:hint="eastAsia" w:ascii="宋体" w:hAnsi="宋体" w:cs="宋体"/>
          <w:sz w:val="24"/>
        </w:rPr>
        <w:t>是指</w:t>
      </w:r>
      <w:r>
        <w:rPr>
          <w:rFonts w:hint="eastAsia" w:ascii="宋体" w:hAnsi="宋体" w:cs="宋体"/>
          <w:sz w:val="24"/>
          <w:lang w:val="en-US" w:eastAsia="zh-CN"/>
        </w:rPr>
        <w:t>响应文件</w:t>
      </w:r>
      <w:r>
        <w:rPr>
          <w:rFonts w:hint="eastAsia" w:ascii="宋体" w:hAnsi="宋体" w:cs="宋体"/>
          <w:sz w:val="24"/>
        </w:rPr>
        <w:t>符合</w:t>
      </w:r>
      <w:r>
        <w:rPr>
          <w:rFonts w:hint="eastAsia" w:ascii="宋体" w:hAnsi="宋体" w:cs="宋体"/>
          <w:sz w:val="24"/>
          <w:lang w:val="en-US" w:eastAsia="zh-CN"/>
        </w:rPr>
        <w:t>磋商</w:t>
      </w:r>
      <w:r>
        <w:rPr>
          <w:rFonts w:hint="eastAsia" w:ascii="宋体" w:hAnsi="宋体" w:cs="宋体"/>
          <w:sz w:val="24"/>
        </w:rPr>
        <w:t>文件的所有条款、条件和规定且没有重大偏离或保留。重大偏离或保留系指影响到</w:t>
      </w:r>
      <w:r>
        <w:rPr>
          <w:rFonts w:hint="eastAsia" w:ascii="宋体" w:hAnsi="宋体" w:cs="宋体"/>
          <w:sz w:val="24"/>
          <w:lang w:val="en-US" w:eastAsia="zh-CN"/>
        </w:rPr>
        <w:t>谈判</w:t>
      </w:r>
      <w:r>
        <w:rPr>
          <w:rFonts w:hint="eastAsia" w:ascii="宋体" w:hAnsi="宋体" w:cs="宋体"/>
          <w:sz w:val="24"/>
        </w:rPr>
        <w:t>文件规定的供货范围、服务和性能，或限制了</w:t>
      </w:r>
      <w:r>
        <w:rPr>
          <w:rFonts w:hint="eastAsia" w:ascii="宋体" w:hAnsi="宋体" w:cs="宋体"/>
          <w:sz w:val="24"/>
          <w:lang w:eastAsia="zh-CN"/>
        </w:rPr>
        <w:t>采购人</w:t>
      </w:r>
      <w:r>
        <w:rPr>
          <w:rFonts w:hint="eastAsia" w:ascii="宋体" w:hAnsi="宋体" w:cs="宋体"/>
          <w:sz w:val="24"/>
        </w:rPr>
        <w:t>的权利和</w:t>
      </w:r>
      <w:r>
        <w:rPr>
          <w:rFonts w:hint="eastAsia" w:ascii="宋体" w:hAnsi="宋体" w:cs="宋体"/>
          <w:sz w:val="24"/>
          <w:lang w:eastAsia="zh-CN"/>
        </w:rPr>
        <w:t>供应商</w:t>
      </w:r>
      <w:r>
        <w:rPr>
          <w:rFonts w:hint="eastAsia" w:ascii="宋体" w:hAnsi="宋体" w:cs="宋体"/>
          <w:sz w:val="24"/>
        </w:rPr>
        <w:t>的义务的规定，而纠正这些偏离将影响到其他提交实质性投标</w:t>
      </w:r>
      <w:r>
        <w:rPr>
          <w:rFonts w:hint="eastAsia" w:ascii="宋体" w:hAnsi="宋体" w:cs="宋体"/>
          <w:sz w:val="24"/>
          <w:lang w:val="en-US" w:eastAsia="zh-CN"/>
        </w:rPr>
        <w:t>响应</w:t>
      </w:r>
      <w:r>
        <w:rPr>
          <w:rFonts w:hint="eastAsia" w:ascii="宋体" w:hAnsi="宋体" w:cs="宋体"/>
          <w:sz w:val="24"/>
        </w:rPr>
        <w:t>的</w:t>
      </w:r>
      <w:r>
        <w:rPr>
          <w:rFonts w:hint="eastAsia" w:ascii="宋体" w:hAnsi="宋体" w:cs="宋体"/>
          <w:sz w:val="24"/>
          <w:lang w:eastAsia="zh-CN"/>
        </w:rPr>
        <w:t>供应商</w:t>
      </w:r>
      <w:r>
        <w:rPr>
          <w:rFonts w:hint="eastAsia" w:ascii="宋体" w:hAnsi="宋体" w:cs="宋体"/>
          <w:sz w:val="24"/>
        </w:rPr>
        <w:t>的公平竞争地位。</w:t>
      </w:r>
    </w:p>
    <w:p w14:paraId="35DBD228">
      <w:pPr>
        <w:spacing w:line="400" w:lineRule="atLeast"/>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 磋商</w:t>
      </w:r>
      <w:r>
        <w:rPr>
          <w:rFonts w:hint="eastAsia" w:ascii="宋体" w:hAnsi="宋体" w:eastAsia="宋体" w:cs="宋体"/>
          <w:sz w:val="24"/>
          <w:lang w:val="en-US" w:eastAsia="zh-CN"/>
        </w:rPr>
        <w:t>小组</w:t>
      </w:r>
      <w:r>
        <w:rPr>
          <w:rFonts w:hint="eastAsia" w:ascii="宋体" w:hAnsi="宋体" w:eastAsia="宋体" w:cs="宋体"/>
          <w:sz w:val="24"/>
        </w:rPr>
        <w:t>应当对</w:t>
      </w:r>
      <w:r>
        <w:rPr>
          <w:rFonts w:hint="eastAsia" w:ascii="宋体" w:hAnsi="宋体" w:cs="宋体"/>
          <w:sz w:val="24"/>
          <w:lang w:eastAsia="zh-CN"/>
        </w:rPr>
        <w:t>供应商</w:t>
      </w:r>
      <w:r>
        <w:rPr>
          <w:rFonts w:hint="eastAsia" w:ascii="宋体" w:hAnsi="宋体" w:eastAsia="宋体" w:cs="宋体"/>
          <w:sz w:val="24"/>
          <w:lang w:val="en-US" w:eastAsia="zh-CN"/>
        </w:rPr>
        <w:t>提交的响应文件进行初步审查。初审分为资格性复核和符合性检查。</w:t>
      </w:r>
    </w:p>
    <w:p w14:paraId="51858AEF">
      <w:pPr>
        <w:spacing w:line="400" w:lineRule="atLeast"/>
        <w:ind w:firstLine="482" w:firstLineChars="200"/>
        <w:jc w:val="left"/>
        <w:rPr>
          <w:rFonts w:hint="default" w:ascii="宋体" w:hAnsi="宋体" w:eastAsia="宋体" w:cs="宋体"/>
          <w:sz w:val="24"/>
          <w:lang w:val="en-US" w:eastAsia="zh-CN"/>
        </w:rPr>
      </w:pPr>
      <w:r>
        <w:rPr>
          <w:rFonts w:hint="eastAsia" w:ascii="宋体" w:hAnsi="宋体" w:eastAsia="宋体" w:cs="宋体"/>
          <w:b/>
          <w:bCs/>
          <w:sz w:val="24"/>
          <w:lang w:val="en-US" w:eastAsia="zh-CN"/>
        </w:rPr>
        <w:t>资格性检查</w:t>
      </w:r>
      <w:r>
        <w:rPr>
          <w:rFonts w:hint="eastAsia" w:ascii="宋体" w:hAnsi="宋体" w:eastAsia="宋体" w:cs="宋体"/>
          <w:sz w:val="24"/>
          <w:lang w:val="en-US" w:eastAsia="zh-CN"/>
        </w:rPr>
        <w:t>：依据法律法规和采购文件的规定，对响应文件中的资格证明进行审查，以确定</w:t>
      </w:r>
      <w:r>
        <w:rPr>
          <w:rFonts w:hint="eastAsia" w:ascii="宋体" w:hAnsi="宋体" w:cs="宋体"/>
          <w:sz w:val="24"/>
          <w:lang w:val="en-US" w:eastAsia="zh-CN"/>
        </w:rPr>
        <w:t>供应商</w:t>
      </w:r>
      <w:r>
        <w:rPr>
          <w:rFonts w:hint="eastAsia" w:ascii="宋体" w:hAnsi="宋体" w:eastAsia="宋体" w:cs="宋体"/>
          <w:sz w:val="24"/>
          <w:lang w:val="en-US" w:eastAsia="zh-CN"/>
        </w:rPr>
        <w:t>是否具备投标</w:t>
      </w:r>
      <w:r>
        <w:rPr>
          <w:rFonts w:hint="eastAsia" w:ascii="宋体" w:hAnsi="宋体" w:cs="宋体"/>
          <w:sz w:val="24"/>
          <w:lang w:val="en-US" w:eastAsia="zh-CN"/>
        </w:rPr>
        <w:t>响应</w:t>
      </w:r>
      <w:r>
        <w:rPr>
          <w:rFonts w:hint="eastAsia" w:ascii="宋体" w:hAnsi="宋体" w:eastAsia="宋体" w:cs="宋体"/>
          <w:sz w:val="24"/>
          <w:lang w:val="en-US" w:eastAsia="zh-CN"/>
        </w:rPr>
        <w:t>资格。</w:t>
      </w:r>
    </w:p>
    <w:p w14:paraId="069C0A3E">
      <w:pPr>
        <w:tabs>
          <w:tab w:val="left" w:pos="0"/>
          <w:tab w:val="left" w:pos="7560"/>
          <w:tab w:val="left" w:pos="7740"/>
          <w:tab w:val="left" w:pos="7920"/>
        </w:tabs>
        <w:adjustRightInd w:val="0"/>
        <w:snapToGrid w:val="0"/>
        <w:spacing w:line="400" w:lineRule="atLeast"/>
        <w:ind w:right="23" w:rightChars="11" w:firstLine="482" w:firstLineChars="200"/>
        <w:jc w:val="left"/>
        <w:rPr>
          <w:rFonts w:hint="eastAsia" w:ascii="宋体" w:hAnsi="宋体" w:cs="宋体"/>
          <w:sz w:val="24"/>
        </w:rPr>
      </w:pPr>
      <w:r>
        <w:rPr>
          <w:rFonts w:hint="eastAsia" w:ascii="宋体" w:hAnsi="宋体" w:cs="宋体"/>
          <w:b/>
          <w:bCs/>
          <w:sz w:val="24"/>
        </w:rPr>
        <w:t>符合性审查</w:t>
      </w:r>
      <w:r>
        <w:rPr>
          <w:rFonts w:hint="eastAsia" w:ascii="宋体" w:hAnsi="宋体" w:cs="宋体"/>
          <w:b/>
          <w:bCs/>
          <w:sz w:val="24"/>
          <w:lang w:eastAsia="zh-CN"/>
        </w:rPr>
        <w:t>：</w:t>
      </w:r>
      <w:r>
        <w:rPr>
          <w:rFonts w:hint="eastAsia" w:ascii="宋体" w:hAnsi="宋体" w:cs="宋体"/>
          <w:sz w:val="24"/>
        </w:rPr>
        <w:t>响应文件是否实质性响应</w:t>
      </w:r>
      <w:r>
        <w:rPr>
          <w:rFonts w:hint="eastAsia" w:ascii="宋体" w:hAnsi="宋体" w:cs="宋体"/>
          <w:sz w:val="24"/>
          <w:lang w:val="en-US" w:eastAsia="zh-CN"/>
        </w:rPr>
        <w:t>采购</w:t>
      </w:r>
      <w:r>
        <w:rPr>
          <w:rFonts w:hint="eastAsia" w:ascii="宋体" w:hAnsi="宋体" w:cs="宋体"/>
          <w:sz w:val="24"/>
        </w:rPr>
        <w:t>文件要求</w:t>
      </w:r>
      <w:r>
        <w:rPr>
          <w:rFonts w:hint="eastAsia" w:ascii="宋体" w:hAnsi="宋体" w:cs="宋体"/>
          <w:sz w:val="24"/>
          <w:lang w:eastAsia="zh-CN"/>
        </w:rPr>
        <w:t>，</w:t>
      </w:r>
      <w:r>
        <w:rPr>
          <w:rFonts w:hint="eastAsia" w:ascii="宋体" w:hAnsi="宋体" w:cs="宋体"/>
          <w:sz w:val="24"/>
        </w:rPr>
        <w:t>由</w:t>
      </w:r>
      <w:r>
        <w:rPr>
          <w:rFonts w:hint="eastAsia" w:ascii="宋体" w:hAnsi="宋体" w:cs="宋体"/>
          <w:sz w:val="24"/>
          <w:lang w:val="en-US" w:eastAsia="zh-CN"/>
        </w:rPr>
        <w:t>谈判小组</w:t>
      </w:r>
      <w:r>
        <w:rPr>
          <w:rFonts w:hint="eastAsia" w:ascii="宋体" w:hAnsi="宋体" w:cs="宋体"/>
          <w:sz w:val="24"/>
        </w:rPr>
        <w:t>依据</w:t>
      </w:r>
      <w:r>
        <w:rPr>
          <w:rFonts w:hint="eastAsia" w:ascii="宋体" w:hAnsi="宋体" w:cs="宋体"/>
          <w:sz w:val="24"/>
          <w:lang w:val="en-US" w:eastAsia="zh-CN"/>
        </w:rPr>
        <w:t>采购</w:t>
      </w:r>
      <w:r>
        <w:rPr>
          <w:rFonts w:hint="eastAsia" w:ascii="宋体" w:hAnsi="宋体" w:cs="宋体"/>
          <w:sz w:val="24"/>
        </w:rPr>
        <w:t>文件规定认定。</w:t>
      </w:r>
      <w:r>
        <w:rPr>
          <w:rFonts w:hint="eastAsia" w:ascii="宋体" w:hAnsi="宋体" w:cs="宋体"/>
          <w:sz w:val="24"/>
          <w:lang w:val="en-US" w:eastAsia="zh-CN"/>
        </w:rPr>
        <w:t>谈判小组</w:t>
      </w:r>
      <w:r>
        <w:rPr>
          <w:rFonts w:hint="eastAsia" w:ascii="宋体" w:hAnsi="宋体" w:cs="宋体"/>
          <w:sz w:val="24"/>
        </w:rPr>
        <w:t>决定</w:t>
      </w:r>
      <w:r>
        <w:rPr>
          <w:rFonts w:hint="eastAsia" w:ascii="宋体" w:hAnsi="宋体" w:cs="宋体"/>
          <w:sz w:val="24"/>
          <w:lang w:eastAsia="zh-CN"/>
        </w:rPr>
        <w:t>响应文件</w:t>
      </w:r>
      <w:r>
        <w:rPr>
          <w:rFonts w:hint="eastAsia" w:ascii="宋体" w:hAnsi="宋体" w:cs="宋体"/>
          <w:sz w:val="24"/>
        </w:rPr>
        <w:t>的实质性只根据</w:t>
      </w:r>
      <w:r>
        <w:rPr>
          <w:rFonts w:hint="eastAsia" w:ascii="宋体" w:hAnsi="宋体" w:cs="宋体"/>
          <w:sz w:val="24"/>
          <w:lang w:eastAsia="zh-CN"/>
        </w:rPr>
        <w:t>响应文件</w:t>
      </w:r>
      <w:r>
        <w:rPr>
          <w:rFonts w:hint="eastAsia" w:ascii="宋体" w:hAnsi="宋体" w:cs="宋体"/>
          <w:sz w:val="24"/>
        </w:rPr>
        <w:t>本身的真实无误的内容，而不依据外部的证据。依据</w:t>
      </w:r>
      <w:r>
        <w:rPr>
          <w:rFonts w:hint="eastAsia" w:ascii="宋体" w:hAnsi="宋体" w:cs="宋体"/>
          <w:sz w:val="24"/>
          <w:lang w:val="en-US" w:eastAsia="zh-CN"/>
        </w:rPr>
        <w:t>采购</w:t>
      </w:r>
      <w:r>
        <w:rPr>
          <w:rFonts w:hint="eastAsia" w:ascii="宋体" w:hAnsi="宋体" w:cs="宋体"/>
          <w:sz w:val="24"/>
        </w:rPr>
        <w:t>文件的规定，从响应文件的有效性、完整性和对</w:t>
      </w:r>
      <w:r>
        <w:rPr>
          <w:rFonts w:hint="eastAsia" w:ascii="宋体" w:hAnsi="宋体" w:cs="宋体"/>
          <w:sz w:val="24"/>
          <w:lang w:val="en-US" w:eastAsia="zh-CN"/>
        </w:rPr>
        <w:t>采购</w:t>
      </w:r>
      <w:r>
        <w:rPr>
          <w:rFonts w:hint="eastAsia" w:ascii="宋体" w:hAnsi="宋体" w:cs="宋体"/>
          <w:sz w:val="24"/>
        </w:rPr>
        <w:t>文件的响应程度进行审查，以确定是否对</w:t>
      </w:r>
      <w:r>
        <w:rPr>
          <w:rFonts w:hint="eastAsia" w:ascii="宋体" w:hAnsi="宋体" w:cs="宋体"/>
          <w:sz w:val="24"/>
          <w:lang w:val="en-US" w:eastAsia="zh-CN"/>
        </w:rPr>
        <w:t>采购</w:t>
      </w:r>
      <w:r>
        <w:rPr>
          <w:rFonts w:hint="eastAsia" w:ascii="宋体" w:hAnsi="宋体" w:cs="宋体"/>
          <w:sz w:val="24"/>
        </w:rPr>
        <w:t>文件的实质性要求作出响应。</w:t>
      </w:r>
    </w:p>
    <w:p w14:paraId="2E1F440D">
      <w:pPr>
        <w:tabs>
          <w:tab w:val="left" w:pos="0"/>
          <w:tab w:val="left" w:pos="7560"/>
          <w:tab w:val="left" w:pos="7740"/>
          <w:tab w:val="left" w:pos="7920"/>
        </w:tabs>
        <w:adjustRightInd w:val="0"/>
        <w:snapToGrid w:val="0"/>
        <w:spacing w:line="400" w:lineRule="atLeast"/>
        <w:ind w:right="23" w:rightChars="11" w:firstLine="480" w:firstLineChars="200"/>
        <w:jc w:val="left"/>
        <w:rPr>
          <w:rFonts w:hint="eastAsia" w:ascii="宋体" w:hAnsi="宋体" w:cs="宋体"/>
          <w:sz w:val="24"/>
        </w:rPr>
      </w:pPr>
      <w:r>
        <w:rPr>
          <w:rFonts w:hint="eastAsia" w:ascii="宋体" w:hAnsi="宋体" w:cs="宋体"/>
          <w:sz w:val="24"/>
        </w:rPr>
        <w:t>（1）未按规定由</w:t>
      </w:r>
      <w:r>
        <w:rPr>
          <w:rFonts w:hint="eastAsia" w:ascii="宋体" w:hAnsi="宋体" w:cs="宋体"/>
          <w:sz w:val="24"/>
          <w:lang w:eastAsia="zh-CN"/>
        </w:rPr>
        <w:t>供应商</w:t>
      </w:r>
      <w:r>
        <w:rPr>
          <w:rFonts w:hint="eastAsia" w:ascii="宋体" w:hAnsi="宋体" w:cs="宋体"/>
          <w:sz w:val="24"/>
        </w:rPr>
        <w:t>的法定代表人或</w:t>
      </w:r>
      <w:r>
        <w:rPr>
          <w:rFonts w:hint="eastAsia" w:ascii="宋体" w:hAnsi="宋体" w:cs="宋体"/>
          <w:sz w:val="24"/>
          <w:lang w:eastAsia="zh-CN"/>
        </w:rPr>
        <w:t>供应商</w:t>
      </w:r>
      <w:r>
        <w:rPr>
          <w:rFonts w:hint="eastAsia" w:ascii="宋体" w:hAnsi="宋体" w:cs="宋体"/>
          <w:sz w:val="24"/>
        </w:rPr>
        <w:t>代表签字，或未加盖</w:t>
      </w:r>
      <w:r>
        <w:rPr>
          <w:rFonts w:hint="eastAsia" w:ascii="宋体" w:hAnsi="宋体" w:cs="宋体"/>
          <w:sz w:val="24"/>
          <w:lang w:eastAsia="zh-CN"/>
        </w:rPr>
        <w:t>供应商</w:t>
      </w:r>
      <w:r>
        <w:rPr>
          <w:rFonts w:hint="eastAsia" w:ascii="宋体" w:hAnsi="宋体" w:cs="宋体"/>
          <w:sz w:val="24"/>
        </w:rPr>
        <w:t>公章的，或签字人未经法定代表人有效授权委托的。</w:t>
      </w:r>
    </w:p>
    <w:p w14:paraId="00EED279">
      <w:pPr>
        <w:tabs>
          <w:tab w:val="left" w:pos="0"/>
          <w:tab w:val="left" w:pos="7560"/>
          <w:tab w:val="left" w:pos="7740"/>
          <w:tab w:val="left" w:pos="7920"/>
        </w:tabs>
        <w:adjustRightInd w:val="0"/>
        <w:snapToGrid w:val="0"/>
        <w:spacing w:line="400" w:lineRule="atLeast"/>
        <w:ind w:right="23" w:rightChars="11" w:firstLine="480" w:firstLineChars="200"/>
        <w:jc w:val="left"/>
        <w:rPr>
          <w:rFonts w:hint="eastAsia" w:ascii="宋体" w:hAnsi="宋体" w:cs="宋体"/>
          <w:sz w:val="24"/>
        </w:rPr>
      </w:pPr>
      <w:r>
        <w:rPr>
          <w:rFonts w:hint="eastAsia" w:ascii="宋体" w:hAnsi="宋体" w:cs="宋体"/>
          <w:sz w:val="24"/>
        </w:rPr>
        <w:t>（2）投标</w:t>
      </w:r>
      <w:r>
        <w:rPr>
          <w:rFonts w:hint="eastAsia" w:ascii="宋体" w:hAnsi="宋体" w:cs="宋体"/>
          <w:sz w:val="24"/>
          <w:lang w:val="en-US" w:eastAsia="zh-CN"/>
        </w:rPr>
        <w:t>响应</w:t>
      </w:r>
      <w:r>
        <w:rPr>
          <w:rFonts w:hint="eastAsia" w:ascii="宋体" w:hAnsi="宋体" w:cs="宋体"/>
          <w:sz w:val="24"/>
        </w:rPr>
        <w:t>有效期不满足</w:t>
      </w:r>
      <w:r>
        <w:rPr>
          <w:rFonts w:hint="eastAsia" w:ascii="宋体" w:hAnsi="宋体" w:cs="宋体"/>
          <w:sz w:val="24"/>
          <w:lang w:val="en-US" w:eastAsia="zh-CN"/>
        </w:rPr>
        <w:t>磋商</w:t>
      </w:r>
      <w:r>
        <w:rPr>
          <w:rFonts w:hint="eastAsia" w:ascii="宋体" w:hAnsi="宋体" w:cs="宋体"/>
          <w:sz w:val="24"/>
        </w:rPr>
        <w:t>文件要求的；</w:t>
      </w:r>
    </w:p>
    <w:p w14:paraId="785CC3D9">
      <w:pPr>
        <w:tabs>
          <w:tab w:val="left" w:pos="0"/>
          <w:tab w:val="left" w:pos="7560"/>
          <w:tab w:val="left" w:pos="7740"/>
          <w:tab w:val="left" w:pos="7920"/>
        </w:tabs>
        <w:adjustRightInd w:val="0"/>
        <w:snapToGrid w:val="0"/>
        <w:spacing w:line="400" w:lineRule="atLeast"/>
        <w:ind w:right="23" w:rightChars="11"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供应商</w:t>
      </w:r>
      <w:r>
        <w:rPr>
          <w:rFonts w:hint="eastAsia" w:ascii="宋体" w:hAnsi="宋体" w:cs="宋体"/>
          <w:sz w:val="24"/>
        </w:rPr>
        <w:t>提交的</w:t>
      </w:r>
      <w:r>
        <w:rPr>
          <w:rFonts w:hint="eastAsia" w:ascii="宋体" w:hAnsi="宋体" w:cs="宋体"/>
          <w:sz w:val="24"/>
          <w:lang w:eastAsia="zh-CN"/>
        </w:rPr>
        <w:t>报价</w:t>
      </w:r>
      <w:r>
        <w:rPr>
          <w:rFonts w:hint="eastAsia" w:ascii="宋体" w:hAnsi="宋体" w:cs="宋体"/>
          <w:sz w:val="24"/>
        </w:rPr>
        <w:t>高于最高</w:t>
      </w:r>
      <w:r>
        <w:rPr>
          <w:rFonts w:hint="eastAsia" w:ascii="宋体" w:hAnsi="宋体" w:cs="宋体"/>
          <w:sz w:val="24"/>
          <w:lang w:eastAsia="zh-CN"/>
        </w:rPr>
        <w:t>限价</w:t>
      </w:r>
      <w:r>
        <w:rPr>
          <w:rFonts w:hint="eastAsia" w:ascii="宋体" w:hAnsi="宋体" w:cs="宋体"/>
          <w:sz w:val="24"/>
        </w:rPr>
        <w:t xml:space="preserve">的； </w:t>
      </w:r>
    </w:p>
    <w:p w14:paraId="2EA42375">
      <w:pPr>
        <w:tabs>
          <w:tab w:val="left" w:pos="0"/>
          <w:tab w:val="left" w:pos="7560"/>
          <w:tab w:val="left" w:pos="7740"/>
          <w:tab w:val="left" w:pos="7920"/>
        </w:tabs>
        <w:adjustRightInd w:val="0"/>
        <w:snapToGrid w:val="0"/>
        <w:spacing w:line="400" w:lineRule="atLeast"/>
        <w:ind w:right="23" w:rightChars="11"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响应</w:t>
      </w:r>
      <w:r>
        <w:rPr>
          <w:rFonts w:hint="eastAsia" w:ascii="宋体" w:hAnsi="宋体" w:cs="宋体"/>
          <w:sz w:val="24"/>
        </w:rPr>
        <w:t>文件付款方式不能满足</w:t>
      </w:r>
      <w:r>
        <w:rPr>
          <w:rFonts w:hint="eastAsia" w:ascii="宋体" w:hAnsi="宋体" w:cs="宋体"/>
          <w:sz w:val="24"/>
          <w:lang w:val="en-US" w:eastAsia="zh-CN"/>
        </w:rPr>
        <w:t>磋商</w:t>
      </w:r>
      <w:r>
        <w:rPr>
          <w:rFonts w:hint="eastAsia" w:ascii="宋体" w:hAnsi="宋体" w:cs="宋体"/>
          <w:sz w:val="24"/>
        </w:rPr>
        <w:t>文件要求的；</w:t>
      </w:r>
    </w:p>
    <w:p w14:paraId="1C70AD4F">
      <w:pPr>
        <w:tabs>
          <w:tab w:val="left" w:pos="0"/>
          <w:tab w:val="left" w:pos="7560"/>
          <w:tab w:val="left" w:pos="7740"/>
          <w:tab w:val="left" w:pos="7920"/>
        </w:tabs>
        <w:adjustRightInd w:val="0"/>
        <w:snapToGrid w:val="0"/>
        <w:spacing w:line="400" w:lineRule="atLeast"/>
        <w:ind w:right="23" w:rightChars="11"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eastAsia="zh-CN"/>
        </w:rPr>
        <w:t>响应文件</w:t>
      </w:r>
      <w:r>
        <w:rPr>
          <w:rFonts w:hint="eastAsia" w:ascii="宋体" w:hAnsi="宋体" w:cs="宋体"/>
          <w:sz w:val="24"/>
        </w:rPr>
        <w:t>的关键内容字迹模糊、无法辨认的,或者</w:t>
      </w:r>
      <w:r>
        <w:rPr>
          <w:rFonts w:hint="eastAsia" w:ascii="宋体" w:hAnsi="宋体" w:cs="宋体"/>
          <w:sz w:val="24"/>
          <w:lang w:eastAsia="zh-CN"/>
        </w:rPr>
        <w:t>响应文件</w:t>
      </w:r>
      <w:r>
        <w:rPr>
          <w:rFonts w:hint="eastAsia" w:ascii="宋体" w:hAnsi="宋体" w:cs="宋体"/>
          <w:sz w:val="24"/>
        </w:rPr>
        <w:t>中经修正的内容字迹模糊难以辩认或者修改处未按规定签名盖章的；</w:t>
      </w:r>
    </w:p>
    <w:p w14:paraId="4A4415DD">
      <w:pPr>
        <w:tabs>
          <w:tab w:val="left" w:pos="0"/>
          <w:tab w:val="left" w:pos="7560"/>
          <w:tab w:val="left" w:pos="7740"/>
          <w:tab w:val="left" w:pos="7920"/>
        </w:tabs>
        <w:adjustRightInd w:val="0"/>
        <w:snapToGrid w:val="0"/>
        <w:spacing w:line="400" w:lineRule="atLeast"/>
        <w:ind w:right="23" w:rightChars="11" w:firstLine="480" w:firstLineChars="200"/>
        <w:rPr>
          <w:rFonts w:hint="eastAsia" w:ascii="宋体" w:hAnsi="宋体" w:cs="宋体"/>
          <w:sz w:val="24"/>
        </w:rPr>
      </w:pPr>
      <w:r>
        <w:rPr>
          <w:rFonts w:hint="eastAsia" w:ascii="宋体" w:hAnsi="宋体" w:cs="宋体"/>
          <w:sz w:val="24"/>
        </w:rPr>
        <w:t>（6）投标</w:t>
      </w:r>
      <w:r>
        <w:rPr>
          <w:rFonts w:hint="eastAsia" w:ascii="宋体" w:hAnsi="宋体" w:cs="宋体"/>
          <w:sz w:val="24"/>
          <w:lang w:val="en-US" w:eastAsia="zh-CN"/>
        </w:rPr>
        <w:t>响应</w:t>
      </w:r>
      <w:r>
        <w:rPr>
          <w:rFonts w:hint="eastAsia" w:ascii="宋体" w:hAnsi="宋体" w:cs="宋体"/>
          <w:sz w:val="24"/>
        </w:rPr>
        <w:t>有效期、</w:t>
      </w:r>
      <w:r>
        <w:rPr>
          <w:rFonts w:hint="eastAsia" w:ascii="宋体" w:hAnsi="宋体" w:cs="宋体"/>
          <w:sz w:val="24"/>
          <w:lang w:eastAsia="zh-CN"/>
        </w:rPr>
        <w:t>工期</w:t>
      </w:r>
      <w:r>
        <w:rPr>
          <w:rFonts w:hint="eastAsia" w:ascii="宋体" w:hAnsi="宋体" w:cs="宋体"/>
          <w:sz w:val="24"/>
        </w:rPr>
        <w:t>、</w:t>
      </w:r>
      <w:r>
        <w:rPr>
          <w:rFonts w:hint="eastAsia" w:ascii="宋体" w:hAnsi="宋体" w:cs="宋体"/>
          <w:sz w:val="24"/>
          <w:lang w:eastAsia="zh-CN"/>
        </w:rPr>
        <w:t>施工范围</w:t>
      </w:r>
      <w:r>
        <w:rPr>
          <w:rFonts w:hint="eastAsia" w:ascii="宋体" w:hAnsi="宋体" w:cs="宋体"/>
          <w:sz w:val="24"/>
        </w:rPr>
        <w:t>等商务条款不能满足</w:t>
      </w:r>
      <w:r>
        <w:rPr>
          <w:rFonts w:hint="eastAsia" w:ascii="宋体" w:hAnsi="宋体" w:cs="宋体"/>
          <w:sz w:val="24"/>
          <w:lang w:val="en-US" w:eastAsia="zh-CN"/>
        </w:rPr>
        <w:t>磋商</w:t>
      </w:r>
      <w:r>
        <w:rPr>
          <w:rFonts w:hint="eastAsia" w:ascii="宋体" w:hAnsi="宋体" w:cs="宋体"/>
          <w:sz w:val="24"/>
        </w:rPr>
        <w:t>文件要求的；</w:t>
      </w:r>
    </w:p>
    <w:p w14:paraId="46081F93">
      <w:pPr>
        <w:spacing w:line="400" w:lineRule="atLeast"/>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sz w:val="24"/>
          <w:lang w:eastAsia="zh-CN"/>
        </w:rPr>
        <w:t>供应商</w:t>
      </w:r>
      <w:r>
        <w:rPr>
          <w:rFonts w:hint="eastAsia" w:ascii="宋体" w:hAnsi="宋体" w:cs="宋体"/>
          <w:sz w:val="24"/>
        </w:rPr>
        <w:t>递交两份或多份内容不同的</w:t>
      </w:r>
      <w:r>
        <w:rPr>
          <w:rFonts w:hint="eastAsia" w:ascii="宋体" w:hAnsi="宋体" w:cs="宋体"/>
          <w:sz w:val="24"/>
          <w:lang w:val="en-US" w:eastAsia="zh-CN"/>
        </w:rPr>
        <w:t>响应</w:t>
      </w:r>
      <w:r>
        <w:rPr>
          <w:rFonts w:hint="eastAsia" w:ascii="宋体" w:hAnsi="宋体" w:cs="宋体"/>
          <w:sz w:val="24"/>
        </w:rPr>
        <w:t>文件，或在一份</w:t>
      </w:r>
      <w:r>
        <w:rPr>
          <w:rFonts w:hint="eastAsia" w:ascii="宋体" w:hAnsi="宋体" w:cs="宋体"/>
          <w:sz w:val="24"/>
          <w:lang w:eastAsia="zh-CN"/>
        </w:rPr>
        <w:t>响应文件</w:t>
      </w:r>
      <w:r>
        <w:rPr>
          <w:rFonts w:hint="eastAsia" w:ascii="宋体" w:hAnsi="宋体" w:cs="宋体"/>
          <w:sz w:val="24"/>
        </w:rPr>
        <w:t>中对同一招标项目出现两个或多个报价。</w:t>
      </w:r>
    </w:p>
    <w:p w14:paraId="41FCE5F7">
      <w:pPr>
        <w:spacing w:line="400" w:lineRule="atLeast"/>
        <w:ind w:firstLine="480" w:firstLineChars="200"/>
        <w:rPr>
          <w:rFonts w:hint="eastAsia"/>
        </w:rPr>
      </w:pPr>
      <w:r>
        <w:rPr>
          <w:rFonts w:hint="eastAsia" w:ascii="宋体" w:hAnsi="宋体" w:cs="宋体"/>
          <w:sz w:val="24"/>
        </w:rPr>
        <w:t>（8）未实质性响应或者擅自改变</w:t>
      </w:r>
      <w:r>
        <w:rPr>
          <w:rFonts w:hint="eastAsia" w:ascii="宋体" w:hAnsi="宋体" w:cs="宋体"/>
          <w:sz w:val="24"/>
          <w:lang w:eastAsia="zh-CN"/>
        </w:rPr>
        <w:t>磋商文件</w:t>
      </w:r>
      <w:r>
        <w:rPr>
          <w:rFonts w:hint="eastAsia" w:ascii="宋体" w:hAnsi="宋体" w:cs="宋体"/>
          <w:sz w:val="24"/>
        </w:rPr>
        <w:t>要求或者</w:t>
      </w:r>
      <w:r>
        <w:rPr>
          <w:rFonts w:hint="eastAsia" w:ascii="宋体" w:hAnsi="宋体" w:cs="宋体"/>
          <w:sz w:val="24"/>
          <w:lang w:val="en-US" w:eastAsia="zh-CN"/>
        </w:rPr>
        <w:t>响应</w:t>
      </w:r>
      <w:r>
        <w:rPr>
          <w:rFonts w:hint="eastAsia" w:ascii="宋体" w:hAnsi="宋体" w:cs="宋体"/>
          <w:sz w:val="24"/>
        </w:rPr>
        <w:t>文件有招标方不能接受的附加条件的。</w:t>
      </w:r>
    </w:p>
    <w:p w14:paraId="053A5620">
      <w:pPr>
        <w:pStyle w:val="36"/>
        <w:numPr>
          <w:ilvl w:val="0"/>
          <w:numId w:val="19"/>
        </w:numPr>
        <w:rPr>
          <w:rFonts w:hint="eastAsia" w:cs="宋体"/>
          <w:b/>
          <w:bCs/>
          <w:sz w:val="24"/>
          <w:lang w:val="en-US" w:eastAsia="zh-CN"/>
        </w:rPr>
      </w:pPr>
      <w:r>
        <w:rPr>
          <w:rFonts w:hint="eastAsia" w:cs="宋体"/>
          <w:b/>
          <w:bCs/>
          <w:sz w:val="24"/>
          <w:lang w:val="en-US" w:eastAsia="zh-CN"/>
        </w:rPr>
        <w:t>磋商</w:t>
      </w:r>
    </w:p>
    <w:p w14:paraId="6548AC13">
      <w:pPr>
        <w:tabs>
          <w:tab w:val="left" w:pos="0"/>
          <w:tab w:val="left" w:pos="7560"/>
          <w:tab w:val="left" w:pos="7740"/>
          <w:tab w:val="left" w:pos="7920"/>
        </w:tabs>
        <w:adjustRightInd w:val="0"/>
        <w:snapToGrid w:val="0"/>
        <w:spacing w:line="400" w:lineRule="atLeast"/>
        <w:ind w:right="23" w:rightChars="11" w:firstLine="480" w:firstLineChars="200"/>
        <w:jc w:val="left"/>
        <w:rPr>
          <w:rFonts w:hint="eastAsia" w:ascii="宋体" w:hAnsi="宋体" w:cs="宋体"/>
          <w:sz w:val="24"/>
          <w:lang w:val="en-US" w:eastAsia="zh-CN"/>
        </w:rPr>
      </w:pPr>
      <w:r>
        <w:rPr>
          <w:rFonts w:hint="eastAsia" w:ascii="宋体" w:hAnsi="宋体" w:cs="宋体"/>
          <w:sz w:val="24"/>
          <w:lang w:val="en-US" w:eastAsia="zh-CN"/>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6AACC33">
      <w:pPr>
        <w:tabs>
          <w:tab w:val="left" w:pos="0"/>
          <w:tab w:val="left" w:pos="7560"/>
          <w:tab w:val="left" w:pos="7740"/>
          <w:tab w:val="left" w:pos="7920"/>
        </w:tabs>
        <w:adjustRightInd w:val="0"/>
        <w:snapToGrid w:val="0"/>
        <w:spacing w:line="400" w:lineRule="atLeast"/>
        <w:ind w:right="23" w:rightChars="11" w:firstLine="480" w:firstLineChars="200"/>
        <w:jc w:val="left"/>
        <w:rPr>
          <w:rFonts w:hint="default" w:ascii="宋体" w:hAnsi="宋体" w:cs="宋体"/>
          <w:sz w:val="24"/>
          <w:lang w:val="en-US" w:eastAsia="zh-CN"/>
        </w:rPr>
      </w:pPr>
      <w:r>
        <w:rPr>
          <w:rFonts w:hint="eastAsia" w:ascii="宋体" w:hAnsi="宋体" w:cs="宋体"/>
          <w:sz w:val="24"/>
          <w:lang w:val="en-US" w:eastAsia="zh-CN"/>
        </w:rPr>
        <w:t>磋商小组所有成员应当集中与单一供应商分别进行磋商，并给予所有参加磋商的供应商平等的磋商机会。</w:t>
      </w:r>
    </w:p>
    <w:p w14:paraId="58B5210F">
      <w:pPr>
        <w:tabs>
          <w:tab w:val="left" w:pos="0"/>
          <w:tab w:val="left" w:pos="7560"/>
          <w:tab w:val="left" w:pos="7740"/>
          <w:tab w:val="left" w:pos="7920"/>
        </w:tabs>
        <w:adjustRightInd w:val="0"/>
        <w:snapToGrid w:val="0"/>
        <w:spacing w:line="400" w:lineRule="atLeast"/>
        <w:ind w:right="23" w:rightChars="11" w:firstLine="480" w:firstLineChars="200"/>
        <w:jc w:val="left"/>
        <w:rPr>
          <w:rFonts w:hint="default" w:ascii="宋体" w:hAnsi="宋体" w:cs="宋体"/>
          <w:sz w:val="24"/>
          <w:lang w:val="en-US" w:eastAsia="zh-CN"/>
        </w:rPr>
      </w:pPr>
      <w:r>
        <w:rPr>
          <w:rFonts w:hint="default" w:ascii="宋体" w:hAnsi="宋体" w:cs="宋体"/>
          <w:sz w:val="24"/>
          <w:lang w:val="en-US" w:eastAsia="zh-CN"/>
        </w:rPr>
        <w:t>磋商文件能够详细列明采购标的的技术、服务要求的，磋商结束后，磋商小组应当要求所有实质性响应的供应商在规定时间内提交最后报价</w:t>
      </w:r>
      <w:r>
        <w:rPr>
          <w:rFonts w:hint="eastAsia" w:ascii="宋体" w:hAnsi="宋体" w:cs="宋体"/>
          <w:sz w:val="24"/>
          <w:lang w:val="en-US" w:eastAsia="zh-CN"/>
        </w:rPr>
        <w:t>。</w:t>
      </w:r>
      <w:r>
        <w:rPr>
          <w:rFonts w:hint="eastAsia" w:ascii="宋体" w:hAnsi="宋体" w:cs="宋体"/>
          <w:sz w:val="24"/>
        </w:rPr>
        <w:t>采用综合评分法，即</w:t>
      </w:r>
      <w:r>
        <w:rPr>
          <w:rFonts w:hint="eastAsia" w:ascii="宋体" w:hAnsi="宋体" w:cs="宋体"/>
          <w:sz w:val="24"/>
          <w:lang w:val="en-US" w:eastAsia="zh-CN"/>
        </w:rPr>
        <w:t>响应</w:t>
      </w:r>
      <w:r>
        <w:rPr>
          <w:rFonts w:hint="eastAsia" w:ascii="宋体" w:hAnsi="宋体" w:cs="宋体"/>
          <w:sz w:val="24"/>
        </w:rPr>
        <w:t>文件满足</w:t>
      </w:r>
      <w:r>
        <w:rPr>
          <w:rFonts w:hint="eastAsia" w:ascii="宋体" w:hAnsi="宋体" w:cs="宋体"/>
          <w:sz w:val="24"/>
          <w:lang w:val="en-US" w:eastAsia="zh-CN"/>
        </w:rPr>
        <w:t>采购</w:t>
      </w:r>
      <w:r>
        <w:rPr>
          <w:rFonts w:hint="eastAsia" w:ascii="宋体" w:hAnsi="宋体" w:cs="宋体"/>
          <w:sz w:val="24"/>
        </w:rPr>
        <w:t>文件全部实质性要求，且按照评审因素的量化指标评审得分最高的</w:t>
      </w:r>
      <w:r>
        <w:rPr>
          <w:rFonts w:hint="eastAsia" w:ascii="宋体" w:hAnsi="宋体" w:cs="宋体"/>
          <w:sz w:val="24"/>
          <w:lang w:eastAsia="zh-CN"/>
        </w:rPr>
        <w:t>供应商</w:t>
      </w:r>
      <w:r>
        <w:rPr>
          <w:rFonts w:hint="eastAsia" w:ascii="宋体" w:hAnsi="宋体" w:cs="宋体"/>
          <w:sz w:val="24"/>
        </w:rPr>
        <w:t>为</w:t>
      </w:r>
      <w:r>
        <w:rPr>
          <w:rFonts w:hint="eastAsia" w:ascii="宋体" w:hAnsi="宋体" w:cs="宋体"/>
          <w:sz w:val="24"/>
          <w:lang w:val="en-US" w:eastAsia="zh-CN"/>
        </w:rPr>
        <w:t>成交</w:t>
      </w:r>
      <w:r>
        <w:rPr>
          <w:rFonts w:hint="eastAsia" w:ascii="宋体" w:hAnsi="宋体" w:cs="宋体"/>
          <w:sz w:val="24"/>
        </w:rPr>
        <w:t>候选人。得分相同的，按</w:t>
      </w:r>
      <w:r>
        <w:rPr>
          <w:rFonts w:hint="eastAsia" w:ascii="宋体" w:hAnsi="宋体" w:cs="宋体"/>
          <w:sz w:val="24"/>
          <w:lang w:val="en-US" w:eastAsia="zh-CN"/>
        </w:rPr>
        <w:t>最终响应</w:t>
      </w:r>
      <w:r>
        <w:rPr>
          <w:rFonts w:hint="eastAsia" w:ascii="宋体" w:hAnsi="宋体" w:cs="宋体"/>
          <w:sz w:val="24"/>
        </w:rPr>
        <w:t>报价由低到高顺序排列。得分与</w:t>
      </w:r>
      <w:r>
        <w:rPr>
          <w:rFonts w:hint="eastAsia" w:ascii="宋体" w:hAnsi="宋体" w:cs="宋体"/>
          <w:sz w:val="24"/>
          <w:lang w:eastAsia="zh-CN"/>
        </w:rPr>
        <w:t>报价</w:t>
      </w:r>
      <w:r>
        <w:rPr>
          <w:rFonts w:hint="eastAsia" w:ascii="宋体" w:hAnsi="宋体" w:cs="宋体"/>
          <w:sz w:val="24"/>
        </w:rPr>
        <w:t>均相同的</w:t>
      </w:r>
      <w:r>
        <w:rPr>
          <w:rFonts w:hint="eastAsia" w:ascii="宋体" w:hAnsi="宋体" w:cs="宋体"/>
          <w:sz w:val="24"/>
          <w:lang w:eastAsia="zh-CN"/>
        </w:rPr>
        <w:t>，</w:t>
      </w:r>
      <w:r>
        <w:rPr>
          <w:rFonts w:hint="eastAsia" w:ascii="宋体" w:hAnsi="宋体" w:cs="宋体"/>
          <w:sz w:val="24"/>
          <w:lang w:val="en-US" w:eastAsia="zh-CN"/>
        </w:rPr>
        <w:t>按照技术方案优劣顺序排列。</w:t>
      </w:r>
    </w:p>
    <w:p w14:paraId="7FD56EC3">
      <w:pPr>
        <w:tabs>
          <w:tab w:val="left" w:pos="0"/>
          <w:tab w:val="left" w:pos="7560"/>
          <w:tab w:val="left" w:pos="7740"/>
          <w:tab w:val="left" w:pos="7920"/>
        </w:tabs>
        <w:adjustRightInd w:val="0"/>
        <w:snapToGrid w:val="0"/>
        <w:spacing w:line="400" w:lineRule="atLeast"/>
        <w:ind w:right="23" w:rightChars="11" w:firstLine="480" w:firstLineChars="200"/>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经磋商确定最终采购需求和提交最后报价的供应商后，由磋商小组采用综合评分法对提交最后报价的供应商的响应文件和最后报价进行综合评分。</w:t>
      </w:r>
    </w:p>
    <w:p w14:paraId="2E048F21">
      <w:pPr>
        <w:spacing w:line="400" w:lineRule="atLeast"/>
        <w:ind w:firstLine="480" w:firstLineChars="200"/>
        <w:rPr>
          <w:rFonts w:hint="eastAsia" w:ascii="宋体" w:hAnsi="宋体" w:cs="宋体"/>
          <w:sz w:val="24"/>
          <w:lang w:val="en-US" w:eastAsia="zh-CN"/>
        </w:rPr>
      </w:pPr>
      <w:r>
        <w:rPr>
          <w:rFonts w:hint="eastAsia" w:ascii="宋体" w:hAnsi="宋体" w:cs="宋体"/>
          <w:sz w:val="24"/>
          <w:lang w:val="en-US" w:eastAsia="zh-CN"/>
        </w:rPr>
        <w:t>5．澄清有关问题</w:t>
      </w:r>
    </w:p>
    <w:p w14:paraId="6C4BF772">
      <w:pPr>
        <w:spacing w:line="400" w:lineRule="atLeast"/>
        <w:rPr>
          <w:rFonts w:hint="eastAsia" w:ascii="宋体" w:hAnsi="宋体" w:cs="宋体"/>
          <w:sz w:val="24"/>
          <w:lang w:val="en-US" w:eastAsia="zh-CN"/>
        </w:rPr>
      </w:pPr>
      <w:r>
        <w:rPr>
          <w:rFonts w:hint="eastAsia" w:ascii="宋体" w:hAnsi="宋体" w:cs="宋体"/>
          <w:sz w:val="24"/>
          <w:lang w:val="en-US" w:eastAsia="zh-CN"/>
        </w:rPr>
        <w:t>5.1对于响应文件中含义不明确、同类问题表述不一致或者有明显文字和计算错误的内容，磋商小组应当以书面形式要求供应商作出必要的澄清、说明或者补正。</w:t>
      </w:r>
    </w:p>
    <w:p w14:paraId="192EFF38">
      <w:pPr>
        <w:spacing w:line="400" w:lineRule="atLeast"/>
        <w:rPr>
          <w:rFonts w:hint="eastAsia" w:ascii="宋体" w:hAnsi="宋体" w:cs="宋体"/>
          <w:sz w:val="24"/>
          <w:lang w:val="en-US" w:eastAsia="zh-CN"/>
        </w:rPr>
      </w:pPr>
      <w:r>
        <w:rPr>
          <w:rFonts w:hint="eastAsia" w:ascii="宋体" w:hAnsi="宋体" w:cs="宋体"/>
          <w:sz w:val="24"/>
          <w:lang w:val="en-US" w:eastAsia="zh-CN"/>
        </w:rPr>
        <w:t>供应商的澄清、说明或者补正应当采用书面形式，并加盖公章，或者由法定代表人或其授权的代表签字。供应商的澄清、说明或者补正不得超出响应文件的范围或者改变响应文件的实质性内容。</w:t>
      </w:r>
    </w:p>
    <w:p w14:paraId="66073BF0">
      <w:pPr>
        <w:spacing w:line="400" w:lineRule="atLeast"/>
        <w:rPr>
          <w:rFonts w:hint="eastAsia" w:ascii="宋体" w:hAnsi="宋体" w:cs="宋体"/>
          <w:sz w:val="24"/>
          <w:lang w:val="en-US" w:eastAsia="zh-CN"/>
        </w:rPr>
      </w:pPr>
      <w:r>
        <w:rPr>
          <w:rFonts w:hint="eastAsia" w:ascii="宋体" w:hAnsi="宋体" w:cs="宋体"/>
          <w:sz w:val="24"/>
          <w:lang w:val="en-US" w:eastAsia="zh-CN"/>
        </w:rPr>
        <w:t>5.2供应商不得对下列内容进行澄清或补充：</w:t>
      </w:r>
    </w:p>
    <w:p w14:paraId="74B44957">
      <w:pPr>
        <w:spacing w:line="400" w:lineRule="atLeast"/>
        <w:rPr>
          <w:rFonts w:hint="eastAsia" w:ascii="宋体" w:hAnsi="宋体" w:cs="宋体"/>
          <w:sz w:val="24"/>
          <w:lang w:val="en-US" w:eastAsia="zh-CN"/>
        </w:rPr>
      </w:pPr>
      <w:r>
        <w:rPr>
          <w:rFonts w:hint="eastAsia" w:ascii="宋体" w:hAnsi="宋体" w:cs="宋体"/>
          <w:sz w:val="24"/>
          <w:lang w:val="en-US" w:eastAsia="zh-CN"/>
        </w:rPr>
        <w:t>(1)响应报价、质量标准、合同履行期限等实质性内容。</w:t>
      </w:r>
    </w:p>
    <w:p w14:paraId="5CA82ABC">
      <w:pPr>
        <w:spacing w:line="400" w:lineRule="atLeast"/>
        <w:rPr>
          <w:rFonts w:hint="eastAsia" w:ascii="宋体" w:hAnsi="宋体" w:cs="宋体"/>
          <w:sz w:val="24"/>
          <w:lang w:val="en-US" w:eastAsia="zh-CN"/>
        </w:rPr>
      </w:pPr>
      <w:r>
        <w:rPr>
          <w:rFonts w:hint="eastAsia" w:ascii="宋体" w:hAnsi="宋体" w:cs="宋体"/>
          <w:sz w:val="24"/>
          <w:lang w:val="en-US" w:eastAsia="zh-CN"/>
        </w:rPr>
        <w:t>(2)不满足供应商须知规定的实质性要求的响应文件内容。</w:t>
      </w:r>
    </w:p>
    <w:p w14:paraId="0D9F70A6">
      <w:pPr>
        <w:spacing w:line="400" w:lineRule="atLeast"/>
        <w:rPr>
          <w:rFonts w:hint="eastAsia" w:ascii="宋体" w:hAnsi="宋体" w:cs="宋体"/>
          <w:sz w:val="24"/>
          <w:lang w:val="en-US" w:eastAsia="zh-CN"/>
        </w:rPr>
      </w:pPr>
      <w:r>
        <w:rPr>
          <w:rFonts w:hint="eastAsia" w:ascii="宋体" w:hAnsi="宋体" w:cs="宋体"/>
          <w:sz w:val="24"/>
          <w:lang w:val="en-US" w:eastAsia="zh-CN"/>
        </w:rPr>
        <w:t>5.3响应文件报价出现前后不一致的，除磋商文件另有规定外，按照下列规定修正：</w:t>
      </w:r>
    </w:p>
    <w:p w14:paraId="3443A66C">
      <w:pPr>
        <w:spacing w:line="400" w:lineRule="atLeast"/>
        <w:rPr>
          <w:rFonts w:hint="eastAsia" w:ascii="宋体" w:hAnsi="宋体" w:cs="宋体"/>
          <w:sz w:val="24"/>
          <w:lang w:val="en-US" w:eastAsia="zh-CN"/>
        </w:rPr>
      </w:pPr>
      <w:r>
        <w:rPr>
          <w:rFonts w:hint="eastAsia" w:ascii="宋体" w:hAnsi="宋体" w:cs="宋体"/>
          <w:sz w:val="24"/>
          <w:lang w:val="en-US" w:eastAsia="zh-CN"/>
        </w:rPr>
        <w:t>（1）响应文件中开标一览表（报价表）内容与响应文件中相应内容不一致的，以开标一览表（报价表）为准；</w:t>
      </w:r>
    </w:p>
    <w:p w14:paraId="021F3BF2">
      <w:pPr>
        <w:spacing w:line="400" w:lineRule="atLeast"/>
        <w:rPr>
          <w:rFonts w:hint="eastAsia" w:ascii="宋体" w:hAnsi="宋体" w:cs="宋体"/>
          <w:sz w:val="24"/>
          <w:lang w:val="en-US" w:eastAsia="zh-CN"/>
        </w:rPr>
      </w:pPr>
      <w:r>
        <w:rPr>
          <w:rFonts w:hint="eastAsia" w:ascii="宋体" w:hAnsi="宋体" w:cs="宋体"/>
          <w:sz w:val="24"/>
          <w:lang w:val="en-US" w:eastAsia="zh-CN"/>
        </w:rPr>
        <w:t>（2）大写金额和小写金额不一致的，以大写金额为准；</w:t>
      </w:r>
    </w:p>
    <w:p w14:paraId="6901B26E">
      <w:pPr>
        <w:spacing w:line="400" w:lineRule="atLeast"/>
        <w:rPr>
          <w:rFonts w:hint="eastAsia" w:ascii="宋体" w:hAnsi="宋体" w:cs="宋体"/>
          <w:sz w:val="24"/>
          <w:lang w:val="en-US" w:eastAsia="zh-CN"/>
        </w:rPr>
      </w:pPr>
      <w:r>
        <w:rPr>
          <w:rFonts w:hint="eastAsia" w:ascii="宋体" w:hAnsi="宋体" w:cs="宋体"/>
          <w:sz w:val="24"/>
          <w:lang w:val="en-US" w:eastAsia="zh-CN"/>
        </w:rPr>
        <w:t>（3）单价金额小数点或者百分比有明显错位的，以开标一览表的总价为准，并修改单价；</w:t>
      </w:r>
    </w:p>
    <w:p w14:paraId="3709A150">
      <w:pPr>
        <w:spacing w:line="400" w:lineRule="atLeast"/>
        <w:rPr>
          <w:rFonts w:hint="eastAsia" w:ascii="宋体" w:hAnsi="宋体" w:cs="宋体"/>
          <w:sz w:val="24"/>
          <w:lang w:val="en-US" w:eastAsia="zh-CN"/>
        </w:rPr>
      </w:pPr>
      <w:r>
        <w:rPr>
          <w:rFonts w:hint="eastAsia" w:ascii="宋体" w:hAnsi="宋体" w:cs="宋体"/>
          <w:sz w:val="24"/>
          <w:lang w:val="en-US" w:eastAsia="zh-CN"/>
        </w:rPr>
        <w:t>（4）总价金额与按单价汇总金额不一致的，以单价金额计算结果为准。</w:t>
      </w:r>
    </w:p>
    <w:p w14:paraId="08D9EEF4">
      <w:pPr>
        <w:spacing w:line="400" w:lineRule="atLeast"/>
        <w:rPr>
          <w:rFonts w:hint="eastAsia" w:ascii="宋体" w:hAnsi="宋体" w:cs="宋体"/>
          <w:sz w:val="24"/>
          <w:lang w:val="en-US" w:eastAsia="zh-CN"/>
        </w:rPr>
      </w:pPr>
      <w:r>
        <w:rPr>
          <w:rFonts w:hint="eastAsia" w:ascii="宋体" w:hAnsi="宋体" w:cs="宋体"/>
          <w:sz w:val="24"/>
          <w:lang w:val="en-US" w:eastAsia="zh-CN"/>
        </w:rPr>
        <w:t>同时出现两种以上不一致的，按照前款规定的顺序修正。修正后的报价按照本章5.1款的规定经供应商确认后产生约束力，▲供应商不确认或拒绝修正的，其</w:t>
      </w:r>
      <w:r>
        <w:rPr>
          <w:rFonts w:hint="eastAsia" w:ascii="宋体" w:hAnsi="宋体" w:cs="宋体"/>
          <w:b/>
          <w:bCs/>
          <w:sz w:val="24"/>
          <w:lang w:val="en-US" w:eastAsia="zh-CN"/>
        </w:rPr>
        <w:t>响应无效</w:t>
      </w:r>
      <w:r>
        <w:rPr>
          <w:rFonts w:hint="eastAsia" w:ascii="宋体" w:hAnsi="宋体" w:cs="宋体"/>
          <w:sz w:val="24"/>
          <w:lang w:val="en-US" w:eastAsia="zh-CN"/>
        </w:rPr>
        <w:t>。</w:t>
      </w:r>
    </w:p>
    <w:p w14:paraId="0302AF1F">
      <w:pPr>
        <w:spacing w:line="400" w:lineRule="atLeast"/>
        <w:rPr>
          <w:rFonts w:hint="eastAsia" w:ascii="宋体" w:hAnsi="宋体" w:cs="宋体"/>
          <w:sz w:val="24"/>
          <w:lang w:val="en-US" w:eastAsia="zh-CN"/>
        </w:rPr>
      </w:pPr>
      <w:r>
        <w:rPr>
          <w:rFonts w:hint="eastAsia" w:ascii="宋体" w:hAnsi="宋体" w:cs="宋体"/>
          <w:sz w:val="24"/>
          <w:lang w:val="en-US" w:eastAsia="zh-CN"/>
        </w:rPr>
        <w:t>5.4供应商按照磋商小组要求提供的有效书面澄清材料，是响应文件的补充材料，成为其响应文件的组成部分。</w:t>
      </w:r>
    </w:p>
    <w:p w14:paraId="180E16B5">
      <w:pPr>
        <w:spacing w:line="400" w:lineRule="atLeast"/>
        <w:rPr>
          <w:rFonts w:hint="eastAsia" w:ascii="宋体" w:hAnsi="宋体" w:cs="宋体"/>
          <w:sz w:val="24"/>
          <w:lang w:val="en-US" w:eastAsia="zh-CN"/>
        </w:rPr>
      </w:pPr>
      <w:r>
        <w:rPr>
          <w:rFonts w:hint="eastAsia" w:ascii="宋体" w:hAnsi="宋体" w:cs="宋体"/>
          <w:sz w:val="24"/>
          <w:lang w:val="en-US" w:eastAsia="zh-CN"/>
        </w:rPr>
        <w:t>5.5磋商小组认为供应商的报价明显低于其他通过符合性审查供应商的报价，有可能影响产品质量或者不能诚信履约的，应当要求其在评审现场合理的时间内提供书面说明，必要时提交相关证明材料；▲供应商规定的时间内不能证明其报价合理性的，磋商小组应当将其作为</w:t>
      </w:r>
      <w:r>
        <w:rPr>
          <w:rFonts w:hint="eastAsia" w:ascii="宋体" w:hAnsi="宋体" w:cs="宋体"/>
          <w:b/>
          <w:bCs/>
          <w:sz w:val="24"/>
          <w:lang w:val="en-US" w:eastAsia="zh-CN"/>
        </w:rPr>
        <w:t>无效响应处理</w:t>
      </w:r>
      <w:r>
        <w:rPr>
          <w:rFonts w:hint="eastAsia" w:ascii="宋体" w:hAnsi="宋体" w:cs="宋体"/>
          <w:sz w:val="24"/>
          <w:lang w:val="en-US" w:eastAsia="zh-CN"/>
        </w:rPr>
        <w:t>。</w:t>
      </w:r>
    </w:p>
    <w:p w14:paraId="69747A35">
      <w:pPr>
        <w:spacing w:line="400" w:lineRule="atLeast"/>
        <w:rPr>
          <w:rFonts w:hint="eastAsia" w:ascii="宋体" w:hAnsi="宋体" w:cs="宋体"/>
          <w:sz w:val="24"/>
          <w:lang w:val="en-US" w:eastAsia="zh-CN"/>
        </w:rPr>
      </w:pPr>
      <w:r>
        <w:rPr>
          <w:rFonts w:hint="eastAsia" w:ascii="宋体" w:hAnsi="宋体" w:cs="宋体"/>
          <w:sz w:val="24"/>
          <w:lang w:val="en-US" w:eastAsia="zh-CN"/>
        </w:rPr>
        <w:t>6．详细评审</w:t>
      </w:r>
    </w:p>
    <w:p w14:paraId="3B859DC9">
      <w:pPr>
        <w:spacing w:line="400" w:lineRule="atLeast"/>
        <w:rPr>
          <w:rFonts w:hint="eastAsia" w:ascii="宋体" w:hAnsi="宋体" w:cs="宋体"/>
          <w:sz w:val="24"/>
          <w:lang w:val="en-US" w:eastAsia="zh-CN"/>
        </w:rPr>
      </w:pPr>
      <w:r>
        <w:rPr>
          <w:rFonts w:hint="eastAsia" w:ascii="宋体" w:hAnsi="宋体" w:cs="宋体"/>
          <w:sz w:val="24"/>
          <w:lang w:val="en-US" w:eastAsia="zh-CN"/>
        </w:rPr>
        <w:t>6.1磋商小组应按照磋商文件中规定的评审方法、标准和评审因素，对资格性检查和符合性检查合格的响应文件进行商务和技术评估，综合比较与评价。</w:t>
      </w:r>
    </w:p>
    <w:p w14:paraId="76C1684E">
      <w:pPr>
        <w:spacing w:line="400" w:lineRule="atLeast"/>
        <w:rPr>
          <w:rFonts w:hint="eastAsia" w:ascii="宋体" w:hAnsi="宋体" w:cs="宋体"/>
          <w:sz w:val="24"/>
          <w:lang w:val="en-US" w:eastAsia="zh-CN"/>
        </w:rPr>
      </w:pPr>
      <w:r>
        <w:rPr>
          <w:rFonts w:hint="eastAsia" w:ascii="宋体" w:hAnsi="宋体" w:cs="宋体"/>
          <w:sz w:val="24"/>
          <w:lang w:val="en-US" w:eastAsia="zh-CN"/>
        </w:rPr>
        <w:t>6.2评审时，磋商小组各成员应当独立对每个供应商的响应文件进行评价、评分，然后汇总每个供应商每项评分因素的得分。</w:t>
      </w:r>
    </w:p>
    <w:p w14:paraId="54190620">
      <w:pPr>
        <w:spacing w:line="400" w:lineRule="atLeast"/>
        <w:rPr>
          <w:rFonts w:hint="eastAsia" w:ascii="宋体" w:hAnsi="宋体" w:cs="宋体"/>
          <w:sz w:val="24"/>
          <w:lang w:val="en-US" w:eastAsia="zh-CN"/>
        </w:rPr>
      </w:pPr>
      <w:r>
        <w:rPr>
          <w:rFonts w:hint="eastAsia" w:ascii="宋体" w:hAnsi="宋体" w:cs="宋体"/>
          <w:sz w:val="24"/>
          <w:lang w:val="en-US" w:eastAsia="zh-CN"/>
        </w:rPr>
        <w:t>6.3供应商在评审过程中，所进行的试图影响评审结果的不符合招标规则的活动，可能导致其被取消中标资格。</w:t>
      </w:r>
    </w:p>
    <w:p w14:paraId="7B722A98">
      <w:pPr>
        <w:spacing w:line="400" w:lineRule="atLeast"/>
        <w:rPr>
          <w:rFonts w:hint="eastAsia" w:ascii="宋体" w:hAnsi="宋体" w:cs="宋体"/>
          <w:sz w:val="24"/>
          <w:lang w:val="en-US" w:eastAsia="zh-CN"/>
        </w:rPr>
      </w:pPr>
      <w:r>
        <w:rPr>
          <w:rFonts w:hint="eastAsia" w:ascii="宋体" w:hAnsi="宋体" w:cs="宋体"/>
          <w:sz w:val="24"/>
          <w:lang w:val="en-US" w:eastAsia="zh-CN"/>
        </w:rPr>
        <w:t>6.4评分标准：具体见三、评审标准</w:t>
      </w:r>
    </w:p>
    <w:p w14:paraId="1FD58C55">
      <w:pPr>
        <w:spacing w:line="400" w:lineRule="atLeast"/>
        <w:rPr>
          <w:rFonts w:hint="eastAsia" w:ascii="宋体" w:hAnsi="宋体" w:cs="宋体"/>
          <w:sz w:val="24"/>
          <w:lang w:val="en-US" w:eastAsia="zh-CN"/>
        </w:rPr>
      </w:pPr>
      <w:r>
        <w:rPr>
          <w:rFonts w:hint="eastAsia" w:ascii="宋体" w:hAnsi="宋体" w:cs="宋体"/>
          <w:sz w:val="24"/>
          <w:lang w:val="en-US" w:eastAsia="zh-CN"/>
        </w:rPr>
        <w:t>7．推荐中标候选人名单</w:t>
      </w:r>
    </w:p>
    <w:p w14:paraId="077E1038">
      <w:pPr>
        <w:spacing w:line="400" w:lineRule="atLeast"/>
        <w:rPr>
          <w:rFonts w:hint="eastAsia" w:ascii="宋体" w:hAnsi="宋体" w:cs="宋体"/>
          <w:sz w:val="24"/>
          <w:lang w:val="en-US" w:eastAsia="zh-CN"/>
        </w:rPr>
      </w:pPr>
      <w:r>
        <w:rPr>
          <w:rFonts w:hint="eastAsia" w:ascii="宋体" w:hAnsi="宋体" w:cs="宋体"/>
          <w:sz w:val="24"/>
          <w:lang w:val="en-US" w:eastAsia="zh-CN"/>
        </w:rPr>
        <w:t>7.1评审结果按评审后得分由高到低顺序排列。得分相同的，按响应报价由低到高顺序排列。得分且响应报价相同的并列。响应文件满足磋商文件全部实质性要求，且按照评审因素的量化指标评审得分最高的供应商为排名第一的中标候选人。</w:t>
      </w:r>
    </w:p>
    <w:p w14:paraId="505A7730">
      <w:pPr>
        <w:spacing w:line="400" w:lineRule="atLeast"/>
        <w:rPr>
          <w:rFonts w:hint="eastAsia" w:ascii="宋体" w:hAnsi="宋体" w:cs="宋体"/>
          <w:sz w:val="24"/>
          <w:lang w:val="en-US" w:eastAsia="zh-CN"/>
        </w:rPr>
      </w:pPr>
      <w:r>
        <w:rPr>
          <w:rFonts w:hint="eastAsia" w:ascii="宋体" w:hAnsi="宋体" w:cs="宋体"/>
          <w:sz w:val="24"/>
          <w:lang w:val="en-US" w:eastAsia="zh-CN"/>
        </w:rPr>
        <w:t>7.2评审结果汇总完成后，除下列情形外，任何人不得修改评审结果：</w:t>
      </w:r>
    </w:p>
    <w:p w14:paraId="518483E7">
      <w:pPr>
        <w:spacing w:line="400" w:lineRule="atLeast"/>
        <w:rPr>
          <w:rFonts w:hint="eastAsia" w:ascii="宋体" w:hAnsi="宋体" w:cs="宋体"/>
          <w:sz w:val="24"/>
          <w:lang w:val="en-US" w:eastAsia="zh-CN"/>
        </w:rPr>
      </w:pPr>
      <w:r>
        <w:rPr>
          <w:rFonts w:hint="eastAsia" w:ascii="宋体" w:hAnsi="宋体" w:cs="宋体"/>
          <w:sz w:val="24"/>
          <w:lang w:val="en-US" w:eastAsia="zh-CN"/>
        </w:rPr>
        <w:t>(1)分值汇总计算错误的；</w:t>
      </w:r>
    </w:p>
    <w:p w14:paraId="5E38067B">
      <w:pPr>
        <w:spacing w:line="400" w:lineRule="atLeast"/>
        <w:rPr>
          <w:rFonts w:hint="eastAsia" w:ascii="宋体" w:hAnsi="宋体" w:cs="宋体"/>
          <w:sz w:val="24"/>
          <w:lang w:val="en-US" w:eastAsia="zh-CN"/>
        </w:rPr>
      </w:pPr>
      <w:r>
        <w:rPr>
          <w:rFonts w:hint="eastAsia" w:ascii="宋体" w:hAnsi="宋体" w:cs="宋体"/>
          <w:sz w:val="24"/>
          <w:lang w:val="en-US" w:eastAsia="zh-CN"/>
        </w:rPr>
        <w:t>(2)分项评分超出评分标准范围的；</w:t>
      </w:r>
    </w:p>
    <w:p w14:paraId="78640FB4">
      <w:pPr>
        <w:spacing w:line="400" w:lineRule="atLeast"/>
        <w:rPr>
          <w:rFonts w:hint="eastAsia" w:ascii="宋体" w:hAnsi="宋体" w:cs="宋体"/>
          <w:sz w:val="24"/>
          <w:lang w:val="en-US" w:eastAsia="zh-CN"/>
        </w:rPr>
      </w:pPr>
      <w:r>
        <w:rPr>
          <w:rFonts w:hint="eastAsia" w:ascii="宋体" w:hAnsi="宋体" w:cs="宋体"/>
          <w:sz w:val="24"/>
          <w:lang w:val="en-US" w:eastAsia="zh-CN"/>
        </w:rPr>
        <w:t>(3)磋商小组成员对客观评审因素评分不一致的；</w:t>
      </w:r>
    </w:p>
    <w:p w14:paraId="13FE6A79">
      <w:pPr>
        <w:spacing w:line="400" w:lineRule="atLeast"/>
        <w:rPr>
          <w:rFonts w:hint="eastAsia" w:ascii="宋体" w:hAnsi="宋体" w:cs="宋体"/>
          <w:sz w:val="24"/>
          <w:lang w:val="en-US" w:eastAsia="zh-CN"/>
        </w:rPr>
      </w:pPr>
      <w:r>
        <w:rPr>
          <w:rFonts w:hint="eastAsia" w:ascii="宋体" w:hAnsi="宋体" w:cs="宋体"/>
          <w:sz w:val="24"/>
          <w:lang w:val="en-US" w:eastAsia="zh-CN"/>
        </w:rPr>
        <w:t>(4)经磋商小组认定评分畸高、畸低的。</w:t>
      </w:r>
    </w:p>
    <w:p w14:paraId="40D6BC3F">
      <w:pPr>
        <w:spacing w:line="400" w:lineRule="atLeast"/>
        <w:ind w:firstLine="480" w:firstLineChars="200"/>
        <w:rPr>
          <w:rFonts w:hint="eastAsia" w:ascii="宋体" w:hAnsi="宋体" w:cs="宋体"/>
          <w:sz w:val="24"/>
          <w:lang w:val="en-US" w:eastAsia="zh-CN"/>
        </w:rPr>
      </w:pPr>
      <w:r>
        <w:rPr>
          <w:rFonts w:hint="eastAsia" w:ascii="宋体" w:hAnsi="宋体" w:cs="宋体"/>
          <w:sz w:val="24"/>
          <w:lang w:val="en-US" w:eastAsia="zh-CN"/>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14:paraId="57D130FE">
      <w:pPr>
        <w:spacing w:line="400" w:lineRule="atLeast"/>
        <w:ind w:firstLine="480" w:firstLineChars="200"/>
        <w:rPr>
          <w:rFonts w:hint="eastAsia" w:ascii="宋体" w:hAnsi="宋体" w:cs="宋体"/>
          <w:sz w:val="24"/>
          <w:lang w:val="en-US" w:eastAsia="zh-CN"/>
        </w:rPr>
      </w:pPr>
      <w:r>
        <w:rPr>
          <w:rFonts w:hint="eastAsia" w:ascii="宋体" w:hAnsi="宋体" w:cs="宋体"/>
          <w:sz w:val="24"/>
          <w:lang w:val="en-US" w:eastAsia="zh-CN"/>
        </w:rPr>
        <w:t>供应商对上述(1)～(4)提出质疑的，采购人或者采购代理机构可以组织原评审小组进行重新评审，重新评审改变评审结果的，应当书面报告本级财政部门。</w:t>
      </w:r>
    </w:p>
    <w:p w14:paraId="6E8C1624">
      <w:pPr>
        <w:spacing w:line="400" w:lineRule="atLeast"/>
        <w:rPr>
          <w:rFonts w:hint="eastAsia" w:ascii="宋体" w:hAnsi="宋体" w:cs="宋体"/>
          <w:sz w:val="24"/>
          <w:lang w:val="en-US" w:eastAsia="zh-CN"/>
        </w:rPr>
      </w:pPr>
      <w:r>
        <w:rPr>
          <w:rFonts w:hint="eastAsia" w:ascii="宋体" w:hAnsi="宋体" w:cs="宋体"/>
          <w:sz w:val="24"/>
          <w:lang w:val="en-US" w:eastAsia="zh-CN"/>
        </w:rPr>
        <w:t>7.3磋商小组根据全体评审成员签字的原始评审记录和评审结果编写评审报告。评审报告应当包括以下内容：</w:t>
      </w:r>
    </w:p>
    <w:p w14:paraId="795EEE2A">
      <w:pPr>
        <w:spacing w:line="400" w:lineRule="atLeast"/>
        <w:rPr>
          <w:rFonts w:hint="eastAsia" w:ascii="宋体" w:hAnsi="宋体" w:cs="宋体"/>
          <w:sz w:val="24"/>
          <w:lang w:val="en-US" w:eastAsia="zh-CN"/>
        </w:rPr>
      </w:pPr>
      <w:r>
        <w:rPr>
          <w:rFonts w:hint="eastAsia" w:ascii="宋体" w:hAnsi="宋体" w:cs="宋体"/>
          <w:sz w:val="24"/>
          <w:lang w:val="en-US" w:eastAsia="zh-CN"/>
        </w:rPr>
        <w:t>（1）磋商公告刊登的媒体名称、开标日期和地点；</w:t>
      </w:r>
    </w:p>
    <w:p w14:paraId="066B7539">
      <w:pPr>
        <w:spacing w:line="400" w:lineRule="atLeast"/>
        <w:rPr>
          <w:rFonts w:hint="eastAsia" w:ascii="宋体" w:hAnsi="宋体" w:cs="宋体"/>
          <w:sz w:val="24"/>
          <w:lang w:val="en-US" w:eastAsia="zh-CN"/>
        </w:rPr>
      </w:pPr>
      <w:r>
        <w:rPr>
          <w:rFonts w:hint="eastAsia" w:ascii="宋体" w:hAnsi="宋体" w:cs="宋体"/>
          <w:sz w:val="24"/>
          <w:lang w:val="en-US" w:eastAsia="zh-CN"/>
        </w:rPr>
        <w:t>（2）供应商名单和磋商小组成员名单；</w:t>
      </w:r>
    </w:p>
    <w:p w14:paraId="3D93D85B">
      <w:pPr>
        <w:spacing w:line="400" w:lineRule="atLeast"/>
        <w:rPr>
          <w:rFonts w:hint="eastAsia" w:ascii="宋体" w:hAnsi="宋体" w:cs="宋体"/>
          <w:sz w:val="24"/>
          <w:lang w:val="en-US" w:eastAsia="zh-CN"/>
        </w:rPr>
      </w:pPr>
      <w:r>
        <w:rPr>
          <w:rFonts w:hint="eastAsia" w:ascii="宋体" w:hAnsi="宋体" w:cs="宋体"/>
          <w:sz w:val="24"/>
          <w:lang w:val="en-US" w:eastAsia="zh-CN"/>
        </w:rPr>
        <w:t>（3）评审方法和标准；</w:t>
      </w:r>
    </w:p>
    <w:p w14:paraId="73E290E5">
      <w:pPr>
        <w:spacing w:line="400" w:lineRule="atLeast"/>
        <w:rPr>
          <w:rFonts w:hint="eastAsia" w:ascii="宋体" w:hAnsi="宋体" w:cs="宋体"/>
          <w:sz w:val="24"/>
          <w:lang w:val="en-US" w:eastAsia="zh-CN"/>
        </w:rPr>
      </w:pPr>
      <w:r>
        <w:rPr>
          <w:rFonts w:hint="eastAsia" w:ascii="宋体" w:hAnsi="宋体" w:cs="宋体"/>
          <w:sz w:val="24"/>
          <w:lang w:val="en-US" w:eastAsia="zh-CN"/>
        </w:rPr>
        <w:t>（4）开标记录和评审情况及说明，包括无效供应商名单及原因；</w:t>
      </w:r>
    </w:p>
    <w:p w14:paraId="3E5F0F34">
      <w:pPr>
        <w:spacing w:line="400" w:lineRule="atLeast"/>
        <w:rPr>
          <w:rFonts w:hint="eastAsia" w:ascii="宋体" w:hAnsi="宋体" w:cs="宋体"/>
          <w:sz w:val="24"/>
          <w:lang w:val="en-US" w:eastAsia="zh-CN"/>
        </w:rPr>
      </w:pPr>
      <w:r>
        <w:rPr>
          <w:rFonts w:hint="eastAsia" w:ascii="宋体" w:hAnsi="宋体" w:cs="宋体"/>
          <w:sz w:val="24"/>
          <w:lang w:val="en-US" w:eastAsia="zh-CN"/>
        </w:rPr>
        <w:t>（5）评审结果，确定的成交候选人名单或者经采购人委托直接确定的成交人；</w:t>
      </w:r>
    </w:p>
    <w:p w14:paraId="6DDBE31E">
      <w:pPr>
        <w:spacing w:line="400" w:lineRule="atLeast"/>
        <w:rPr>
          <w:rFonts w:hint="eastAsia" w:ascii="宋体" w:hAnsi="宋体" w:cs="宋体"/>
          <w:sz w:val="24"/>
          <w:lang w:val="en-US" w:eastAsia="zh-CN"/>
        </w:rPr>
      </w:pPr>
      <w:r>
        <w:rPr>
          <w:rFonts w:hint="eastAsia" w:ascii="宋体" w:hAnsi="宋体" w:cs="宋体"/>
          <w:sz w:val="24"/>
          <w:lang w:val="en-US" w:eastAsia="zh-CN"/>
        </w:rPr>
        <w:t>（6）其他需要说明的情况，包括评审过程中供应商根据磋商小组要求进行的澄清、说明或者补正，磋商小组的更换等。</w:t>
      </w:r>
    </w:p>
    <w:p w14:paraId="3642D879">
      <w:pPr>
        <w:spacing w:line="400" w:lineRule="atLeast"/>
        <w:ind w:firstLine="480" w:firstLineChars="200"/>
        <w:rPr>
          <w:rFonts w:hint="eastAsia" w:ascii="宋体" w:hAnsi="宋体" w:cs="宋体"/>
          <w:sz w:val="24"/>
          <w:lang w:val="en-US" w:eastAsia="zh-CN"/>
        </w:rPr>
      </w:pPr>
      <w:r>
        <w:rPr>
          <w:rFonts w:hint="eastAsia" w:ascii="宋体" w:hAnsi="宋体" w:cs="宋体"/>
          <w:sz w:val="24"/>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54B17CC">
      <w:pPr>
        <w:spacing w:line="400" w:lineRule="atLeast"/>
        <w:rPr>
          <w:rFonts w:hint="eastAsia" w:ascii="宋体" w:hAnsi="宋体" w:cs="宋体"/>
          <w:sz w:val="24"/>
          <w:lang w:val="en-US" w:eastAsia="zh-CN"/>
        </w:rPr>
      </w:pPr>
      <w:r>
        <w:rPr>
          <w:rFonts w:hint="eastAsia" w:ascii="宋体" w:hAnsi="宋体" w:cs="宋体"/>
          <w:sz w:val="24"/>
          <w:lang w:val="en-US" w:eastAsia="zh-CN"/>
        </w:rPr>
        <w:t>7.4本次招标采购推荐的成交候选人数量见投标须知资料表。</w:t>
      </w:r>
    </w:p>
    <w:p w14:paraId="144E1246">
      <w:pPr>
        <w:spacing w:line="400" w:lineRule="atLeast"/>
        <w:rPr>
          <w:rFonts w:hint="eastAsia" w:ascii="宋体" w:hAnsi="宋体" w:cs="宋体"/>
          <w:sz w:val="24"/>
          <w:lang w:val="en-US" w:eastAsia="zh-CN"/>
        </w:rPr>
      </w:pPr>
    </w:p>
    <w:p w14:paraId="21FB76E9">
      <w:pPr>
        <w:spacing w:line="400" w:lineRule="atLeast"/>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定标</w:t>
      </w:r>
    </w:p>
    <w:p w14:paraId="0B3E5B98">
      <w:pPr>
        <w:spacing w:line="400" w:lineRule="atLeast"/>
        <w:ind w:firstLine="472" w:firstLineChars="200"/>
        <w:rPr>
          <w:rFonts w:hint="eastAsia" w:ascii="宋体" w:hAnsi="宋体" w:cs="宋体"/>
          <w:spacing w:val="-2"/>
          <w:sz w:val="24"/>
          <w:lang w:val="en-US" w:eastAsia="zh-CN"/>
        </w:rPr>
      </w:pPr>
      <w:r>
        <w:rPr>
          <w:rFonts w:hint="eastAsia" w:ascii="宋体" w:hAnsi="宋体" w:cs="宋体"/>
          <w:spacing w:val="-2"/>
          <w:sz w:val="24"/>
          <w:lang w:val="en-US" w:eastAsia="zh-CN"/>
        </w:rPr>
        <w:t>1、</w:t>
      </w:r>
      <w:r>
        <w:rPr>
          <w:rFonts w:hint="eastAsia" w:ascii="宋体" w:hAnsi="宋体" w:cs="宋体"/>
          <w:spacing w:val="-2"/>
          <w:sz w:val="24"/>
        </w:rPr>
        <w:t>原则：</w:t>
      </w:r>
      <w:r>
        <w:rPr>
          <w:rFonts w:hint="eastAsia" w:ascii="宋体" w:hAnsi="宋体" w:cs="宋体"/>
          <w:spacing w:val="-2"/>
          <w:sz w:val="24"/>
          <w:lang w:val="en-US" w:eastAsia="zh-CN"/>
        </w:rPr>
        <w:t>磋商小组应当根据综合评分情况，按照评审得分由高到低顺序推荐3名以上成交候选供应商，并编写评审报告。</w:t>
      </w:r>
    </w:p>
    <w:p w14:paraId="5D965B60">
      <w:pPr>
        <w:spacing w:line="400" w:lineRule="atLeast"/>
        <w:ind w:firstLine="480" w:firstLineChars="200"/>
        <w:rPr>
          <w:rFonts w:hint="eastAsia" w:ascii="宋体" w:hAnsi="宋体" w:eastAsia="宋体" w:cs="宋体"/>
          <w:b w:val="0"/>
          <w:bCs/>
          <w:sz w:val="24"/>
          <w:lang w:eastAsia="zh-CN"/>
        </w:rPr>
      </w:pPr>
      <w:r>
        <w:rPr>
          <w:rFonts w:hint="eastAsia" w:ascii="宋体" w:hAnsi="宋体" w:cs="宋体"/>
          <w:b w:val="0"/>
          <w:bCs/>
          <w:sz w:val="24"/>
          <w:lang w:val="en-US" w:eastAsia="zh-CN"/>
        </w:rPr>
        <w:t>2、</w:t>
      </w:r>
      <w:r>
        <w:rPr>
          <w:rFonts w:hint="eastAsia" w:ascii="宋体" w:hAnsi="宋体" w:cs="宋体"/>
          <w:b w:val="0"/>
          <w:bCs/>
          <w:sz w:val="24"/>
        </w:rPr>
        <w:t>程序</w:t>
      </w:r>
      <w:r>
        <w:rPr>
          <w:rFonts w:hint="eastAsia" w:ascii="宋体" w:hAnsi="宋体" w:cs="宋体"/>
          <w:b w:val="0"/>
          <w:bCs/>
          <w:sz w:val="24"/>
          <w:lang w:eastAsia="zh-CN"/>
        </w:rPr>
        <w:t>：</w:t>
      </w:r>
    </w:p>
    <w:p w14:paraId="5F614B12">
      <w:pPr>
        <w:spacing w:line="400" w:lineRule="atLeast"/>
        <w:ind w:firstLine="472" w:firstLineChars="200"/>
        <w:rPr>
          <w:rFonts w:hint="eastAsia" w:ascii="宋体" w:hAnsi="宋体" w:cs="宋体"/>
          <w:spacing w:val="-2"/>
          <w:sz w:val="24"/>
        </w:rPr>
      </w:pPr>
      <w:r>
        <w:rPr>
          <w:rFonts w:hint="eastAsia" w:ascii="宋体" w:hAnsi="宋体" w:cs="宋体"/>
          <w:spacing w:val="-2"/>
          <w:sz w:val="24"/>
          <w:lang w:eastAsia="zh-CN"/>
        </w:rPr>
        <w:t>（</w:t>
      </w:r>
      <w:r>
        <w:rPr>
          <w:rFonts w:hint="eastAsia" w:ascii="宋体" w:hAnsi="宋体" w:cs="宋体"/>
          <w:spacing w:val="-2"/>
          <w:sz w:val="24"/>
        </w:rPr>
        <w:t>1</w:t>
      </w:r>
      <w:r>
        <w:rPr>
          <w:rFonts w:hint="eastAsia" w:ascii="宋体" w:hAnsi="宋体" w:cs="宋体"/>
          <w:spacing w:val="-2"/>
          <w:sz w:val="24"/>
          <w:lang w:eastAsia="zh-CN"/>
        </w:rPr>
        <w:t>）</w:t>
      </w:r>
      <w:r>
        <w:rPr>
          <w:rFonts w:hint="eastAsia" w:ascii="宋体" w:hAnsi="宋体" w:cs="宋体"/>
          <w:spacing w:val="-2"/>
          <w:sz w:val="24"/>
        </w:rPr>
        <w:t>采购代理机构在评审结束后2个工作日内将评审报告送采购人。</w:t>
      </w:r>
    </w:p>
    <w:p w14:paraId="5B107F4E">
      <w:pPr>
        <w:spacing w:line="400" w:lineRule="atLeast"/>
        <w:ind w:firstLine="472" w:firstLineChars="200"/>
        <w:rPr>
          <w:rFonts w:hint="eastAsia" w:ascii="宋体" w:hAnsi="宋体" w:cs="宋体"/>
          <w:spacing w:val="-2"/>
          <w:sz w:val="24"/>
        </w:rPr>
      </w:pPr>
      <w:r>
        <w:rPr>
          <w:rFonts w:hint="eastAsia" w:ascii="宋体" w:hAnsi="宋体" w:cs="宋体"/>
          <w:spacing w:val="-2"/>
          <w:sz w:val="24"/>
          <w:lang w:eastAsia="zh-CN"/>
        </w:rPr>
        <w:t>（</w:t>
      </w:r>
      <w:r>
        <w:rPr>
          <w:rFonts w:hint="eastAsia" w:ascii="宋体" w:hAnsi="宋体" w:cs="宋体"/>
          <w:spacing w:val="-2"/>
          <w:sz w:val="24"/>
        </w:rPr>
        <w:t>2</w:t>
      </w:r>
      <w:r>
        <w:rPr>
          <w:rFonts w:hint="eastAsia" w:ascii="宋体" w:hAnsi="宋体" w:cs="宋体"/>
          <w:spacing w:val="-2"/>
          <w:sz w:val="24"/>
          <w:lang w:eastAsia="zh-CN"/>
        </w:rPr>
        <w:t>）</w:t>
      </w:r>
      <w:r>
        <w:rPr>
          <w:rFonts w:hint="eastAsia" w:ascii="宋体" w:hAnsi="宋体" w:cs="宋体"/>
          <w:spacing w:val="-2"/>
          <w:sz w:val="24"/>
        </w:rPr>
        <w:t>采购人在收到评审报告后5个工作日内，按照评审报告中推荐的</w:t>
      </w:r>
      <w:r>
        <w:rPr>
          <w:rFonts w:hint="eastAsia" w:ascii="宋体" w:hAnsi="宋体" w:cs="宋体"/>
          <w:spacing w:val="-2"/>
          <w:sz w:val="24"/>
          <w:lang w:val="en-US" w:eastAsia="zh-CN"/>
        </w:rPr>
        <w:t>成交</w:t>
      </w:r>
      <w:r>
        <w:rPr>
          <w:rFonts w:hint="eastAsia" w:ascii="宋体" w:hAnsi="宋体" w:cs="宋体"/>
          <w:spacing w:val="-2"/>
          <w:sz w:val="24"/>
        </w:rPr>
        <w:t>候选人顺序确定</w:t>
      </w:r>
      <w:r>
        <w:rPr>
          <w:rFonts w:hint="eastAsia" w:ascii="宋体" w:hAnsi="宋体" w:cs="宋体"/>
          <w:spacing w:val="-2"/>
          <w:sz w:val="24"/>
          <w:lang w:eastAsia="zh-CN"/>
        </w:rPr>
        <w:t>成交人</w:t>
      </w:r>
      <w:r>
        <w:rPr>
          <w:rFonts w:hint="eastAsia" w:ascii="宋体" w:hAnsi="宋体" w:cs="宋体"/>
          <w:spacing w:val="-2"/>
          <w:sz w:val="24"/>
        </w:rPr>
        <w:t>。注意，采购人按照推荐的</w:t>
      </w:r>
      <w:r>
        <w:rPr>
          <w:rFonts w:hint="eastAsia" w:ascii="宋体" w:hAnsi="宋体" w:cs="宋体"/>
          <w:spacing w:val="-2"/>
          <w:sz w:val="24"/>
          <w:lang w:val="en-US" w:eastAsia="zh-CN"/>
        </w:rPr>
        <w:t>成交</w:t>
      </w:r>
      <w:r>
        <w:rPr>
          <w:rFonts w:hint="eastAsia" w:ascii="宋体" w:hAnsi="宋体" w:cs="宋体"/>
          <w:spacing w:val="-2"/>
          <w:sz w:val="24"/>
        </w:rPr>
        <w:t>候选人顺序确定</w:t>
      </w:r>
      <w:r>
        <w:rPr>
          <w:rFonts w:hint="eastAsia" w:ascii="宋体" w:hAnsi="宋体" w:cs="宋体"/>
          <w:spacing w:val="-2"/>
          <w:sz w:val="24"/>
          <w:lang w:eastAsia="zh-CN"/>
        </w:rPr>
        <w:t>成交人</w:t>
      </w:r>
      <w:r>
        <w:rPr>
          <w:rFonts w:hint="eastAsia" w:ascii="宋体" w:hAnsi="宋体" w:cs="宋体"/>
          <w:spacing w:val="-2"/>
          <w:sz w:val="24"/>
        </w:rPr>
        <w:t>，不能认为采购人只能确定第一</w:t>
      </w:r>
      <w:r>
        <w:rPr>
          <w:rFonts w:hint="eastAsia" w:ascii="宋体" w:hAnsi="宋体" w:cs="宋体"/>
          <w:spacing w:val="-2"/>
          <w:sz w:val="24"/>
          <w:lang w:val="en-US" w:eastAsia="zh-CN"/>
        </w:rPr>
        <w:t>成交</w:t>
      </w:r>
      <w:r>
        <w:rPr>
          <w:rFonts w:hint="eastAsia" w:ascii="宋体" w:hAnsi="宋体" w:cs="宋体"/>
          <w:spacing w:val="-2"/>
          <w:sz w:val="24"/>
        </w:rPr>
        <w:t>候选人为</w:t>
      </w:r>
      <w:r>
        <w:rPr>
          <w:rFonts w:hint="eastAsia" w:ascii="宋体" w:hAnsi="宋体" w:cs="宋体"/>
          <w:spacing w:val="-2"/>
          <w:sz w:val="24"/>
          <w:lang w:val="en-US" w:eastAsia="zh-CN"/>
        </w:rPr>
        <w:t>成交</w:t>
      </w:r>
      <w:r>
        <w:rPr>
          <w:rFonts w:hint="eastAsia" w:ascii="宋体" w:hAnsi="宋体" w:cs="宋体"/>
          <w:spacing w:val="-2"/>
          <w:sz w:val="24"/>
        </w:rPr>
        <w:t>人，采购人有正当理由的，可以确定后一顺序</w:t>
      </w:r>
      <w:r>
        <w:rPr>
          <w:rFonts w:hint="eastAsia" w:ascii="宋体" w:hAnsi="宋体" w:cs="宋体"/>
          <w:spacing w:val="-2"/>
          <w:sz w:val="24"/>
          <w:lang w:val="en-US" w:eastAsia="zh-CN"/>
        </w:rPr>
        <w:t>成交</w:t>
      </w:r>
      <w:r>
        <w:rPr>
          <w:rFonts w:hint="eastAsia" w:ascii="宋体" w:hAnsi="宋体" w:cs="宋体"/>
          <w:spacing w:val="-2"/>
          <w:sz w:val="24"/>
        </w:rPr>
        <w:t>候选人为</w:t>
      </w:r>
      <w:r>
        <w:rPr>
          <w:rFonts w:hint="eastAsia" w:ascii="宋体" w:hAnsi="宋体" w:cs="宋体"/>
          <w:spacing w:val="-2"/>
          <w:sz w:val="24"/>
          <w:lang w:val="en-US" w:eastAsia="zh-CN"/>
        </w:rPr>
        <w:t>成交</w:t>
      </w:r>
      <w:r>
        <w:rPr>
          <w:rFonts w:hint="eastAsia" w:ascii="宋体" w:hAnsi="宋体" w:cs="宋体"/>
          <w:spacing w:val="-2"/>
          <w:sz w:val="24"/>
        </w:rPr>
        <w:t>人，依次类推。根据采购人确定的</w:t>
      </w:r>
      <w:r>
        <w:rPr>
          <w:rFonts w:hint="eastAsia" w:ascii="宋体" w:hAnsi="宋体" w:cs="宋体"/>
          <w:spacing w:val="-2"/>
          <w:sz w:val="24"/>
          <w:lang w:val="en-US" w:eastAsia="zh-CN"/>
        </w:rPr>
        <w:t>成交</w:t>
      </w:r>
      <w:r>
        <w:rPr>
          <w:rFonts w:hint="eastAsia" w:ascii="宋体" w:hAnsi="宋体" w:cs="宋体"/>
          <w:spacing w:val="-2"/>
          <w:sz w:val="24"/>
        </w:rPr>
        <w:t>人，并自采购人确定</w:t>
      </w:r>
      <w:r>
        <w:rPr>
          <w:rFonts w:hint="eastAsia" w:ascii="宋体" w:hAnsi="宋体" w:cs="宋体"/>
          <w:spacing w:val="-2"/>
          <w:sz w:val="24"/>
          <w:lang w:val="en-US" w:eastAsia="zh-CN"/>
        </w:rPr>
        <w:t>成交</w:t>
      </w:r>
      <w:r>
        <w:rPr>
          <w:rFonts w:hint="eastAsia" w:ascii="宋体" w:hAnsi="宋体" w:cs="宋体"/>
          <w:spacing w:val="-2"/>
          <w:sz w:val="24"/>
        </w:rPr>
        <w:t>之日起3个工作日内向</w:t>
      </w:r>
      <w:r>
        <w:rPr>
          <w:rFonts w:hint="eastAsia" w:ascii="宋体" w:hAnsi="宋体" w:cs="宋体"/>
          <w:spacing w:val="-2"/>
          <w:sz w:val="24"/>
          <w:lang w:val="en-US" w:eastAsia="zh-CN"/>
        </w:rPr>
        <w:t>成交</w:t>
      </w:r>
      <w:r>
        <w:rPr>
          <w:rFonts w:hint="eastAsia" w:ascii="宋体" w:hAnsi="宋体" w:cs="宋体"/>
          <w:spacing w:val="-2"/>
          <w:sz w:val="24"/>
        </w:rPr>
        <w:t>人发出</w:t>
      </w:r>
      <w:r>
        <w:rPr>
          <w:rFonts w:hint="eastAsia" w:ascii="宋体" w:hAnsi="宋体" w:cs="宋体"/>
          <w:spacing w:val="-2"/>
          <w:sz w:val="24"/>
          <w:lang w:val="en-US" w:eastAsia="zh-CN"/>
        </w:rPr>
        <w:t>成交</w:t>
      </w:r>
      <w:r>
        <w:rPr>
          <w:rFonts w:hint="eastAsia" w:ascii="宋体" w:hAnsi="宋体" w:cs="宋体"/>
          <w:spacing w:val="-2"/>
          <w:sz w:val="24"/>
        </w:rPr>
        <w:t>通知书</w:t>
      </w:r>
      <w:r>
        <w:rPr>
          <w:rFonts w:hint="eastAsia" w:ascii="宋体" w:hAnsi="宋体" w:cs="宋体"/>
          <w:color w:val="auto"/>
          <w:spacing w:val="-2"/>
          <w:sz w:val="24"/>
        </w:rPr>
        <w:t>。</w:t>
      </w:r>
      <w:r>
        <w:rPr>
          <w:rFonts w:hint="eastAsia" w:ascii="宋体" w:hAnsi="宋体" w:cs="宋体"/>
          <w:spacing w:val="-2"/>
          <w:sz w:val="24"/>
          <w:lang w:val="en-US" w:eastAsia="zh-CN"/>
        </w:rPr>
        <w:t>成交</w:t>
      </w:r>
      <w:r>
        <w:rPr>
          <w:rFonts w:hint="eastAsia" w:ascii="宋体" w:hAnsi="宋体" w:cs="宋体"/>
          <w:color w:val="auto"/>
          <w:spacing w:val="-2"/>
          <w:sz w:val="24"/>
        </w:rPr>
        <w:t>人自收到</w:t>
      </w:r>
      <w:r>
        <w:rPr>
          <w:rFonts w:hint="eastAsia" w:ascii="宋体" w:hAnsi="宋体" w:cs="宋体"/>
          <w:spacing w:val="-2"/>
          <w:sz w:val="24"/>
          <w:lang w:val="en-US" w:eastAsia="zh-CN"/>
        </w:rPr>
        <w:t>成交</w:t>
      </w:r>
      <w:r>
        <w:rPr>
          <w:rFonts w:hint="eastAsia" w:ascii="宋体" w:hAnsi="宋体" w:cs="宋体"/>
          <w:color w:val="auto"/>
          <w:spacing w:val="-2"/>
          <w:sz w:val="24"/>
        </w:rPr>
        <w:t>通知书之日起3</w:t>
      </w:r>
      <w:r>
        <w:rPr>
          <w:rFonts w:hint="eastAsia" w:ascii="宋体" w:hAnsi="宋体" w:cs="宋体"/>
          <w:color w:val="auto"/>
          <w:spacing w:val="-2"/>
          <w:sz w:val="24"/>
          <w:lang w:val="en-US" w:eastAsia="zh-CN"/>
        </w:rPr>
        <w:t>0</w:t>
      </w:r>
      <w:r>
        <w:rPr>
          <w:rFonts w:hint="eastAsia" w:ascii="宋体" w:hAnsi="宋体" w:cs="宋体"/>
          <w:color w:val="auto"/>
          <w:spacing w:val="-2"/>
          <w:sz w:val="24"/>
        </w:rPr>
        <w:t>日内应与采购人签订合同书。</w:t>
      </w:r>
    </w:p>
    <w:p w14:paraId="6A1EE03E">
      <w:pPr>
        <w:spacing w:line="400" w:lineRule="atLeast"/>
        <w:ind w:firstLine="472" w:firstLineChars="200"/>
        <w:rPr>
          <w:rFonts w:hint="eastAsia" w:ascii="宋体" w:hAnsi="宋体" w:cs="宋体"/>
          <w:spacing w:val="-2"/>
          <w:sz w:val="24"/>
          <w:lang w:eastAsia="zh-CN"/>
        </w:rPr>
      </w:pPr>
      <w:r>
        <w:rPr>
          <w:rFonts w:hint="eastAsia" w:ascii="宋体" w:hAnsi="宋体" w:cs="宋体"/>
          <w:spacing w:val="-2"/>
          <w:sz w:val="24"/>
          <w:lang w:val="en-US" w:eastAsia="zh-CN"/>
        </w:rPr>
        <w:t>（3）</w:t>
      </w:r>
      <w:r>
        <w:rPr>
          <w:rFonts w:hint="eastAsia" w:ascii="宋体" w:hAnsi="宋体" w:cs="宋体"/>
          <w:spacing w:val="-2"/>
          <w:sz w:val="24"/>
        </w:rPr>
        <w:t>采购单位不退回</w:t>
      </w:r>
      <w:r>
        <w:rPr>
          <w:rFonts w:hint="eastAsia" w:ascii="宋体" w:hAnsi="宋体" w:cs="宋体"/>
          <w:spacing w:val="-2"/>
          <w:sz w:val="24"/>
          <w:lang w:eastAsia="zh-CN"/>
        </w:rPr>
        <w:t>供应商</w:t>
      </w:r>
      <w:r>
        <w:rPr>
          <w:rFonts w:hint="eastAsia" w:ascii="宋体" w:hAnsi="宋体" w:cs="宋体"/>
          <w:spacing w:val="-2"/>
          <w:sz w:val="24"/>
          <w:lang w:val="en-US" w:eastAsia="zh-CN"/>
        </w:rPr>
        <w:t>响应</w:t>
      </w:r>
      <w:r>
        <w:rPr>
          <w:rFonts w:hint="eastAsia" w:ascii="宋体" w:hAnsi="宋体" w:cs="宋体"/>
          <w:spacing w:val="-2"/>
          <w:sz w:val="24"/>
        </w:rPr>
        <w:t>文件和其他</w:t>
      </w:r>
      <w:r>
        <w:rPr>
          <w:rFonts w:hint="eastAsia" w:ascii="宋体" w:hAnsi="宋体" w:cs="宋体"/>
          <w:spacing w:val="-2"/>
          <w:sz w:val="24"/>
          <w:lang w:eastAsia="zh-CN"/>
        </w:rPr>
        <w:t>。</w:t>
      </w:r>
    </w:p>
    <w:p w14:paraId="2D34ED08">
      <w:pPr>
        <w:pStyle w:val="55"/>
        <w:numPr>
          <w:ilvl w:val="0"/>
          <w:numId w:val="0"/>
        </w:numPr>
        <w:jc w:val="center"/>
        <w:rPr>
          <w:rFonts w:hint="default" w:ascii="宋体" w:hAnsi="宋体" w:eastAsia="宋体" w:cs="宋体"/>
          <w:sz w:val="28"/>
          <w:szCs w:val="32"/>
          <w:lang w:val="en-US" w:eastAsia="zh-CN"/>
        </w:rPr>
      </w:pPr>
      <w:r>
        <w:rPr>
          <w:rFonts w:hint="default" w:ascii="宋体" w:hAnsi="宋体" w:eastAsia="宋体" w:cs="宋体"/>
          <w:sz w:val="28"/>
          <w:szCs w:val="32"/>
          <w:lang w:val="en-US" w:eastAsia="zh-CN"/>
        </w:rPr>
        <w:t>响应文件无效的情形</w:t>
      </w:r>
    </w:p>
    <w:p w14:paraId="0A8E9676">
      <w:pPr>
        <w:numPr>
          <w:ilvl w:val="0"/>
          <w:numId w:val="0"/>
        </w:numPr>
        <w:spacing w:line="400" w:lineRule="atLeast"/>
        <w:rPr>
          <w:rFonts w:hint="eastAsia" w:ascii="宋体" w:hAnsi="宋体" w:eastAsia="宋体" w:cs="宋体"/>
          <w:b w:val="0"/>
          <w:spacing w:val="-2"/>
          <w:kern w:val="2"/>
          <w:sz w:val="24"/>
          <w:szCs w:val="24"/>
          <w:lang w:val="en-US" w:eastAsia="zh-CN" w:bidi="ar-SA"/>
        </w:rPr>
      </w:pPr>
      <w:r>
        <w:rPr>
          <w:rFonts w:hint="eastAsia" w:ascii="宋体" w:hAnsi="宋体" w:eastAsia="宋体" w:cs="宋体"/>
          <w:b w:val="0"/>
          <w:spacing w:val="-2"/>
          <w:kern w:val="2"/>
          <w:sz w:val="24"/>
          <w:szCs w:val="24"/>
          <w:lang w:val="en-US" w:eastAsia="zh-CN" w:bidi="ar-SA"/>
        </w:rPr>
        <w:t>（1）响应文件中</w:t>
      </w:r>
      <w:r>
        <w:rPr>
          <w:rFonts w:hint="eastAsia" w:ascii="宋体" w:hAnsi="宋体" w:cs="宋体"/>
          <w:b w:val="0"/>
          <w:spacing w:val="-2"/>
          <w:kern w:val="2"/>
          <w:sz w:val="24"/>
          <w:szCs w:val="24"/>
          <w:lang w:val="en-US" w:eastAsia="zh-CN" w:bidi="ar-SA"/>
        </w:rPr>
        <w:t>供应商</w:t>
      </w:r>
      <w:r>
        <w:rPr>
          <w:rFonts w:hint="eastAsia" w:ascii="宋体" w:hAnsi="宋体" w:eastAsia="宋体" w:cs="宋体"/>
          <w:b w:val="0"/>
          <w:spacing w:val="-2"/>
          <w:kern w:val="2"/>
          <w:sz w:val="24"/>
          <w:szCs w:val="24"/>
          <w:lang w:val="en-US" w:eastAsia="zh-CN" w:bidi="ar-SA"/>
        </w:rPr>
        <w:t>名称与报名登记的名称不符的（已在工商行政管理部门及建设行政主管部门办理了工商更名登记手续及相关证书更名手续，且在评审的1个工作日之前已向采购代理机构和集中交易机构报备的除外）；</w:t>
      </w:r>
    </w:p>
    <w:p w14:paraId="25606E3B">
      <w:pPr>
        <w:numPr>
          <w:ilvl w:val="0"/>
          <w:numId w:val="0"/>
        </w:numPr>
        <w:spacing w:line="400" w:lineRule="atLeast"/>
        <w:rPr>
          <w:rFonts w:hint="eastAsia" w:ascii="宋体" w:hAnsi="宋体" w:eastAsia="宋体" w:cs="宋体"/>
          <w:b w:val="0"/>
          <w:spacing w:val="-2"/>
          <w:kern w:val="2"/>
          <w:sz w:val="24"/>
          <w:szCs w:val="24"/>
          <w:lang w:val="en-US" w:eastAsia="zh-CN" w:bidi="ar-SA"/>
        </w:rPr>
      </w:pPr>
      <w:r>
        <w:rPr>
          <w:rFonts w:hint="eastAsia" w:ascii="宋体" w:hAnsi="宋体" w:eastAsia="宋体" w:cs="宋体"/>
          <w:b w:val="0"/>
          <w:spacing w:val="-2"/>
          <w:kern w:val="2"/>
          <w:sz w:val="24"/>
          <w:szCs w:val="24"/>
          <w:lang w:val="en-US" w:eastAsia="zh-CN" w:bidi="ar-SA"/>
        </w:rPr>
        <w:t>（2）响应文件的装订不符合要求，具体要求见本</w:t>
      </w:r>
      <w:r>
        <w:rPr>
          <w:rFonts w:hint="eastAsia" w:ascii="宋体" w:hAnsi="宋体" w:cs="宋体"/>
          <w:b w:val="0"/>
          <w:spacing w:val="-2"/>
          <w:kern w:val="2"/>
          <w:sz w:val="24"/>
          <w:szCs w:val="24"/>
          <w:lang w:val="en-US" w:eastAsia="zh-CN" w:bidi="ar-SA"/>
        </w:rPr>
        <w:t>磋商文件</w:t>
      </w:r>
      <w:r>
        <w:rPr>
          <w:rFonts w:hint="eastAsia" w:ascii="宋体" w:hAnsi="宋体" w:eastAsia="宋体" w:cs="宋体"/>
          <w:b w:val="0"/>
          <w:spacing w:val="-2"/>
          <w:kern w:val="2"/>
          <w:sz w:val="24"/>
          <w:szCs w:val="24"/>
          <w:lang w:val="en-US" w:eastAsia="zh-CN" w:bidi="ar-SA"/>
        </w:rPr>
        <w:t>相应条款；</w:t>
      </w:r>
    </w:p>
    <w:p w14:paraId="1E02F214">
      <w:pPr>
        <w:numPr>
          <w:ilvl w:val="0"/>
          <w:numId w:val="0"/>
        </w:numPr>
        <w:spacing w:line="400" w:lineRule="atLeast"/>
        <w:rPr>
          <w:rFonts w:hint="eastAsia" w:ascii="宋体" w:hAnsi="宋体" w:eastAsia="宋体" w:cs="宋体"/>
          <w:b w:val="0"/>
          <w:spacing w:val="-2"/>
          <w:kern w:val="2"/>
          <w:sz w:val="24"/>
          <w:szCs w:val="24"/>
          <w:lang w:val="en-US" w:eastAsia="zh-CN" w:bidi="ar-SA"/>
        </w:rPr>
      </w:pPr>
      <w:r>
        <w:rPr>
          <w:rFonts w:hint="eastAsia" w:ascii="宋体" w:hAnsi="宋体" w:eastAsia="宋体" w:cs="宋体"/>
          <w:b w:val="0"/>
          <w:spacing w:val="-2"/>
          <w:kern w:val="2"/>
          <w:sz w:val="24"/>
          <w:szCs w:val="24"/>
          <w:lang w:val="en-US" w:eastAsia="zh-CN" w:bidi="ar-SA"/>
        </w:rPr>
        <w:t>（3）响应文件的份数不满足要求，具体要求见本</w:t>
      </w:r>
      <w:r>
        <w:rPr>
          <w:rFonts w:hint="eastAsia" w:ascii="宋体" w:hAnsi="宋体" w:cs="宋体"/>
          <w:b w:val="0"/>
          <w:spacing w:val="-2"/>
          <w:kern w:val="2"/>
          <w:sz w:val="24"/>
          <w:szCs w:val="24"/>
          <w:lang w:val="en-US" w:eastAsia="zh-CN" w:bidi="ar-SA"/>
        </w:rPr>
        <w:t>磋商文件</w:t>
      </w:r>
      <w:r>
        <w:rPr>
          <w:rFonts w:hint="eastAsia" w:ascii="宋体" w:hAnsi="宋体" w:eastAsia="宋体" w:cs="宋体"/>
          <w:b w:val="0"/>
          <w:spacing w:val="-2"/>
          <w:kern w:val="2"/>
          <w:sz w:val="24"/>
          <w:szCs w:val="24"/>
          <w:lang w:val="en-US" w:eastAsia="zh-CN" w:bidi="ar-SA"/>
        </w:rPr>
        <w:t>相应条款；</w:t>
      </w:r>
    </w:p>
    <w:p w14:paraId="6CB86FE8">
      <w:pPr>
        <w:numPr>
          <w:ilvl w:val="0"/>
          <w:numId w:val="0"/>
        </w:numPr>
        <w:spacing w:line="400" w:lineRule="atLeast"/>
        <w:rPr>
          <w:rFonts w:hint="eastAsia" w:ascii="宋体" w:hAnsi="宋体" w:eastAsia="宋体" w:cs="宋体"/>
          <w:b w:val="0"/>
          <w:spacing w:val="-2"/>
          <w:kern w:val="2"/>
          <w:sz w:val="24"/>
          <w:szCs w:val="24"/>
          <w:lang w:val="en-US" w:eastAsia="zh-CN" w:bidi="ar-SA"/>
        </w:rPr>
      </w:pPr>
      <w:r>
        <w:rPr>
          <w:rFonts w:hint="eastAsia" w:ascii="宋体" w:hAnsi="宋体" w:eastAsia="宋体" w:cs="宋体"/>
          <w:b w:val="0"/>
          <w:spacing w:val="-2"/>
          <w:kern w:val="2"/>
          <w:sz w:val="24"/>
          <w:szCs w:val="24"/>
          <w:lang w:val="en-US" w:eastAsia="zh-CN" w:bidi="ar-SA"/>
        </w:rPr>
        <w:t>（4）未在响应报价表上填写响应报价或响应报价高于采购控制价的；</w:t>
      </w:r>
    </w:p>
    <w:p w14:paraId="303CFA9B">
      <w:pPr>
        <w:numPr>
          <w:ilvl w:val="0"/>
          <w:numId w:val="0"/>
        </w:numPr>
        <w:spacing w:line="400" w:lineRule="atLeast"/>
        <w:rPr>
          <w:rFonts w:hint="default" w:ascii="宋体" w:hAnsi="宋体" w:eastAsia="宋体" w:cs="宋体"/>
          <w:b w:val="0"/>
          <w:spacing w:val="-2"/>
          <w:kern w:val="2"/>
          <w:sz w:val="24"/>
          <w:szCs w:val="24"/>
          <w:lang w:val="en-US" w:eastAsia="zh-CN" w:bidi="ar-SA"/>
        </w:rPr>
      </w:pPr>
      <w:r>
        <w:rPr>
          <w:rFonts w:hint="eastAsia" w:ascii="宋体" w:hAnsi="宋体" w:eastAsia="宋体" w:cs="宋体"/>
          <w:b w:val="0"/>
          <w:spacing w:val="-2"/>
          <w:kern w:val="2"/>
          <w:sz w:val="24"/>
          <w:szCs w:val="24"/>
          <w:lang w:val="en-US" w:eastAsia="zh-CN" w:bidi="ar-SA"/>
        </w:rPr>
        <w:t>（5）</w:t>
      </w:r>
      <w:r>
        <w:rPr>
          <w:rFonts w:hint="default" w:ascii="宋体" w:hAnsi="宋体" w:eastAsia="宋体" w:cs="宋体"/>
          <w:b w:val="0"/>
          <w:spacing w:val="-2"/>
          <w:kern w:val="2"/>
          <w:sz w:val="24"/>
          <w:szCs w:val="24"/>
          <w:lang w:val="en-US" w:eastAsia="zh-CN" w:bidi="ar-SA"/>
        </w:rPr>
        <w:t>未按照磋商文件规定要求签署、盖章的；</w:t>
      </w:r>
    </w:p>
    <w:p w14:paraId="4B20D6A8">
      <w:pPr>
        <w:numPr>
          <w:ilvl w:val="0"/>
          <w:numId w:val="0"/>
        </w:numPr>
        <w:spacing w:line="400" w:lineRule="atLeast"/>
        <w:rPr>
          <w:rFonts w:hint="default" w:ascii="宋体" w:hAnsi="宋体" w:eastAsia="宋体" w:cs="宋体"/>
          <w:b w:val="0"/>
          <w:spacing w:val="-2"/>
          <w:kern w:val="2"/>
          <w:sz w:val="24"/>
          <w:szCs w:val="24"/>
          <w:lang w:val="en-US" w:eastAsia="zh-CN" w:bidi="ar-SA"/>
        </w:rPr>
      </w:pPr>
      <w:r>
        <w:rPr>
          <w:rFonts w:hint="eastAsia" w:ascii="宋体" w:hAnsi="宋体" w:eastAsia="宋体" w:cs="宋体"/>
          <w:b w:val="0"/>
          <w:spacing w:val="-2"/>
          <w:kern w:val="2"/>
          <w:sz w:val="24"/>
          <w:szCs w:val="24"/>
          <w:lang w:val="en-US" w:eastAsia="zh-CN" w:bidi="ar-SA"/>
        </w:rPr>
        <w:t>（6）</w:t>
      </w:r>
      <w:r>
        <w:rPr>
          <w:rFonts w:hint="default" w:ascii="宋体" w:hAnsi="宋体" w:eastAsia="宋体" w:cs="宋体"/>
          <w:b w:val="0"/>
          <w:spacing w:val="-2"/>
          <w:kern w:val="2"/>
          <w:sz w:val="24"/>
          <w:szCs w:val="24"/>
          <w:lang w:val="en-US" w:eastAsia="zh-CN" w:bidi="ar-SA"/>
        </w:rPr>
        <w:t>不具备磋商文件中规定的资格要求的。</w:t>
      </w:r>
    </w:p>
    <w:p w14:paraId="42BA5614">
      <w:pPr>
        <w:pStyle w:val="36"/>
        <w:ind w:left="0" w:leftChars="0" w:firstLine="0" w:firstLineChars="0"/>
        <w:rPr>
          <w:rFonts w:hint="default"/>
          <w:lang w:val="en-US" w:eastAsia="zh-CN"/>
        </w:rPr>
      </w:pPr>
      <w:r>
        <w:rPr>
          <w:rFonts w:hint="eastAsia"/>
          <w:lang w:val="en-US" w:eastAsia="zh-CN"/>
        </w:rPr>
        <w:t>（7）</w:t>
      </w:r>
      <w:r>
        <w:rPr>
          <w:rFonts w:hint="default"/>
          <w:lang w:val="en-US" w:eastAsia="zh-CN"/>
        </w:rPr>
        <w:t>未按磋商文件规定的形式和金额提交磋商保证金的；</w:t>
      </w:r>
    </w:p>
    <w:p w14:paraId="02278F36">
      <w:pPr>
        <w:pStyle w:val="36"/>
        <w:ind w:left="0" w:leftChars="0" w:firstLine="0" w:firstLineChars="0"/>
        <w:rPr>
          <w:rFonts w:hint="default"/>
          <w:lang w:val="en-US" w:eastAsia="zh-CN"/>
        </w:rPr>
      </w:pPr>
      <w:r>
        <w:rPr>
          <w:rFonts w:hint="eastAsia"/>
          <w:lang w:val="en-US" w:eastAsia="zh-CN"/>
        </w:rPr>
        <w:t>（</w:t>
      </w:r>
      <w:r>
        <w:rPr>
          <w:rFonts w:hint="eastAsia" w:ascii="宋体" w:hAnsi="宋体" w:eastAsia="宋体" w:cs="宋体"/>
          <w:b w:val="0"/>
          <w:spacing w:val="-2"/>
          <w:kern w:val="2"/>
          <w:sz w:val="24"/>
          <w:szCs w:val="24"/>
          <w:lang w:val="en-US" w:eastAsia="zh-CN" w:bidi="ar-SA"/>
        </w:rPr>
        <w:t>8</w:t>
      </w:r>
      <w:r>
        <w:rPr>
          <w:rFonts w:hint="eastAsia"/>
          <w:lang w:val="en-US" w:eastAsia="zh-CN"/>
        </w:rPr>
        <w:t>）单位负责人为同一人或者存在直接控股、管理关系的不同供应商，其相关磋商将被认定为磋商无效。</w:t>
      </w:r>
    </w:p>
    <w:p w14:paraId="74B4F03F">
      <w:pPr>
        <w:pStyle w:val="36"/>
        <w:ind w:left="0" w:leftChars="0" w:firstLine="0" w:firstLineChars="0"/>
        <w:rPr>
          <w:rFonts w:hint="eastAsia" w:ascii="宋体" w:hAnsi="宋体" w:eastAsia="宋体" w:cs="宋体"/>
          <w:b w:val="0"/>
          <w:spacing w:val="-2"/>
          <w:kern w:val="2"/>
          <w:sz w:val="24"/>
          <w:szCs w:val="24"/>
          <w:lang w:val="en-US" w:eastAsia="zh-CN" w:bidi="ar-SA"/>
        </w:rPr>
      </w:pPr>
      <w:r>
        <w:rPr>
          <w:rFonts w:hint="eastAsia" w:ascii="宋体" w:hAnsi="宋体" w:eastAsia="宋体" w:cs="宋体"/>
          <w:b w:val="0"/>
          <w:spacing w:val="-2"/>
          <w:kern w:val="2"/>
          <w:sz w:val="24"/>
          <w:szCs w:val="24"/>
          <w:lang w:val="en-US" w:eastAsia="zh-CN" w:bidi="ar-SA"/>
        </w:rPr>
        <w:t>（9）响应文件含有采购人不能接受的附加条件的；</w:t>
      </w:r>
    </w:p>
    <w:p w14:paraId="559D991D">
      <w:pPr>
        <w:pStyle w:val="36"/>
        <w:ind w:left="0" w:leftChars="0" w:firstLine="0" w:firstLineChars="0"/>
        <w:rPr>
          <w:rFonts w:hint="default"/>
          <w:lang w:val="en-US" w:eastAsia="zh-CN"/>
        </w:rPr>
      </w:pPr>
      <w:r>
        <w:rPr>
          <w:rFonts w:hint="eastAsia" w:ascii="宋体" w:hAnsi="宋体" w:eastAsia="宋体" w:cs="宋体"/>
          <w:b w:val="0"/>
          <w:spacing w:val="-2"/>
          <w:kern w:val="2"/>
          <w:sz w:val="24"/>
          <w:szCs w:val="24"/>
          <w:lang w:val="en-US" w:eastAsia="zh-CN" w:bidi="ar-SA"/>
        </w:rPr>
        <w:t>（10）法律、法规和</w:t>
      </w:r>
      <w:r>
        <w:rPr>
          <w:rFonts w:hint="eastAsia" w:cs="宋体"/>
          <w:b w:val="0"/>
          <w:spacing w:val="-2"/>
          <w:kern w:val="2"/>
          <w:sz w:val="24"/>
          <w:szCs w:val="24"/>
          <w:lang w:val="en-US" w:eastAsia="zh-CN" w:bidi="ar-SA"/>
        </w:rPr>
        <w:t>磋商文件</w:t>
      </w:r>
      <w:r>
        <w:rPr>
          <w:rFonts w:hint="eastAsia" w:ascii="宋体" w:hAnsi="宋体" w:eastAsia="宋体" w:cs="宋体"/>
          <w:b w:val="0"/>
          <w:spacing w:val="-2"/>
          <w:kern w:val="2"/>
          <w:sz w:val="24"/>
          <w:szCs w:val="24"/>
          <w:lang w:val="en-US" w:eastAsia="zh-CN" w:bidi="ar-SA"/>
        </w:rPr>
        <w:t>规定的其他无效情形。</w:t>
      </w:r>
    </w:p>
    <w:p w14:paraId="34C02F80">
      <w:pPr>
        <w:numPr>
          <w:ilvl w:val="0"/>
          <w:numId w:val="0"/>
        </w:numPr>
        <w:spacing w:line="400" w:lineRule="atLeast"/>
        <w:rPr>
          <w:rFonts w:hint="eastAsia" w:ascii="宋体" w:hAnsi="宋体" w:eastAsia="宋体" w:cs="宋体"/>
          <w:b w:val="0"/>
          <w:spacing w:val="-2"/>
          <w:kern w:val="2"/>
          <w:sz w:val="24"/>
          <w:szCs w:val="24"/>
          <w:lang w:val="en-US" w:eastAsia="zh-CN" w:bidi="ar-SA"/>
        </w:rPr>
      </w:pPr>
      <w:r>
        <w:rPr>
          <w:rFonts w:hint="eastAsia" w:ascii="宋体" w:hAnsi="宋体" w:eastAsia="宋体" w:cs="宋体"/>
          <w:b w:val="0"/>
          <w:spacing w:val="-2"/>
          <w:kern w:val="2"/>
          <w:sz w:val="24"/>
          <w:szCs w:val="24"/>
          <w:lang w:val="en-US" w:eastAsia="zh-CN" w:bidi="ar-SA"/>
        </w:rPr>
        <w:t>注：响应文件出现上述情形在开标会上被宣布为无效响应后，不再经磋商小组确认，亦不进入下一程序，该响应文件不予退回。</w:t>
      </w:r>
    </w:p>
    <w:p w14:paraId="07802B93">
      <w:pPr>
        <w:pStyle w:val="55"/>
        <w:jc w:val="center"/>
        <w:rPr>
          <w:rFonts w:hint="default"/>
          <w:lang w:val="en-US" w:eastAsia="zh-CN"/>
        </w:rPr>
      </w:pPr>
      <w:r>
        <w:rPr>
          <w:rFonts w:hint="eastAsia"/>
          <w:lang w:val="en-US" w:eastAsia="zh-CN"/>
        </w:rPr>
        <w:t>政府采购</w:t>
      </w:r>
      <w:r>
        <w:rPr>
          <w:rFonts w:hint="default"/>
          <w:lang w:val="en-US" w:eastAsia="zh-CN"/>
        </w:rPr>
        <w:t>政策落实</w:t>
      </w:r>
      <w:r>
        <w:rPr>
          <w:rFonts w:hint="eastAsia"/>
          <w:lang w:val="en-US" w:eastAsia="zh-CN"/>
        </w:rPr>
        <w:t>情况</w:t>
      </w:r>
    </w:p>
    <w:p w14:paraId="7B98EE63">
      <w:pPr>
        <w:numPr>
          <w:ilvl w:val="0"/>
          <w:numId w:val="20"/>
        </w:numPr>
        <w:spacing w:line="400" w:lineRule="atLeast"/>
        <w:ind w:left="-60" w:leftChars="0" w:firstLine="480" w:firstLineChars="0"/>
        <w:jc w:val="left"/>
        <w:rPr>
          <w:rFonts w:hint="default" w:ascii="宋体" w:hAnsi="宋体" w:eastAsia="宋体" w:cs="宋体"/>
          <w:b/>
          <w:bCs/>
          <w:sz w:val="24"/>
          <w:lang w:val="en-US" w:eastAsia="zh-CN"/>
        </w:rPr>
      </w:pPr>
      <w:r>
        <w:rPr>
          <w:rFonts w:hint="eastAsia" w:ascii="宋体" w:hAnsi="宋体" w:cs="宋体"/>
          <w:b/>
          <w:bCs/>
          <w:sz w:val="24"/>
          <w:lang w:val="en-US" w:eastAsia="zh-CN"/>
        </w:rPr>
        <w:t>本项目为专门面向中小企业采购，</w:t>
      </w:r>
      <w:r>
        <w:rPr>
          <w:rFonts w:hint="default" w:ascii="宋体" w:hAnsi="宋体" w:eastAsia="宋体" w:cs="宋体"/>
          <w:b/>
          <w:bCs/>
          <w:sz w:val="24"/>
          <w:lang w:val="en-US" w:eastAsia="zh-CN"/>
        </w:rPr>
        <w:t>根据《财政部 司法部关于政府采购支持监狱企业发展有关问题的通知》（财库〔2014〕68号）和《三部门联合发布关于促进残疾人就业政府采购政策的通知》（财库〔2017〕141号）</w:t>
      </w:r>
      <w:r>
        <w:rPr>
          <w:rFonts w:hint="eastAsia" w:ascii="宋体" w:hAnsi="宋体" w:cs="宋体"/>
          <w:b/>
          <w:bCs/>
          <w:sz w:val="24"/>
          <w:lang w:val="en-US" w:eastAsia="zh-CN"/>
        </w:rPr>
        <w:t>、</w:t>
      </w:r>
      <w:r>
        <w:rPr>
          <w:rFonts w:hint="default" w:ascii="宋体" w:hAnsi="宋体" w:eastAsia="宋体" w:cs="宋体"/>
          <w:b/>
          <w:bCs/>
          <w:sz w:val="24"/>
          <w:lang w:val="en-US" w:eastAsia="zh-CN"/>
        </w:rPr>
        <w:t>《政府采购促进中小企业发展管理办法》（财库【2020】46号）</w:t>
      </w:r>
      <w:r>
        <w:rPr>
          <w:rFonts w:hint="eastAsia" w:ascii="宋体" w:hAnsi="宋体" w:cs="宋体"/>
          <w:b/>
          <w:bCs/>
          <w:sz w:val="24"/>
          <w:lang w:val="en-US" w:eastAsia="zh-CN"/>
        </w:rPr>
        <w:t>、《政府采购信息公告管理办法》（财政部19号令）、《关于落实好政府采购支持中小企业发展的通知》新财购 〔2022〕22号</w:t>
      </w:r>
      <w:r>
        <w:rPr>
          <w:rFonts w:hint="default" w:ascii="宋体" w:hAnsi="宋体" w:eastAsia="宋体" w:cs="宋体"/>
          <w:b/>
          <w:bCs/>
          <w:sz w:val="24"/>
          <w:lang w:val="en-US" w:eastAsia="zh-CN"/>
        </w:rPr>
        <w:t>文的规定，对满足</w:t>
      </w:r>
      <w:r>
        <w:rPr>
          <w:rFonts w:hint="eastAsia" w:ascii="宋体" w:hAnsi="宋体" w:cs="宋体"/>
          <w:b/>
          <w:bCs/>
          <w:sz w:val="24"/>
          <w:lang w:val="en-US" w:eastAsia="zh-CN"/>
        </w:rPr>
        <w:t>中小企业</w:t>
      </w:r>
      <w:r>
        <w:rPr>
          <w:rFonts w:hint="default" w:ascii="宋体" w:hAnsi="宋体" w:eastAsia="宋体" w:cs="宋体"/>
          <w:b/>
          <w:bCs/>
          <w:sz w:val="24"/>
          <w:lang w:val="en-US" w:eastAsia="zh-CN"/>
        </w:rPr>
        <w:t>条件</w:t>
      </w:r>
      <w:r>
        <w:rPr>
          <w:rFonts w:hint="eastAsia" w:ascii="宋体" w:hAnsi="宋体" w:cs="宋体"/>
          <w:b/>
          <w:bCs/>
          <w:sz w:val="24"/>
          <w:lang w:val="en-US" w:eastAsia="zh-CN"/>
        </w:rPr>
        <w:t>的供应商，应</w:t>
      </w:r>
      <w:r>
        <w:rPr>
          <w:rFonts w:hint="eastAsia" w:ascii="宋体" w:hAnsi="宋体" w:eastAsia="宋体" w:cs="宋体"/>
          <w:b/>
          <w:bCs/>
          <w:sz w:val="24"/>
          <w:lang w:val="en-US" w:eastAsia="zh-CN"/>
        </w:rPr>
        <w:t>现场手持并在</w:t>
      </w:r>
      <w:r>
        <w:rPr>
          <w:rFonts w:hint="default" w:ascii="宋体" w:hAnsi="宋体" w:eastAsia="宋体" w:cs="宋体"/>
          <w:b/>
          <w:bCs/>
          <w:sz w:val="24"/>
          <w:lang w:val="en-US" w:eastAsia="zh-CN"/>
        </w:rPr>
        <w:t>响应文件中提交《</w:t>
      </w:r>
      <w:r>
        <w:rPr>
          <w:rFonts w:hint="eastAsia" w:ascii="宋体" w:hAnsi="宋体" w:cs="宋体"/>
          <w:b/>
          <w:bCs/>
          <w:sz w:val="24"/>
          <w:lang w:val="en-US" w:eastAsia="zh-CN"/>
        </w:rPr>
        <w:t>中小企业</w:t>
      </w:r>
      <w:r>
        <w:rPr>
          <w:rFonts w:hint="default" w:ascii="宋体" w:hAnsi="宋体" w:eastAsia="宋体" w:cs="宋体"/>
          <w:b/>
          <w:bCs/>
          <w:sz w:val="24"/>
          <w:lang w:val="en-US" w:eastAsia="zh-CN"/>
        </w:rPr>
        <w:t>声明函》、《残疾人福利性单位声明函》或省级以上监狱管理局、戒毒管理局（含新疆生产建设兵团）出具的属于监狱企业的证明文件</w:t>
      </w:r>
      <w:r>
        <w:rPr>
          <w:rFonts w:hint="eastAsia" w:ascii="宋体" w:hAnsi="宋体" w:cs="宋体"/>
          <w:b/>
          <w:bCs/>
          <w:sz w:val="24"/>
          <w:lang w:val="en-US" w:eastAsia="zh-CN"/>
        </w:rPr>
        <w:t>。</w:t>
      </w:r>
    </w:p>
    <w:p w14:paraId="60C64EB6">
      <w:pPr>
        <w:numPr>
          <w:ilvl w:val="0"/>
          <w:numId w:val="20"/>
        </w:numPr>
        <w:spacing w:line="400" w:lineRule="atLeast"/>
        <w:ind w:left="-60" w:leftChars="0" w:firstLine="480" w:firstLineChars="0"/>
        <w:jc w:val="left"/>
        <w:rPr>
          <w:rFonts w:hint="default" w:ascii="宋体" w:hAnsi="宋体" w:eastAsia="宋体" w:cs="宋体"/>
          <w:sz w:val="24"/>
          <w:lang w:val="en-US" w:eastAsia="zh-CN"/>
        </w:rPr>
      </w:pPr>
      <w:r>
        <w:rPr>
          <w:rFonts w:hint="default" w:ascii="宋体" w:hAnsi="宋体" w:eastAsia="宋体" w:cs="宋体"/>
          <w:sz w:val="24"/>
          <w:lang w:val="en-US" w:eastAsia="zh-CN"/>
        </w:rPr>
        <w:t>供应商所投产品如被列入财政部与国家主管部门颁发的节能产品目录或环境标志产品目录或无线局域网产品目录，应提供相关证明，在评审时予以优先采购，具体优惠措施为： 同等条件下优先选择《关于印发节能产品政府采购品目清单的通知》（财库〔2019〕19号）、《关于印发环境标志产品政府采购品目清单的通知》（财库〔2019〕18号）目录内的产品（须提供节能、环保认证证书复印件加盖公章）。</w:t>
      </w:r>
    </w:p>
    <w:p w14:paraId="7E646759">
      <w:pPr>
        <w:spacing w:line="400" w:lineRule="atLeast"/>
        <w:ind w:firstLine="480" w:firstLineChars="200"/>
        <w:jc w:val="left"/>
        <w:rPr>
          <w:rFonts w:hint="default" w:ascii="宋体" w:hAnsi="宋体" w:eastAsia="宋体" w:cs="宋体"/>
          <w:sz w:val="24"/>
          <w:lang w:val="en-US" w:eastAsia="zh-CN"/>
        </w:rPr>
      </w:pPr>
      <w:r>
        <w:rPr>
          <w:rFonts w:hint="eastAsia" w:ascii="宋体" w:hAnsi="宋体" w:eastAsia="宋体" w:cs="宋体"/>
          <w:sz w:val="24"/>
          <w:lang w:val="en-US" w:eastAsia="zh-CN"/>
        </w:rPr>
        <w:t>2</w:t>
      </w:r>
      <w:r>
        <w:rPr>
          <w:rFonts w:hint="default" w:ascii="宋体" w:hAnsi="宋体" w:eastAsia="宋体" w:cs="宋体"/>
          <w:sz w:val="24"/>
          <w:lang w:val="en-US" w:eastAsia="zh-CN"/>
        </w:rPr>
        <w:t>、联合协议中约定，小型、微型企业和监狱企业的协议合同金额占到联合体协议合同总金额30%以上的，可给予联合体</w:t>
      </w:r>
      <w:r>
        <w:rPr>
          <w:rFonts w:hint="eastAsia" w:ascii="宋体" w:hAnsi="宋体" w:cs="宋体"/>
          <w:sz w:val="24"/>
          <w:lang w:val="en-US" w:eastAsia="zh-CN"/>
        </w:rPr>
        <w:t xml:space="preserve"> </w:t>
      </w:r>
      <w:r>
        <w:rPr>
          <w:rFonts w:hint="default" w:ascii="宋体" w:hAnsi="宋体" w:eastAsia="宋体" w:cs="宋体"/>
          <w:sz w:val="24"/>
          <w:u w:val="single"/>
          <w:lang w:val="en-US" w:eastAsia="zh-CN"/>
        </w:rPr>
        <w:t xml:space="preserve"> / </w:t>
      </w:r>
      <w:r>
        <w:rPr>
          <w:rFonts w:hint="default" w:ascii="宋体" w:hAnsi="宋体" w:eastAsia="宋体" w:cs="宋体"/>
          <w:sz w:val="24"/>
          <w:lang w:val="en-US" w:eastAsia="zh-CN"/>
        </w:rPr>
        <w:t>%</w:t>
      </w:r>
      <w:r>
        <w:rPr>
          <w:rFonts w:hint="eastAsia" w:ascii="宋体" w:hAnsi="宋体" w:cs="宋体"/>
          <w:sz w:val="24"/>
          <w:lang w:val="en-US" w:eastAsia="zh-CN"/>
        </w:rPr>
        <w:t xml:space="preserve"> </w:t>
      </w:r>
      <w:r>
        <w:rPr>
          <w:rFonts w:hint="default" w:ascii="宋体" w:hAnsi="宋体" w:eastAsia="宋体" w:cs="宋体"/>
          <w:sz w:val="24"/>
          <w:lang w:val="en-US" w:eastAsia="zh-CN"/>
        </w:rPr>
        <w:t>的价格扣除。（本项目不适用）联合体各方均为小型、微型企业和监狱企业的，联合体视同为小型、微型企业和监狱企业。</w:t>
      </w:r>
    </w:p>
    <w:p w14:paraId="2EE1463E">
      <w:pPr>
        <w:spacing w:line="400" w:lineRule="atLeast"/>
        <w:ind w:firstLine="480" w:firstLineChars="200"/>
        <w:jc w:val="left"/>
        <w:rPr>
          <w:rFonts w:hint="default" w:ascii="宋体" w:hAnsi="宋体" w:eastAsia="宋体" w:cs="宋体"/>
          <w:sz w:val="24"/>
          <w:u w:val="single"/>
          <w:lang w:val="en-US" w:eastAsia="zh-CN"/>
        </w:rPr>
      </w:pPr>
      <w:r>
        <w:rPr>
          <w:rFonts w:hint="eastAsia" w:ascii="宋体" w:hAnsi="宋体" w:eastAsia="宋体" w:cs="宋体"/>
          <w:sz w:val="24"/>
          <w:lang w:val="en-US" w:eastAsia="zh-CN"/>
        </w:rPr>
        <w:t>3</w:t>
      </w:r>
      <w:r>
        <w:rPr>
          <w:rFonts w:hint="default" w:ascii="宋体" w:hAnsi="宋体" w:eastAsia="宋体" w:cs="宋体"/>
          <w:sz w:val="24"/>
          <w:lang w:val="en-US" w:eastAsia="zh-CN"/>
        </w:rPr>
        <w:t>、对创新产品或创新性企业的优惠措施为：</w:t>
      </w:r>
      <w:r>
        <w:rPr>
          <w:rFonts w:hint="default"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default" w:ascii="宋体" w:hAnsi="宋体" w:eastAsia="宋体" w:cs="宋体"/>
          <w:sz w:val="24"/>
          <w:u w:val="single"/>
          <w:lang w:val="en-US" w:eastAsia="zh-CN"/>
        </w:rPr>
        <w:t>/</w:t>
      </w:r>
      <w:r>
        <w:rPr>
          <w:rFonts w:hint="eastAsia" w:ascii="宋体" w:hAnsi="宋体" w:cs="宋体"/>
          <w:sz w:val="24"/>
          <w:u w:val="single"/>
          <w:lang w:val="en-US" w:eastAsia="zh-CN"/>
        </w:rPr>
        <w:t xml:space="preserve"> </w:t>
      </w:r>
      <w:r>
        <w:rPr>
          <w:rFonts w:hint="default" w:ascii="宋体" w:hAnsi="宋体" w:eastAsia="宋体" w:cs="宋体"/>
          <w:sz w:val="24"/>
          <w:u w:val="single"/>
          <w:lang w:val="en-US" w:eastAsia="zh-CN"/>
        </w:rPr>
        <w:t xml:space="preserve">   </w:t>
      </w:r>
    </w:p>
    <w:p w14:paraId="52D7DD57">
      <w:pPr>
        <w:spacing w:line="400" w:lineRule="atLeast"/>
        <w:jc w:val="both"/>
        <w:rPr>
          <w:rFonts w:hint="eastAsia" w:ascii="宋体" w:hAnsi="宋体" w:eastAsia="宋体" w:cs="宋体"/>
          <w:b/>
          <w:sz w:val="24"/>
          <w:lang w:val="en-US" w:eastAsia="zh-CN"/>
        </w:rPr>
      </w:pPr>
    </w:p>
    <w:p w14:paraId="3D62AA8D">
      <w:pPr>
        <w:spacing w:line="400" w:lineRule="atLeast"/>
        <w:ind w:firstLine="482" w:firstLineChars="200"/>
        <w:jc w:val="center"/>
        <w:rPr>
          <w:rFonts w:hint="eastAsia"/>
          <w:lang w:val="en-US" w:eastAsia="zh-CN"/>
        </w:rPr>
      </w:pPr>
      <w:r>
        <w:rPr>
          <w:rFonts w:hint="eastAsia" w:ascii="宋体" w:hAnsi="宋体" w:eastAsia="宋体" w:cs="宋体"/>
          <w:b/>
          <w:sz w:val="24"/>
          <w:lang w:val="en-US" w:eastAsia="zh-CN"/>
        </w:rPr>
        <w:t>纪律和监督</w:t>
      </w:r>
    </w:p>
    <w:p w14:paraId="6BB65AA2">
      <w:pPr>
        <w:spacing w:line="400" w:lineRule="atLeast"/>
        <w:ind w:firstLine="472" w:firstLineChars="200"/>
        <w:rPr>
          <w:rFonts w:hint="eastAsia" w:ascii="宋体" w:hAnsi="宋体" w:eastAsia="宋体" w:cs="宋体"/>
          <w:spacing w:val="-2"/>
          <w:sz w:val="24"/>
          <w:lang w:val="en-US" w:eastAsia="zh-CN"/>
        </w:rPr>
      </w:pPr>
    </w:p>
    <w:p w14:paraId="613869F6">
      <w:pPr>
        <w:spacing w:line="400" w:lineRule="atLeast"/>
        <w:ind w:firstLine="472" w:firstLineChars="200"/>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1．对采购人的纪律要求</w:t>
      </w:r>
    </w:p>
    <w:p w14:paraId="5FE319D1">
      <w:pPr>
        <w:spacing w:line="400" w:lineRule="atLeast"/>
        <w:ind w:firstLine="472" w:firstLineChars="200"/>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采购人不得泄漏招标投标活动中应当保密的情况和资料，不得与供应商串通损害国家利益、社会公共利益或者他人合法权益。</w:t>
      </w:r>
    </w:p>
    <w:p w14:paraId="50281781">
      <w:pPr>
        <w:spacing w:line="400" w:lineRule="atLeast"/>
        <w:ind w:firstLine="472" w:firstLineChars="200"/>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下列行为视为采购人与供应商串通投标：</w:t>
      </w:r>
    </w:p>
    <w:p w14:paraId="0F0B0AA9">
      <w:pPr>
        <w:spacing w:line="400" w:lineRule="atLeast"/>
        <w:ind w:firstLine="472" w:firstLineChars="200"/>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(1）采购人在开标前开启磋商响应文件，并将</w:t>
      </w:r>
      <w:r>
        <w:rPr>
          <w:rFonts w:hint="eastAsia" w:ascii="宋体" w:hAnsi="宋体" w:cs="宋体"/>
          <w:spacing w:val="-2"/>
          <w:sz w:val="24"/>
          <w:lang w:val="en-US" w:eastAsia="zh-CN"/>
        </w:rPr>
        <w:t>响应</w:t>
      </w:r>
      <w:r>
        <w:rPr>
          <w:rFonts w:hint="eastAsia" w:ascii="宋体" w:hAnsi="宋体" w:eastAsia="宋体" w:cs="宋体"/>
          <w:spacing w:val="-2"/>
          <w:sz w:val="24"/>
          <w:lang w:val="en-US" w:eastAsia="zh-CN"/>
        </w:rPr>
        <w:t>情况告知其它供应商，或者协助供应商撤换磋商响应文件，更改报价；</w:t>
      </w:r>
    </w:p>
    <w:p w14:paraId="6675645A">
      <w:pPr>
        <w:spacing w:line="400" w:lineRule="atLeast"/>
        <w:ind w:firstLine="472" w:firstLineChars="200"/>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(2）采购人向供应商泄露标底；</w:t>
      </w:r>
    </w:p>
    <w:p w14:paraId="15768FFB">
      <w:pPr>
        <w:spacing w:line="400" w:lineRule="atLeast"/>
        <w:ind w:firstLine="472" w:firstLineChars="200"/>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(3）采购人与供应商商定，投标</w:t>
      </w:r>
      <w:r>
        <w:rPr>
          <w:rFonts w:hint="eastAsia" w:ascii="宋体" w:hAnsi="宋体" w:cs="宋体"/>
          <w:spacing w:val="-2"/>
          <w:sz w:val="24"/>
          <w:lang w:val="en-US" w:eastAsia="zh-CN"/>
        </w:rPr>
        <w:t>响应</w:t>
      </w:r>
      <w:r>
        <w:rPr>
          <w:rFonts w:hint="eastAsia" w:ascii="宋体" w:hAnsi="宋体" w:eastAsia="宋体" w:cs="宋体"/>
          <w:spacing w:val="-2"/>
          <w:sz w:val="24"/>
          <w:lang w:val="en-US" w:eastAsia="zh-CN"/>
        </w:rPr>
        <w:t>时压低或抬高标价，中标后再给供应商或采购人额外补偿；</w:t>
      </w:r>
    </w:p>
    <w:p w14:paraId="0D803891">
      <w:pPr>
        <w:spacing w:line="400" w:lineRule="atLeast"/>
        <w:ind w:firstLine="472" w:firstLineChars="200"/>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(4）采购人预先内定中标供应商；</w:t>
      </w:r>
    </w:p>
    <w:p w14:paraId="75ABE7CA">
      <w:pPr>
        <w:spacing w:line="400" w:lineRule="atLeast"/>
        <w:ind w:firstLine="472" w:firstLineChars="200"/>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(5）其它串通投标行为。</w:t>
      </w:r>
    </w:p>
    <w:p w14:paraId="1B2C8B48">
      <w:pPr>
        <w:spacing w:line="400" w:lineRule="atLeast"/>
        <w:ind w:firstLine="472" w:firstLineChars="200"/>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2.对供应商的纪律要求</w:t>
      </w:r>
    </w:p>
    <w:p w14:paraId="0F555A2D">
      <w:pPr>
        <w:spacing w:line="400" w:lineRule="atLeast"/>
        <w:ind w:firstLine="472" w:firstLineChars="200"/>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供应商不得相互串通投标或者与采购人串通投标，不得向采购人或者磋商小组成员行贿谋取中标，不得以他人名义投标或者以其他方式弄虚作假骗取中标；供应商不得以任何方式干扰、影响</w:t>
      </w:r>
      <w:r>
        <w:rPr>
          <w:rFonts w:hint="eastAsia" w:ascii="宋体" w:hAnsi="宋体" w:cs="宋体"/>
          <w:spacing w:val="-2"/>
          <w:sz w:val="24"/>
          <w:lang w:val="en-US" w:eastAsia="zh-CN"/>
        </w:rPr>
        <w:t>评审</w:t>
      </w:r>
      <w:r>
        <w:rPr>
          <w:rFonts w:hint="eastAsia" w:ascii="宋体" w:hAnsi="宋体" w:eastAsia="宋体" w:cs="宋体"/>
          <w:spacing w:val="-2"/>
          <w:sz w:val="24"/>
          <w:lang w:val="en-US" w:eastAsia="zh-CN"/>
        </w:rPr>
        <w:t>工作；不得诋毁、排挤其他供应商；不得在招标过程中与招标采购单位进行协商谈判；不得拒绝有关部门的监督检查或者向监督检查部门提供虚假情况。</w:t>
      </w:r>
    </w:p>
    <w:p w14:paraId="7A7211B0">
      <w:pPr>
        <w:spacing w:line="400" w:lineRule="atLeast"/>
        <w:ind w:firstLine="472" w:firstLineChars="200"/>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下列情况视为</w:t>
      </w:r>
      <w:r>
        <w:rPr>
          <w:rFonts w:hint="eastAsia" w:ascii="宋体" w:hAnsi="宋体" w:cs="宋体"/>
          <w:spacing w:val="-2"/>
          <w:sz w:val="24"/>
          <w:lang w:val="en-US" w:eastAsia="zh-CN"/>
        </w:rPr>
        <w:t>供应商</w:t>
      </w:r>
      <w:r>
        <w:rPr>
          <w:rFonts w:hint="eastAsia" w:ascii="宋体" w:hAnsi="宋体" w:eastAsia="宋体" w:cs="宋体"/>
          <w:spacing w:val="-2"/>
          <w:sz w:val="24"/>
          <w:lang w:val="en-US" w:eastAsia="zh-CN"/>
        </w:rPr>
        <w:t>之间串通投标，其</w:t>
      </w:r>
      <w:r>
        <w:rPr>
          <w:rFonts w:hint="eastAsia" w:ascii="宋体" w:hAnsi="宋体" w:cs="宋体"/>
          <w:b/>
          <w:bCs/>
          <w:spacing w:val="-2"/>
          <w:sz w:val="24"/>
          <w:lang w:val="en-US" w:eastAsia="zh-CN"/>
        </w:rPr>
        <w:t>响应</w:t>
      </w:r>
      <w:r>
        <w:rPr>
          <w:rFonts w:hint="eastAsia" w:ascii="宋体" w:hAnsi="宋体" w:eastAsia="宋体" w:cs="宋体"/>
          <w:b/>
          <w:bCs/>
          <w:spacing w:val="-2"/>
          <w:sz w:val="24"/>
          <w:lang w:val="en-US" w:eastAsia="zh-CN"/>
        </w:rPr>
        <w:t>无效</w:t>
      </w:r>
      <w:r>
        <w:rPr>
          <w:rFonts w:hint="eastAsia" w:ascii="宋体" w:hAnsi="宋体" w:eastAsia="宋体" w:cs="宋体"/>
          <w:spacing w:val="-2"/>
          <w:sz w:val="24"/>
          <w:lang w:val="en-US" w:eastAsia="zh-CN"/>
        </w:rPr>
        <w:t>：</w:t>
      </w:r>
    </w:p>
    <w:p w14:paraId="09462CF7">
      <w:pPr>
        <w:spacing w:line="400" w:lineRule="atLeast"/>
        <w:ind w:firstLine="472" w:firstLineChars="200"/>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（1）不同供应商响应文件由同一单位或个人编制；</w:t>
      </w:r>
    </w:p>
    <w:p w14:paraId="09275EDA">
      <w:pPr>
        <w:spacing w:line="400" w:lineRule="atLeast"/>
        <w:ind w:firstLine="472" w:firstLineChars="200"/>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（2）不同供应商委托同一单位或个人办理投标事宜的；</w:t>
      </w:r>
    </w:p>
    <w:p w14:paraId="630FFD73">
      <w:pPr>
        <w:spacing w:line="400" w:lineRule="atLeast"/>
        <w:ind w:firstLine="472" w:firstLineChars="200"/>
        <w:rPr>
          <w:rFonts w:hint="default" w:ascii="宋体" w:hAnsi="宋体" w:eastAsia="宋体" w:cs="宋体"/>
          <w:spacing w:val="-2"/>
          <w:sz w:val="24"/>
          <w:lang w:val="en-US" w:eastAsia="zh-CN"/>
        </w:rPr>
      </w:pPr>
      <w:r>
        <w:rPr>
          <w:rFonts w:hint="eastAsia" w:ascii="宋体" w:hAnsi="宋体" w:eastAsia="宋体" w:cs="宋体"/>
          <w:spacing w:val="-2"/>
          <w:sz w:val="24"/>
          <w:lang w:val="en-US" w:eastAsia="zh-CN"/>
        </w:rPr>
        <w:t>（3）不同供应商的响应文件载明的联系人员为同一个人的；</w:t>
      </w:r>
    </w:p>
    <w:p w14:paraId="66612A5D">
      <w:pPr>
        <w:spacing w:line="400" w:lineRule="atLeast"/>
        <w:ind w:firstLine="472" w:firstLineChars="200"/>
        <w:rPr>
          <w:rFonts w:hint="default" w:ascii="宋体" w:hAnsi="宋体" w:eastAsia="宋体" w:cs="宋体"/>
          <w:spacing w:val="-2"/>
          <w:sz w:val="24"/>
          <w:lang w:val="en-US" w:eastAsia="zh-CN"/>
        </w:rPr>
      </w:pPr>
      <w:r>
        <w:rPr>
          <w:rFonts w:hint="eastAsia" w:ascii="宋体" w:hAnsi="宋体" w:eastAsia="宋体" w:cs="宋体"/>
          <w:spacing w:val="-2"/>
          <w:sz w:val="24"/>
          <w:lang w:val="en-US" w:eastAsia="zh-CN"/>
        </w:rPr>
        <w:t>（4）不同供应商的响应文件异常一致或报价呈规律性差异；</w:t>
      </w:r>
    </w:p>
    <w:p w14:paraId="5295CC3F">
      <w:pPr>
        <w:spacing w:line="400" w:lineRule="atLeast"/>
        <w:ind w:firstLine="472" w:firstLineChars="200"/>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（5）不同供应商的磋商响应文件相互混装的；</w:t>
      </w:r>
    </w:p>
    <w:p w14:paraId="7008D23C">
      <w:pPr>
        <w:spacing w:line="400" w:lineRule="atLeast"/>
        <w:ind w:firstLine="472" w:firstLineChars="200"/>
        <w:rPr>
          <w:rFonts w:hint="default" w:ascii="宋体" w:hAnsi="宋体" w:eastAsia="宋体" w:cs="宋体"/>
          <w:spacing w:val="-2"/>
          <w:sz w:val="24"/>
          <w:lang w:val="en-US" w:eastAsia="zh-CN"/>
        </w:rPr>
      </w:pPr>
      <w:r>
        <w:rPr>
          <w:rFonts w:hint="eastAsia" w:ascii="宋体" w:hAnsi="宋体" w:eastAsia="宋体" w:cs="宋体"/>
          <w:spacing w:val="-2"/>
          <w:sz w:val="24"/>
          <w:lang w:val="en-US" w:eastAsia="zh-CN"/>
        </w:rPr>
        <w:t>（6）不同供应商磋商保证金从同一单位或个人的帐户转出；</w:t>
      </w:r>
    </w:p>
    <w:p w14:paraId="6DC393C9">
      <w:pPr>
        <w:spacing w:line="400" w:lineRule="atLeast"/>
        <w:ind w:firstLine="472" w:firstLineChars="200"/>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3.对磋商小组成员的纪律要求</w:t>
      </w:r>
    </w:p>
    <w:p w14:paraId="119510BA">
      <w:pPr>
        <w:spacing w:line="400" w:lineRule="atLeast"/>
        <w:ind w:firstLine="472" w:firstLineChars="200"/>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磋商小组成员不得收受他人的财物或者其他好处，不得向他人透漏对磋商响应文件的评审和比较、</w:t>
      </w:r>
      <w:r>
        <w:rPr>
          <w:rFonts w:hint="eastAsia" w:ascii="宋体" w:hAnsi="宋体" w:cs="宋体"/>
          <w:spacing w:val="-2"/>
          <w:sz w:val="24"/>
          <w:lang w:val="en-US" w:eastAsia="zh-CN"/>
        </w:rPr>
        <w:t>成交</w:t>
      </w:r>
      <w:r>
        <w:rPr>
          <w:rFonts w:hint="eastAsia" w:ascii="宋体" w:hAnsi="宋体" w:eastAsia="宋体" w:cs="宋体"/>
          <w:spacing w:val="-2"/>
          <w:sz w:val="24"/>
          <w:lang w:val="en-US" w:eastAsia="zh-CN"/>
        </w:rPr>
        <w:t>候选人的推荐情况以及</w:t>
      </w:r>
      <w:r>
        <w:rPr>
          <w:rFonts w:hint="eastAsia" w:ascii="宋体" w:hAnsi="宋体" w:cs="宋体"/>
          <w:spacing w:val="-2"/>
          <w:sz w:val="24"/>
          <w:lang w:val="en-US" w:eastAsia="zh-CN"/>
        </w:rPr>
        <w:t>评审</w:t>
      </w:r>
      <w:r>
        <w:rPr>
          <w:rFonts w:hint="eastAsia" w:ascii="宋体" w:hAnsi="宋体" w:eastAsia="宋体" w:cs="宋体"/>
          <w:spacing w:val="-2"/>
          <w:sz w:val="24"/>
          <w:lang w:val="en-US" w:eastAsia="zh-CN"/>
        </w:rPr>
        <w:t>有关的其他情况。在</w:t>
      </w:r>
      <w:r>
        <w:rPr>
          <w:rFonts w:hint="eastAsia" w:ascii="宋体" w:hAnsi="宋体" w:cs="宋体"/>
          <w:spacing w:val="-2"/>
          <w:sz w:val="24"/>
          <w:lang w:val="en-US" w:eastAsia="zh-CN"/>
        </w:rPr>
        <w:t>评审</w:t>
      </w:r>
      <w:r>
        <w:rPr>
          <w:rFonts w:hint="eastAsia" w:ascii="宋体" w:hAnsi="宋体" w:eastAsia="宋体" w:cs="宋体"/>
          <w:spacing w:val="-2"/>
          <w:sz w:val="24"/>
          <w:lang w:val="en-US" w:eastAsia="zh-CN"/>
        </w:rPr>
        <w:t>活动中，磋商小组成员不得擅离职守，影响</w:t>
      </w:r>
      <w:r>
        <w:rPr>
          <w:rFonts w:hint="eastAsia" w:ascii="宋体" w:hAnsi="宋体" w:cs="宋体"/>
          <w:spacing w:val="-2"/>
          <w:sz w:val="24"/>
          <w:lang w:val="en-US" w:eastAsia="zh-CN"/>
        </w:rPr>
        <w:t>评审</w:t>
      </w:r>
      <w:r>
        <w:rPr>
          <w:rFonts w:hint="eastAsia" w:ascii="宋体" w:hAnsi="宋体" w:eastAsia="宋体" w:cs="宋体"/>
          <w:spacing w:val="-2"/>
          <w:sz w:val="24"/>
          <w:lang w:val="en-US" w:eastAsia="zh-CN"/>
        </w:rPr>
        <w:t>程序正常进行，不得使用“</w:t>
      </w:r>
      <w:r>
        <w:rPr>
          <w:rFonts w:hint="eastAsia" w:ascii="宋体" w:hAnsi="宋体" w:cs="宋体"/>
          <w:spacing w:val="-2"/>
          <w:sz w:val="24"/>
          <w:lang w:val="en-US" w:eastAsia="zh-CN"/>
        </w:rPr>
        <w:t>评审</w:t>
      </w:r>
      <w:r>
        <w:rPr>
          <w:rFonts w:hint="eastAsia" w:ascii="宋体" w:hAnsi="宋体" w:eastAsia="宋体" w:cs="宋体"/>
          <w:spacing w:val="-2"/>
          <w:sz w:val="24"/>
          <w:lang w:val="en-US" w:eastAsia="zh-CN"/>
        </w:rPr>
        <w:t>办法”没有规定的评审因素和标准进行评</w:t>
      </w:r>
      <w:r>
        <w:rPr>
          <w:rFonts w:hint="eastAsia" w:ascii="宋体" w:hAnsi="宋体" w:cs="宋体"/>
          <w:spacing w:val="-2"/>
          <w:sz w:val="24"/>
          <w:lang w:val="en-US" w:eastAsia="zh-CN"/>
        </w:rPr>
        <w:t>审</w:t>
      </w:r>
      <w:r>
        <w:rPr>
          <w:rFonts w:hint="eastAsia" w:ascii="宋体" w:hAnsi="宋体" w:eastAsia="宋体" w:cs="宋体"/>
          <w:spacing w:val="-2"/>
          <w:sz w:val="24"/>
          <w:lang w:val="en-US" w:eastAsia="zh-CN"/>
        </w:rPr>
        <w:t>。</w:t>
      </w:r>
    </w:p>
    <w:p w14:paraId="0D58AA99">
      <w:pPr>
        <w:spacing w:line="400" w:lineRule="atLeast"/>
        <w:ind w:firstLine="472" w:firstLineChars="200"/>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4.对参与评</w:t>
      </w:r>
      <w:r>
        <w:rPr>
          <w:rFonts w:hint="eastAsia" w:ascii="宋体" w:hAnsi="宋体" w:cs="宋体"/>
          <w:spacing w:val="-2"/>
          <w:sz w:val="24"/>
          <w:lang w:val="en-US" w:eastAsia="zh-CN"/>
        </w:rPr>
        <w:t>审</w:t>
      </w:r>
      <w:r>
        <w:rPr>
          <w:rFonts w:hint="eastAsia" w:ascii="宋体" w:hAnsi="宋体" w:eastAsia="宋体" w:cs="宋体"/>
          <w:spacing w:val="-2"/>
          <w:sz w:val="24"/>
          <w:lang w:val="en-US" w:eastAsia="zh-CN"/>
        </w:rPr>
        <w:t>活动有关的工作人员的纪律要求</w:t>
      </w:r>
    </w:p>
    <w:p w14:paraId="2085008F">
      <w:pPr>
        <w:spacing w:line="400" w:lineRule="atLeast"/>
        <w:ind w:firstLine="472" w:firstLineChars="200"/>
        <w:rPr>
          <w:rFonts w:hint="eastAsia" w:ascii="宋体" w:hAnsi="宋体" w:eastAsia="宋体" w:cs="宋体"/>
          <w:spacing w:val="-2"/>
          <w:sz w:val="24"/>
          <w:lang w:val="en-US" w:eastAsia="zh-CN"/>
        </w:rPr>
      </w:pPr>
      <w:r>
        <w:rPr>
          <w:rFonts w:hint="eastAsia" w:ascii="宋体" w:hAnsi="宋体" w:eastAsia="宋体" w:cs="宋体"/>
          <w:spacing w:val="-2"/>
          <w:sz w:val="24"/>
          <w:lang w:val="en-US" w:eastAsia="zh-CN"/>
        </w:rPr>
        <w:t>与评</w:t>
      </w:r>
      <w:r>
        <w:rPr>
          <w:rFonts w:hint="eastAsia" w:ascii="宋体" w:hAnsi="宋体" w:cs="宋体"/>
          <w:spacing w:val="-2"/>
          <w:sz w:val="24"/>
          <w:lang w:val="en-US" w:eastAsia="zh-CN"/>
        </w:rPr>
        <w:t>审</w:t>
      </w:r>
      <w:r>
        <w:rPr>
          <w:rFonts w:hint="eastAsia" w:ascii="宋体" w:hAnsi="宋体" w:eastAsia="宋体" w:cs="宋体"/>
          <w:spacing w:val="-2"/>
          <w:sz w:val="24"/>
          <w:lang w:val="en-US" w:eastAsia="zh-CN"/>
        </w:rPr>
        <w:t>活动有关的工作人员不得收受他人的财物或者其他好处，不得向他人透漏对磋商响应文件的评审和比较、</w:t>
      </w:r>
      <w:r>
        <w:rPr>
          <w:rFonts w:hint="eastAsia" w:ascii="宋体" w:hAnsi="宋体" w:cs="宋体"/>
          <w:spacing w:val="-2"/>
          <w:sz w:val="24"/>
          <w:lang w:val="en-US" w:eastAsia="zh-CN"/>
        </w:rPr>
        <w:t>成交</w:t>
      </w:r>
      <w:r>
        <w:rPr>
          <w:rFonts w:hint="eastAsia" w:ascii="宋体" w:hAnsi="宋体" w:eastAsia="宋体" w:cs="宋体"/>
          <w:spacing w:val="-2"/>
          <w:sz w:val="24"/>
          <w:lang w:val="en-US" w:eastAsia="zh-CN"/>
        </w:rPr>
        <w:t>候选人的推荐情况以及评</w:t>
      </w:r>
      <w:r>
        <w:rPr>
          <w:rFonts w:hint="eastAsia" w:ascii="宋体" w:hAnsi="宋体" w:cs="宋体"/>
          <w:spacing w:val="-2"/>
          <w:sz w:val="24"/>
          <w:lang w:val="en-US" w:eastAsia="zh-CN"/>
        </w:rPr>
        <w:t>审</w:t>
      </w:r>
      <w:r>
        <w:rPr>
          <w:rFonts w:hint="eastAsia" w:ascii="宋体" w:hAnsi="宋体" w:eastAsia="宋体" w:cs="宋体"/>
          <w:spacing w:val="-2"/>
          <w:sz w:val="24"/>
          <w:lang w:val="en-US" w:eastAsia="zh-CN"/>
        </w:rPr>
        <w:t>有关的其他情况。在评</w:t>
      </w:r>
      <w:r>
        <w:rPr>
          <w:rFonts w:hint="eastAsia" w:ascii="宋体" w:hAnsi="宋体" w:cs="宋体"/>
          <w:spacing w:val="-2"/>
          <w:sz w:val="24"/>
          <w:lang w:val="en-US" w:eastAsia="zh-CN"/>
        </w:rPr>
        <w:t>审</w:t>
      </w:r>
      <w:r>
        <w:rPr>
          <w:rFonts w:hint="eastAsia" w:ascii="宋体" w:hAnsi="宋体" w:eastAsia="宋体" w:cs="宋体"/>
          <w:spacing w:val="-2"/>
          <w:sz w:val="24"/>
          <w:lang w:val="en-US" w:eastAsia="zh-CN"/>
        </w:rPr>
        <w:t>活动中，与评</w:t>
      </w:r>
      <w:r>
        <w:rPr>
          <w:rFonts w:hint="eastAsia" w:ascii="宋体" w:hAnsi="宋体" w:cs="宋体"/>
          <w:spacing w:val="-2"/>
          <w:sz w:val="24"/>
          <w:lang w:val="en-US" w:eastAsia="zh-CN"/>
        </w:rPr>
        <w:t>审</w:t>
      </w:r>
      <w:r>
        <w:rPr>
          <w:rFonts w:hint="eastAsia" w:ascii="宋体" w:hAnsi="宋体" w:eastAsia="宋体" w:cs="宋体"/>
          <w:spacing w:val="-2"/>
          <w:sz w:val="24"/>
          <w:lang w:val="en-US" w:eastAsia="zh-CN"/>
        </w:rPr>
        <w:t>活动有关的工作人员不得擅离职守，影响评</w:t>
      </w:r>
      <w:r>
        <w:rPr>
          <w:rFonts w:hint="eastAsia" w:ascii="宋体" w:hAnsi="宋体" w:cs="宋体"/>
          <w:spacing w:val="-2"/>
          <w:sz w:val="24"/>
          <w:lang w:val="en-US" w:eastAsia="zh-CN"/>
        </w:rPr>
        <w:t>审</w:t>
      </w:r>
      <w:r>
        <w:rPr>
          <w:rFonts w:hint="eastAsia" w:ascii="宋体" w:hAnsi="宋体" w:eastAsia="宋体" w:cs="宋体"/>
          <w:spacing w:val="-2"/>
          <w:sz w:val="24"/>
          <w:lang w:val="en-US" w:eastAsia="zh-CN"/>
        </w:rPr>
        <w:t>程序正常进行。</w:t>
      </w:r>
      <w:bookmarkStart w:id="371" w:name="_Toc217446072"/>
    </w:p>
    <w:bookmarkEnd w:id="368"/>
    <w:bookmarkEnd w:id="369"/>
    <w:bookmarkEnd w:id="370"/>
    <w:bookmarkEnd w:id="371"/>
    <w:p w14:paraId="563DD098">
      <w:pPr>
        <w:spacing w:line="300" w:lineRule="auto"/>
        <w:jc w:val="center"/>
        <w:outlineLvl w:val="1"/>
        <w:rPr>
          <w:rFonts w:hint="eastAsia" w:asciiTheme="minorEastAsia" w:hAnsiTheme="minorEastAsia" w:eastAsiaTheme="minorEastAsia" w:cstheme="minorEastAsia"/>
          <w:b/>
          <w:spacing w:val="-2"/>
          <w:sz w:val="24"/>
        </w:rPr>
      </w:pPr>
    </w:p>
    <w:p w14:paraId="231AD77F">
      <w:pPr>
        <w:spacing w:line="300" w:lineRule="auto"/>
        <w:jc w:val="both"/>
        <w:outlineLvl w:val="1"/>
        <w:rPr>
          <w:rFonts w:hint="eastAsia" w:asciiTheme="minorEastAsia" w:hAnsiTheme="minorEastAsia" w:eastAsiaTheme="minorEastAsia" w:cstheme="minorEastAsia"/>
          <w:b/>
          <w:spacing w:val="-2"/>
          <w:sz w:val="24"/>
        </w:rPr>
      </w:pPr>
    </w:p>
    <w:p w14:paraId="55CEE7AB">
      <w:pPr>
        <w:pStyle w:val="53"/>
        <w:rPr>
          <w:rFonts w:hint="eastAsia" w:asciiTheme="minorEastAsia" w:hAnsiTheme="minorEastAsia" w:eastAsiaTheme="minorEastAsia" w:cstheme="minorEastAsia"/>
          <w:b/>
          <w:spacing w:val="-2"/>
          <w:sz w:val="24"/>
        </w:rPr>
      </w:pPr>
    </w:p>
    <w:p w14:paraId="2AB5B541">
      <w:pPr>
        <w:pStyle w:val="54"/>
        <w:rPr>
          <w:rFonts w:hint="eastAsia" w:asciiTheme="minorEastAsia" w:hAnsiTheme="minorEastAsia" w:eastAsiaTheme="minorEastAsia" w:cstheme="minorEastAsia"/>
          <w:b/>
          <w:spacing w:val="-2"/>
          <w:sz w:val="24"/>
        </w:rPr>
      </w:pPr>
    </w:p>
    <w:p w14:paraId="1849A8B9">
      <w:pPr>
        <w:pStyle w:val="54"/>
        <w:rPr>
          <w:rFonts w:hint="eastAsia" w:asciiTheme="minorEastAsia" w:hAnsiTheme="minorEastAsia" w:eastAsiaTheme="minorEastAsia" w:cstheme="minorEastAsia"/>
          <w:b/>
          <w:spacing w:val="-2"/>
          <w:sz w:val="24"/>
        </w:rPr>
      </w:pPr>
    </w:p>
    <w:p w14:paraId="309603E8">
      <w:pPr>
        <w:pStyle w:val="54"/>
        <w:ind w:left="0" w:leftChars="0" w:firstLine="0" w:firstLineChars="0"/>
        <w:rPr>
          <w:rFonts w:hint="eastAsia" w:asciiTheme="minorEastAsia" w:hAnsiTheme="minorEastAsia" w:eastAsiaTheme="minorEastAsia" w:cstheme="minorEastAsia"/>
          <w:b/>
          <w:spacing w:val="-2"/>
          <w:sz w:val="24"/>
        </w:rPr>
      </w:pPr>
    </w:p>
    <w:p w14:paraId="5C03CDF9">
      <w:pPr>
        <w:pStyle w:val="54"/>
        <w:ind w:left="0" w:leftChars="0" w:firstLine="0" w:firstLineChars="0"/>
        <w:rPr>
          <w:rFonts w:hint="eastAsia" w:asciiTheme="minorEastAsia" w:hAnsiTheme="minorEastAsia" w:eastAsiaTheme="minorEastAsia" w:cstheme="minorEastAsia"/>
          <w:b/>
          <w:spacing w:val="-2"/>
          <w:sz w:val="24"/>
        </w:rPr>
      </w:pPr>
    </w:p>
    <w:p w14:paraId="302D4D0B">
      <w:pPr>
        <w:pStyle w:val="54"/>
        <w:ind w:left="0" w:leftChars="0" w:firstLine="0" w:firstLineChars="0"/>
        <w:rPr>
          <w:rFonts w:hint="eastAsia" w:asciiTheme="minorEastAsia" w:hAnsiTheme="minorEastAsia" w:eastAsiaTheme="minorEastAsia" w:cstheme="minorEastAsia"/>
          <w:b/>
          <w:spacing w:val="-2"/>
          <w:sz w:val="24"/>
        </w:rPr>
      </w:pPr>
    </w:p>
    <w:p w14:paraId="6C7753C5">
      <w:pPr>
        <w:pStyle w:val="54"/>
        <w:ind w:left="0" w:leftChars="0" w:firstLine="0" w:firstLineChars="0"/>
        <w:rPr>
          <w:rFonts w:hint="eastAsia" w:asciiTheme="minorEastAsia" w:hAnsiTheme="minorEastAsia" w:eastAsiaTheme="minorEastAsia" w:cstheme="minorEastAsia"/>
          <w:b/>
          <w:spacing w:val="-2"/>
          <w:sz w:val="24"/>
        </w:rPr>
      </w:pPr>
    </w:p>
    <w:p w14:paraId="504C0EF0">
      <w:pPr>
        <w:pStyle w:val="54"/>
        <w:ind w:left="0" w:leftChars="0" w:firstLine="0" w:firstLineChars="0"/>
        <w:rPr>
          <w:rFonts w:hint="eastAsia" w:asciiTheme="minorEastAsia" w:hAnsiTheme="minorEastAsia" w:eastAsiaTheme="minorEastAsia" w:cstheme="minorEastAsia"/>
          <w:b/>
          <w:spacing w:val="-2"/>
          <w:sz w:val="24"/>
        </w:rPr>
      </w:pPr>
    </w:p>
    <w:p w14:paraId="7CA31C11">
      <w:pPr>
        <w:spacing w:line="300" w:lineRule="auto"/>
        <w:jc w:val="center"/>
        <w:outlineLvl w:val="1"/>
        <w:rPr>
          <w:rFonts w:hint="eastAsia" w:asciiTheme="minorEastAsia" w:hAnsiTheme="minorEastAsia" w:eastAsiaTheme="minorEastAsia" w:cstheme="minorEastAsia"/>
          <w:b/>
          <w:spacing w:val="-2"/>
          <w:sz w:val="24"/>
        </w:rPr>
      </w:pPr>
    </w:p>
    <w:p w14:paraId="01F8253E">
      <w:pPr>
        <w:spacing w:line="300" w:lineRule="auto"/>
        <w:jc w:val="center"/>
        <w:outlineLvl w:val="1"/>
        <w:rPr>
          <w:rFonts w:hint="eastAsia" w:asciiTheme="minorEastAsia" w:hAnsiTheme="minorEastAsia" w:eastAsiaTheme="minorEastAsia" w:cstheme="minorEastAsia"/>
          <w:b/>
          <w:spacing w:val="-2"/>
          <w:sz w:val="24"/>
        </w:rPr>
      </w:pPr>
    </w:p>
    <w:p w14:paraId="668FBECA">
      <w:pPr>
        <w:spacing w:before="91" w:line="221" w:lineRule="auto"/>
        <w:ind w:left="3595"/>
        <w:rPr>
          <w:rFonts w:ascii="仿宋" w:hAnsi="仿宋" w:eastAsia="仿宋" w:cs="仿宋"/>
          <w:sz w:val="28"/>
          <w:szCs w:val="28"/>
          <w:highlight w:val="none"/>
        </w:rPr>
      </w:pPr>
      <w:r>
        <w:rPr>
          <w:rFonts w:ascii="仿宋" w:hAnsi="仿宋" w:eastAsia="仿宋" w:cs="仿宋"/>
          <w:b/>
          <w:bCs/>
          <w:spacing w:val="-4"/>
          <w:sz w:val="28"/>
          <w:szCs w:val="28"/>
          <w:highlight w:val="none"/>
        </w:rPr>
        <w:t>资格性审查表</w:t>
      </w:r>
    </w:p>
    <w:tbl>
      <w:tblPr>
        <w:tblStyle w:val="137"/>
        <w:tblW w:w="94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
        <w:gridCol w:w="5904"/>
        <w:gridCol w:w="883"/>
        <w:gridCol w:w="800"/>
        <w:gridCol w:w="917"/>
      </w:tblGrid>
      <w:tr w14:paraId="09634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20" w:type="dxa"/>
            <w:vMerge w:val="restart"/>
            <w:tcBorders>
              <w:bottom w:val="nil"/>
            </w:tcBorders>
            <w:vAlign w:val="top"/>
          </w:tcPr>
          <w:p w14:paraId="476A64AA">
            <w:pPr>
              <w:pStyle w:val="138"/>
              <w:spacing w:line="369" w:lineRule="auto"/>
              <w:rPr>
                <w:rFonts w:hint="eastAsia" w:asciiTheme="minorEastAsia" w:hAnsiTheme="minorEastAsia" w:eastAsiaTheme="minorEastAsia" w:cstheme="minorEastAsia"/>
                <w:sz w:val="16"/>
                <w:szCs w:val="16"/>
                <w:highlight w:val="none"/>
              </w:rPr>
            </w:pPr>
          </w:p>
          <w:p w14:paraId="151843E2">
            <w:pPr>
              <w:spacing w:before="75" w:line="231" w:lineRule="auto"/>
              <w:ind w:left="232"/>
              <w:outlineLvl w:val="1"/>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b/>
                <w:bCs/>
                <w:spacing w:val="-1"/>
                <w:sz w:val="20"/>
                <w:szCs w:val="20"/>
                <w:highlight w:val="none"/>
              </w:rPr>
              <w:t>序号</w:t>
            </w:r>
          </w:p>
        </w:tc>
        <w:tc>
          <w:tcPr>
            <w:tcW w:w="5904" w:type="dxa"/>
            <w:vMerge w:val="restart"/>
            <w:tcBorders>
              <w:bottom w:val="nil"/>
            </w:tcBorders>
            <w:vAlign w:val="top"/>
          </w:tcPr>
          <w:p w14:paraId="752D09EA">
            <w:pPr>
              <w:pStyle w:val="138"/>
              <w:spacing w:line="369" w:lineRule="auto"/>
              <w:rPr>
                <w:rFonts w:hint="eastAsia" w:asciiTheme="minorEastAsia" w:hAnsiTheme="minorEastAsia" w:eastAsiaTheme="minorEastAsia" w:cstheme="minorEastAsia"/>
                <w:sz w:val="16"/>
                <w:szCs w:val="16"/>
                <w:highlight w:val="none"/>
              </w:rPr>
            </w:pPr>
          </w:p>
          <w:p w14:paraId="61BA89D1">
            <w:pPr>
              <w:spacing w:before="75" w:line="231" w:lineRule="auto"/>
              <w:ind w:left="3062"/>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b/>
                <w:bCs/>
                <w:spacing w:val="3"/>
                <w:sz w:val="20"/>
                <w:szCs w:val="20"/>
                <w:highlight w:val="none"/>
              </w:rPr>
              <w:t>评审内容</w:t>
            </w:r>
          </w:p>
        </w:tc>
        <w:tc>
          <w:tcPr>
            <w:tcW w:w="2600" w:type="dxa"/>
            <w:gridSpan w:val="3"/>
            <w:vAlign w:val="top"/>
          </w:tcPr>
          <w:p w14:paraId="70D99B92">
            <w:pPr>
              <w:spacing w:before="46" w:line="231" w:lineRule="auto"/>
              <w:ind w:left="784"/>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b/>
                <w:bCs/>
                <w:spacing w:val="2"/>
                <w:sz w:val="20"/>
                <w:szCs w:val="20"/>
                <w:highlight w:val="none"/>
              </w:rPr>
              <w:t>供应商</w:t>
            </w:r>
          </w:p>
        </w:tc>
      </w:tr>
      <w:tr w14:paraId="56D7E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920" w:type="dxa"/>
            <w:vMerge w:val="continue"/>
            <w:tcBorders>
              <w:top w:val="nil"/>
            </w:tcBorders>
            <w:vAlign w:val="top"/>
          </w:tcPr>
          <w:p w14:paraId="4B22DD3E">
            <w:pPr>
              <w:pStyle w:val="138"/>
              <w:rPr>
                <w:rFonts w:hint="eastAsia" w:asciiTheme="minorEastAsia" w:hAnsiTheme="minorEastAsia" w:eastAsiaTheme="minorEastAsia" w:cstheme="minorEastAsia"/>
                <w:sz w:val="16"/>
                <w:szCs w:val="16"/>
                <w:highlight w:val="none"/>
              </w:rPr>
            </w:pPr>
          </w:p>
        </w:tc>
        <w:tc>
          <w:tcPr>
            <w:tcW w:w="5904" w:type="dxa"/>
            <w:vMerge w:val="continue"/>
            <w:tcBorders>
              <w:top w:val="nil"/>
            </w:tcBorders>
            <w:vAlign w:val="top"/>
          </w:tcPr>
          <w:p w14:paraId="5C6CE235">
            <w:pPr>
              <w:pStyle w:val="138"/>
              <w:rPr>
                <w:rFonts w:hint="eastAsia" w:asciiTheme="minorEastAsia" w:hAnsiTheme="minorEastAsia" w:eastAsiaTheme="minorEastAsia" w:cstheme="minorEastAsia"/>
                <w:sz w:val="16"/>
                <w:szCs w:val="16"/>
                <w:highlight w:val="none"/>
              </w:rPr>
            </w:pPr>
          </w:p>
        </w:tc>
        <w:tc>
          <w:tcPr>
            <w:tcW w:w="883" w:type="dxa"/>
            <w:vAlign w:val="top"/>
          </w:tcPr>
          <w:p w14:paraId="5C2FA6D3">
            <w:pPr>
              <w:spacing w:before="43" w:line="296" w:lineRule="auto"/>
              <w:ind w:left="141" w:right="117" w:hanging="5"/>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
                <w:sz w:val="20"/>
                <w:szCs w:val="20"/>
                <w:highlight w:val="none"/>
              </w:rPr>
              <w:t>是否</w:t>
            </w:r>
            <w:r>
              <w:rPr>
                <w:rFonts w:hint="eastAsia" w:asciiTheme="minorEastAsia" w:hAnsiTheme="minorEastAsia" w:eastAsiaTheme="minorEastAsia" w:cstheme="minorEastAsia"/>
                <w:sz w:val="20"/>
                <w:szCs w:val="20"/>
                <w:highlight w:val="none"/>
              </w:rPr>
              <w:t xml:space="preserve"> </w:t>
            </w:r>
            <w:r>
              <w:rPr>
                <w:rFonts w:hint="eastAsia" w:asciiTheme="minorEastAsia" w:hAnsiTheme="minorEastAsia" w:eastAsiaTheme="minorEastAsia" w:cstheme="minorEastAsia"/>
                <w:spacing w:val="-2"/>
                <w:sz w:val="20"/>
                <w:szCs w:val="20"/>
                <w:highlight w:val="none"/>
              </w:rPr>
              <w:t>合格</w:t>
            </w:r>
          </w:p>
        </w:tc>
        <w:tc>
          <w:tcPr>
            <w:tcW w:w="800" w:type="dxa"/>
            <w:vAlign w:val="top"/>
          </w:tcPr>
          <w:p w14:paraId="53DFC2D1">
            <w:pPr>
              <w:spacing w:before="43" w:line="296" w:lineRule="auto"/>
              <w:ind w:left="139" w:right="113" w:hanging="5"/>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
                <w:sz w:val="20"/>
                <w:szCs w:val="20"/>
                <w:highlight w:val="none"/>
              </w:rPr>
              <w:t>是否</w:t>
            </w:r>
            <w:r>
              <w:rPr>
                <w:rFonts w:hint="eastAsia" w:asciiTheme="minorEastAsia" w:hAnsiTheme="minorEastAsia" w:eastAsiaTheme="minorEastAsia" w:cstheme="minorEastAsia"/>
                <w:sz w:val="20"/>
                <w:szCs w:val="20"/>
                <w:highlight w:val="none"/>
              </w:rPr>
              <w:t xml:space="preserve"> </w:t>
            </w:r>
            <w:r>
              <w:rPr>
                <w:rFonts w:hint="eastAsia" w:asciiTheme="minorEastAsia" w:hAnsiTheme="minorEastAsia" w:eastAsiaTheme="minorEastAsia" w:cstheme="minorEastAsia"/>
                <w:spacing w:val="-2"/>
                <w:sz w:val="20"/>
                <w:szCs w:val="20"/>
                <w:highlight w:val="none"/>
              </w:rPr>
              <w:t>合格</w:t>
            </w:r>
          </w:p>
        </w:tc>
        <w:tc>
          <w:tcPr>
            <w:tcW w:w="917" w:type="dxa"/>
            <w:vAlign w:val="top"/>
          </w:tcPr>
          <w:p w14:paraId="0D334C36">
            <w:pPr>
              <w:spacing w:before="43" w:line="296" w:lineRule="auto"/>
              <w:ind w:left="191" w:right="170" w:hanging="5"/>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
                <w:sz w:val="20"/>
                <w:szCs w:val="20"/>
                <w:highlight w:val="none"/>
              </w:rPr>
              <w:t>是否</w:t>
            </w:r>
            <w:r>
              <w:rPr>
                <w:rFonts w:hint="eastAsia" w:asciiTheme="minorEastAsia" w:hAnsiTheme="minorEastAsia" w:eastAsiaTheme="minorEastAsia" w:cstheme="minorEastAsia"/>
                <w:sz w:val="20"/>
                <w:szCs w:val="20"/>
                <w:highlight w:val="none"/>
              </w:rPr>
              <w:t xml:space="preserve"> </w:t>
            </w:r>
            <w:r>
              <w:rPr>
                <w:rFonts w:hint="eastAsia" w:asciiTheme="minorEastAsia" w:hAnsiTheme="minorEastAsia" w:eastAsiaTheme="minorEastAsia" w:cstheme="minorEastAsia"/>
                <w:spacing w:val="-2"/>
                <w:sz w:val="20"/>
                <w:szCs w:val="20"/>
                <w:highlight w:val="none"/>
              </w:rPr>
              <w:t>合格</w:t>
            </w:r>
          </w:p>
        </w:tc>
      </w:tr>
      <w:tr w14:paraId="68985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920" w:type="dxa"/>
            <w:vAlign w:val="top"/>
          </w:tcPr>
          <w:p w14:paraId="34070159">
            <w:pPr>
              <w:spacing w:before="75" w:line="187" w:lineRule="auto"/>
              <w:ind w:left="423"/>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w:t>
            </w:r>
          </w:p>
        </w:tc>
        <w:tc>
          <w:tcPr>
            <w:tcW w:w="5904" w:type="dxa"/>
            <w:vAlign w:val="top"/>
          </w:tcPr>
          <w:p w14:paraId="3ED423D6">
            <w:pPr>
              <w:spacing w:before="36" w:line="301" w:lineRule="auto"/>
              <w:ind w:right="103"/>
              <w:jc w:val="both"/>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val="en-US" w:eastAsia="zh-CN"/>
              </w:rPr>
              <w:t>具有有效的营业执照。</w:t>
            </w:r>
          </w:p>
        </w:tc>
        <w:tc>
          <w:tcPr>
            <w:tcW w:w="883" w:type="dxa"/>
            <w:vAlign w:val="top"/>
          </w:tcPr>
          <w:p w14:paraId="7E7EF34B">
            <w:pPr>
              <w:pStyle w:val="138"/>
              <w:rPr>
                <w:rFonts w:hint="eastAsia" w:asciiTheme="minorEastAsia" w:hAnsiTheme="minorEastAsia" w:eastAsiaTheme="minorEastAsia" w:cstheme="minorEastAsia"/>
                <w:sz w:val="16"/>
                <w:szCs w:val="16"/>
                <w:highlight w:val="none"/>
              </w:rPr>
            </w:pPr>
          </w:p>
        </w:tc>
        <w:tc>
          <w:tcPr>
            <w:tcW w:w="800" w:type="dxa"/>
            <w:vAlign w:val="top"/>
          </w:tcPr>
          <w:p w14:paraId="36105ED4">
            <w:pPr>
              <w:pStyle w:val="138"/>
              <w:rPr>
                <w:rFonts w:hint="eastAsia" w:asciiTheme="minorEastAsia" w:hAnsiTheme="minorEastAsia" w:eastAsiaTheme="minorEastAsia" w:cstheme="minorEastAsia"/>
                <w:sz w:val="16"/>
                <w:szCs w:val="16"/>
                <w:highlight w:val="none"/>
              </w:rPr>
            </w:pPr>
          </w:p>
        </w:tc>
        <w:tc>
          <w:tcPr>
            <w:tcW w:w="917" w:type="dxa"/>
            <w:vAlign w:val="top"/>
          </w:tcPr>
          <w:p w14:paraId="653F8324">
            <w:pPr>
              <w:pStyle w:val="138"/>
              <w:rPr>
                <w:rFonts w:hint="eastAsia" w:asciiTheme="minorEastAsia" w:hAnsiTheme="minorEastAsia" w:eastAsiaTheme="minorEastAsia" w:cstheme="minorEastAsia"/>
                <w:sz w:val="16"/>
                <w:szCs w:val="16"/>
                <w:highlight w:val="none"/>
              </w:rPr>
            </w:pPr>
          </w:p>
        </w:tc>
      </w:tr>
      <w:tr w14:paraId="244BB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920" w:type="dxa"/>
            <w:vAlign w:val="top"/>
          </w:tcPr>
          <w:p w14:paraId="25084CBC">
            <w:pPr>
              <w:spacing w:before="272" w:line="186" w:lineRule="auto"/>
              <w:ind w:left="408"/>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w:t>
            </w:r>
          </w:p>
        </w:tc>
        <w:tc>
          <w:tcPr>
            <w:tcW w:w="5904" w:type="dxa"/>
            <w:vAlign w:val="top"/>
          </w:tcPr>
          <w:p w14:paraId="68DEC96F">
            <w:pPr>
              <w:spacing w:before="109" w:line="265" w:lineRule="auto"/>
              <w:ind w:right="103"/>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val="en-US" w:eastAsia="zh-CN"/>
              </w:rPr>
              <w:t>供应商单位法人响应的提供法人身份证明，被授权人响应的提供法人授权委托书和身份证明。</w:t>
            </w:r>
          </w:p>
        </w:tc>
        <w:tc>
          <w:tcPr>
            <w:tcW w:w="883" w:type="dxa"/>
            <w:vAlign w:val="top"/>
          </w:tcPr>
          <w:p w14:paraId="2AF61A6B">
            <w:pPr>
              <w:pStyle w:val="138"/>
              <w:rPr>
                <w:rFonts w:hint="eastAsia" w:asciiTheme="minorEastAsia" w:hAnsiTheme="minorEastAsia" w:eastAsiaTheme="minorEastAsia" w:cstheme="minorEastAsia"/>
                <w:sz w:val="16"/>
                <w:szCs w:val="16"/>
                <w:highlight w:val="none"/>
              </w:rPr>
            </w:pPr>
          </w:p>
        </w:tc>
        <w:tc>
          <w:tcPr>
            <w:tcW w:w="800" w:type="dxa"/>
            <w:vAlign w:val="top"/>
          </w:tcPr>
          <w:p w14:paraId="13AD3B05">
            <w:pPr>
              <w:pStyle w:val="138"/>
              <w:rPr>
                <w:rFonts w:hint="eastAsia" w:asciiTheme="minorEastAsia" w:hAnsiTheme="minorEastAsia" w:eastAsiaTheme="minorEastAsia" w:cstheme="minorEastAsia"/>
                <w:sz w:val="16"/>
                <w:szCs w:val="16"/>
                <w:highlight w:val="none"/>
              </w:rPr>
            </w:pPr>
          </w:p>
        </w:tc>
        <w:tc>
          <w:tcPr>
            <w:tcW w:w="917" w:type="dxa"/>
            <w:vAlign w:val="top"/>
          </w:tcPr>
          <w:p w14:paraId="1CC6389D">
            <w:pPr>
              <w:pStyle w:val="138"/>
              <w:rPr>
                <w:rFonts w:hint="eastAsia" w:asciiTheme="minorEastAsia" w:hAnsiTheme="minorEastAsia" w:eastAsiaTheme="minorEastAsia" w:cstheme="minorEastAsia"/>
                <w:sz w:val="16"/>
                <w:szCs w:val="16"/>
                <w:highlight w:val="none"/>
              </w:rPr>
            </w:pPr>
          </w:p>
        </w:tc>
      </w:tr>
      <w:tr w14:paraId="68A6E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920" w:type="dxa"/>
            <w:vAlign w:val="top"/>
          </w:tcPr>
          <w:p w14:paraId="0B8C5D1C">
            <w:pPr>
              <w:spacing w:before="272" w:line="186" w:lineRule="auto"/>
              <w:ind w:left="41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3</w:t>
            </w:r>
          </w:p>
        </w:tc>
        <w:tc>
          <w:tcPr>
            <w:tcW w:w="5904" w:type="dxa"/>
            <w:vAlign w:val="top"/>
          </w:tcPr>
          <w:p w14:paraId="465B6855">
            <w:pPr>
              <w:spacing w:before="108" w:line="266" w:lineRule="auto"/>
              <w:ind w:right="103"/>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val="en-US" w:eastAsia="zh-CN"/>
              </w:rPr>
              <w:t>供应商需具备【建筑工程施工总承包叁级】(含)以上资质，有安全生产许可证且在有效期内；项目负责人资质要求：【建筑工程】专业二级（含）以上注册建造师执业资格，具备有效的安全生产考核合格证书，且未担任其他在施建设工程项目的项目负责人、项目经理。</w:t>
            </w:r>
          </w:p>
        </w:tc>
        <w:tc>
          <w:tcPr>
            <w:tcW w:w="883" w:type="dxa"/>
            <w:vAlign w:val="top"/>
          </w:tcPr>
          <w:p w14:paraId="0B352CDA">
            <w:pPr>
              <w:pStyle w:val="138"/>
              <w:rPr>
                <w:rFonts w:hint="eastAsia" w:asciiTheme="minorEastAsia" w:hAnsiTheme="minorEastAsia" w:eastAsiaTheme="minorEastAsia" w:cstheme="minorEastAsia"/>
                <w:sz w:val="16"/>
                <w:szCs w:val="16"/>
                <w:highlight w:val="none"/>
              </w:rPr>
            </w:pPr>
          </w:p>
        </w:tc>
        <w:tc>
          <w:tcPr>
            <w:tcW w:w="800" w:type="dxa"/>
            <w:vAlign w:val="top"/>
          </w:tcPr>
          <w:p w14:paraId="0D732348">
            <w:pPr>
              <w:pStyle w:val="138"/>
              <w:rPr>
                <w:rFonts w:hint="eastAsia" w:asciiTheme="minorEastAsia" w:hAnsiTheme="minorEastAsia" w:eastAsiaTheme="minorEastAsia" w:cstheme="minorEastAsia"/>
                <w:sz w:val="16"/>
                <w:szCs w:val="16"/>
                <w:highlight w:val="none"/>
              </w:rPr>
            </w:pPr>
          </w:p>
        </w:tc>
        <w:tc>
          <w:tcPr>
            <w:tcW w:w="917" w:type="dxa"/>
            <w:vAlign w:val="top"/>
          </w:tcPr>
          <w:p w14:paraId="17947A7C">
            <w:pPr>
              <w:pStyle w:val="138"/>
              <w:rPr>
                <w:rFonts w:hint="eastAsia" w:asciiTheme="minorEastAsia" w:hAnsiTheme="minorEastAsia" w:eastAsiaTheme="minorEastAsia" w:cstheme="minorEastAsia"/>
                <w:sz w:val="16"/>
                <w:szCs w:val="16"/>
                <w:highlight w:val="none"/>
              </w:rPr>
            </w:pPr>
          </w:p>
        </w:tc>
      </w:tr>
      <w:tr w14:paraId="42D16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920" w:type="dxa"/>
            <w:vAlign w:val="top"/>
          </w:tcPr>
          <w:p w14:paraId="7587EE1C">
            <w:pPr>
              <w:spacing w:before="273" w:line="186" w:lineRule="auto"/>
              <w:ind w:left="404"/>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4</w:t>
            </w:r>
          </w:p>
        </w:tc>
        <w:tc>
          <w:tcPr>
            <w:tcW w:w="5904" w:type="dxa"/>
            <w:vAlign w:val="top"/>
          </w:tcPr>
          <w:p w14:paraId="3A7F1477">
            <w:pPr>
              <w:spacing w:before="110" w:line="265" w:lineRule="auto"/>
              <w:ind w:right="103"/>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val="en-US" w:eastAsia="zh-CN"/>
              </w:rPr>
              <w:t>税务局开具的依法缴纳近三个月内任意一个月的税收证明的良好记录，依法免税应提供相应文件证明。</w:t>
            </w:r>
          </w:p>
        </w:tc>
        <w:tc>
          <w:tcPr>
            <w:tcW w:w="883" w:type="dxa"/>
            <w:vAlign w:val="top"/>
          </w:tcPr>
          <w:p w14:paraId="6DE721DD">
            <w:pPr>
              <w:pStyle w:val="138"/>
              <w:rPr>
                <w:rFonts w:hint="eastAsia" w:asciiTheme="minorEastAsia" w:hAnsiTheme="minorEastAsia" w:eastAsiaTheme="minorEastAsia" w:cstheme="minorEastAsia"/>
                <w:sz w:val="16"/>
                <w:szCs w:val="16"/>
                <w:highlight w:val="none"/>
              </w:rPr>
            </w:pPr>
          </w:p>
        </w:tc>
        <w:tc>
          <w:tcPr>
            <w:tcW w:w="800" w:type="dxa"/>
            <w:vAlign w:val="top"/>
          </w:tcPr>
          <w:p w14:paraId="263379A3">
            <w:pPr>
              <w:pStyle w:val="138"/>
              <w:rPr>
                <w:rFonts w:hint="eastAsia" w:asciiTheme="minorEastAsia" w:hAnsiTheme="minorEastAsia" w:eastAsiaTheme="minorEastAsia" w:cstheme="minorEastAsia"/>
                <w:sz w:val="16"/>
                <w:szCs w:val="16"/>
                <w:highlight w:val="none"/>
              </w:rPr>
            </w:pPr>
          </w:p>
        </w:tc>
        <w:tc>
          <w:tcPr>
            <w:tcW w:w="917" w:type="dxa"/>
            <w:vAlign w:val="top"/>
          </w:tcPr>
          <w:p w14:paraId="22541C0D">
            <w:pPr>
              <w:pStyle w:val="138"/>
              <w:rPr>
                <w:rFonts w:hint="eastAsia" w:asciiTheme="minorEastAsia" w:hAnsiTheme="minorEastAsia" w:eastAsiaTheme="minorEastAsia" w:cstheme="minorEastAsia"/>
                <w:sz w:val="16"/>
                <w:szCs w:val="16"/>
                <w:highlight w:val="none"/>
              </w:rPr>
            </w:pPr>
          </w:p>
        </w:tc>
      </w:tr>
      <w:tr w14:paraId="4976B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20" w:type="dxa"/>
            <w:vAlign w:val="top"/>
          </w:tcPr>
          <w:p w14:paraId="70BDA05A">
            <w:pPr>
              <w:spacing w:before="75" w:line="187" w:lineRule="auto"/>
              <w:ind w:left="423"/>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5</w:t>
            </w:r>
          </w:p>
        </w:tc>
        <w:tc>
          <w:tcPr>
            <w:tcW w:w="5904" w:type="dxa"/>
            <w:vAlign w:val="top"/>
          </w:tcPr>
          <w:p w14:paraId="2A5072FD">
            <w:pPr>
              <w:spacing w:before="75" w:line="187" w:lineRule="auto"/>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val="en-US" w:eastAsia="zh-CN"/>
              </w:rPr>
              <w:t>提供本单位近三个月任意一个月的社保缴纳证明；</w:t>
            </w:r>
          </w:p>
        </w:tc>
        <w:tc>
          <w:tcPr>
            <w:tcW w:w="883" w:type="dxa"/>
            <w:vAlign w:val="top"/>
          </w:tcPr>
          <w:p w14:paraId="6D978E50">
            <w:pPr>
              <w:spacing w:before="75" w:line="187" w:lineRule="auto"/>
              <w:ind w:left="423"/>
              <w:rPr>
                <w:rFonts w:hint="eastAsia" w:asciiTheme="minorEastAsia" w:hAnsiTheme="minorEastAsia" w:eastAsiaTheme="minorEastAsia" w:cstheme="minorEastAsia"/>
                <w:sz w:val="20"/>
                <w:szCs w:val="20"/>
                <w:highlight w:val="none"/>
              </w:rPr>
            </w:pPr>
          </w:p>
        </w:tc>
        <w:tc>
          <w:tcPr>
            <w:tcW w:w="800" w:type="dxa"/>
            <w:vAlign w:val="top"/>
          </w:tcPr>
          <w:p w14:paraId="06F4B902">
            <w:pPr>
              <w:pStyle w:val="138"/>
              <w:rPr>
                <w:rFonts w:hint="eastAsia" w:asciiTheme="minorEastAsia" w:hAnsiTheme="minorEastAsia" w:eastAsiaTheme="minorEastAsia" w:cstheme="minorEastAsia"/>
                <w:sz w:val="16"/>
                <w:szCs w:val="16"/>
                <w:highlight w:val="none"/>
              </w:rPr>
            </w:pPr>
          </w:p>
        </w:tc>
        <w:tc>
          <w:tcPr>
            <w:tcW w:w="917" w:type="dxa"/>
            <w:vAlign w:val="top"/>
          </w:tcPr>
          <w:p w14:paraId="5B21C405">
            <w:pPr>
              <w:pStyle w:val="138"/>
              <w:rPr>
                <w:rFonts w:hint="eastAsia" w:asciiTheme="minorEastAsia" w:hAnsiTheme="minorEastAsia" w:eastAsiaTheme="minorEastAsia" w:cstheme="minorEastAsia"/>
                <w:sz w:val="16"/>
                <w:szCs w:val="16"/>
                <w:highlight w:val="none"/>
              </w:rPr>
            </w:pPr>
          </w:p>
        </w:tc>
      </w:tr>
      <w:tr w14:paraId="10E7F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920" w:type="dxa"/>
            <w:vAlign w:val="top"/>
          </w:tcPr>
          <w:p w14:paraId="7CDF08DB">
            <w:pPr>
              <w:spacing w:before="273" w:line="186" w:lineRule="auto"/>
              <w:ind w:left="404"/>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6</w:t>
            </w:r>
          </w:p>
        </w:tc>
        <w:tc>
          <w:tcPr>
            <w:tcW w:w="5904" w:type="dxa"/>
            <w:vAlign w:val="top"/>
          </w:tcPr>
          <w:p w14:paraId="1DC5C78F">
            <w:pPr>
              <w:spacing w:before="108" w:line="266" w:lineRule="auto"/>
              <w:ind w:right="103"/>
              <w:rPr>
                <w:rFonts w:hint="eastAsia" w:asciiTheme="minorEastAsia" w:hAnsiTheme="minorEastAsia" w:eastAsiaTheme="minorEastAsia" w:cstheme="minorEastAsia"/>
                <w:spacing w:val="11"/>
                <w:sz w:val="20"/>
                <w:szCs w:val="20"/>
                <w:highlight w:val="none"/>
              </w:rPr>
            </w:pPr>
            <w:r>
              <w:rPr>
                <w:rFonts w:hint="eastAsia" w:asciiTheme="minorEastAsia" w:hAnsiTheme="minorEastAsia" w:eastAsiaTheme="minorEastAsia" w:cstheme="minorEastAsia"/>
                <w:spacing w:val="11"/>
                <w:sz w:val="20"/>
                <w:szCs w:val="20"/>
                <w:highlight w:val="none"/>
                <w:lang w:val="en-US" w:eastAsia="zh-CN"/>
              </w:rPr>
              <w:t>参加政府采购活动前3年内在经营活动中没有重大违法记录的书面声明。</w:t>
            </w:r>
          </w:p>
        </w:tc>
        <w:tc>
          <w:tcPr>
            <w:tcW w:w="883" w:type="dxa"/>
            <w:vAlign w:val="top"/>
          </w:tcPr>
          <w:p w14:paraId="4B3F135E">
            <w:pPr>
              <w:pStyle w:val="138"/>
              <w:rPr>
                <w:rFonts w:hint="eastAsia" w:asciiTheme="minorEastAsia" w:hAnsiTheme="minorEastAsia" w:eastAsiaTheme="minorEastAsia" w:cstheme="minorEastAsia"/>
                <w:sz w:val="16"/>
                <w:szCs w:val="16"/>
                <w:highlight w:val="none"/>
              </w:rPr>
            </w:pPr>
          </w:p>
        </w:tc>
        <w:tc>
          <w:tcPr>
            <w:tcW w:w="800" w:type="dxa"/>
            <w:vAlign w:val="top"/>
          </w:tcPr>
          <w:p w14:paraId="670DC11F">
            <w:pPr>
              <w:pStyle w:val="138"/>
              <w:rPr>
                <w:rFonts w:hint="eastAsia" w:asciiTheme="minorEastAsia" w:hAnsiTheme="minorEastAsia" w:eastAsiaTheme="minorEastAsia" w:cstheme="minorEastAsia"/>
                <w:sz w:val="16"/>
                <w:szCs w:val="16"/>
                <w:highlight w:val="none"/>
              </w:rPr>
            </w:pPr>
          </w:p>
        </w:tc>
        <w:tc>
          <w:tcPr>
            <w:tcW w:w="917" w:type="dxa"/>
            <w:vAlign w:val="top"/>
          </w:tcPr>
          <w:p w14:paraId="3294E581">
            <w:pPr>
              <w:pStyle w:val="138"/>
              <w:rPr>
                <w:rFonts w:hint="eastAsia" w:asciiTheme="minorEastAsia" w:hAnsiTheme="minorEastAsia" w:eastAsiaTheme="minorEastAsia" w:cstheme="minorEastAsia"/>
                <w:sz w:val="16"/>
                <w:szCs w:val="16"/>
                <w:highlight w:val="none"/>
              </w:rPr>
            </w:pPr>
          </w:p>
        </w:tc>
      </w:tr>
      <w:tr w14:paraId="6D68F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920" w:type="dxa"/>
            <w:shd w:val="clear" w:color="auto" w:fill="auto"/>
            <w:vAlign w:val="top"/>
          </w:tcPr>
          <w:p w14:paraId="3302CD65">
            <w:pPr>
              <w:spacing w:before="273" w:line="186" w:lineRule="auto"/>
              <w:ind w:left="404"/>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7</w:t>
            </w:r>
          </w:p>
        </w:tc>
        <w:tc>
          <w:tcPr>
            <w:tcW w:w="5904" w:type="dxa"/>
            <w:shd w:val="clear" w:color="auto" w:fill="auto"/>
            <w:vAlign w:val="top"/>
          </w:tcPr>
          <w:p w14:paraId="63136CDF">
            <w:pPr>
              <w:rPr>
                <w:rFonts w:hint="eastAsia" w:asciiTheme="minorEastAsia" w:hAnsiTheme="minorEastAsia" w:eastAsiaTheme="minorEastAsia" w:cstheme="minorEastAsia"/>
                <w:snapToGrid w:val="0"/>
                <w:color w:val="000000"/>
                <w:kern w:val="0"/>
                <w:sz w:val="20"/>
                <w:szCs w:val="20"/>
                <w:highlight w:val="none"/>
                <w:lang w:val="en-US" w:eastAsia="en-US" w:bidi="ar-SA"/>
              </w:rPr>
            </w:pPr>
            <w:r>
              <w:rPr>
                <w:rFonts w:hint="eastAsia" w:asciiTheme="minorEastAsia" w:hAnsiTheme="minorEastAsia" w:eastAsiaTheme="minorEastAsia" w:cstheme="minorEastAsia"/>
                <w:b w:val="0"/>
                <w:bCs/>
                <w:i w:val="0"/>
                <w:iCs w:val="0"/>
                <w:color w:val="auto"/>
                <w:kern w:val="2"/>
                <w:sz w:val="20"/>
                <w:szCs w:val="20"/>
                <w:highlight w:val="none"/>
                <w:lang w:val="en-US" w:eastAsia="zh-CN" w:bidi="ar-SA"/>
              </w:rPr>
              <w:t>提供2024年度的财务审计报告（注册成立未满一年新公司提供银行资信证明）。</w:t>
            </w:r>
          </w:p>
        </w:tc>
        <w:tc>
          <w:tcPr>
            <w:tcW w:w="883" w:type="dxa"/>
            <w:vAlign w:val="top"/>
          </w:tcPr>
          <w:p w14:paraId="672D3949">
            <w:pPr>
              <w:pStyle w:val="138"/>
              <w:rPr>
                <w:rFonts w:hint="eastAsia" w:asciiTheme="minorEastAsia" w:hAnsiTheme="minorEastAsia" w:eastAsiaTheme="minorEastAsia" w:cstheme="minorEastAsia"/>
                <w:sz w:val="16"/>
                <w:szCs w:val="16"/>
                <w:highlight w:val="none"/>
              </w:rPr>
            </w:pPr>
          </w:p>
        </w:tc>
        <w:tc>
          <w:tcPr>
            <w:tcW w:w="800" w:type="dxa"/>
            <w:vAlign w:val="top"/>
          </w:tcPr>
          <w:p w14:paraId="50CC211F">
            <w:pPr>
              <w:pStyle w:val="138"/>
              <w:rPr>
                <w:rFonts w:hint="eastAsia" w:asciiTheme="minorEastAsia" w:hAnsiTheme="minorEastAsia" w:eastAsiaTheme="minorEastAsia" w:cstheme="minorEastAsia"/>
                <w:sz w:val="16"/>
                <w:szCs w:val="16"/>
                <w:highlight w:val="none"/>
              </w:rPr>
            </w:pPr>
          </w:p>
        </w:tc>
        <w:tc>
          <w:tcPr>
            <w:tcW w:w="917" w:type="dxa"/>
            <w:vAlign w:val="top"/>
          </w:tcPr>
          <w:p w14:paraId="4CB8BCEF">
            <w:pPr>
              <w:pStyle w:val="138"/>
              <w:rPr>
                <w:rFonts w:hint="eastAsia" w:asciiTheme="minorEastAsia" w:hAnsiTheme="minorEastAsia" w:eastAsiaTheme="minorEastAsia" w:cstheme="minorEastAsia"/>
                <w:sz w:val="16"/>
                <w:szCs w:val="16"/>
                <w:highlight w:val="none"/>
              </w:rPr>
            </w:pPr>
          </w:p>
        </w:tc>
      </w:tr>
      <w:tr w14:paraId="60A51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20" w:type="dxa"/>
            <w:shd w:val="clear" w:color="auto" w:fill="auto"/>
            <w:vAlign w:val="top"/>
          </w:tcPr>
          <w:p w14:paraId="67FE953A">
            <w:pPr>
              <w:spacing w:before="74" w:line="186" w:lineRule="auto"/>
              <w:ind w:left="406" w:leftChars="0"/>
              <w:rPr>
                <w:rFonts w:hint="eastAsia" w:asciiTheme="minorEastAsia" w:hAnsiTheme="minorEastAsia" w:eastAsiaTheme="minorEastAsia" w:cstheme="minorEastAsia"/>
                <w:snapToGrid w:val="0"/>
                <w:color w:val="000000"/>
                <w:kern w:val="0"/>
                <w:sz w:val="20"/>
                <w:szCs w:val="20"/>
                <w:highlight w:val="none"/>
                <w:lang w:val="en-US" w:eastAsia="zh-CN" w:bidi="ar-SA"/>
              </w:rPr>
            </w:pPr>
            <w:r>
              <w:rPr>
                <w:rFonts w:hint="eastAsia" w:asciiTheme="minorEastAsia" w:hAnsiTheme="minorEastAsia" w:eastAsiaTheme="minorEastAsia" w:cstheme="minorEastAsia"/>
                <w:sz w:val="20"/>
                <w:szCs w:val="20"/>
                <w:highlight w:val="none"/>
                <w:lang w:val="en-US" w:eastAsia="zh-CN"/>
              </w:rPr>
              <w:t>8</w:t>
            </w:r>
          </w:p>
        </w:tc>
        <w:tc>
          <w:tcPr>
            <w:tcW w:w="5904" w:type="dxa"/>
            <w:shd w:val="clear" w:color="auto" w:fill="auto"/>
            <w:vAlign w:val="top"/>
          </w:tcPr>
          <w:p w14:paraId="3FFA7823">
            <w:pPr>
              <w:spacing w:before="42" w:line="245" w:lineRule="auto"/>
              <w:ind w:right="1" w:rightChars="0"/>
              <w:jc w:val="both"/>
              <w:rPr>
                <w:rFonts w:hint="eastAsia" w:asciiTheme="minorEastAsia" w:hAnsiTheme="minorEastAsia" w:eastAsiaTheme="minorEastAsia" w:cstheme="minorEastAsia"/>
                <w:snapToGrid w:val="0"/>
                <w:color w:val="000000"/>
                <w:kern w:val="0"/>
                <w:sz w:val="20"/>
                <w:szCs w:val="20"/>
                <w:highlight w:val="none"/>
                <w:lang w:val="en-US" w:eastAsia="en-US" w:bidi="ar-SA"/>
              </w:rPr>
            </w:pPr>
            <w:r>
              <w:rPr>
                <w:rFonts w:hint="eastAsia" w:asciiTheme="minorEastAsia" w:hAnsiTheme="minorEastAsia" w:eastAsiaTheme="minorEastAsia" w:cstheme="minorEastAsia"/>
                <w:snapToGrid w:val="0"/>
                <w:color w:val="000000"/>
                <w:kern w:val="0"/>
                <w:sz w:val="20"/>
                <w:szCs w:val="20"/>
                <w:highlight w:val="none"/>
                <w:lang w:val="en-US" w:eastAsia="en-US" w:bidi="ar-SA"/>
              </w:rPr>
              <w:t>供应商须提供在①“信用中国网（www.creditchina.gov.cn）”被列入失信被执行人、企业经营异常名录、重大税收违法案件当事人名单、政府采购严重违法失信名单（尚在处罚期内的）；②“中国政府采购网（www.ccgp.gov.cn）”被列入政府采购严重违法失信行为记录名单的（尚在处罚期内的）；③“国家企业信用信息公示系统（http://www.gsxt.gov.cn）”列入经营异常名录信息、列入严重违法失信企业名单（黑名单）信息及企业信用信息公示报告；（提供查询结果网页截图并加盖供应商公章）。</w:t>
            </w:r>
          </w:p>
        </w:tc>
        <w:tc>
          <w:tcPr>
            <w:tcW w:w="883" w:type="dxa"/>
            <w:vAlign w:val="top"/>
          </w:tcPr>
          <w:p w14:paraId="79A8A3C7">
            <w:pPr>
              <w:pStyle w:val="138"/>
              <w:rPr>
                <w:rFonts w:hint="eastAsia" w:asciiTheme="minorEastAsia" w:hAnsiTheme="minorEastAsia" w:eastAsiaTheme="minorEastAsia" w:cstheme="minorEastAsia"/>
                <w:sz w:val="16"/>
                <w:szCs w:val="16"/>
                <w:highlight w:val="none"/>
              </w:rPr>
            </w:pPr>
          </w:p>
        </w:tc>
        <w:tc>
          <w:tcPr>
            <w:tcW w:w="800" w:type="dxa"/>
            <w:vAlign w:val="top"/>
          </w:tcPr>
          <w:p w14:paraId="24A85C75">
            <w:pPr>
              <w:pStyle w:val="138"/>
              <w:rPr>
                <w:rFonts w:hint="eastAsia" w:asciiTheme="minorEastAsia" w:hAnsiTheme="minorEastAsia" w:eastAsiaTheme="minorEastAsia" w:cstheme="minorEastAsia"/>
                <w:sz w:val="16"/>
                <w:szCs w:val="16"/>
                <w:highlight w:val="none"/>
              </w:rPr>
            </w:pPr>
          </w:p>
        </w:tc>
        <w:tc>
          <w:tcPr>
            <w:tcW w:w="917" w:type="dxa"/>
            <w:vAlign w:val="top"/>
          </w:tcPr>
          <w:p w14:paraId="541FF708">
            <w:pPr>
              <w:pStyle w:val="138"/>
              <w:rPr>
                <w:rFonts w:hint="eastAsia" w:asciiTheme="minorEastAsia" w:hAnsiTheme="minorEastAsia" w:eastAsiaTheme="minorEastAsia" w:cstheme="minorEastAsia"/>
                <w:sz w:val="16"/>
                <w:szCs w:val="16"/>
                <w:highlight w:val="none"/>
              </w:rPr>
            </w:pPr>
          </w:p>
        </w:tc>
      </w:tr>
      <w:tr w14:paraId="086CF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20" w:type="dxa"/>
            <w:shd w:val="clear" w:color="auto" w:fill="auto"/>
            <w:vAlign w:val="top"/>
          </w:tcPr>
          <w:p w14:paraId="152986EC">
            <w:pPr>
              <w:spacing w:before="133" w:line="186" w:lineRule="auto"/>
              <w:ind w:left="406" w:leftChars="0"/>
              <w:rPr>
                <w:rFonts w:hint="eastAsia" w:asciiTheme="minorEastAsia" w:hAnsiTheme="minorEastAsia" w:eastAsiaTheme="minorEastAsia" w:cstheme="minorEastAsia"/>
                <w:snapToGrid w:val="0"/>
                <w:color w:val="000000"/>
                <w:kern w:val="0"/>
                <w:sz w:val="20"/>
                <w:szCs w:val="20"/>
                <w:highlight w:val="none"/>
                <w:lang w:val="en-US" w:eastAsia="zh-CN" w:bidi="ar-SA"/>
              </w:rPr>
            </w:pPr>
            <w:r>
              <w:rPr>
                <w:rFonts w:hint="eastAsia" w:asciiTheme="minorEastAsia" w:hAnsiTheme="minorEastAsia" w:eastAsiaTheme="minorEastAsia" w:cstheme="minorEastAsia"/>
                <w:snapToGrid w:val="0"/>
                <w:color w:val="000000"/>
                <w:kern w:val="0"/>
                <w:sz w:val="20"/>
                <w:szCs w:val="20"/>
                <w:highlight w:val="none"/>
                <w:lang w:val="en-US" w:eastAsia="zh-CN" w:bidi="ar-SA"/>
              </w:rPr>
              <w:t>9</w:t>
            </w:r>
          </w:p>
        </w:tc>
        <w:tc>
          <w:tcPr>
            <w:tcW w:w="5904" w:type="dxa"/>
            <w:shd w:val="clear" w:color="auto" w:fill="auto"/>
            <w:vAlign w:val="top"/>
          </w:tcPr>
          <w:p w14:paraId="46C6A4CA">
            <w:pPr>
              <w:spacing w:before="92" w:line="229" w:lineRule="auto"/>
              <w:rPr>
                <w:rFonts w:hint="eastAsia" w:asciiTheme="minorEastAsia" w:hAnsiTheme="minorEastAsia" w:eastAsiaTheme="minorEastAsia" w:cstheme="minorEastAsia"/>
                <w:snapToGrid w:val="0"/>
                <w:color w:val="000000"/>
                <w:kern w:val="0"/>
                <w:sz w:val="20"/>
                <w:szCs w:val="20"/>
                <w:highlight w:val="none"/>
                <w:lang w:val="en-US" w:eastAsia="en-US" w:bidi="ar-SA"/>
              </w:rPr>
            </w:pPr>
            <w:r>
              <w:rPr>
                <w:rFonts w:hint="eastAsia" w:asciiTheme="minorEastAsia" w:hAnsiTheme="minorEastAsia" w:eastAsiaTheme="minorEastAsia" w:cstheme="minorEastAsia"/>
                <w:snapToGrid w:val="0"/>
                <w:color w:val="000000"/>
                <w:kern w:val="0"/>
                <w:sz w:val="20"/>
                <w:szCs w:val="20"/>
                <w:highlight w:val="none"/>
                <w:lang w:val="en-US" w:eastAsia="en-US" w:bidi="ar-SA"/>
              </w:rPr>
              <w:t>项目负责人及项目班子成员在新疆建设云平台可承揽业务；登录新疆工程建设云（http//jsy.xjjs.gov.cn/dataservice/index）可查询注册企业基本信息和人员信息（提供上述网页个人页面截图打印并加盖公章），且在人员、设备、资金等方面具有承担本工程的能力。</w:t>
            </w:r>
          </w:p>
        </w:tc>
        <w:tc>
          <w:tcPr>
            <w:tcW w:w="883" w:type="dxa"/>
            <w:vAlign w:val="top"/>
          </w:tcPr>
          <w:p w14:paraId="579579BA">
            <w:pPr>
              <w:pStyle w:val="138"/>
              <w:rPr>
                <w:rFonts w:hint="eastAsia" w:asciiTheme="minorEastAsia" w:hAnsiTheme="minorEastAsia" w:eastAsiaTheme="minorEastAsia" w:cstheme="minorEastAsia"/>
                <w:sz w:val="16"/>
                <w:szCs w:val="16"/>
                <w:highlight w:val="none"/>
              </w:rPr>
            </w:pPr>
          </w:p>
        </w:tc>
        <w:tc>
          <w:tcPr>
            <w:tcW w:w="800" w:type="dxa"/>
            <w:vAlign w:val="top"/>
          </w:tcPr>
          <w:p w14:paraId="21555774">
            <w:pPr>
              <w:pStyle w:val="138"/>
              <w:rPr>
                <w:rFonts w:hint="eastAsia" w:asciiTheme="minorEastAsia" w:hAnsiTheme="minorEastAsia" w:eastAsiaTheme="minorEastAsia" w:cstheme="minorEastAsia"/>
                <w:sz w:val="16"/>
                <w:szCs w:val="16"/>
                <w:highlight w:val="none"/>
              </w:rPr>
            </w:pPr>
          </w:p>
        </w:tc>
        <w:tc>
          <w:tcPr>
            <w:tcW w:w="917" w:type="dxa"/>
            <w:vAlign w:val="top"/>
          </w:tcPr>
          <w:p w14:paraId="4D1818E5">
            <w:pPr>
              <w:pStyle w:val="138"/>
              <w:rPr>
                <w:rFonts w:hint="eastAsia" w:asciiTheme="minorEastAsia" w:hAnsiTheme="minorEastAsia" w:eastAsiaTheme="minorEastAsia" w:cstheme="minorEastAsia"/>
                <w:sz w:val="16"/>
                <w:szCs w:val="16"/>
                <w:highlight w:val="none"/>
              </w:rPr>
            </w:pPr>
          </w:p>
        </w:tc>
      </w:tr>
      <w:tr w14:paraId="76665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20" w:type="dxa"/>
            <w:shd w:val="clear" w:color="auto" w:fill="auto"/>
            <w:vAlign w:val="top"/>
          </w:tcPr>
          <w:p w14:paraId="1EED4A17">
            <w:pPr>
              <w:spacing w:before="108" w:line="186" w:lineRule="auto"/>
              <w:ind w:left="372" w:leftChars="0"/>
              <w:rPr>
                <w:rFonts w:hint="eastAsia" w:asciiTheme="minorEastAsia" w:hAnsiTheme="minorEastAsia" w:eastAsiaTheme="minorEastAsia" w:cstheme="minorEastAsia"/>
                <w:snapToGrid w:val="0"/>
                <w:color w:val="000000"/>
                <w:kern w:val="0"/>
                <w:sz w:val="20"/>
                <w:szCs w:val="20"/>
                <w:highlight w:val="none"/>
                <w:lang w:val="en-US" w:eastAsia="zh-CN" w:bidi="ar-SA"/>
              </w:rPr>
            </w:pPr>
            <w:r>
              <w:rPr>
                <w:rFonts w:hint="eastAsia" w:asciiTheme="minorEastAsia" w:hAnsiTheme="minorEastAsia" w:eastAsiaTheme="minorEastAsia" w:cstheme="minorEastAsia"/>
                <w:spacing w:val="-10"/>
                <w:sz w:val="20"/>
                <w:szCs w:val="20"/>
                <w:highlight w:val="none"/>
                <w:lang w:val="en-US" w:eastAsia="zh-CN"/>
              </w:rPr>
              <w:t>10</w:t>
            </w:r>
          </w:p>
        </w:tc>
        <w:tc>
          <w:tcPr>
            <w:tcW w:w="5904" w:type="dxa"/>
            <w:shd w:val="clear" w:color="auto" w:fill="auto"/>
            <w:vAlign w:val="top"/>
          </w:tcPr>
          <w:p w14:paraId="6A40E1D9">
            <w:pPr>
              <w:spacing w:before="105" w:line="230" w:lineRule="auto"/>
              <w:rPr>
                <w:rFonts w:hint="eastAsia" w:asciiTheme="minorEastAsia" w:hAnsiTheme="minorEastAsia" w:eastAsiaTheme="minorEastAsia" w:cstheme="minorEastAsia"/>
                <w:snapToGrid w:val="0"/>
                <w:color w:val="000000"/>
                <w:kern w:val="0"/>
                <w:sz w:val="20"/>
                <w:szCs w:val="20"/>
                <w:highlight w:val="none"/>
                <w:lang w:val="en-US" w:eastAsia="zh-CN" w:bidi="ar-SA"/>
              </w:rPr>
            </w:pPr>
            <w:r>
              <w:rPr>
                <w:rFonts w:hint="eastAsia" w:asciiTheme="minorEastAsia" w:hAnsiTheme="minorEastAsia" w:eastAsiaTheme="minorEastAsia" w:cstheme="minorEastAsia"/>
                <w:spacing w:val="7"/>
                <w:sz w:val="20"/>
                <w:szCs w:val="20"/>
                <w:highlight w:val="none"/>
              </w:rPr>
              <w:t>缴纳</w:t>
            </w:r>
            <w:r>
              <w:rPr>
                <w:rFonts w:hint="eastAsia" w:asciiTheme="minorEastAsia" w:hAnsiTheme="minorEastAsia" w:eastAsiaTheme="minorEastAsia" w:cstheme="minorEastAsia"/>
                <w:spacing w:val="7"/>
                <w:sz w:val="20"/>
                <w:szCs w:val="20"/>
                <w:highlight w:val="none"/>
                <w:lang w:eastAsia="zh-CN"/>
              </w:rPr>
              <w:t>响应</w:t>
            </w:r>
            <w:r>
              <w:rPr>
                <w:rFonts w:hint="eastAsia" w:asciiTheme="minorEastAsia" w:hAnsiTheme="minorEastAsia" w:eastAsiaTheme="minorEastAsia" w:cstheme="minorEastAsia"/>
                <w:spacing w:val="7"/>
                <w:sz w:val="20"/>
                <w:szCs w:val="20"/>
                <w:highlight w:val="none"/>
              </w:rPr>
              <w:t>保证金有效凭证；</w:t>
            </w:r>
          </w:p>
        </w:tc>
        <w:tc>
          <w:tcPr>
            <w:tcW w:w="883" w:type="dxa"/>
            <w:vAlign w:val="top"/>
          </w:tcPr>
          <w:p w14:paraId="1C0E92A0">
            <w:pPr>
              <w:pStyle w:val="138"/>
              <w:rPr>
                <w:rFonts w:hint="eastAsia" w:asciiTheme="minorEastAsia" w:hAnsiTheme="minorEastAsia" w:eastAsiaTheme="minorEastAsia" w:cstheme="minorEastAsia"/>
                <w:sz w:val="16"/>
                <w:szCs w:val="16"/>
                <w:highlight w:val="none"/>
              </w:rPr>
            </w:pPr>
          </w:p>
        </w:tc>
        <w:tc>
          <w:tcPr>
            <w:tcW w:w="800" w:type="dxa"/>
            <w:vAlign w:val="top"/>
          </w:tcPr>
          <w:p w14:paraId="6D741ED6">
            <w:pPr>
              <w:pStyle w:val="138"/>
              <w:rPr>
                <w:rFonts w:hint="eastAsia" w:asciiTheme="minorEastAsia" w:hAnsiTheme="minorEastAsia" w:eastAsiaTheme="minorEastAsia" w:cstheme="minorEastAsia"/>
                <w:sz w:val="16"/>
                <w:szCs w:val="16"/>
                <w:highlight w:val="none"/>
              </w:rPr>
            </w:pPr>
          </w:p>
        </w:tc>
        <w:tc>
          <w:tcPr>
            <w:tcW w:w="917" w:type="dxa"/>
            <w:vAlign w:val="top"/>
          </w:tcPr>
          <w:p w14:paraId="05664537">
            <w:pPr>
              <w:pStyle w:val="138"/>
              <w:rPr>
                <w:rFonts w:hint="eastAsia" w:asciiTheme="minorEastAsia" w:hAnsiTheme="minorEastAsia" w:eastAsiaTheme="minorEastAsia" w:cstheme="minorEastAsia"/>
                <w:sz w:val="16"/>
                <w:szCs w:val="16"/>
                <w:highlight w:val="none"/>
              </w:rPr>
            </w:pPr>
          </w:p>
        </w:tc>
      </w:tr>
      <w:tr w14:paraId="2E30E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20" w:type="dxa"/>
            <w:shd w:val="clear" w:color="auto" w:fill="auto"/>
            <w:vAlign w:val="top"/>
          </w:tcPr>
          <w:p w14:paraId="23CFFDBE">
            <w:pPr>
              <w:pStyle w:val="138"/>
              <w:jc w:val="center"/>
              <w:rPr>
                <w:rFonts w:hint="eastAsia" w:asciiTheme="minorEastAsia" w:hAnsiTheme="minorEastAsia" w:eastAsiaTheme="minorEastAsia" w:cstheme="minorEastAsia"/>
                <w:snapToGrid w:val="0"/>
                <w:color w:val="000000"/>
                <w:kern w:val="0"/>
                <w:sz w:val="16"/>
                <w:szCs w:val="16"/>
                <w:highlight w:val="none"/>
                <w:lang w:val="en-US" w:eastAsia="zh-CN" w:bidi="ar-SA"/>
              </w:rPr>
            </w:pPr>
            <w:r>
              <w:rPr>
                <w:rFonts w:hint="eastAsia" w:asciiTheme="minorEastAsia" w:hAnsiTheme="minorEastAsia" w:eastAsiaTheme="minorEastAsia" w:cstheme="minorEastAsia"/>
                <w:snapToGrid w:val="0"/>
                <w:color w:val="000000"/>
                <w:spacing w:val="-10"/>
                <w:kern w:val="0"/>
                <w:sz w:val="20"/>
                <w:szCs w:val="20"/>
                <w:highlight w:val="none"/>
                <w:lang w:val="en-US" w:eastAsia="zh-CN" w:bidi="ar-SA"/>
              </w:rPr>
              <w:t>11</w:t>
            </w:r>
          </w:p>
        </w:tc>
        <w:tc>
          <w:tcPr>
            <w:tcW w:w="5904" w:type="dxa"/>
            <w:shd w:val="clear" w:color="auto" w:fill="auto"/>
            <w:vAlign w:val="top"/>
          </w:tcPr>
          <w:p w14:paraId="72BECF80">
            <w:pPr>
              <w:spacing w:before="96" w:line="231" w:lineRule="auto"/>
              <w:rPr>
                <w:rFonts w:hint="eastAsia" w:asciiTheme="minorEastAsia" w:hAnsiTheme="minorEastAsia" w:eastAsiaTheme="minorEastAsia" w:cstheme="minorEastAsia"/>
                <w:snapToGrid w:val="0"/>
                <w:color w:val="000000"/>
                <w:kern w:val="0"/>
                <w:sz w:val="20"/>
                <w:szCs w:val="20"/>
                <w:highlight w:val="none"/>
                <w:lang w:val="en-US" w:eastAsia="zh-CN" w:bidi="ar-SA"/>
              </w:rPr>
            </w:pPr>
            <w:r>
              <w:rPr>
                <w:rFonts w:hint="eastAsia" w:asciiTheme="minorEastAsia" w:hAnsiTheme="minorEastAsia" w:eastAsiaTheme="minorEastAsia" w:cstheme="minorEastAsia"/>
                <w:sz w:val="20"/>
                <w:szCs w:val="20"/>
                <w:highlight w:val="none"/>
                <w:lang w:eastAsia="zh-CN"/>
              </w:rPr>
              <w:t>中小企业声明函；</w:t>
            </w:r>
          </w:p>
        </w:tc>
        <w:tc>
          <w:tcPr>
            <w:tcW w:w="883" w:type="dxa"/>
            <w:vAlign w:val="top"/>
          </w:tcPr>
          <w:p w14:paraId="3459E13F">
            <w:pPr>
              <w:pStyle w:val="138"/>
              <w:rPr>
                <w:rFonts w:hint="eastAsia" w:asciiTheme="minorEastAsia" w:hAnsiTheme="minorEastAsia" w:eastAsiaTheme="minorEastAsia" w:cstheme="minorEastAsia"/>
                <w:sz w:val="16"/>
                <w:szCs w:val="16"/>
                <w:highlight w:val="none"/>
              </w:rPr>
            </w:pPr>
          </w:p>
        </w:tc>
        <w:tc>
          <w:tcPr>
            <w:tcW w:w="800" w:type="dxa"/>
            <w:vAlign w:val="top"/>
          </w:tcPr>
          <w:p w14:paraId="4C1482F9">
            <w:pPr>
              <w:pStyle w:val="138"/>
              <w:rPr>
                <w:rFonts w:hint="eastAsia" w:asciiTheme="minorEastAsia" w:hAnsiTheme="minorEastAsia" w:eastAsiaTheme="minorEastAsia" w:cstheme="minorEastAsia"/>
                <w:sz w:val="16"/>
                <w:szCs w:val="16"/>
                <w:highlight w:val="none"/>
              </w:rPr>
            </w:pPr>
          </w:p>
        </w:tc>
        <w:tc>
          <w:tcPr>
            <w:tcW w:w="917" w:type="dxa"/>
            <w:vAlign w:val="top"/>
          </w:tcPr>
          <w:p w14:paraId="59B8F583">
            <w:pPr>
              <w:pStyle w:val="138"/>
              <w:rPr>
                <w:rFonts w:hint="eastAsia" w:asciiTheme="minorEastAsia" w:hAnsiTheme="minorEastAsia" w:eastAsiaTheme="minorEastAsia" w:cstheme="minorEastAsia"/>
                <w:sz w:val="16"/>
                <w:szCs w:val="16"/>
                <w:highlight w:val="none"/>
              </w:rPr>
            </w:pPr>
          </w:p>
        </w:tc>
      </w:tr>
      <w:tr w14:paraId="34A7B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824" w:type="dxa"/>
            <w:gridSpan w:val="2"/>
            <w:vAlign w:val="top"/>
          </w:tcPr>
          <w:p w14:paraId="347A6E01">
            <w:pPr>
              <w:spacing w:before="96" w:line="231" w:lineRule="auto"/>
              <w:ind w:left="124"/>
              <w:rPr>
                <w:rFonts w:hint="eastAsia" w:asciiTheme="minorEastAsia" w:hAnsiTheme="minorEastAsia" w:eastAsiaTheme="minorEastAsia" w:cstheme="minorEastAsia"/>
                <w:spacing w:val="3"/>
                <w:sz w:val="20"/>
                <w:szCs w:val="20"/>
                <w:highlight w:val="none"/>
              </w:rPr>
            </w:pPr>
            <w:r>
              <w:rPr>
                <w:rFonts w:hint="eastAsia" w:asciiTheme="minorEastAsia" w:hAnsiTheme="minorEastAsia" w:eastAsiaTheme="minorEastAsia" w:cstheme="minorEastAsia"/>
                <w:spacing w:val="3"/>
                <w:sz w:val="20"/>
                <w:szCs w:val="20"/>
                <w:highlight w:val="none"/>
              </w:rPr>
              <w:t>结论：通过评审打“</w:t>
            </w:r>
            <w:r>
              <w:rPr>
                <w:rFonts w:hint="eastAsia" w:asciiTheme="minorEastAsia" w:hAnsiTheme="minorEastAsia" w:eastAsiaTheme="minorEastAsia" w:cstheme="minorEastAsia"/>
                <w:spacing w:val="-40"/>
                <w:sz w:val="20"/>
                <w:szCs w:val="20"/>
                <w:highlight w:val="none"/>
              </w:rPr>
              <w:t xml:space="preserve"> </w:t>
            </w:r>
            <w:r>
              <w:rPr>
                <w:rFonts w:hint="eastAsia" w:asciiTheme="minorEastAsia" w:hAnsiTheme="minorEastAsia" w:eastAsiaTheme="minorEastAsia" w:cstheme="minorEastAsia"/>
                <w:spacing w:val="3"/>
                <w:sz w:val="20"/>
                <w:szCs w:val="20"/>
                <w:highlight w:val="none"/>
              </w:rPr>
              <w:t>√</w:t>
            </w:r>
            <w:r>
              <w:rPr>
                <w:rFonts w:hint="eastAsia" w:asciiTheme="minorEastAsia" w:hAnsiTheme="minorEastAsia" w:eastAsiaTheme="minorEastAsia" w:cstheme="minorEastAsia"/>
                <w:spacing w:val="-85"/>
                <w:sz w:val="20"/>
                <w:szCs w:val="20"/>
                <w:highlight w:val="none"/>
              </w:rPr>
              <w:t xml:space="preserve"> </w:t>
            </w:r>
            <w:r>
              <w:rPr>
                <w:rFonts w:hint="eastAsia" w:asciiTheme="minorEastAsia" w:hAnsiTheme="minorEastAsia" w:eastAsiaTheme="minorEastAsia" w:cstheme="minorEastAsia"/>
                <w:spacing w:val="3"/>
                <w:sz w:val="20"/>
                <w:szCs w:val="20"/>
                <w:highlight w:val="none"/>
              </w:rPr>
              <w:t>”,</w:t>
            </w:r>
            <w:r>
              <w:rPr>
                <w:rFonts w:hint="eastAsia" w:asciiTheme="minorEastAsia" w:hAnsiTheme="minorEastAsia" w:eastAsiaTheme="minorEastAsia" w:cstheme="minorEastAsia"/>
                <w:spacing w:val="68"/>
                <w:sz w:val="20"/>
                <w:szCs w:val="20"/>
                <w:highlight w:val="none"/>
              </w:rPr>
              <w:t xml:space="preserve"> </w:t>
            </w:r>
            <w:r>
              <w:rPr>
                <w:rFonts w:hint="eastAsia" w:asciiTheme="minorEastAsia" w:hAnsiTheme="minorEastAsia" w:eastAsiaTheme="minorEastAsia" w:cstheme="minorEastAsia"/>
                <w:spacing w:val="3"/>
                <w:sz w:val="20"/>
                <w:szCs w:val="20"/>
                <w:highlight w:val="none"/>
              </w:rPr>
              <w:t>未通过评审打“×”</w:t>
            </w:r>
          </w:p>
        </w:tc>
        <w:tc>
          <w:tcPr>
            <w:tcW w:w="883" w:type="dxa"/>
            <w:vAlign w:val="top"/>
          </w:tcPr>
          <w:p w14:paraId="3D80517B">
            <w:pPr>
              <w:pStyle w:val="138"/>
              <w:rPr>
                <w:rFonts w:hint="eastAsia" w:asciiTheme="minorEastAsia" w:hAnsiTheme="minorEastAsia" w:eastAsiaTheme="minorEastAsia" w:cstheme="minorEastAsia"/>
                <w:sz w:val="16"/>
                <w:szCs w:val="16"/>
                <w:highlight w:val="none"/>
              </w:rPr>
            </w:pPr>
          </w:p>
        </w:tc>
        <w:tc>
          <w:tcPr>
            <w:tcW w:w="800" w:type="dxa"/>
            <w:vAlign w:val="top"/>
          </w:tcPr>
          <w:p w14:paraId="5B71A6FD">
            <w:pPr>
              <w:pStyle w:val="138"/>
              <w:rPr>
                <w:rFonts w:hint="eastAsia" w:asciiTheme="minorEastAsia" w:hAnsiTheme="minorEastAsia" w:eastAsiaTheme="minorEastAsia" w:cstheme="minorEastAsia"/>
                <w:sz w:val="16"/>
                <w:szCs w:val="16"/>
                <w:highlight w:val="none"/>
              </w:rPr>
            </w:pPr>
          </w:p>
        </w:tc>
        <w:tc>
          <w:tcPr>
            <w:tcW w:w="917" w:type="dxa"/>
            <w:vAlign w:val="top"/>
          </w:tcPr>
          <w:p w14:paraId="6E54F186">
            <w:pPr>
              <w:pStyle w:val="138"/>
              <w:rPr>
                <w:rFonts w:hint="eastAsia" w:asciiTheme="minorEastAsia" w:hAnsiTheme="minorEastAsia" w:eastAsiaTheme="minorEastAsia" w:cstheme="minorEastAsia"/>
                <w:sz w:val="16"/>
                <w:szCs w:val="16"/>
                <w:highlight w:val="none"/>
              </w:rPr>
            </w:pPr>
          </w:p>
        </w:tc>
      </w:tr>
      <w:bookmarkEnd w:id="361"/>
      <w:bookmarkEnd w:id="362"/>
    </w:tbl>
    <w:p w14:paraId="706554F3">
      <w:pPr>
        <w:pStyle w:val="56"/>
        <w:rPr>
          <w:rFonts w:hint="eastAsia"/>
        </w:rPr>
      </w:pPr>
    </w:p>
    <w:p w14:paraId="6777286B">
      <w:pPr>
        <w:pStyle w:val="8"/>
        <w:spacing w:line="300" w:lineRule="auto"/>
        <w:ind w:firstLine="0"/>
        <w:jc w:val="center"/>
        <w:outlineLvl w:val="1"/>
        <w:rPr>
          <w:rFonts w:hint="eastAsia" w:asciiTheme="minorEastAsia" w:hAnsiTheme="minorEastAsia" w:eastAsiaTheme="minorEastAsia" w:cstheme="minorEastAsia"/>
          <w:b/>
          <w:bCs/>
          <w:sz w:val="28"/>
          <w:szCs w:val="28"/>
        </w:rPr>
      </w:pPr>
      <w:bookmarkStart w:id="372" w:name="_Toc31668"/>
      <w:r>
        <w:rPr>
          <w:rFonts w:hint="eastAsia" w:asciiTheme="minorEastAsia" w:hAnsiTheme="minorEastAsia" w:eastAsiaTheme="minorEastAsia" w:cstheme="minorEastAsia"/>
          <w:b/>
          <w:bCs/>
          <w:sz w:val="28"/>
          <w:szCs w:val="28"/>
        </w:rPr>
        <w:t xml:space="preserve">  初步评审—符合性审查表</w:t>
      </w:r>
      <w:bookmarkEnd w:id="372"/>
    </w:p>
    <w:tbl>
      <w:tblPr>
        <w:tblStyle w:val="37"/>
        <w:tblpPr w:leftFromText="180" w:rightFromText="180" w:vertAnchor="text" w:horzAnchor="page" w:tblpXSpec="center" w:tblpY="262"/>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55"/>
        <w:gridCol w:w="1637"/>
      </w:tblGrid>
      <w:tr w14:paraId="3EC6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603" w:type="dxa"/>
            <w:gridSpan w:val="2"/>
            <w:vAlign w:val="center"/>
          </w:tcPr>
          <w:p w14:paraId="072A2DF2">
            <w:pPr>
              <w:spacing w:line="300" w:lineRule="auto"/>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评审内容</w:t>
            </w:r>
          </w:p>
        </w:tc>
        <w:tc>
          <w:tcPr>
            <w:tcW w:w="1637" w:type="dxa"/>
            <w:vAlign w:val="center"/>
          </w:tcPr>
          <w:p w14:paraId="76E1A6E8">
            <w:pPr>
              <w:spacing w:line="300" w:lineRule="auto"/>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b/>
                <w:sz w:val="24"/>
                <w:szCs w:val="24"/>
              </w:rPr>
              <w:t>评审意见</w:t>
            </w:r>
          </w:p>
        </w:tc>
      </w:tr>
      <w:tr w14:paraId="6635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8" w:type="dxa"/>
            <w:vAlign w:val="center"/>
          </w:tcPr>
          <w:p w14:paraId="09929CDC">
            <w:pPr>
              <w:spacing w:line="3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6755" w:type="dxa"/>
            <w:vAlign w:val="center"/>
          </w:tcPr>
          <w:p w14:paraId="7E012390">
            <w:pPr>
              <w:spacing w:line="300" w:lineRule="auto"/>
              <w:rPr>
                <w:rFonts w:hint="eastAsia" w:asciiTheme="minorEastAsia" w:hAnsiTheme="minorEastAsia" w:eastAsiaTheme="minorEastAsia" w:cstheme="minorEastAsia"/>
                <w:spacing w:val="-2"/>
                <w:sz w:val="24"/>
                <w:szCs w:val="24"/>
              </w:rPr>
            </w:pPr>
          </w:p>
        </w:tc>
        <w:tc>
          <w:tcPr>
            <w:tcW w:w="1637" w:type="dxa"/>
            <w:vAlign w:val="center"/>
          </w:tcPr>
          <w:p w14:paraId="3EAA658B">
            <w:pPr>
              <w:spacing w:line="300" w:lineRule="auto"/>
              <w:jc w:val="center"/>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是否合格</w:t>
            </w:r>
          </w:p>
        </w:tc>
      </w:tr>
      <w:tr w14:paraId="4D7D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48" w:type="dxa"/>
            <w:vAlign w:val="center"/>
          </w:tcPr>
          <w:p w14:paraId="0C77D9BB">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755" w:type="dxa"/>
            <w:vAlign w:val="top"/>
          </w:tcPr>
          <w:p w14:paraId="42D973C8">
            <w:pPr>
              <w:spacing w:before="111" w:line="231" w:lineRule="auto"/>
              <w:ind w:left="117"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highlight w:val="none"/>
              </w:rPr>
              <w:t>磋商报价高于最高限价；</w:t>
            </w:r>
          </w:p>
        </w:tc>
        <w:tc>
          <w:tcPr>
            <w:tcW w:w="1637" w:type="dxa"/>
            <w:vAlign w:val="center"/>
          </w:tcPr>
          <w:p w14:paraId="7106FAF8">
            <w:pPr>
              <w:spacing w:line="300" w:lineRule="auto"/>
              <w:rPr>
                <w:rFonts w:hint="eastAsia" w:asciiTheme="minorEastAsia" w:hAnsiTheme="minorEastAsia" w:eastAsiaTheme="minorEastAsia" w:cstheme="minorEastAsia"/>
                <w:spacing w:val="-2"/>
                <w:sz w:val="24"/>
                <w:szCs w:val="24"/>
              </w:rPr>
            </w:pPr>
          </w:p>
        </w:tc>
      </w:tr>
      <w:tr w14:paraId="564A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48" w:type="dxa"/>
            <w:vAlign w:val="center"/>
          </w:tcPr>
          <w:p w14:paraId="3A8AE6F3">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755" w:type="dxa"/>
            <w:vAlign w:val="top"/>
          </w:tcPr>
          <w:p w14:paraId="1B18CAFE">
            <w:pPr>
              <w:spacing w:before="91" w:line="228" w:lineRule="auto"/>
              <w:ind w:left="119"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highlight w:val="none"/>
              </w:rPr>
              <w:t>供应商之间或者供应商与采购人串通</w:t>
            </w:r>
            <w:r>
              <w:rPr>
                <w:rFonts w:hint="eastAsia" w:asciiTheme="minorEastAsia" w:hAnsiTheme="minorEastAsia" w:eastAsiaTheme="minorEastAsia" w:cstheme="minorEastAsia"/>
                <w:spacing w:val="6"/>
                <w:sz w:val="24"/>
                <w:szCs w:val="24"/>
                <w:highlight w:val="none"/>
                <w:lang w:eastAsia="zh-CN"/>
              </w:rPr>
              <w:t>响应</w:t>
            </w:r>
            <w:r>
              <w:rPr>
                <w:rFonts w:hint="eastAsia" w:asciiTheme="minorEastAsia" w:hAnsiTheme="minorEastAsia" w:eastAsiaTheme="minorEastAsia" w:cstheme="minorEastAsia"/>
                <w:spacing w:val="6"/>
                <w:sz w:val="24"/>
                <w:szCs w:val="24"/>
                <w:highlight w:val="none"/>
              </w:rPr>
              <w:t>的；</w:t>
            </w:r>
          </w:p>
        </w:tc>
        <w:tc>
          <w:tcPr>
            <w:tcW w:w="1637" w:type="dxa"/>
            <w:vAlign w:val="center"/>
          </w:tcPr>
          <w:p w14:paraId="01AC893E">
            <w:pPr>
              <w:spacing w:line="300" w:lineRule="auto"/>
              <w:rPr>
                <w:rFonts w:hint="eastAsia" w:asciiTheme="minorEastAsia" w:hAnsiTheme="minorEastAsia" w:eastAsiaTheme="minorEastAsia" w:cstheme="minorEastAsia"/>
                <w:spacing w:val="-2"/>
                <w:sz w:val="24"/>
                <w:szCs w:val="24"/>
              </w:rPr>
            </w:pPr>
          </w:p>
        </w:tc>
      </w:tr>
      <w:tr w14:paraId="64CD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8" w:type="dxa"/>
            <w:vAlign w:val="center"/>
          </w:tcPr>
          <w:p w14:paraId="1BE39B4F">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755" w:type="dxa"/>
            <w:vAlign w:val="top"/>
          </w:tcPr>
          <w:p w14:paraId="4F41BDB2">
            <w:pPr>
              <w:spacing w:before="180" w:line="228" w:lineRule="auto"/>
              <w:ind w:left="143"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highlight w:val="none"/>
              </w:rPr>
              <w:t>以行贿手段谋取成交或者以其他弄虚作假方式</w:t>
            </w:r>
            <w:r>
              <w:rPr>
                <w:rFonts w:hint="eastAsia" w:asciiTheme="minorEastAsia" w:hAnsiTheme="minorEastAsia" w:eastAsiaTheme="minorEastAsia" w:cstheme="minorEastAsia"/>
                <w:spacing w:val="5"/>
                <w:sz w:val="24"/>
                <w:szCs w:val="24"/>
                <w:highlight w:val="none"/>
                <w:lang w:eastAsia="zh-CN"/>
              </w:rPr>
              <w:t>响应</w:t>
            </w:r>
            <w:r>
              <w:rPr>
                <w:rFonts w:hint="eastAsia" w:asciiTheme="minorEastAsia" w:hAnsiTheme="minorEastAsia" w:eastAsiaTheme="minorEastAsia" w:cstheme="minorEastAsia"/>
                <w:spacing w:val="5"/>
                <w:sz w:val="24"/>
                <w:szCs w:val="24"/>
                <w:highlight w:val="none"/>
              </w:rPr>
              <w:t>的；</w:t>
            </w:r>
          </w:p>
        </w:tc>
        <w:tc>
          <w:tcPr>
            <w:tcW w:w="1637" w:type="dxa"/>
            <w:vAlign w:val="center"/>
          </w:tcPr>
          <w:p w14:paraId="08C4BDBC">
            <w:pPr>
              <w:spacing w:line="300" w:lineRule="auto"/>
              <w:rPr>
                <w:rFonts w:hint="eastAsia" w:asciiTheme="minorEastAsia" w:hAnsiTheme="minorEastAsia" w:eastAsiaTheme="minorEastAsia" w:cstheme="minorEastAsia"/>
                <w:sz w:val="24"/>
                <w:szCs w:val="24"/>
              </w:rPr>
            </w:pPr>
          </w:p>
        </w:tc>
      </w:tr>
      <w:tr w14:paraId="27EF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8" w:type="dxa"/>
            <w:vAlign w:val="center"/>
          </w:tcPr>
          <w:p w14:paraId="692CB0BF">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6755" w:type="dxa"/>
            <w:vAlign w:val="top"/>
          </w:tcPr>
          <w:p w14:paraId="5A1B5EBD">
            <w:pPr>
              <w:spacing w:before="112" w:line="231" w:lineRule="auto"/>
              <w:ind w:left="117"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highlight w:val="none"/>
              </w:rPr>
              <w:t>磋商小组共同确定有实质上不响应磋商文件要求的；</w:t>
            </w:r>
          </w:p>
        </w:tc>
        <w:tc>
          <w:tcPr>
            <w:tcW w:w="1637" w:type="dxa"/>
            <w:vAlign w:val="center"/>
          </w:tcPr>
          <w:p w14:paraId="7789352E">
            <w:pPr>
              <w:spacing w:line="300" w:lineRule="auto"/>
              <w:rPr>
                <w:rFonts w:hint="eastAsia" w:asciiTheme="minorEastAsia" w:hAnsiTheme="minorEastAsia" w:eastAsiaTheme="minorEastAsia" w:cstheme="minorEastAsia"/>
                <w:spacing w:val="-2"/>
                <w:sz w:val="24"/>
                <w:szCs w:val="24"/>
              </w:rPr>
            </w:pPr>
          </w:p>
        </w:tc>
      </w:tr>
      <w:tr w14:paraId="4C12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48" w:type="dxa"/>
            <w:vAlign w:val="center"/>
          </w:tcPr>
          <w:p w14:paraId="5D7D2F63">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755" w:type="dxa"/>
            <w:vAlign w:val="top"/>
          </w:tcPr>
          <w:p w14:paraId="09CCD7DA">
            <w:pPr>
              <w:spacing w:before="58" w:line="296" w:lineRule="auto"/>
              <w:ind w:left="119" w:leftChars="0" w:right="102" w:rightChars="0" w:firstLine="6"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highlight w:val="none"/>
              </w:rPr>
              <w:t>响应文件没有供应商法定代表人或其授权代表签字（章）和加盖</w:t>
            </w:r>
            <w:r>
              <w:rPr>
                <w:rFonts w:hint="eastAsia" w:asciiTheme="minorEastAsia" w:hAnsiTheme="minorEastAsia" w:eastAsiaTheme="minorEastAsia" w:cstheme="minorEastAsia"/>
                <w:spacing w:val="12"/>
                <w:sz w:val="24"/>
                <w:szCs w:val="24"/>
                <w:highlight w:val="none"/>
              </w:rPr>
              <w:t xml:space="preserve"> </w:t>
            </w:r>
            <w:r>
              <w:rPr>
                <w:rFonts w:hint="eastAsia" w:asciiTheme="minorEastAsia" w:hAnsiTheme="minorEastAsia" w:eastAsiaTheme="minorEastAsia" w:cstheme="minorEastAsia"/>
                <w:sz w:val="24"/>
                <w:szCs w:val="24"/>
                <w:highlight w:val="none"/>
              </w:rPr>
              <w:t>供应商公章的；</w:t>
            </w:r>
          </w:p>
        </w:tc>
        <w:tc>
          <w:tcPr>
            <w:tcW w:w="1637" w:type="dxa"/>
            <w:vAlign w:val="center"/>
          </w:tcPr>
          <w:p w14:paraId="0CEEA96C">
            <w:pPr>
              <w:spacing w:line="300" w:lineRule="auto"/>
              <w:rPr>
                <w:rFonts w:hint="eastAsia" w:asciiTheme="minorEastAsia" w:hAnsiTheme="minorEastAsia" w:eastAsiaTheme="minorEastAsia" w:cstheme="minorEastAsia"/>
                <w:spacing w:val="-2"/>
                <w:sz w:val="24"/>
                <w:szCs w:val="24"/>
              </w:rPr>
            </w:pPr>
          </w:p>
        </w:tc>
      </w:tr>
      <w:tr w14:paraId="4710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8" w:type="dxa"/>
            <w:vAlign w:val="center"/>
          </w:tcPr>
          <w:p w14:paraId="5BAA3B45">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6755" w:type="dxa"/>
            <w:vAlign w:val="top"/>
          </w:tcPr>
          <w:p w14:paraId="11BEBB28">
            <w:pPr>
              <w:spacing w:before="113" w:line="231" w:lineRule="auto"/>
              <w:ind w:left="117"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highlight w:val="none"/>
                <w:lang w:eastAsia="zh-CN"/>
              </w:rPr>
              <w:t>响应</w:t>
            </w:r>
            <w:r>
              <w:rPr>
                <w:rFonts w:hint="eastAsia" w:asciiTheme="minorEastAsia" w:hAnsiTheme="minorEastAsia" w:eastAsiaTheme="minorEastAsia" w:cstheme="minorEastAsia"/>
                <w:spacing w:val="7"/>
                <w:sz w:val="24"/>
                <w:szCs w:val="24"/>
                <w:highlight w:val="none"/>
              </w:rPr>
              <w:t>的政府采购项目完成期限超过磋商文件规定期限的；</w:t>
            </w:r>
          </w:p>
        </w:tc>
        <w:tc>
          <w:tcPr>
            <w:tcW w:w="1637" w:type="dxa"/>
            <w:vAlign w:val="center"/>
          </w:tcPr>
          <w:p w14:paraId="731CF2E4">
            <w:pPr>
              <w:spacing w:line="300" w:lineRule="auto"/>
              <w:rPr>
                <w:rFonts w:hint="eastAsia" w:asciiTheme="minorEastAsia" w:hAnsiTheme="minorEastAsia" w:eastAsiaTheme="minorEastAsia" w:cstheme="minorEastAsia"/>
                <w:spacing w:val="-2"/>
                <w:sz w:val="24"/>
                <w:szCs w:val="24"/>
              </w:rPr>
            </w:pPr>
          </w:p>
        </w:tc>
      </w:tr>
      <w:tr w14:paraId="4FEF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6FD1D5F4">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6755" w:type="dxa"/>
            <w:vAlign w:val="top"/>
          </w:tcPr>
          <w:p w14:paraId="7B3A211F">
            <w:pPr>
              <w:spacing w:before="77" w:line="295" w:lineRule="auto"/>
              <w:ind w:left="126" w:leftChars="0" w:right="102" w:righ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highlight w:val="none"/>
              </w:rPr>
              <w:t>响应文件载明的服务要求、技术标准、包装方式、检验标准和方</w:t>
            </w:r>
            <w:r>
              <w:rPr>
                <w:rFonts w:hint="eastAsia" w:asciiTheme="minorEastAsia" w:hAnsiTheme="minorEastAsia" w:eastAsiaTheme="minorEastAsia" w:cstheme="minorEastAsia"/>
                <w:spacing w:val="4"/>
                <w:sz w:val="24"/>
                <w:szCs w:val="24"/>
                <w:highlight w:val="none"/>
              </w:rPr>
              <w:t>法等，不符合磋商文件要求的；</w:t>
            </w:r>
          </w:p>
        </w:tc>
        <w:tc>
          <w:tcPr>
            <w:tcW w:w="1637" w:type="dxa"/>
            <w:vAlign w:val="center"/>
          </w:tcPr>
          <w:p w14:paraId="680A493A">
            <w:pPr>
              <w:spacing w:line="300" w:lineRule="auto"/>
              <w:rPr>
                <w:rFonts w:hint="eastAsia" w:asciiTheme="minorEastAsia" w:hAnsiTheme="minorEastAsia" w:eastAsiaTheme="minorEastAsia" w:cstheme="minorEastAsia"/>
                <w:spacing w:val="-2"/>
                <w:sz w:val="24"/>
                <w:szCs w:val="24"/>
              </w:rPr>
            </w:pPr>
          </w:p>
        </w:tc>
      </w:tr>
      <w:tr w14:paraId="1DBE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14:paraId="40533988">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6755" w:type="dxa"/>
            <w:vAlign w:val="top"/>
          </w:tcPr>
          <w:p w14:paraId="539111F0">
            <w:pPr>
              <w:spacing w:before="115" w:line="230" w:lineRule="auto"/>
              <w:ind w:left="126"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highlight w:val="none"/>
              </w:rPr>
              <w:t>响应文件附有采购人不能接受条件的；</w:t>
            </w:r>
          </w:p>
        </w:tc>
        <w:tc>
          <w:tcPr>
            <w:tcW w:w="1637" w:type="dxa"/>
            <w:vAlign w:val="center"/>
          </w:tcPr>
          <w:p w14:paraId="18F9E354">
            <w:pPr>
              <w:spacing w:line="300" w:lineRule="auto"/>
              <w:rPr>
                <w:rFonts w:hint="eastAsia" w:asciiTheme="minorEastAsia" w:hAnsiTheme="minorEastAsia" w:eastAsiaTheme="minorEastAsia" w:cstheme="minorEastAsia"/>
                <w:spacing w:val="-2"/>
                <w:sz w:val="24"/>
                <w:szCs w:val="24"/>
              </w:rPr>
            </w:pPr>
          </w:p>
        </w:tc>
      </w:tr>
      <w:tr w14:paraId="1600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48" w:type="dxa"/>
            <w:vAlign w:val="center"/>
          </w:tcPr>
          <w:p w14:paraId="718F507E">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6755" w:type="dxa"/>
            <w:vAlign w:val="top"/>
          </w:tcPr>
          <w:p w14:paraId="5DD812B7">
            <w:pPr>
              <w:spacing w:before="148" w:line="228" w:lineRule="auto"/>
              <w:ind w:left="124"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highlight w:val="none"/>
              </w:rPr>
              <w:t>不满足磋商文件实质性要求的其他情形。</w:t>
            </w:r>
          </w:p>
        </w:tc>
        <w:tc>
          <w:tcPr>
            <w:tcW w:w="1637" w:type="dxa"/>
            <w:vAlign w:val="center"/>
          </w:tcPr>
          <w:p w14:paraId="6C67CFF2">
            <w:pPr>
              <w:spacing w:line="300" w:lineRule="auto"/>
              <w:rPr>
                <w:rFonts w:hint="eastAsia" w:asciiTheme="minorEastAsia" w:hAnsiTheme="minorEastAsia" w:eastAsiaTheme="minorEastAsia" w:cstheme="minorEastAsia"/>
                <w:spacing w:val="-2"/>
                <w:sz w:val="24"/>
                <w:szCs w:val="24"/>
              </w:rPr>
            </w:pPr>
          </w:p>
        </w:tc>
      </w:tr>
      <w:tr w14:paraId="178C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3" w:type="dxa"/>
            <w:gridSpan w:val="2"/>
            <w:vAlign w:val="center"/>
          </w:tcPr>
          <w:p w14:paraId="11FE8B48">
            <w:pPr>
              <w:spacing w:line="300" w:lineRule="auto"/>
              <w:ind w:firstLine="424" w:firstLineChars="18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结论：通过评审打“√”，未通过评审打“×”</w:t>
            </w:r>
          </w:p>
        </w:tc>
        <w:tc>
          <w:tcPr>
            <w:tcW w:w="1637" w:type="dxa"/>
            <w:vAlign w:val="center"/>
          </w:tcPr>
          <w:p w14:paraId="40886E97">
            <w:pPr>
              <w:spacing w:line="300" w:lineRule="auto"/>
              <w:ind w:firstLine="424" w:firstLineChars="180"/>
              <w:rPr>
                <w:rFonts w:hint="eastAsia" w:asciiTheme="minorEastAsia" w:hAnsiTheme="minorEastAsia" w:eastAsiaTheme="minorEastAsia" w:cstheme="minorEastAsia"/>
                <w:spacing w:val="-2"/>
                <w:sz w:val="24"/>
                <w:szCs w:val="24"/>
              </w:rPr>
            </w:pPr>
          </w:p>
        </w:tc>
      </w:tr>
    </w:tbl>
    <w:p w14:paraId="26FC2BDA">
      <w:pPr>
        <w:spacing w:line="300" w:lineRule="auto"/>
        <w:ind w:left="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14:paraId="52647BBA">
      <w:pPr>
        <w:spacing w:line="300" w:lineRule="auto"/>
        <w:ind w:left="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（1）上述各项中用“√”表示合格，“×”表示不合格；</w:t>
      </w:r>
    </w:p>
    <w:p w14:paraId="6F2D0B26">
      <w:pPr>
        <w:spacing w:line="300" w:lineRule="auto"/>
        <w:ind w:left="779" w:leftChars="28" w:hanging="720" w:hanging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（2）上述各项中如有一项为“×”，则结论为“×”，表示该</w:t>
      </w: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中存在重大偏差，不能通过初步评审；</w:t>
      </w:r>
      <w:r>
        <w:rPr>
          <w:rFonts w:hint="eastAsia" w:asciiTheme="minorEastAsia" w:hAnsiTheme="minorEastAsia" w:eastAsiaTheme="minorEastAsia" w:cstheme="minorEastAsia"/>
          <w:sz w:val="24"/>
          <w:szCs w:val="24"/>
          <w:lang w:eastAsia="zh-CN"/>
        </w:rPr>
        <w:t>磋商小组</w:t>
      </w:r>
      <w:r>
        <w:rPr>
          <w:rFonts w:hint="eastAsia" w:asciiTheme="minorEastAsia" w:hAnsiTheme="minorEastAsia" w:eastAsiaTheme="minorEastAsia" w:cstheme="minorEastAsia"/>
          <w:sz w:val="24"/>
          <w:szCs w:val="24"/>
        </w:rPr>
        <w:t>对某一分项评审认为不合格时，必须要写明原因。</w:t>
      </w:r>
    </w:p>
    <w:p w14:paraId="1EA943F6">
      <w:pPr>
        <w:pStyle w:val="8"/>
        <w:spacing w:line="300" w:lineRule="auto"/>
        <w:ind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响应文件</w:t>
      </w:r>
      <w:r>
        <w:rPr>
          <w:rFonts w:hint="eastAsia" w:asciiTheme="minorEastAsia" w:hAnsiTheme="minorEastAsia" w:eastAsiaTheme="minorEastAsia" w:cstheme="minorEastAsia"/>
          <w:sz w:val="24"/>
          <w:szCs w:val="24"/>
        </w:rPr>
        <w:t>最终合格与否，以所有</w:t>
      </w:r>
      <w:r>
        <w:rPr>
          <w:rFonts w:hint="eastAsia" w:asciiTheme="minorEastAsia" w:hAnsiTheme="minorEastAsia" w:eastAsiaTheme="minorEastAsia" w:cstheme="minorEastAsia"/>
          <w:sz w:val="24"/>
          <w:szCs w:val="24"/>
          <w:lang w:eastAsia="zh-CN"/>
        </w:rPr>
        <w:t>磋商小组</w:t>
      </w:r>
      <w:r>
        <w:rPr>
          <w:rFonts w:hint="eastAsia" w:asciiTheme="minorEastAsia" w:hAnsiTheme="minorEastAsia" w:eastAsiaTheme="minorEastAsia" w:cstheme="minorEastAsia"/>
          <w:sz w:val="24"/>
          <w:szCs w:val="24"/>
        </w:rPr>
        <w:t>的评审意见中少数服从多数为原则定论。</w:t>
      </w:r>
    </w:p>
    <w:p w14:paraId="51AAB11A">
      <w:pPr>
        <w:spacing w:line="240" w:lineRule="atLeast"/>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未通过资格审查的供应商不进入评审；通过资格审查的供应商少于不足三家的，不得评审。</w:t>
      </w:r>
    </w:p>
    <w:p w14:paraId="795E9931">
      <w:pPr>
        <w:pStyle w:val="27"/>
        <w:rPr>
          <w:rFonts w:hint="eastAsia" w:asciiTheme="minorEastAsia" w:hAnsiTheme="minorEastAsia" w:eastAsiaTheme="minorEastAsia" w:cstheme="minorEastAsia"/>
          <w:kern w:val="0"/>
          <w:sz w:val="21"/>
          <w:szCs w:val="21"/>
          <w:lang w:val="en-US" w:eastAsia="zh-CN" w:bidi="ar-SA"/>
        </w:rPr>
      </w:pPr>
    </w:p>
    <w:p w14:paraId="63BE4AD3">
      <w:pPr>
        <w:pStyle w:val="27"/>
        <w:rPr>
          <w:rFonts w:hint="eastAsia" w:asciiTheme="minorEastAsia" w:hAnsiTheme="minorEastAsia" w:eastAsiaTheme="minorEastAsia" w:cstheme="minorEastAsia"/>
        </w:rPr>
      </w:pPr>
    </w:p>
    <w:p w14:paraId="1BD928AB">
      <w:pPr>
        <w:pStyle w:val="27"/>
        <w:rPr>
          <w:rFonts w:hint="eastAsia" w:asciiTheme="minorEastAsia" w:hAnsiTheme="minorEastAsia" w:eastAsiaTheme="minorEastAsia" w:cstheme="minorEastAsia"/>
        </w:rPr>
      </w:pPr>
    </w:p>
    <w:p w14:paraId="3AD42EA3">
      <w:pPr>
        <w:pStyle w:val="27"/>
        <w:rPr>
          <w:rFonts w:hint="eastAsia" w:asciiTheme="minorEastAsia" w:hAnsiTheme="minorEastAsia" w:eastAsiaTheme="minorEastAsia" w:cstheme="minorEastAsia"/>
        </w:rPr>
      </w:pPr>
    </w:p>
    <w:p w14:paraId="30AE6649">
      <w:pPr>
        <w:pStyle w:val="27"/>
        <w:rPr>
          <w:rFonts w:hint="eastAsia" w:asciiTheme="minorEastAsia" w:hAnsiTheme="minorEastAsia" w:eastAsiaTheme="minorEastAsia" w:cstheme="minorEastAsia"/>
        </w:rPr>
      </w:pPr>
    </w:p>
    <w:p w14:paraId="0C9F231B">
      <w:pPr>
        <w:pStyle w:val="27"/>
        <w:rPr>
          <w:rFonts w:hint="eastAsia" w:asciiTheme="minorEastAsia" w:hAnsiTheme="minorEastAsia" w:eastAsiaTheme="minorEastAsia" w:cstheme="minorEastAsia"/>
        </w:rPr>
      </w:pPr>
    </w:p>
    <w:p w14:paraId="21B90410">
      <w:pPr>
        <w:pStyle w:val="27"/>
        <w:rPr>
          <w:rFonts w:hint="eastAsia" w:asciiTheme="minorEastAsia" w:hAnsiTheme="minorEastAsia" w:eastAsiaTheme="minorEastAsia" w:cstheme="minorEastAsia"/>
        </w:rPr>
      </w:pPr>
    </w:p>
    <w:p w14:paraId="2E691155">
      <w:pPr>
        <w:pStyle w:val="27"/>
        <w:rPr>
          <w:rFonts w:hint="eastAsia" w:asciiTheme="minorEastAsia" w:hAnsiTheme="minorEastAsia" w:eastAsiaTheme="minorEastAsia" w:cstheme="minorEastAsia"/>
        </w:rPr>
      </w:pPr>
    </w:p>
    <w:p w14:paraId="63AA5543">
      <w:pPr>
        <w:pStyle w:val="27"/>
        <w:rPr>
          <w:rFonts w:hint="eastAsia" w:asciiTheme="minorEastAsia" w:hAnsiTheme="minorEastAsia" w:eastAsiaTheme="minorEastAsia" w:cstheme="minorEastAsia"/>
        </w:rPr>
      </w:pPr>
    </w:p>
    <w:p w14:paraId="4325E359">
      <w:pPr>
        <w:pStyle w:val="27"/>
        <w:rPr>
          <w:rFonts w:hint="eastAsia" w:asciiTheme="minorEastAsia" w:hAnsiTheme="minorEastAsia" w:eastAsiaTheme="minorEastAsia" w:cstheme="minorEastAsia"/>
        </w:rPr>
      </w:pPr>
    </w:p>
    <w:p w14:paraId="425990CC">
      <w:pPr>
        <w:pStyle w:val="27"/>
        <w:rPr>
          <w:rFonts w:hint="eastAsia" w:asciiTheme="minorEastAsia" w:hAnsiTheme="minorEastAsia" w:eastAsiaTheme="minorEastAsia" w:cstheme="minorEastAsia"/>
        </w:rPr>
      </w:pPr>
    </w:p>
    <w:p w14:paraId="475939FF">
      <w:pPr>
        <w:pStyle w:val="27"/>
        <w:rPr>
          <w:rFonts w:hint="eastAsia" w:asciiTheme="minorEastAsia" w:hAnsiTheme="minorEastAsia" w:eastAsiaTheme="minorEastAsia" w:cstheme="minorEastAsia"/>
        </w:rPr>
      </w:pPr>
    </w:p>
    <w:p w14:paraId="67CFFAEA">
      <w:pPr>
        <w:spacing w:line="360" w:lineRule="auto"/>
        <w:jc w:val="center"/>
        <w:outlineLvl w:val="0"/>
        <w:rPr>
          <w:rFonts w:hint="eastAsia" w:asciiTheme="minorEastAsia" w:hAnsiTheme="minorEastAsia" w:eastAsiaTheme="minorEastAsia" w:cstheme="minorEastAsia"/>
          <w:sz w:val="28"/>
          <w:szCs w:val="28"/>
          <w:highlight w:val="none"/>
        </w:rPr>
      </w:pPr>
      <w:bookmarkStart w:id="373" w:name="_Toc10422"/>
      <w:bookmarkStart w:id="374" w:name="_Toc507399904"/>
      <w:r>
        <w:rPr>
          <w:rFonts w:hint="eastAsia" w:asciiTheme="minorEastAsia" w:hAnsiTheme="minorEastAsia" w:eastAsiaTheme="minorEastAsia" w:cstheme="minorEastAsia"/>
          <w:b/>
          <w:sz w:val="28"/>
          <w:szCs w:val="28"/>
          <w:highlight w:val="none"/>
        </w:rPr>
        <w:t>综合评分法评分标准</w:t>
      </w:r>
      <w:bookmarkEnd w:id="373"/>
    </w:p>
    <w:tbl>
      <w:tblPr>
        <w:tblStyle w:val="37"/>
        <w:tblpPr w:leftFromText="180" w:rightFromText="180" w:vertAnchor="text" w:horzAnchor="page" w:tblpX="1487" w:tblpY="709"/>
        <w:tblOverlap w:val="never"/>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3"/>
        <w:gridCol w:w="1047"/>
        <w:gridCol w:w="555"/>
        <w:gridCol w:w="6606"/>
      </w:tblGrid>
      <w:tr w14:paraId="18B4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7" w:hRule="atLeast"/>
        </w:trPr>
        <w:tc>
          <w:tcPr>
            <w:tcW w:w="833" w:type="dxa"/>
            <w:noWrap w:val="0"/>
            <w:vAlign w:val="center"/>
          </w:tcPr>
          <w:p w14:paraId="39545B47">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2"/>
                <w:szCs w:val="22"/>
              </w:rPr>
            </w:pPr>
            <w:r>
              <w:rPr>
                <w:rFonts w:hint="eastAsia" w:ascii="宋体" w:hAnsi="宋体" w:eastAsia="宋体" w:cs="宋体"/>
                <w:bCs/>
                <w:sz w:val="22"/>
                <w:szCs w:val="22"/>
              </w:rPr>
              <w:t>经济</w:t>
            </w:r>
          </w:p>
          <w:p w14:paraId="04166045">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outlineLvl w:val="9"/>
              <w:rPr>
                <w:rFonts w:hint="eastAsia" w:ascii="宋体" w:hAnsi="宋体" w:eastAsia="宋体" w:cs="宋体"/>
                <w:bCs/>
                <w:sz w:val="22"/>
                <w:szCs w:val="22"/>
              </w:rPr>
            </w:pPr>
            <w:r>
              <w:rPr>
                <w:rFonts w:hint="eastAsia" w:ascii="宋体" w:hAnsi="宋体" w:eastAsia="宋体" w:cs="宋体"/>
                <w:bCs/>
                <w:sz w:val="22"/>
                <w:szCs w:val="22"/>
              </w:rPr>
              <w:t>评审</w:t>
            </w:r>
          </w:p>
          <w:p w14:paraId="15740D11">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Cs/>
                <w:sz w:val="22"/>
                <w:szCs w:val="22"/>
                <w:highlight w:val="red"/>
              </w:rPr>
            </w:pPr>
            <w:r>
              <w:rPr>
                <w:rFonts w:hint="eastAsia" w:ascii="宋体" w:hAnsi="宋体" w:eastAsia="宋体" w:cs="宋体"/>
                <w:bCs/>
                <w:sz w:val="22"/>
                <w:szCs w:val="22"/>
              </w:rPr>
              <w:t>（</w:t>
            </w:r>
            <w:r>
              <w:rPr>
                <w:rFonts w:hint="eastAsia" w:ascii="宋体" w:hAnsi="宋体" w:cs="宋体"/>
                <w:bCs/>
                <w:sz w:val="22"/>
                <w:szCs w:val="22"/>
                <w:lang w:val="en-US" w:eastAsia="zh-CN"/>
              </w:rPr>
              <w:t>30</w:t>
            </w:r>
            <w:r>
              <w:rPr>
                <w:rFonts w:hint="eastAsia" w:ascii="宋体" w:hAnsi="宋体" w:eastAsia="宋体" w:cs="宋体"/>
                <w:bCs/>
                <w:sz w:val="22"/>
                <w:szCs w:val="22"/>
              </w:rPr>
              <w:t>分）</w:t>
            </w:r>
          </w:p>
        </w:tc>
        <w:tc>
          <w:tcPr>
            <w:tcW w:w="10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E1D4E9">
            <w:pPr>
              <w:keepNext w:val="0"/>
              <w:keepLines w:val="0"/>
              <w:kinsoku/>
              <w:wordWrap/>
              <w:overflowPunct/>
              <w:topLinePunct w:val="0"/>
              <w:autoSpaceDE/>
              <w:autoSpaceDN/>
              <w:bidi w:val="0"/>
              <w:spacing w:after="120" w:afterLines="50" w:line="360" w:lineRule="auto"/>
              <w:jc w:val="center"/>
              <w:outlineLvl w:val="9"/>
              <w:rPr>
                <w:rFonts w:hint="eastAsia" w:ascii="宋体" w:hAnsi="宋体" w:eastAsia="宋体" w:cs="宋体"/>
                <w:bCs/>
                <w:sz w:val="22"/>
                <w:szCs w:val="22"/>
                <w:highlight w:val="red"/>
              </w:rPr>
            </w:pPr>
            <w:r>
              <w:rPr>
                <w:rFonts w:hint="eastAsia" w:ascii="宋体" w:hAnsi="宋体" w:eastAsia="宋体" w:cs="宋体"/>
                <w:bCs/>
                <w:sz w:val="22"/>
                <w:szCs w:val="22"/>
                <w:lang w:val="en-US" w:eastAsia="zh-CN"/>
              </w:rPr>
              <w:t>响应</w:t>
            </w:r>
            <w:r>
              <w:rPr>
                <w:rFonts w:hint="eastAsia" w:ascii="宋体" w:hAnsi="宋体" w:eastAsia="宋体" w:cs="宋体"/>
                <w:bCs/>
                <w:sz w:val="22"/>
                <w:szCs w:val="22"/>
              </w:rPr>
              <w:t>报价</w:t>
            </w:r>
          </w:p>
        </w:tc>
        <w:tc>
          <w:tcPr>
            <w:tcW w:w="5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70DCF8">
            <w:pPr>
              <w:pStyle w:val="34"/>
              <w:keepNext w:val="0"/>
              <w:keepLines w:val="0"/>
              <w:kinsoku/>
              <w:wordWrap/>
              <w:overflowPunct/>
              <w:topLinePunct w:val="0"/>
              <w:autoSpaceDE/>
              <w:autoSpaceDN/>
              <w:bidi w:val="0"/>
              <w:spacing w:line="240" w:lineRule="auto"/>
              <w:jc w:val="center"/>
              <w:outlineLvl w:val="9"/>
              <w:rPr>
                <w:rFonts w:hint="eastAsia" w:ascii="宋体" w:hAnsi="宋体" w:eastAsia="宋体" w:cs="宋体"/>
                <w:bCs/>
                <w:snapToGrid w:val="0"/>
                <w:kern w:val="0"/>
                <w:sz w:val="22"/>
                <w:szCs w:val="22"/>
                <w:lang w:val="en-US" w:eastAsia="zh-CN" w:bidi="ar-SA"/>
              </w:rPr>
            </w:pPr>
            <w:r>
              <w:rPr>
                <w:rFonts w:hint="eastAsia" w:ascii="宋体" w:hAnsi="宋体" w:cs="宋体"/>
                <w:bCs/>
                <w:sz w:val="22"/>
                <w:szCs w:val="21"/>
                <w:lang w:val="en-US" w:eastAsia="zh-CN"/>
              </w:rPr>
              <w:t>30</w:t>
            </w:r>
            <w:r>
              <w:rPr>
                <w:rFonts w:hint="eastAsia" w:ascii="宋体" w:hAnsi="宋体" w:eastAsia="宋体" w:cs="宋体"/>
                <w:bCs/>
                <w:sz w:val="22"/>
                <w:szCs w:val="21"/>
                <w:lang w:val="en-US" w:eastAsia="zh-CN"/>
              </w:rPr>
              <w:t>分</w:t>
            </w:r>
          </w:p>
        </w:tc>
        <w:tc>
          <w:tcPr>
            <w:tcW w:w="66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DAD98F">
            <w:pPr>
              <w:pStyle w:val="34"/>
              <w:keepNext w:val="0"/>
              <w:keepLines w:val="0"/>
              <w:kinsoku/>
              <w:wordWrap/>
              <w:overflowPunct/>
              <w:topLinePunct w:val="0"/>
              <w:autoSpaceDE/>
              <w:autoSpaceDN/>
              <w:bidi w:val="0"/>
              <w:spacing w:line="240" w:lineRule="auto"/>
              <w:jc w:val="left"/>
              <w:outlineLvl w:val="9"/>
              <w:rPr>
                <w:rFonts w:hint="default" w:ascii="宋体" w:hAnsi="宋体" w:eastAsia="宋体" w:cs="宋体"/>
                <w:bCs/>
                <w:snapToGrid w:val="0"/>
                <w:kern w:val="0"/>
                <w:sz w:val="22"/>
                <w:szCs w:val="22"/>
                <w:lang w:val="en-US" w:eastAsia="zh-CN" w:bidi="ar-SA"/>
              </w:rPr>
            </w:pPr>
            <w:r>
              <w:rPr>
                <w:rFonts w:hint="eastAsia" w:ascii="宋体" w:hAnsi="宋体" w:eastAsia="宋体" w:cs="宋体"/>
                <w:bCs/>
                <w:sz w:val="22"/>
                <w:szCs w:val="21"/>
                <w:lang w:val="en-US" w:eastAsia="zh-CN"/>
              </w:rPr>
              <w:t>综合评分法中的价格分统一采用低价优先法计算，即满足磋商文件要求且最终响应价格最低的报价为评标基准价，其价格分为满分</w:t>
            </w:r>
            <w:r>
              <w:rPr>
                <w:rFonts w:hint="eastAsia" w:ascii="宋体" w:hAnsi="宋体" w:cs="宋体"/>
                <w:bCs/>
                <w:sz w:val="22"/>
                <w:szCs w:val="21"/>
                <w:lang w:val="en-US" w:eastAsia="zh-CN"/>
              </w:rPr>
              <w:t>30</w:t>
            </w:r>
            <w:r>
              <w:rPr>
                <w:rFonts w:hint="eastAsia" w:ascii="宋体" w:hAnsi="宋体" w:eastAsia="宋体" w:cs="宋体"/>
                <w:bCs/>
                <w:sz w:val="22"/>
                <w:szCs w:val="21"/>
                <w:lang w:val="en-US" w:eastAsia="zh-CN"/>
              </w:rPr>
              <w:t>分，其它响应报价得分=评标基准价/响应报价*</w:t>
            </w:r>
            <w:r>
              <w:rPr>
                <w:rFonts w:hint="eastAsia" w:ascii="宋体" w:hAnsi="宋体" w:cs="宋体"/>
                <w:bCs/>
                <w:sz w:val="22"/>
                <w:szCs w:val="21"/>
                <w:lang w:val="en-US" w:eastAsia="zh-CN"/>
              </w:rPr>
              <w:t>30</w:t>
            </w:r>
          </w:p>
        </w:tc>
      </w:tr>
      <w:tr w14:paraId="224E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0" w:hRule="atLeast"/>
        </w:trPr>
        <w:tc>
          <w:tcPr>
            <w:tcW w:w="833" w:type="dxa"/>
            <w:vMerge w:val="restart"/>
            <w:noWrap w:val="0"/>
            <w:vAlign w:val="center"/>
          </w:tcPr>
          <w:p w14:paraId="5F82AABD">
            <w:pPr>
              <w:keepNext w:val="0"/>
              <w:keepLines w:val="0"/>
              <w:kinsoku/>
              <w:wordWrap/>
              <w:overflowPunct/>
              <w:topLinePunct w:val="0"/>
              <w:autoSpaceDE/>
              <w:autoSpaceDN/>
              <w:bidi w:val="0"/>
              <w:spacing w:after="120" w:afterLines="50" w:line="240" w:lineRule="auto"/>
              <w:jc w:val="center"/>
              <w:outlineLvl w:val="9"/>
              <w:rPr>
                <w:rFonts w:hint="eastAsia" w:ascii="宋体" w:hAnsi="宋体" w:eastAsia="宋体" w:cs="宋体"/>
                <w:bCs/>
                <w:sz w:val="22"/>
                <w:szCs w:val="22"/>
              </w:rPr>
            </w:pPr>
            <w:r>
              <w:rPr>
                <w:rFonts w:hint="eastAsia" w:ascii="宋体" w:hAnsi="宋体" w:eastAsia="宋体" w:cs="宋体"/>
                <w:bCs/>
                <w:sz w:val="22"/>
                <w:szCs w:val="22"/>
              </w:rPr>
              <w:t>商务部分（</w:t>
            </w:r>
            <w:r>
              <w:rPr>
                <w:rFonts w:hint="eastAsia" w:ascii="宋体" w:hAnsi="宋体" w:cs="宋体"/>
                <w:bCs/>
                <w:sz w:val="22"/>
                <w:szCs w:val="22"/>
                <w:lang w:val="en-US" w:eastAsia="zh-CN"/>
              </w:rPr>
              <w:t>10</w:t>
            </w:r>
            <w:r>
              <w:rPr>
                <w:rFonts w:hint="eastAsia" w:ascii="宋体" w:hAnsi="宋体" w:eastAsia="宋体" w:cs="宋体"/>
                <w:bCs/>
                <w:sz w:val="22"/>
                <w:szCs w:val="22"/>
              </w:rPr>
              <w:t>分）</w:t>
            </w:r>
          </w:p>
        </w:tc>
        <w:tc>
          <w:tcPr>
            <w:tcW w:w="10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F62598">
            <w:pPr>
              <w:keepNext w:val="0"/>
              <w:keepLines w:val="0"/>
              <w:kinsoku/>
              <w:wordWrap/>
              <w:overflowPunct/>
              <w:topLinePunct w:val="0"/>
              <w:autoSpaceDE/>
              <w:autoSpaceDN/>
              <w:bidi w:val="0"/>
              <w:spacing w:after="120" w:afterLines="50" w:line="360" w:lineRule="auto"/>
              <w:jc w:val="center"/>
              <w:outlineLvl w:val="9"/>
              <w:rPr>
                <w:rFonts w:hint="eastAsia" w:ascii="宋体" w:hAnsi="宋体" w:eastAsia="宋体" w:cs="宋体"/>
                <w:bCs/>
                <w:sz w:val="22"/>
                <w:szCs w:val="22"/>
              </w:rPr>
            </w:pPr>
            <w:r>
              <w:rPr>
                <w:rFonts w:hint="eastAsia" w:ascii="宋体" w:hAnsi="宋体" w:eastAsia="宋体" w:cs="宋体"/>
                <w:bCs/>
                <w:sz w:val="22"/>
                <w:szCs w:val="22"/>
              </w:rPr>
              <w:t>企业业绩</w:t>
            </w:r>
          </w:p>
        </w:tc>
        <w:tc>
          <w:tcPr>
            <w:tcW w:w="5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796CCA">
            <w:pPr>
              <w:pStyle w:val="34"/>
              <w:keepNext w:val="0"/>
              <w:keepLines w:val="0"/>
              <w:kinsoku/>
              <w:wordWrap/>
              <w:overflowPunct/>
              <w:topLinePunct w:val="0"/>
              <w:autoSpaceDE/>
              <w:autoSpaceDN/>
              <w:bidi w:val="0"/>
              <w:spacing w:line="240" w:lineRule="auto"/>
              <w:jc w:val="center"/>
              <w:outlineLvl w:val="9"/>
              <w:rPr>
                <w:rFonts w:hint="eastAsia" w:ascii="宋体" w:hAnsi="宋体" w:eastAsia="宋体" w:cs="宋体"/>
                <w:bCs/>
                <w:sz w:val="22"/>
                <w:szCs w:val="21"/>
              </w:rPr>
            </w:pPr>
            <w:r>
              <w:rPr>
                <w:rFonts w:hint="eastAsia" w:ascii="宋体" w:hAnsi="宋体" w:cs="宋体"/>
                <w:bCs/>
                <w:sz w:val="22"/>
                <w:szCs w:val="21"/>
                <w:lang w:val="en-US" w:eastAsia="zh-CN"/>
              </w:rPr>
              <w:t>2</w:t>
            </w:r>
            <w:r>
              <w:rPr>
                <w:rFonts w:hint="eastAsia" w:ascii="宋体" w:hAnsi="宋体" w:eastAsia="宋体" w:cs="宋体"/>
                <w:bCs/>
                <w:sz w:val="22"/>
                <w:szCs w:val="21"/>
              </w:rPr>
              <w:t>分</w:t>
            </w:r>
          </w:p>
        </w:tc>
        <w:tc>
          <w:tcPr>
            <w:tcW w:w="66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6DE2CC">
            <w:pPr>
              <w:pStyle w:val="34"/>
              <w:keepNext w:val="0"/>
              <w:keepLines w:val="0"/>
              <w:kinsoku/>
              <w:wordWrap/>
              <w:overflowPunct/>
              <w:topLinePunct w:val="0"/>
              <w:autoSpaceDE/>
              <w:autoSpaceDN/>
              <w:bidi w:val="0"/>
              <w:spacing w:line="240" w:lineRule="auto"/>
              <w:jc w:val="left"/>
              <w:outlineLvl w:val="9"/>
              <w:rPr>
                <w:rFonts w:hint="eastAsia" w:ascii="宋体" w:hAnsi="宋体" w:eastAsia="宋体" w:cs="宋体"/>
                <w:bCs/>
                <w:sz w:val="22"/>
                <w:szCs w:val="22"/>
              </w:rPr>
            </w:pPr>
            <w:r>
              <w:rPr>
                <w:rFonts w:hint="eastAsia" w:ascii="宋体" w:hAnsi="宋体" w:eastAsia="宋体" w:cs="宋体"/>
                <w:bCs/>
                <w:sz w:val="22"/>
                <w:szCs w:val="21"/>
                <w:lang w:val="en-US" w:eastAsia="zh-CN"/>
              </w:rPr>
              <w:t>提供</w:t>
            </w:r>
            <w:r>
              <w:rPr>
                <w:rFonts w:hint="eastAsia" w:ascii="宋体" w:hAnsi="宋体" w:eastAsia="宋体" w:cs="宋体"/>
                <w:bCs/>
                <w:sz w:val="22"/>
                <w:szCs w:val="21"/>
              </w:rPr>
              <w:t>近三年</w:t>
            </w:r>
            <w:r>
              <w:rPr>
                <w:rFonts w:hint="eastAsia" w:ascii="宋体" w:hAnsi="宋体" w:eastAsia="宋体" w:cs="宋体"/>
                <w:bCs/>
                <w:sz w:val="22"/>
                <w:szCs w:val="21"/>
                <w:lang w:val="en-US" w:eastAsia="zh-CN"/>
              </w:rPr>
              <w:t>内</w:t>
            </w:r>
            <w:r>
              <w:rPr>
                <w:rFonts w:hint="eastAsia" w:ascii="宋体" w:hAnsi="宋体" w:eastAsia="宋体" w:cs="宋体"/>
                <w:sz w:val="22"/>
                <w:szCs w:val="21"/>
                <w:lang w:val="en-US" w:eastAsia="zh-CN"/>
              </w:rPr>
              <w:t>（自202</w:t>
            </w:r>
            <w:r>
              <w:rPr>
                <w:rFonts w:hint="eastAsia" w:ascii="宋体" w:hAnsi="宋体" w:cs="宋体"/>
                <w:sz w:val="22"/>
                <w:szCs w:val="21"/>
                <w:lang w:val="en-US" w:eastAsia="zh-CN"/>
              </w:rPr>
              <w:t>2</w:t>
            </w:r>
            <w:r>
              <w:rPr>
                <w:rFonts w:hint="eastAsia" w:ascii="宋体" w:hAnsi="宋体" w:eastAsia="宋体" w:cs="宋体"/>
                <w:sz w:val="22"/>
                <w:szCs w:val="21"/>
                <w:lang w:val="en-US" w:eastAsia="zh-CN"/>
              </w:rPr>
              <w:t>年1月至今）</w:t>
            </w:r>
            <w:r>
              <w:rPr>
                <w:rFonts w:hint="eastAsia" w:ascii="宋体" w:hAnsi="宋体" w:eastAsia="宋体" w:cs="宋体"/>
                <w:bCs/>
                <w:sz w:val="22"/>
                <w:szCs w:val="21"/>
              </w:rPr>
              <w:t>的类似项目业绩，每项得</w:t>
            </w:r>
            <w:r>
              <w:rPr>
                <w:rFonts w:hint="eastAsia" w:ascii="宋体" w:hAnsi="宋体" w:cs="宋体"/>
                <w:bCs/>
                <w:sz w:val="22"/>
                <w:szCs w:val="21"/>
                <w:lang w:val="en-US" w:eastAsia="zh-CN"/>
              </w:rPr>
              <w:t>1</w:t>
            </w:r>
            <w:r>
              <w:rPr>
                <w:rFonts w:hint="eastAsia" w:ascii="宋体" w:hAnsi="宋体" w:eastAsia="宋体" w:cs="宋体"/>
                <w:bCs/>
                <w:sz w:val="22"/>
                <w:szCs w:val="21"/>
              </w:rPr>
              <w:t>分，此项最多得</w:t>
            </w:r>
            <w:r>
              <w:rPr>
                <w:rFonts w:hint="eastAsia" w:ascii="宋体" w:hAnsi="宋体" w:cs="宋体"/>
                <w:bCs/>
                <w:sz w:val="22"/>
                <w:szCs w:val="21"/>
                <w:lang w:val="en-US" w:eastAsia="zh-CN"/>
              </w:rPr>
              <w:t>2</w:t>
            </w:r>
            <w:r>
              <w:rPr>
                <w:rFonts w:hint="eastAsia" w:ascii="宋体" w:hAnsi="宋体" w:eastAsia="宋体" w:cs="宋体"/>
                <w:bCs/>
                <w:sz w:val="22"/>
                <w:szCs w:val="21"/>
              </w:rPr>
              <w:t>分（类似业绩以</w:t>
            </w:r>
            <w:r>
              <w:rPr>
                <w:rFonts w:hint="eastAsia" w:ascii="宋体" w:hAnsi="宋体" w:eastAsia="宋体" w:cs="宋体"/>
                <w:bCs/>
                <w:sz w:val="22"/>
                <w:szCs w:val="21"/>
                <w:lang w:eastAsia="zh-CN"/>
              </w:rPr>
              <w:t>竣工验收</w:t>
            </w:r>
            <w:r>
              <w:rPr>
                <w:rFonts w:hint="eastAsia" w:ascii="宋体" w:hAnsi="宋体" w:eastAsia="宋体" w:cs="宋体"/>
                <w:bCs/>
                <w:sz w:val="22"/>
                <w:szCs w:val="21"/>
              </w:rPr>
              <w:t>时间为准，需提供施工合同、中标通知书</w:t>
            </w:r>
            <w:r>
              <w:rPr>
                <w:rFonts w:hint="eastAsia" w:ascii="宋体" w:hAnsi="宋体" w:eastAsia="宋体" w:cs="宋体"/>
                <w:bCs/>
                <w:sz w:val="22"/>
                <w:szCs w:val="21"/>
                <w:lang w:eastAsia="zh-CN"/>
              </w:rPr>
              <w:t>及竣工验收证明</w:t>
            </w:r>
            <w:r>
              <w:rPr>
                <w:rFonts w:hint="eastAsia" w:ascii="宋体" w:hAnsi="宋体" w:eastAsia="宋体" w:cs="宋体"/>
                <w:bCs/>
                <w:sz w:val="22"/>
                <w:szCs w:val="21"/>
                <w:lang w:val="en-US" w:eastAsia="zh-CN"/>
              </w:rPr>
              <w:t>加盖公章</w:t>
            </w:r>
            <w:r>
              <w:rPr>
                <w:rFonts w:hint="eastAsia" w:ascii="宋体" w:hAnsi="宋体" w:eastAsia="宋体" w:cs="宋体"/>
                <w:bCs/>
                <w:sz w:val="22"/>
                <w:szCs w:val="21"/>
              </w:rPr>
              <w:t>）。</w:t>
            </w:r>
          </w:p>
        </w:tc>
      </w:tr>
      <w:tr w14:paraId="62EE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833" w:type="dxa"/>
            <w:vMerge w:val="continue"/>
            <w:noWrap w:val="0"/>
            <w:vAlign w:val="center"/>
          </w:tcPr>
          <w:p w14:paraId="2FD878E2">
            <w:pPr>
              <w:keepNext w:val="0"/>
              <w:keepLines w:val="0"/>
              <w:kinsoku/>
              <w:wordWrap/>
              <w:overflowPunct/>
              <w:topLinePunct w:val="0"/>
              <w:autoSpaceDE/>
              <w:autoSpaceDN/>
              <w:bidi w:val="0"/>
              <w:spacing w:after="120" w:afterLines="50" w:line="360" w:lineRule="auto"/>
              <w:jc w:val="center"/>
              <w:outlineLvl w:val="9"/>
              <w:rPr>
                <w:rFonts w:hint="eastAsia" w:ascii="宋体" w:hAnsi="宋体" w:eastAsia="宋体" w:cs="宋体"/>
                <w:bCs/>
                <w:sz w:val="22"/>
                <w:szCs w:val="22"/>
              </w:rPr>
            </w:pPr>
          </w:p>
        </w:tc>
        <w:tc>
          <w:tcPr>
            <w:tcW w:w="10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EA2E4B">
            <w:pPr>
              <w:keepNext w:val="0"/>
              <w:keepLines w:val="0"/>
              <w:kinsoku/>
              <w:wordWrap/>
              <w:overflowPunct/>
              <w:topLinePunct w:val="0"/>
              <w:autoSpaceDE/>
              <w:autoSpaceDN/>
              <w:bidi w:val="0"/>
              <w:spacing w:after="120" w:afterLines="50" w:line="240" w:lineRule="auto"/>
              <w:jc w:val="center"/>
              <w:outlineLvl w:val="9"/>
              <w:rPr>
                <w:rFonts w:hint="default" w:ascii="宋体" w:hAnsi="宋体" w:eastAsia="宋体" w:cs="宋体"/>
                <w:bCs/>
                <w:sz w:val="22"/>
                <w:szCs w:val="22"/>
                <w:lang w:val="en-US"/>
              </w:rPr>
            </w:pPr>
            <w:r>
              <w:rPr>
                <w:rFonts w:hint="eastAsia" w:ascii="宋体" w:hAnsi="宋体" w:cs="宋体"/>
                <w:bCs/>
                <w:sz w:val="22"/>
                <w:szCs w:val="22"/>
                <w:lang w:val="en-US" w:eastAsia="zh-CN"/>
              </w:rPr>
              <w:t>项目管理机构</w:t>
            </w:r>
          </w:p>
        </w:tc>
        <w:tc>
          <w:tcPr>
            <w:tcW w:w="5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D8CC1B">
            <w:pPr>
              <w:pStyle w:val="34"/>
              <w:keepNext w:val="0"/>
              <w:keepLines w:val="0"/>
              <w:kinsoku/>
              <w:wordWrap/>
              <w:overflowPunct/>
              <w:topLinePunct w:val="0"/>
              <w:autoSpaceDE/>
              <w:autoSpaceDN/>
              <w:bidi w:val="0"/>
              <w:spacing w:line="240" w:lineRule="auto"/>
              <w:jc w:val="center"/>
              <w:outlineLvl w:val="9"/>
              <w:rPr>
                <w:rFonts w:hint="eastAsia" w:ascii="宋体" w:hAnsi="宋体" w:eastAsia="宋体" w:cs="宋体"/>
                <w:bCs/>
                <w:sz w:val="22"/>
                <w:szCs w:val="21"/>
              </w:rPr>
            </w:pPr>
            <w:r>
              <w:rPr>
                <w:rFonts w:hint="eastAsia" w:ascii="宋体" w:hAnsi="宋体" w:cs="宋体"/>
                <w:bCs/>
                <w:sz w:val="22"/>
                <w:szCs w:val="21"/>
                <w:lang w:val="en-US" w:eastAsia="zh-CN"/>
              </w:rPr>
              <w:t>4</w:t>
            </w:r>
            <w:r>
              <w:rPr>
                <w:rFonts w:hint="eastAsia" w:ascii="宋体" w:hAnsi="宋体" w:eastAsia="宋体" w:cs="宋体"/>
                <w:bCs/>
                <w:sz w:val="22"/>
                <w:szCs w:val="21"/>
                <w:lang w:val="en-US" w:eastAsia="zh-CN"/>
              </w:rPr>
              <w:t>分</w:t>
            </w:r>
          </w:p>
        </w:tc>
        <w:tc>
          <w:tcPr>
            <w:tcW w:w="66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21D45B">
            <w:pPr>
              <w:pStyle w:val="34"/>
              <w:keepNext w:val="0"/>
              <w:keepLines w:val="0"/>
              <w:kinsoku/>
              <w:wordWrap/>
              <w:overflowPunct/>
              <w:topLinePunct w:val="0"/>
              <w:autoSpaceDE/>
              <w:autoSpaceDN/>
              <w:bidi w:val="0"/>
              <w:spacing w:line="240" w:lineRule="auto"/>
              <w:jc w:val="left"/>
              <w:outlineLvl w:val="9"/>
              <w:rPr>
                <w:rFonts w:hint="default" w:ascii="宋体" w:hAnsi="宋体" w:eastAsia="宋体" w:cs="宋体"/>
                <w:sz w:val="22"/>
                <w:szCs w:val="21"/>
                <w:lang w:val="en-US" w:eastAsia="zh-CN"/>
              </w:rPr>
            </w:pPr>
            <w:r>
              <w:rPr>
                <w:rFonts w:hint="eastAsia" w:ascii="宋体" w:hAnsi="宋体" w:eastAsia="宋体" w:cs="宋体"/>
                <w:sz w:val="22"/>
                <w:szCs w:val="21"/>
                <w:lang w:val="en-US" w:eastAsia="zh-CN"/>
              </w:rPr>
              <w:t>针对本项目拟派项目班子成员，按照自治区住房和城乡建设厅下发的《房屋建筑与市政基础设施工程施工现场从业人员配备标准》 (DB65/T8020-2024)文件的要求，并结合拟建工程项目规模、类型等实际情况进行配备</w:t>
            </w:r>
            <w:r>
              <w:rPr>
                <w:rFonts w:hint="eastAsia" w:ascii="宋体" w:hAnsi="宋体" w:cs="宋体"/>
                <w:sz w:val="22"/>
                <w:szCs w:val="21"/>
                <w:lang w:val="en-US" w:eastAsia="zh-CN"/>
              </w:rPr>
              <w:t>。在满足专职人员最低配备人数的前提下，每增加一个专职人员得0.5分，最高得4分。</w:t>
            </w:r>
          </w:p>
        </w:tc>
      </w:tr>
      <w:tr w14:paraId="5AF3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833" w:type="dxa"/>
            <w:vMerge w:val="continue"/>
            <w:noWrap w:val="0"/>
            <w:vAlign w:val="center"/>
          </w:tcPr>
          <w:p w14:paraId="2BE70DF9">
            <w:pPr>
              <w:pStyle w:val="34"/>
              <w:keepNext w:val="0"/>
              <w:keepLines w:val="0"/>
              <w:kinsoku/>
              <w:wordWrap/>
              <w:overflowPunct/>
              <w:topLinePunct w:val="0"/>
              <w:autoSpaceDE/>
              <w:autoSpaceDN/>
              <w:bidi w:val="0"/>
              <w:spacing w:line="240" w:lineRule="auto"/>
              <w:jc w:val="left"/>
              <w:outlineLvl w:val="9"/>
              <w:rPr>
                <w:sz w:val="22"/>
                <w:szCs w:val="21"/>
              </w:rPr>
            </w:pPr>
          </w:p>
        </w:tc>
        <w:tc>
          <w:tcPr>
            <w:tcW w:w="10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08EF91">
            <w:pPr>
              <w:keepNext w:val="0"/>
              <w:keepLines w:val="0"/>
              <w:kinsoku/>
              <w:wordWrap/>
              <w:overflowPunct/>
              <w:topLinePunct w:val="0"/>
              <w:autoSpaceDE/>
              <w:autoSpaceDN/>
              <w:bidi w:val="0"/>
              <w:spacing w:after="120" w:afterLines="50" w:line="240" w:lineRule="auto"/>
              <w:jc w:val="center"/>
              <w:outlineLvl w:val="9"/>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项目负责人能力</w:t>
            </w:r>
          </w:p>
        </w:tc>
        <w:tc>
          <w:tcPr>
            <w:tcW w:w="5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5D7600">
            <w:pPr>
              <w:pStyle w:val="34"/>
              <w:keepNext w:val="0"/>
              <w:keepLines w:val="0"/>
              <w:kinsoku/>
              <w:wordWrap/>
              <w:overflowPunct/>
              <w:topLinePunct w:val="0"/>
              <w:autoSpaceDE/>
              <w:autoSpaceDN/>
              <w:bidi w:val="0"/>
              <w:spacing w:line="240" w:lineRule="auto"/>
              <w:jc w:val="center"/>
              <w:outlineLvl w:val="9"/>
              <w:rPr>
                <w:rFonts w:hint="eastAsia" w:ascii="宋体" w:hAnsi="宋体" w:eastAsia="宋体" w:cs="宋体"/>
                <w:bCs/>
                <w:kern w:val="2"/>
                <w:sz w:val="22"/>
                <w:szCs w:val="21"/>
                <w:lang w:val="en-US" w:eastAsia="zh-CN" w:bidi="ar-SA"/>
              </w:rPr>
            </w:pPr>
            <w:r>
              <w:rPr>
                <w:rFonts w:hint="eastAsia" w:ascii="宋体" w:hAnsi="宋体" w:cs="宋体"/>
                <w:bCs/>
                <w:sz w:val="22"/>
                <w:szCs w:val="21"/>
                <w:lang w:val="en-US" w:eastAsia="zh-CN"/>
              </w:rPr>
              <w:t>4</w:t>
            </w:r>
            <w:r>
              <w:rPr>
                <w:rFonts w:hint="eastAsia" w:ascii="宋体" w:hAnsi="宋体" w:eastAsia="宋体" w:cs="宋体"/>
                <w:bCs/>
                <w:sz w:val="22"/>
                <w:szCs w:val="21"/>
              </w:rPr>
              <w:t>分</w:t>
            </w:r>
          </w:p>
        </w:tc>
        <w:tc>
          <w:tcPr>
            <w:tcW w:w="66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D40711">
            <w:pPr>
              <w:pStyle w:val="34"/>
              <w:keepNext w:val="0"/>
              <w:keepLines w:val="0"/>
              <w:kinsoku/>
              <w:wordWrap/>
              <w:overflowPunct/>
              <w:topLinePunct w:val="0"/>
              <w:autoSpaceDE/>
              <w:autoSpaceDN/>
              <w:bidi w:val="0"/>
              <w:spacing w:line="240" w:lineRule="auto"/>
              <w:jc w:val="left"/>
              <w:outlineLvl w:val="9"/>
              <w:rPr>
                <w:rFonts w:hint="eastAsia" w:ascii="宋体" w:hAnsi="宋体" w:eastAsia="宋体" w:cs="宋体"/>
                <w:sz w:val="22"/>
                <w:szCs w:val="21"/>
                <w:lang w:val="en-US" w:eastAsia="zh-CN"/>
              </w:rPr>
            </w:pPr>
            <w:r>
              <w:rPr>
                <w:rFonts w:hint="eastAsia" w:ascii="宋体" w:hAnsi="宋体" w:eastAsia="宋体" w:cs="宋体"/>
                <w:sz w:val="22"/>
                <w:szCs w:val="21"/>
                <w:lang w:val="en-US" w:eastAsia="zh-CN"/>
              </w:rPr>
              <w:t>项目负责人具备建筑专业高级及以上职称 (高级工程师)加</w:t>
            </w:r>
            <w:r>
              <w:rPr>
                <w:rFonts w:hint="eastAsia" w:ascii="宋体" w:hAnsi="宋体" w:cs="宋体"/>
                <w:sz w:val="22"/>
                <w:szCs w:val="21"/>
                <w:lang w:val="en-US" w:eastAsia="zh-CN"/>
              </w:rPr>
              <w:t>3</w:t>
            </w:r>
            <w:r>
              <w:rPr>
                <w:rFonts w:hint="eastAsia" w:ascii="宋体" w:hAnsi="宋体" w:eastAsia="宋体" w:cs="宋体"/>
                <w:sz w:val="22"/>
                <w:szCs w:val="21"/>
                <w:lang w:val="en-US" w:eastAsia="zh-CN"/>
              </w:rPr>
              <w:t>分</w:t>
            </w:r>
            <w:r>
              <w:rPr>
                <w:rFonts w:hint="eastAsia" w:ascii="宋体" w:hAnsi="宋体" w:cs="宋体"/>
                <w:sz w:val="22"/>
                <w:szCs w:val="21"/>
                <w:lang w:val="en-US" w:eastAsia="zh-CN"/>
              </w:rPr>
              <w:t>，</w:t>
            </w:r>
            <w:r>
              <w:rPr>
                <w:rFonts w:hint="eastAsia" w:ascii="宋体" w:hAnsi="宋体" w:eastAsia="宋体" w:cs="宋体"/>
                <w:sz w:val="22"/>
                <w:szCs w:val="21"/>
                <w:lang w:val="en-US" w:eastAsia="zh-CN"/>
              </w:rPr>
              <w:t>具备建筑专业</w:t>
            </w:r>
            <w:r>
              <w:rPr>
                <w:rFonts w:hint="eastAsia" w:ascii="宋体" w:hAnsi="宋体" w:cs="宋体"/>
                <w:sz w:val="22"/>
                <w:szCs w:val="21"/>
                <w:lang w:val="en-US" w:eastAsia="zh-CN"/>
              </w:rPr>
              <w:t>中级职称 (工程师)加2分，</w:t>
            </w:r>
            <w:r>
              <w:rPr>
                <w:rFonts w:hint="eastAsia" w:ascii="宋体" w:hAnsi="宋体" w:eastAsia="宋体" w:cs="宋体"/>
                <w:sz w:val="22"/>
                <w:szCs w:val="21"/>
                <w:lang w:val="en-US" w:eastAsia="zh-CN"/>
              </w:rPr>
              <w:t>具备建筑专业</w:t>
            </w:r>
            <w:r>
              <w:rPr>
                <w:rFonts w:hint="eastAsia" w:ascii="宋体" w:hAnsi="宋体" w:cs="宋体"/>
                <w:sz w:val="22"/>
                <w:szCs w:val="21"/>
                <w:lang w:val="en-US" w:eastAsia="zh-CN"/>
              </w:rPr>
              <w:t>初级职称 (助理工程师)加1分</w:t>
            </w:r>
            <w:r>
              <w:rPr>
                <w:rFonts w:hint="eastAsia" w:ascii="宋体" w:hAnsi="宋体" w:eastAsia="宋体" w:cs="宋体"/>
                <w:sz w:val="22"/>
                <w:szCs w:val="21"/>
                <w:lang w:val="en-US" w:eastAsia="zh-CN"/>
              </w:rPr>
              <w:t>。</w:t>
            </w:r>
          </w:p>
          <w:p w14:paraId="41FFB4D7">
            <w:pPr>
              <w:pStyle w:val="34"/>
              <w:keepNext w:val="0"/>
              <w:keepLines w:val="0"/>
              <w:kinsoku/>
              <w:wordWrap/>
              <w:overflowPunct/>
              <w:topLinePunct w:val="0"/>
              <w:autoSpaceDE/>
              <w:autoSpaceDN/>
              <w:bidi w:val="0"/>
              <w:spacing w:line="240" w:lineRule="auto"/>
              <w:jc w:val="left"/>
              <w:outlineLvl w:val="9"/>
              <w:rPr>
                <w:rFonts w:hint="eastAsia" w:ascii="宋体" w:hAnsi="宋体" w:eastAsia="宋体" w:cs="宋体"/>
                <w:kern w:val="2"/>
                <w:sz w:val="22"/>
                <w:szCs w:val="21"/>
                <w:lang w:val="en-US" w:eastAsia="zh-CN" w:bidi="ar-SA"/>
              </w:rPr>
            </w:pPr>
            <w:r>
              <w:rPr>
                <w:rFonts w:hint="eastAsia" w:ascii="宋体" w:hAnsi="宋体" w:eastAsia="宋体" w:cs="宋体"/>
                <w:sz w:val="22"/>
                <w:szCs w:val="21"/>
                <w:lang w:val="en-US" w:eastAsia="zh-CN"/>
              </w:rPr>
              <w:t>近三年内（自202</w:t>
            </w:r>
            <w:r>
              <w:rPr>
                <w:rFonts w:hint="eastAsia" w:ascii="宋体" w:hAnsi="宋体" w:cs="宋体"/>
                <w:sz w:val="22"/>
                <w:szCs w:val="21"/>
                <w:lang w:val="en-US" w:eastAsia="zh-CN"/>
              </w:rPr>
              <w:t>2</w:t>
            </w:r>
            <w:r>
              <w:rPr>
                <w:rFonts w:hint="eastAsia" w:ascii="宋体" w:hAnsi="宋体" w:eastAsia="宋体" w:cs="宋体"/>
                <w:sz w:val="22"/>
                <w:szCs w:val="21"/>
                <w:lang w:val="en-US" w:eastAsia="zh-CN"/>
              </w:rPr>
              <w:t>年1月至今）项目负责人主持过类似业绩，经评审认定每提供一项有效业绩加</w:t>
            </w:r>
            <w:r>
              <w:rPr>
                <w:rFonts w:hint="eastAsia" w:ascii="宋体" w:hAnsi="宋体" w:cs="宋体"/>
                <w:sz w:val="22"/>
                <w:szCs w:val="21"/>
                <w:lang w:val="en-US" w:eastAsia="zh-CN"/>
              </w:rPr>
              <w:t>0.5</w:t>
            </w:r>
            <w:r>
              <w:rPr>
                <w:rFonts w:hint="eastAsia" w:ascii="宋体" w:hAnsi="宋体" w:eastAsia="宋体" w:cs="宋体"/>
                <w:sz w:val="22"/>
                <w:szCs w:val="21"/>
                <w:lang w:val="en-US" w:eastAsia="zh-CN"/>
              </w:rPr>
              <w:t>分，本项最多加</w:t>
            </w:r>
            <w:r>
              <w:rPr>
                <w:rFonts w:hint="eastAsia" w:ascii="宋体" w:hAnsi="宋体" w:cs="宋体"/>
                <w:sz w:val="22"/>
                <w:szCs w:val="21"/>
                <w:lang w:val="en-US" w:eastAsia="zh-CN"/>
              </w:rPr>
              <w:t>1</w:t>
            </w:r>
            <w:r>
              <w:rPr>
                <w:rFonts w:hint="eastAsia" w:ascii="宋体" w:hAnsi="宋体" w:eastAsia="宋体" w:cs="宋体"/>
                <w:sz w:val="22"/>
                <w:szCs w:val="21"/>
                <w:lang w:val="en-US" w:eastAsia="zh-CN"/>
              </w:rPr>
              <w:t>分；</w:t>
            </w:r>
            <w:r>
              <w:rPr>
                <w:rFonts w:hint="eastAsia" w:ascii="宋体" w:hAnsi="宋体" w:eastAsia="宋体" w:cs="宋体"/>
                <w:bCs/>
                <w:sz w:val="22"/>
                <w:szCs w:val="21"/>
              </w:rPr>
              <w:t>（类似业绩以</w:t>
            </w:r>
            <w:r>
              <w:rPr>
                <w:rFonts w:hint="eastAsia" w:ascii="宋体" w:hAnsi="宋体" w:eastAsia="宋体" w:cs="宋体"/>
                <w:bCs/>
                <w:sz w:val="22"/>
                <w:szCs w:val="21"/>
                <w:lang w:eastAsia="zh-CN"/>
              </w:rPr>
              <w:t>竣工验收</w:t>
            </w:r>
            <w:r>
              <w:rPr>
                <w:rFonts w:hint="eastAsia" w:ascii="宋体" w:hAnsi="宋体" w:eastAsia="宋体" w:cs="宋体"/>
                <w:bCs/>
                <w:sz w:val="22"/>
                <w:szCs w:val="21"/>
              </w:rPr>
              <w:t>时间为准，需提供施工合同、中标通知书</w:t>
            </w:r>
            <w:r>
              <w:rPr>
                <w:rFonts w:hint="eastAsia" w:ascii="宋体" w:hAnsi="宋体" w:eastAsia="宋体" w:cs="宋体"/>
                <w:bCs/>
                <w:sz w:val="22"/>
                <w:szCs w:val="21"/>
                <w:lang w:eastAsia="zh-CN"/>
              </w:rPr>
              <w:t>及竣工验收证明</w:t>
            </w:r>
            <w:r>
              <w:rPr>
                <w:rFonts w:hint="eastAsia" w:ascii="宋体" w:hAnsi="宋体" w:eastAsia="宋体" w:cs="宋体"/>
                <w:bCs/>
                <w:sz w:val="22"/>
                <w:szCs w:val="21"/>
                <w:lang w:val="en-US" w:eastAsia="zh-CN"/>
              </w:rPr>
              <w:t>加盖公章</w:t>
            </w:r>
            <w:r>
              <w:rPr>
                <w:rFonts w:hint="eastAsia" w:ascii="宋体" w:hAnsi="宋体" w:cs="宋体"/>
                <w:bCs/>
                <w:sz w:val="22"/>
                <w:szCs w:val="21"/>
                <w:lang w:val="en-US" w:eastAsia="zh-CN"/>
              </w:rPr>
              <w:t>）</w:t>
            </w:r>
            <w:r>
              <w:rPr>
                <w:rFonts w:hint="eastAsia" w:ascii="宋体" w:hAnsi="宋体" w:eastAsia="宋体" w:cs="宋体"/>
                <w:bCs/>
                <w:sz w:val="22"/>
                <w:szCs w:val="21"/>
                <w:lang w:val="en-US" w:eastAsia="zh-CN"/>
              </w:rPr>
              <w:t>，</w:t>
            </w:r>
            <w:r>
              <w:rPr>
                <w:rFonts w:hint="eastAsia" w:ascii="宋体" w:hAnsi="宋体" w:eastAsia="宋体" w:cs="宋体"/>
                <w:sz w:val="22"/>
                <w:szCs w:val="21"/>
                <w:lang w:val="en-US" w:eastAsia="zh-CN"/>
              </w:rPr>
              <w:t>无有效业绩或无证明材料不得分。</w:t>
            </w:r>
          </w:p>
        </w:tc>
      </w:tr>
      <w:tr w14:paraId="5B8B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trPr>
        <w:tc>
          <w:tcPr>
            <w:tcW w:w="833" w:type="dxa"/>
            <w:vMerge w:val="restart"/>
            <w:noWrap w:val="0"/>
            <w:vAlign w:val="center"/>
          </w:tcPr>
          <w:p w14:paraId="3B7DE68A">
            <w:pPr>
              <w:keepNext w:val="0"/>
              <w:keepLines w:val="0"/>
              <w:kinsoku/>
              <w:wordWrap/>
              <w:overflowPunct/>
              <w:topLinePunct w:val="0"/>
              <w:autoSpaceDE/>
              <w:autoSpaceDN/>
              <w:bidi w:val="0"/>
              <w:spacing w:after="120" w:afterLines="50" w:line="360" w:lineRule="auto"/>
              <w:jc w:val="center"/>
              <w:outlineLvl w:val="9"/>
              <w:rPr>
                <w:rFonts w:hint="eastAsia" w:ascii="宋体" w:hAnsi="宋体" w:eastAsia="宋体" w:cs="宋体"/>
                <w:bCs/>
                <w:sz w:val="22"/>
                <w:szCs w:val="22"/>
              </w:rPr>
            </w:pPr>
            <w:r>
              <w:rPr>
                <w:rFonts w:hint="eastAsia" w:ascii="宋体" w:hAnsi="宋体" w:eastAsia="宋体" w:cs="宋体"/>
                <w:bCs/>
                <w:sz w:val="22"/>
                <w:szCs w:val="22"/>
              </w:rPr>
              <w:t>技术部分（</w:t>
            </w:r>
            <w:r>
              <w:rPr>
                <w:rFonts w:hint="eastAsia" w:ascii="宋体" w:hAnsi="宋体" w:cs="宋体"/>
                <w:bCs/>
                <w:sz w:val="22"/>
                <w:szCs w:val="22"/>
                <w:lang w:val="en-US" w:eastAsia="zh-CN"/>
              </w:rPr>
              <w:t>60</w:t>
            </w:r>
            <w:r>
              <w:rPr>
                <w:rFonts w:hint="eastAsia" w:ascii="宋体" w:hAnsi="宋体" w:eastAsia="宋体" w:cs="宋体"/>
                <w:bCs/>
                <w:sz w:val="22"/>
                <w:szCs w:val="22"/>
              </w:rPr>
              <w:t>分）</w:t>
            </w:r>
          </w:p>
        </w:tc>
        <w:tc>
          <w:tcPr>
            <w:tcW w:w="10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1D3D7E">
            <w:pPr>
              <w:kinsoku w:val="0"/>
              <w:overflowPunct w:val="0"/>
              <w:spacing w:line="240" w:lineRule="auto"/>
              <w:jc w:val="center"/>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工程概况及特点</w:t>
            </w:r>
          </w:p>
        </w:tc>
        <w:tc>
          <w:tcPr>
            <w:tcW w:w="5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CA5CDD">
            <w:pPr>
              <w:kinsoku w:val="0"/>
              <w:overflowPunct w:val="0"/>
              <w:spacing w:line="240" w:lineRule="auto"/>
              <w:jc w:val="center"/>
              <w:outlineLvl w:val="9"/>
              <w:rPr>
                <w:rFonts w:hint="eastAsia" w:ascii="宋体" w:hAnsi="宋体" w:eastAsia="宋体" w:cs="宋体"/>
                <w:kern w:val="2"/>
                <w:sz w:val="22"/>
                <w:szCs w:val="21"/>
                <w:lang w:val="en-US" w:eastAsia="zh-CN" w:bidi="ar-SA"/>
              </w:rPr>
            </w:pPr>
            <w:r>
              <w:rPr>
                <w:rFonts w:hint="eastAsia" w:ascii="宋体" w:hAnsi="宋体" w:cs="宋体"/>
                <w:kern w:val="2"/>
                <w:sz w:val="22"/>
                <w:szCs w:val="21"/>
                <w:lang w:val="en-US" w:eastAsia="zh-CN" w:bidi="ar-SA"/>
              </w:rPr>
              <w:t>6</w:t>
            </w:r>
            <w:r>
              <w:rPr>
                <w:rFonts w:hint="eastAsia" w:ascii="宋体" w:hAnsi="宋体" w:eastAsia="宋体" w:cs="宋体"/>
                <w:kern w:val="2"/>
                <w:sz w:val="22"/>
                <w:szCs w:val="21"/>
                <w:lang w:val="en-US" w:eastAsia="zh-CN" w:bidi="ar-SA"/>
              </w:rPr>
              <w:t>分</w:t>
            </w:r>
          </w:p>
        </w:tc>
        <w:tc>
          <w:tcPr>
            <w:tcW w:w="66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AFEB08">
            <w:pPr>
              <w:kinsoku w:val="0"/>
              <w:overflowPunct w:val="0"/>
              <w:spacing w:line="240" w:lineRule="auto"/>
              <w:jc w:val="left"/>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工程概况及特点叙述正确，符合项目实际情况的得</w:t>
            </w:r>
            <w:r>
              <w:rPr>
                <w:rFonts w:hint="eastAsia" w:ascii="宋体" w:hAnsi="宋体" w:cs="宋体"/>
                <w:kern w:val="2"/>
                <w:sz w:val="22"/>
                <w:szCs w:val="21"/>
                <w:lang w:val="en-US" w:eastAsia="zh-CN" w:bidi="ar-SA"/>
              </w:rPr>
              <w:t>6</w:t>
            </w:r>
            <w:r>
              <w:rPr>
                <w:rFonts w:hint="eastAsia" w:ascii="宋体" w:hAnsi="宋体" w:eastAsia="宋体" w:cs="宋体"/>
                <w:kern w:val="2"/>
                <w:sz w:val="22"/>
                <w:szCs w:val="21"/>
                <w:lang w:val="en-US" w:eastAsia="zh-CN" w:bidi="ar-SA"/>
              </w:rPr>
              <w:t>分；工程概况及特点叙述存在缺漏、不准确的得</w:t>
            </w:r>
            <w:r>
              <w:rPr>
                <w:rFonts w:hint="eastAsia" w:ascii="宋体" w:hAnsi="宋体" w:cs="宋体"/>
                <w:kern w:val="2"/>
                <w:sz w:val="22"/>
                <w:szCs w:val="21"/>
                <w:lang w:val="en-US" w:eastAsia="zh-CN" w:bidi="ar-SA"/>
              </w:rPr>
              <w:t>3</w:t>
            </w:r>
            <w:r>
              <w:rPr>
                <w:rFonts w:hint="eastAsia" w:ascii="宋体" w:hAnsi="宋体" w:eastAsia="宋体" w:cs="宋体"/>
                <w:kern w:val="2"/>
                <w:sz w:val="22"/>
                <w:szCs w:val="21"/>
                <w:lang w:val="en-US" w:eastAsia="zh-CN" w:bidi="ar-SA"/>
              </w:rPr>
              <w:t>分；工程概括及特点不能符合项目实际情况的不得分。</w:t>
            </w:r>
          </w:p>
        </w:tc>
      </w:tr>
      <w:tr w14:paraId="25EB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trPr>
        <w:tc>
          <w:tcPr>
            <w:tcW w:w="833" w:type="dxa"/>
            <w:vMerge w:val="continue"/>
            <w:noWrap w:val="0"/>
            <w:vAlign w:val="center"/>
          </w:tcPr>
          <w:p w14:paraId="23711CBF">
            <w:pPr>
              <w:pStyle w:val="34"/>
              <w:keepNext w:val="0"/>
              <w:keepLines w:val="0"/>
              <w:kinsoku/>
              <w:wordWrap/>
              <w:overflowPunct/>
              <w:topLinePunct w:val="0"/>
              <w:autoSpaceDE/>
              <w:autoSpaceDN/>
              <w:bidi w:val="0"/>
              <w:spacing w:line="240" w:lineRule="auto"/>
              <w:jc w:val="left"/>
              <w:outlineLvl w:val="9"/>
              <w:rPr>
                <w:sz w:val="22"/>
                <w:szCs w:val="21"/>
              </w:rPr>
            </w:pPr>
          </w:p>
        </w:tc>
        <w:tc>
          <w:tcPr>
            <w:tcW w:w="10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BA7547">
            <w:pPr>
              <w:kinsoku w:val="0"/>
              <w:overflowPunct w:val="0"/>
              <w:spacing w:line="240" w:lineRule="auto"/>
              <w:jc w:val="center"/>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施工方案</w:t>
            </w:r>
          </w:p>
        </w:tc>
        <w:tc>
          <w:tcPr>
            <w:tcW w:w="5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68D407">
            <w:pPr>
              <w:kinsoku w:val="0"/>
              <w:overflowPunct w:val="0"/>
              <w:spacing w:line="240" w:lineRule="auto"/>
              <w:jc w:val="center"/>
              <w:outlineLvl w:val="9"/>
              <w:rPr>
                <w:rFonts w:hint="eastAsia" w:ascii="宋体" w:hAnsi="宋体" w:eastAsia="宋体" w:cs="宋体"/>
                <w:kern w:val="2"/>
                <w:sz w:val="22"/>
                <w:szCs w:val="21"/>
                <w:lang w:val="en-US" w:eastAsia="zh-CN" w:bidi="ar-SA"/>
              </w:rPr>
            </w:pPr>
            <w:r>
              <w:rPr>
                <w:rFonts w:hint="eastAsia" w:ascii="宋体" w:hAnsi="宋体" w:cs="宋体"/>
                <w:kern w:val="2"/>
                <w:sz w:val="22"/>
                <w:szCs w:val="21"/>
                <w:lang w:val="en-US" w:eastAsia="zh-CN" w:bidi="ar-SA"/>
              </w:rPr>
              <w:t>15</w:t>
            </w:r>
            <w:r>
              <w:rPr>
                <w:rFonts w:hint="eastAsia" w:ascii="宋体" w:hAnsi="宋体" w:eastAsia="宋体" w:cs="宋体"/>
                <w:kern w:val="2"/>
                <w:sz w:val="22"/>
                <w:szCs w:val="21"/>
                <w:lang w:val="en-US" w:eastAsia="zh-CN" w:bidi="ar-SA"/>
              </w:rPr>
              <w:t>分</w:t>
            </w:r>
          </w:p>
        </w:tc>
        <w:tc>
          <w:tcPr>
            <w:tcW w:w="66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00B228">
            <w:pPr>
              <w:kinsoku w:val="0"/>
              <w:overflowPunct w:val="0"/>
              <w:spacing w:line="240" w:lineRule="auto"/>
              <w:jc w:val="left"/>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施工方案应能符合工程实际情况，提高生产率、缩短工期、提高质量、降低消耗、减轻劳动强度提高进度提案；施工方法先进、采用新工艺、新技术；执行国家强制性条文；制定了质量通病的防治措施等综合打分。方案完整、可行、准确，完全符合项目实际情况的得</w:t>
            </w:r>
            <w:r>
              <w:rPr>
                <w:rFonts w:hint="eastAsia" w:ascii="宋体" w:hAnsi="宋体" w:cs="宋体"/>
                <w:kern w:val="2"/>
                <w:sz w:val="22"/>
                <w:szCs w:val="21"/>
                <w:lang w:val="en-US" w:eastAsia="zh-CN" w:bidi="ar-SA"/>
              </w:rPr>
              <w:t>15</w:t>
            </w:r>
            <w:r>
              <w:rPr>
                <w:rFonts w:hint="eastAsia" w:ascii="宋体" w:hAnsi="宋体" w:eastAsia="宋体" w:cs="宋体"/>
                <w:kern w:val="2"/>
                <w:sz w:val="22"/>
                <w:szCs w:val="21"/>
                <w:lang w:val="en-US" w:eastAsia="zh-CN" w:bidi="ar-SA"/>
              </w:rPr>
              <w:t>分；每存在一处缺漏或不详实、不准确的扣</w:t>
            </w:r>
            <w:r>
              <w:rPr>
                <w:rFonts w:hint="eastAsia" w:ascii="宋体" w:hAnsi="宋体" w:cs="宋体"/>
                <w:kern w:val="2"/>
                <w:sz w:val="22"/>
                <w:szCs w:val="21"/>
                <w:lang w:val="en-US" w:eastAsia="zh-CN" w:bidi="ar-SA"/>
              </w:rPr>
              <w:t>1</w:t>
            </w:r>
            <w:r>
              <w:rPr>
                <w:rFonts w:hint="eastAsia" w:ascii="宋体" w:hAnsi="宋体" w:eastAsia="宋体" w:cs="宋体"/>
                <w:kern w:val="2"/>
                <w:sz w:val="22"/>
                <w:szCs w:val="21"/>
                <w:lang w:val="en-US" w:eastAsia="zh-CN" w:bidi="ar-SA"/>
              </w:rPr>
              <w:t>分，扣完为止。</w:t>
            </w:r>
          </w:p>
        </w:tc>
      </w:tr>
      <w:tr w14:paraId="47EE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trPr>
        <w:tc>
          <w:tcPr>
            <w:tcW w:w="833" w:type="dxa"/>
            <w:vMerge w:val="continue"/>
            <w:noWrap w:val="0"/>
            <w:vAlign w:val="center"/>
          </w:tcPr>
          <w:p w14:paraId="3A639DBA">
            <w:pPr>
              <w:keepNext w:val="0"/>
              <w:keepLines w:val="0"/>
              <w:kinsoku/>
              <w:wordWrap/>
              <w:overflowPunct/>
              <w:topLinePunct w:val="0"/>
              <w:autoSpaceDE/>
              <w:autoSpaceDN/>
              <w:bidi w:val="0"/>
              <w:spacing w:after="120" w:afterLines="50" w:line="360" w:lineRule="auto"/>
              <w:jc w:val="center"/>
              <w:outlineLvl w:val="9"/>
              <w:rPr>
                <w:rFonts w:hint="eastAsia" w:ascii="宋体" w:hAnsi="宋体" w:eastAsia="宋体" w:cs="宋体"/>
                <w:bCs/>
                <w:sz w:val="22"/>
                <w:szCs w:val="22"/>
              </w:rPr>
            </w:pPr>
          </w:p>
        </w:tc>
        <w:tc>
          <w:tcPr>
            <w:tcW w:w="10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3695E3">
            <w:pPr>
              <w:kinsoku w:val="0"/>
              <w:overflowPunct w:val="0"/>
              <w:spacing w:line="240" w:lineRule="auto"/>
              <w:jc w:val="center"/>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施工准备计划</w:t>
            </w:r>
          </w:p>
        </w:tc>
        <w:tc>
          <w:tcPr>
            <w:tcW w:w="5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76E4B3">
            <w:pPr>
              <w:kinsoku w:val="0"/>
              <w:overflowPunct w:val="0"/>
              <w:spacing w:line="240" w:lineRule="auto"/>
              <w:jc w:val="center"/>
              <w:outlineLvl w:val="9"/>
              <w:rPr>
                <w:rFonts w:hint="eastAsia" w:ascii="宋体" w:hAnsi="宋体" w:eastAsia="宋体" w:cs="宋体"/>
                <w:kern w:val="2"/>
                <w:sz w:val="22"/>
                <w:szCs w:val="21"/>
                <w:lang w:val="en-US" w:eastAsia="zh-CN" w:bidi="ar-SA"/>
              </w:rPr>
            </w:pPr>
            <w:r>
              <w:rPr>
                <w:rFonts w:hint="eastAsia" w:ascii="宋体" w:hAnsi="宋体" w:cs="宋体"/>
                <w:kern w:val="2"/>
                <w:sz w:val="22"/>
                <w:szCs w:val="21"/>
                <w:lang w:val="en-US" w:eastAsia="zh-CN" w:bidi="ar-SA"/>
              </w:rPr>
              <w:t>6</w:t>
            </w:r>
            <w:r>
              <w:rPr>
                <w:rFonts w:hint="eastAsia" w:ascii="宋体" w:hAnsi="宋体" w:eastAsia="宋体" w:cs="宋体"/>
                <w:kern w:val="2"/>
                <w:sz w:val="22"/>
                <w:szCs w:val="21"/>
                <w:lang w:val="en-US" w:eastAsia="zh-CN" w:bidi="ar-SA"/>
              </w:rPr>
              <w:t>分</w:t>
            </w:r>
          </w:p>
        </w:tc>
        <w:tc>
          <w:tcPr>
            <w:tcW w:w="66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A99E54">
            <w:pPr>
              <w:kinsoku w:val="0"/>
              <w:overflowPunct w:val="0"/>
              <w:spacing w:line="240" w:lineRule="auto"/>
              <w:jc w:val="left"/>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施工技术、现场、物资与机械、队伍准备计划应能充分保证工程需要等综合打分。计划内容完整可行、符合项目实际情况的得</w:t>
            </w:r>
            <w:r>
              <w:rPr>
                <w:rFonts w:hint="eastAsia" w:ascii="宋体" w:hAnsi="宋体" w:cs="宋体"/>
                <w:kern w:val="2"/>
                <w:sz w:val="22"/>
                <w:szCs w:val="21"/>
                <w:lang w:val="en-US" w:eastAsia="zh-CN" w:bidi="ar-SA"/>
              </w:rPr>
              <w:t>6</w:t>
            </w:r>
            <w:r>
              <w:rPr>
                <w:rFonts w:hint="eastAsia" w:ascii="宋体" w:hAnsi="宋体" w:eastAsia="宋体" w:cs="宋体"/>
                <w:kern w:val="2"/>
                <w:sz w:val="22"/>
                <w:szCs w:val="21"/>
                <w:lang w:val="en-US" w:eastAsia="zh-CN" w:bidi="ar-SA"/>
              </w:rPr>
              <w:t>分；每存在一处缺漏或不详实的扣2分，扣完为止。</w:t>
            </w:r>
          </w:p>
        </w:tc>
      </w:tr>
      <w:tr w14:paraId="162D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4" w:hRule="atLeast"/>
        </w:trPr>
        <w:tc>
          <w:tcPr>
            <w:tcW w:w="833" w:type="dxa"/>
            <w:vMerge w:val="continue"/>
            <w:noWrap w:val="0"/>
            <w:vAlign w:val="center"/>
          </w:tcPr>
          <w:p w14:paraId="0235CCF0">
            <w:pPr>
              <w:keepNext w:val="0"/>
              <w:keepLines w:val="0"/>
              <w:kinsoku/>
              <w:wordWrap/>
              <w:overflowPunct/>
              <w:topLinePunct w:val="0"/>
              <w:autoSpaceDE/>
              <w:autoSpaceDN/>
              <w:bidi w:val="0"/>
              <w:spacing w:after="120" w:afterLines="50" w:line="360" w:lineRule="auto"/>
              <w:jc w:val="center"/>
              <w:outlineLvl w:val="9"/>
              <w:rPr>
                <w:rFonts w:hint="eastAsia" w:ascii="宋体" w:hAnsi="宋体" w:eastAsia="宋体" w:cs="宋体"/>
                <w:bCs/>
                <w:sz w:val="22"/>
                <w:szCs w:val="22"/>
              </w:rPr>
            </w:pPr>
          </w:p>
        </w:tc>
        <w:tc>
          <w:tcPr>
            <w:tcW w:w="10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157A91">
            <w:pPr>
              <w:kinsoku w:val="0"/>
              <w:overflowPunct w:val="0"/>
              <w:spacing w:line="240" w:lineRule="auto"/>
              <w:jc w:val="center"/>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施工进度计划</w:t>
            </w:r>
          </w:p>
        </w:tc>
        <w:tc>
          <w:tcPr>
            <w:tcW w:w="555"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7515157">
            <w:pPr>
              <w:kinsoku w:val="0"/>
              <w:overflowPunct w:val="0"/>
              <w:spacing w:line="240" w:lineRule="auto"/>
              <w:jc w:val="center"/>
              <w:outlineLvl w:val="9"/>
              <w:rPr>
                <w:rFonts w:hint="eastAsia" w:ascii="宋体" w:hAnsi="宋体" w:eastAsia="宋体" w:cs="宋体"/>
                <w:kern w:val="2"/>
                <w:sz w:val="22"/>
                <w:szCs w:val="21"/>
                <w:lang w:val="en-US" w:eastAsia="zh-CN" w:bidi="ar-SA"/>
              </w:rPr>
            </w:pPr>
            <w:r>
              <w:rPr>
                <w:rFonts w:hint="eastAsia" w:ascii="宋体" w:hAnsi="宋体" w:cs="宋体"/>
                <w:kern w:val="2"/>
                <w:sz w:val="22"/>
                <w:szCs w:val="21"/>
                <w:lang w:val="en-US" w:eastAsia="zh-CN" w:bidi="ar-SA"/>
              </w:rPr>
              <w:t>6</w:t>
            </w:r>
            <w:r>
              <w:rPr>
                <w:rFonts w:hint="eastAsia" w:ascii="宋体" w:hAnsi="宋体" w:eastAsia="宋体" w:cs="宋体"/>
                <w:kern w:val="2"/>
                <w:sz w:val="22"/>
                <w:szCs w:val="21"/>
                <w:lang w:val="en-US" w:eastAsia="zh-CN" w:bidi="ar-SA"/>
              </w:rPr>
              <w:t>分</w:t>
            </w:r>
          </w:p>
        </w:tc>
        <w:tc>
          <w:tcPr>
            <w:tcW w:w="6606"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A57663F">
            <w:pPr>
              <w:kinsoku w:val="0"/>
              <w:overflowPunct w:val="0"/>
              <w:spacing w:line="240" w:lineRule="auto"/>
              <w:jc w:val="left"/>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进度计划应在空间和时间上做合理的统筹安排且符合施工的科学规律等综合打分。计划完整、科学、符合项目实际情况的得</w:t>
            </w:r>
            <w:r>
              <w:rPr>
                <w:rFonts w:hint="eastAsia" w:ascii="宋体" w:hAnsi="宋体" w:cs="宋体"/>
                <w:kern w:val="2"/>
                <w:sz w:val="22"/>
                <w:szCs w:val="21"/>
                <w:lang w:val="en-US" w:eastAsia="zh-CN" w:bidi="ar-SA"/>
              </w:rPr>
              <w:t>6</w:t>
            </w:r>
            <w:r>
              <w:rPr>
                <w:rFonts w:hint="eastAsia" w:ascii="宋体" w:hAnsi="宋体" w:eastAsia="宋体" w:cs="宋体"/>
                <w:kern w:val="2"/>
                <w:sz w:val="22"/>
                <w:szCs w:val="21"/>
                <w:lang w:val="en-US" w:eastAsia="zh-CN" w:bidi="ar-SA"/>
              </w:rPr>
              <w:t>分；计划内容完整但空间及时间安排不合理的得2分；计划存在缺漏，不科学、不能符合项目实际情况的得0分。</w:t>
            </w:r>
          </w:p>
        </w:tc>
      </w:tr>
      <w:tr w14:paraId="09C5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6" w:hRule="atLeast"/>
        </w:trPr>
        <w:tc>
          <w:tcPr>
            <w:tcW w:w="833" w:type="dxa"/>
            <w:vMerge w:val="continue"/>
            <w:noWrap w:val="0"/>
            <w:vAlign w:val="center"/>
          </w:tcPr>
          <w:p w14:paraId="3A2B4DC1">
            <w:pPr>
              <w:keepNext w:val="0"/>
              <w:keepLines w:val="0"/>
              <w:kinsoku/>
              <w:wordWrap/>
              <w:overflowPunct/>
              <w:topLinePunct w:val="0"/>
              <w:autoSpaceDE/>
              <w:autoSpaceDN/>
              <w:bidi w:val="0"/>
              <w:spacing w:after="120" w:afterLines="50" w:line="360" w:lineRule="auto"/>
              <w:jc w:val="center"/>
              <w:outlineLvl w:val="9"/>
              <w:rPr>
                <w:rFonts w:hint="eastAsia" w:ascii="宋体" w:hAnsi="宋体" w:eastAsia="宋体" w:cs="宋体"/>
                <w:bCs/>
                <w:sz w:val="22"/>
                <w:szCs w:val="22"/>
              </w:rPr>
            </w:pPr>
          </w:p>
        </w:tc>
        <w:tc>
          <w:tcPr>
            <w:tcW w:w="10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585B67">
            <w:pPr>
              <w:kinsoku w:val="0"/>
              <w:overflowPunct w:val="0"/>
              <w:spacing w:line="240" w:lineRule="auto"/>
              <w:jc w:val="center"/>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现场文明施工</w:t>
            </w:r>
          </w:p>
        </w:tc>
        <w:tc>
          <w:tcPr>
            <w:tcW w:w="5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7EB8E5">
            <w:pPr>
              <w:kinsoku w:val="0"/>
              <w:overflowPunct w:val="0"/>
              <w:spacing w:line="240" w:lineRule="auto"/>
              <w:jc w:val="center"/>
              <w:outlineLvl w:val="9"/>
              <w:rPr>
                <w:rFonts w:hint="eastAsia" w:ascii="宋体" w:hAnsi="宋体" w:eastAsia="宋体" w:cs="宋体"/>
                <w:kern w:val="2"/>
                <w:sz w:val="22"/>
                <w:szCs w:val="21"/>
                <w:lang w:val="en-US" w:eastAsia="zh-CN" w:bidi="ar-SA"/>
              </w:rPr>
            </w:pPr>
            <w:r>
              <w:rPr>
                <w:rFonts w:hint="eastAsia" w:ascii="宋体" w:hAnsi="宋体" w:cs="宋体"/>
                <w:kern w:val="2"/>
                <w:sz w:val="22"/>
                <w:szCs w:val="21"/>
                <w:lang w:val="en-US" w:eastAsia="zh-CN" w:bidi="ar-SA"/>
              </w:rPr>
              <w:t>5</w:t>
            </w:r>
            <w:r>
              <w:rPr>
                <w:rFonts w:hint="eastAsia" w:ascii="宋体" w:hAnsi="宋体" w:eastAsia="宋体" w:cs="宋体"/>
                <w:kern w:val="2"/>
                <w:sz w:val="22"/>
                <w:szCs w:val="21"/>
                <w:lang w:val="en-US" w:eastAsia="zh-CN" w:bidi="ar-SA"/>
              </w:rPr>
              <w:t>分</w:t>
            </w:r>
          </w:p>
        </w:tc>
        <w:tc>
          <w:tcPr>
            <w:tcW w:w="6606"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A16ED1">
            <w:pPr>
              <w:kinsoku w:val="0"/>
              <w:overflowPunct w:val="0"/>
              <w:spacing w:line="240" w:lineRule="auto"/>
              <w:jc w:val="left"/>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措施应符合工程实际情况，切实可行，提供措施及承诺的得</w:t>
            </w:r>
            <w:r>
              <w:rPr>
                <w:rFonts w:hint="eastAsia" w:ascii="宋体" w:hAnsi="宋体" w:cs="宋体"/>
                <w:kern w:val="2"/>
                <w:sz w:val="22"/>
                <w:szCs w:val="21"/>
                <w:lang w:val="en-US" w:eastAsia="zh-CN" w:bidi="ar-SA"/>
              </w:rPr>
              <w:t>5</w:t>
            </w:r>
            <w:r>
              <w:rPr>
                <w:rFonts w:hint="eastAsia" w:ascii="宋体" w:hAnsi="宋体" w:eastAsia="宋体" w:cs="宋体"/>
                <w:kern w:val="2"/>
                <w:sz w:val="22"/>
                <w:szCs w:val="21"/>
                <w:lang w:val="en-US" w:eastAsia="zh-CN" w:bidi="ar-SA"/>
              </w:rPr>
              <w:t>分，未提供不得分。</w:t>
            </w:r>
          </w:p>
        </w:tc>
      </w:tr>
      <w:tr w14:paraId="1684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2" w:hRule="atLeast"/>
        </w:trPr>
        <w:tc>
          <w:tcPr>
            <w:tcW w:w="833" w:type="dxa"/>
            <w:vMerge w:val="continue"/>
            <w:noWrap w:val="0"/>
            <w:vAlign w:val="center"/>
          </w:tcPr>
          <w:p w14:paraId="41C4F6C2">
            <w:pPr>
              <w:keepNext w:val="0"/>
              <w:keepLines w:val="0"/>
              <w:kinsoku/>
              <w:wordWrap/>
              <w:overflowPunct/>
              <w:topLinePunct w:val="0"/>
              <w:autoSpaceDE/>
              <w:autoSpaceDN/>
              <w:bidi w:val="0"/>
              <w:spacing w:after="120" w:afterLines="50" w:line="360" w:lineRule="auto"/>
              <w:jc w:val="center"/>
              <w:outlineLvl w:val="9"/>
              <w:rPr>
                <w:rFonts w:hint="eastAsia" w:ascii="宋体" w:hAnsi="宋体" w:eastAsia="宋体" w:cs="宋体"/>
                <w:bCs/>
                <w:sz w:val="22"/>
                <w:szCs w:val="22"/>
              </w:rPr>
            </w:pPr>
          </w:p>
        </w:tc>
        <w:tc>
          <w:tcPr>
            <w:tcW w:w="10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43F348">
            <w:pPr>
              <w:kinsoku w:val="0"/>
              <w:overflowPunct w:val="0"/>
              <w:spacing w:line="240" w:lineRule="auto"/>
              <w:jc w:val="center"/>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劳动力需用量计划</w:t>
            </w:r>
          </w:p>
        </w:tc>
        <w:tc>
          <w:tcPr>
            <w:tcW w:w="5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FF0D8C">
            <w:pPr>
              <w:kinsoku w:val="0"/>
              <w:overflowPunct w:val="0"/>
              <w:spacing w:line="240" w:lineRule="auto"/>
              <w:jc w:val="center"/>
              <w:outlineLvl w:val="9"/>
              <w:rPr>
                <w:rFonts w:hint="eastAsia" w:ascii="宋体" w:hAnsi="宋体" w:eastAsia="宋体" w:cs="宋体"/>
                <w:kern w:val="2"/>
                <w:sz w:val="22"/>
                <w:szCs w:val="21"/>
                <w:lang w:val="en-US" w:eastAsia="zh-CN" w:bidi="ar-SA"/>
              </w:rPr>
            </w:pPr>
            <w:r>
              <w:rPr>
                <w:rFonts w:hint="eastAsia" w:ascii="宋体" w:hAnsi="宋体" w:cs="宋体"/>
                <w:kern w:val="2"/>
                <w:sz w:val="22"/>
                <w:szCs w:val="21"/>
                <w:lang w:val="en-US" w:eastAsia="zh-CN" w:bidi="ar-SA"/>
              </w:rPr>
              <w:t>6</w:t>
            </w:r>
            <w:r>
              <w:rPr>
                <w:rFonts w:hint="eastAsia" w:ascii="宋体" w:hAnsi="宋体" w:eastAsia="宋体" w:cs="宋体"/>
                <w:kern w:val="2"/>
                <w:sz w:val="22"/>
                <w:szCs w:val="21"/>
                <w:lang w:val="en-US" w:eastAsia="zh-CN" w:bidi="ar-SA"/>
              </w:rPr>
              <w:t>分</w:t>
            </w:r>
          </w:p>
        </w:tc>
        <w:tc>
          <w:tcPr>
            <w:tcW w:w="66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299A82">
            <w:pPr>
              <w:kinsoku w:val="0"/>
              <w:overflowPunct w:val="0"/>
              <w:spacing w:line="240" w:lineRule="auto"/>
              <w:jc w:val="left"/>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劳动力需用量计划应是根据工程进度计划的安排计算出的，并与工程进度计划相一致。提供劳动力需用量计划得</w:t>
            </w:r>
            <w:r>
              <w:rPr>
                <w:rFonts w:hint="eastAsia" w:ascii="宋体" w:hAnsi="宋体" w:cs="宋体"/>
                <w:kern w:val="2"/>
                <w:sz w:val="22"/>
                <w:szCs w:val="21"/>
                <w:lang w:val="en-US" w:eastAsia="zh-CN" w:bidi="ar-SA"/>
              </w:rPr>
              <w:t>6</w:t>
            </w:r>
            <w:r>
              <w:rPr>
                <w:rFonts w:hint="eastAsia" w:ascii="宋体" w:hAnsi="宋体" w:eastAsia="宋体" w:cs="宋体"/>
                <w:kern w:val="2"/>
                <w:sz w:val="22"/>
                <w:szCs w:val="21"/>
                <w:lang w:val="en-US" w:eastAsia="zh-CN" w:bidi="ar-SA"/>
              </w:rPr>
              <w:t>分，每存在一处缺漏或不详实的扣2分，扣完为止。</w:t>
            </w:r>
          </w:p>
        </w:tc>
      </w:tr>
      <w:tr w14:paraId="1A19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1" w:hRule="atLeast"/>
        </w:trPr>
        <w:tc>
          <w:tcPr>
            <w:tcW w:w="833" w:type="dxa"/>
            <w:vMerge w:val="continue"/>
            <w:noWrap w:val="0"/>
            <w:vAlign w:val="center"/>
          </w:tcPr>
          <w:p w14:paraId="51FEE41F">
            <w:pPr>
              <w:keepNext w:val="0"/>
              <w:keepLines w:val="0"/>
              <w:kinsoku/>
              <w:wordWrap/>
              <w:overflowPunct/>
              <w:topLinePunct w:val="0"/>
              <w:autoSpaceDE/>
              <w:autoSpaceDN/>
              <w:bidi w:val="0"/>
              <w:spacing w:after="120" w:afterLines="50" w:line="360" w:lineRule="auto"/>
              <w:jc w:val="center"/>
              <w:outlineLvl w:val="9"/>
              <w:rPr>
                <w:rFonts w:hint="eastAsia" w:ascii="宋体" w:hAnsi="宋体" w:eastAsia="宋体" w:cs="宋体"/>
                <w:bCs/>
                <w:sz w:val="22"/>
                <w:szCs w:val="22"/>
              </w:rPr>
            </w:pPr>
          </w:p>
        </w:tc>
        <w:tc>
          <w:tcPr>
            <w:tcW w:w="10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B909B7">
            <w:pPr>
              <w:kinsoku w:val="0"/>
              <w:overflowPunct w:val="0"/>
              <w:spacing w:line="240" w:lineRule="auto"/>
              <w:jc w:val="center"/>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质量、进度、安全保证措施和体系</w:t>
            </w:r>
          </w:p>
        </w:tc>
        <w:tc>
          <w:tcPr>
            <w:tcW w:w="5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DF423F">
            <w:pPr>
              <w:kinsoku w:val="0"/>
              <w:overflowPunct w:val="0"/>
              <w:spacing w:line="240" w:lineRule="auto"/>
              <w:jc w:val="center"/>
              <w:outlineLvl w:val="9"/>
              <w:rPr>
                <w:rFonts w:hint="eastAsia" w:ascii="宋体" w:hAnsi="宋体" w:eastAsia="宋体" w:cs="宋体"/>
                <w:kern w:val="2"/>
                <w:sz w:val="22"/>
                <w:szCs w:val="21"/>
                <w:lang w:val="en-US" w:eastAsia="zh-CN" w:bidi="ar-SA"/>
              </w:rPr>
            </w:pPr>
            <w:r>
              <w:rPr>
                <w:rFonts w:hint="eastAsia" w:ascii="宋体" w:hAnsi="宋体" w:cs="宋体"/>
                <w:kern w:val="2"/>
                <w:sz w:val="22"/>
                <w:szCs w:val="21"/>
                <w:lang w:val="en-US" w:eastAsia="zh-CN" w:bidi="ar-SA"/>
              </w:rPr>
              <w:t>6</w:t>
            </w:r>
            <w:r>
              <w:rPr>
                <w:rFonts w:hint="eastAsia" w:ascii="宋体" w:hAnsi="宋体" w:eastAsia="宋体" w:cs="宋体"/>
                <w:kern w:val="2"/>
                <w:sz w:val="22"/>
                <w:szCs w:val="21"/>
                <w:lang w:val="en-US" w:eastAsia="zh-CN" w:bidi="ar-SA"/>
              </w:rPr>
              <w:t>分</w:t>
            </w:r>
          </w:p>
        </w:tc>
        <w:tc>
          <w:tcPr>
            <w:tcW w:w="66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84FFCE">
            <w:pPr>
              <w:kinsoku w:val="0"/>
              <w:overflowPunct w:val="0"/>
              <w:spacing w:line="240" w:lineRule="auto"/>
              <w:jc w:val="left"/>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工程质量、进度、安全保证措施完整、合理、应符合科学的施工规律、国家规定的强制性标准并有针对性，同时要符合项目实际情况，切实可行得</w:t>
            </w:r>
            <w:r>
              <w:rPr>
                <w:rFonts w:hint="eastAsia" w:ascii="宋体" w:hAnsi="宋体" w:cs="宋体"/>
                <w:kern w:val="2"/>
                <w:sz w:val="22"/>
                <w:szCs w:val="21"/>
                <w:lang w:val="en-US" w:eastAsia="zh-CN" w:bidi="ar-SA"/>
              </w:rPr>
              <w:t>6</w:t>
            </w:r>
            <w:r>
              <w:rPr>
                <w:rFonts w:hint="eastAsia" w:ascii="宋体" w:hAnsi="宋体" w:eastAsia="宋体" w:cs="宋体"/>
                <w:kern w:val="2"/>
                <w:sz w:val="22"/>
                <w:szCs w:val="21"/>
                <w:lang w:val="en-US" w:eastAsia="zh-CN" w:bidi="ar-SA"/>
              </w:rPr>
              <w:t>分；每有一项缺失或不详实准确的扣2分，扣完为止。</w:t>
            </w:r>
          </w:p>
        </w:tc>
      </w:tr>
      <w:tr w14:paraId="4B16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8" w:hRule="atLeast"/>
        </w:trPr>
        <w:tc>
          <w:tcPr>
            <w:tcW w:w="833" w:type="dxa"/>
            <w:noWrap w:val="0"/>
            <w:vAlign w:val="center"/>
          </w:tcPr>
          <w:p w14:paraId="3BD22644">
            <w:pPr>
              <w:keepNext w:val="0"/>
              <w:keepLines w:val="0"/>
              <w:kinsoku/>
              <w:wordWrap/>
              <w:overflowPunct/>
              <w:topLinePunct w:val="0"/>
              <w:autoSpaceDE/>
              <w:autoSpaceDN/>
              <w:bidi w:val="0"/>
              <w:spacing w:after="120" w:afterLines="50" w:line="360" w:lineRule="auto"/>
              <w:jc w:val="center"/>
              <w:outlineLvl w:val="9"/>
              <w:rPr>
                <w:rFonts w:hint="eastAsia" w:ascii="宋体" w:hAnsi="宋体" w:eastAsia="宋体" w:cs="宋体"/>
                <w:bCs/>
                <w:sz w:val="22"/>
                <w:szCs w:val="22"/>
              </w:rPr>
            </w:pPr>
          </w:p>
        </w:tc>
        <w:tc>
          <w:tcPr>
            <w:tcW w:w="104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6E266A">
            <w:pPr>
              <w:kinsoku w:val="0"/>
              <w:overflowPunct w:val="0"/>
              <w:spacing w:line="240" w:lineRule="auto"/>
              <w:jc w:val="center"/>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售后服务方案</w:t>
            </w:r>
          </w:p>
        </w:tc>
        <w:tc>
          <w:tcPr>
            <w:tcW w:w="5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D0463D">
            <w:pPr>
              <w:kinsoku w:val="0"/>
              <w:overflowPunct w:val="0"/>
              <w:spacing w:line="240" w:lineRule="auto"/>
              <w:jc w:val="center"/>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1</w:t>
            </w:r>
            <w:r>
              <w:rPr>
                <w:rFonts w:hint="eastAsia" w:ascii="宋体" w:hAnsi="宋体" w:cs="宋体"/>
                <w:kern w:val="2"/>
                <w:sz w:val="22"/>
                <w:szCs w:val="21"/>
                <w:lang w:val="en-US" w:eastAsia="zh-CN" w:bidi="ar-SA"/>
              </w:rPr>
              <w:t>0</w:t>
            </w:r>
            <w:r>
              <w:rPr>
                <w:rFonts w:hint="eastAsia" w:ascii="宋体" w:hAnsi="宋体" w:eastAsia="宋体" w:cs="宋体"/>
                <w:kern w:val="2"/>
                <w:sz w:val="22"/>
                <w:szCs w:val="21"/>
                <w:lang w:val="en-US" w:eastAsia="zh-CN" w:bidi="ar-SA"/>
              </w:rPr>
              <w:t>分</w:t>
            </w:r>
          </w:p>
        </w:tc>
        <w:tc>
          <w:tcPr>
            <w:tcW w:w="660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676903">
            <w:pPr>
              <w:kinsoku w:val="0"/>
              <w:overflowPunct w:val="0"/>
              <w:spacing w:line="240" w:lineRule="auto"/>
              <w:jc w:val="left"/>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1、企业承诺的售后服务方案符合项目实际情况的得</w:t>
            </w:r>
            <w:r>
              <w:rPr>
                <w:rFonts w:hint="eastAsia" w:ascii="宋体" w:hAnsi="宋体" w:cs="宋体"/>
                <w:kern w:val="2"/>
                <w:sz w:val="22"/>
                <w:szCs w:val="21"/>
                <w:lang w:val="en-US" w:eastAsia="zh-CN" w:bidi="ar-SA"/>
              </w:rPr>
              <w:t>2</w:t>
            </w:r>
            <w:r>
              <w:rPr>
                <w:rFonts w:hint="eastAsia" w:ascii="宋体" w:hAnsi="宋体" w:eastAsia="宋体" w:cs="宋体"/>
                <w:kern w:val="2"/>
                <w:sz w:val="22"/>
                <w:szCs w:val="21"/>
                <w:lang w:val="en-US" w:eastAsia="zh-CN" w:bidi="ar-SA"/>
              </w:rPr>
              <w:t>分。</w:t>
            </w:r>
          </w:p>
          <w:p w14:paraId="138AD98A">
            <w:pPr>
              <w:kinsoku w:val="0"/>
              <w:overflowPunct w:val="0"/>
              <w:spacing w:line="240" w:lineRule="auto"/>
              <w:jc w:val="left"/>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2、维修能力证明</w:t>
            </w:r>
            <w:r>
              <w:rPr>
                <w:rFonts w:hint="eastAsia" w:ascii="宋体" w:hAnsi="宋体" w:cs="宋体"/>
                <w:kern w:val="2"/>
                <w:sz w:val="22"/>
                <w:szCs w:val="21"/>
                <w:lang w:val="en-US" w:eastAsia="zh-CN" w:bidi="ar-SA"/>
              </w:rPr>
              <w:t>、</w:t>
            </w:r>
            <w:r>
              <w:rPr>
                <w:rFonts w:hint="eastAsia" w:ascii="宋体" w:hAnsi="宋体" w:eastAsia="宋体" w:cs="宋体"/>
                <w:kern w:val="2"/>
                <w:sz w:val="22"/>
                <w:szCs w:val="21"/>
                <w:lang w:val="en-US" w:eastAsia="zh-CN" w:bidi="ar-SA"/>
              </w:rPr>
              <w:t>提供承诺函的得</w:t>
            </w:r>
            <w:r>
              <w:rPr>
                <w:rFonts w:hint="eastAsia" w:ascii="宋体" w:hAnsi="宋体" w:cs="宋体"/>
                <w:kern w:val="2"/>
                <w:sz w:val="22"/>
                <w:szCs w:val="21"/>
                <w:lang w:val="en-US" w:eastAsia="zh-CN" w:bidi="ar-SA"/>
              </w:rPr>
              <w:t>2</w:t>
            </w:r>
            <w:r>
              <w:rPr>
                <w:rFonts w:hint="eastAsia" w:ascii="宋体" w:hAnsi="宋体" w:eastAsia="宋体" w:cs="宋体"/>
                <w:kern w:val="2"/>
                <w:sz w:val="22"/>
                <w:szCs w:val="21"/>
                <w:lang w:val="en-US" w:eastAsia="zh-CN" w:bidi="ar-SA"/>
              </w:rPr>
              <w:t>分，未提供不得分。</w:t>
            </w:r>
          </w:p>
          <w:p w14:paraId="4AF63DBB">
            <w:pPr>
              <w:kinsoku w:val="0"/>
              <w:overflowPunct w:val="0"/>
              <w:spacing w:line="240" w:lineRule="auto"/>
              <w:jc w:val="left"/>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3、根据提供的针对客户当地实际情况制定售后服务承诺，提供承诺函得</w:t>
            </w:r>
            <w:r>
              <w:rPr>
                <w:rFonts w:hint="eastAsia" w:ascii="宋体" w:hAnsi="宋体" w:cs="宋体"/>
                <w:kern w:val="2"/>
                <w:sz w:val="22"/>
                <w:szCs w:val="21"/>
                <w:lang w:val="en-US" w:eastAsia="zh-CN" w:bidi="ar-SA"/>
              </w:rPr>
              <w:t>2</w:t>
            </w:r>
            <w:r>
              <w:rPr>
                <w:rFonts w:hint="eastAsia" w:ascii="宋体" w:hAnsi="宋体" w:eastAsia="宋体" w:cs="宋体"/>
                <w:kern w:val="2"/>
                <w:sz w:val="22"/>
                <w:szCs w:val="21"/>
                <w:lang w:val="en-US" w:eastAsia="zh-CN" w:bidi="ar-SA"/>
              </w:rPr>
              <w:t>分，未提供不得分。</w:t>
            </w:r>
          </w:p>
          <w:p w14:paraId="0C6BD150">
            <w:pPr>
              <w:kinsoku w:val="0"/>
              <w:overflowPunct w:val="0"/>
              <w:spacing w:line="240" w:lineRule="auto"/>
              <w:jc w:val="left"/>
              <w:outlineLvl w:val="9"/>
              <w:rPr>
                <w:rFonts w:hint="eastAsia" w:ascii="宋体" w:hAnsi="宋体" w:eastAsia="宋体" w:cs="宋体"/>
                <w:kern w:val="2"/>
                <w:sz w:val="22"/>
                <w:szCs w:val="21"/>
                <w:lang w:val="en-US" w:eastAsia="zh-CN" w:bidi="ar-SA"/>
              </w:rPr>
            </w:pPr>
            <w:r>
              <w:rPr>
                <w:rFonts w:hint="eastAsia" w:ascii="宋体" w:hAnsi="宋体" w:eastAsia="宋体" w:cs="宋体"/>
                <w:kern w:val="2"/>
                <w:sz w:val="22"/>
                <w:szCs w:val="21"/>
                <w:lang w:val="en-US" w:eastAsia="zh-CN" w:bidi="ar-SA"/>
              </w:rPr>
              <w:t>4有不随意更换项目经理、技术负责人及“五大员”的承诺，且有相应经济处罚措施的，得</w:t>
            </w:r>
            <w:r>
              <w:rPr>
                <w:rFonts w:hint="eastAsia" w:ascii="宋体" w:hAnsi="宋体" w:cs="宋体"/>
                <w:kern w:val="2"/>
                <w:sz w:val="22"/>
                <w:szCs w:val="21"/>
                <w:lang w:val="en-US" w:eastAsia="zh-CN" w:bidi="ar-SA"/>
              </w:rPr>
              <w:t>4</w:t>
            </w:r>
            <w:r>
              <w:rPr>
                <w:rFonts w:hint="eastAsia" w:ascii="宋体" w:hAnsi="宋体" w:eastAsia="宋体" w:cs="宋体"/>
                <w:kern w:val="2"/>
                <w:sz w:val="22"/>
                <w:szCs w:val="21"/>
                <w:lang w:val="en-US" w:eastAsia="zh-CN" w:bidi="ar-SA"/>
              </w:rPr>
              <w:t>分，否则得0分。</w:t>
            </w:r>
          </w:p>
        </w:tc>
      </w:tr>
    </w:tbl>
    <w:p w14:paraId="0CAF6CCF">
      <w:pPr>
        <w:pStyle w:val="27"/>
        <w:rPr>
          <w:rFonts w:hint="eastAsia" w:asciiTheme="minorEastAsia" w:hAnsiTheme="minorEastAsia" w:eastAsiaTheme="minorEastAsia" w:cstheme="minorEastAsia"/>
          <w:bCs/>
          <w:sz w:val="32"/>
          <w:szCs w:val="32"/>
          <w:lang w:eastAsia="zh-CN"/>
        </w:rPr>
      </w:pPr>
    </w:p>
    <w:p w14:paraId="4DF8743C">
      <w:pPr>
        <w:spacing w:line="240" w:lineRule="auto"/>
        <w:jc w:val="both"/>
        <w:rPr>
          <w:vanish/>
          <w:color w:val="auto"/>
          <w:sz w:val="18"/>
          <w:szCs w:val="21"/>
        </w:rPr>
      </w:pPr>
      <w:r>
        <w:rPr>
          <w:rFonts w:hint="eastAsia" w:ascii="宋体" w:hAnsi="宋体" w:cs="宋体"/>
          <w:b/>
          <w:bCs/>
          <w:color w:val="auto"/>
          <w:kern w:val="0"/>
          <w:sz w:val="21"/>
          <w:szCs w:val="21"/>
          <w:lang w:bidi="ar"/>
        </w:rPr>
        <w:t>详细评分表（满分100分</w:t>
      </w:r>
      <w:r>
        <w:rPr>
          <w:rFonts w:hint="eastAsia" w:ascii="宋体" w:hAnsi="宋体" w:cs="宋体"/>
          <w:color w:val="auto"/>
          <w:kern w:val="0"/>
          <w:sz w:val="20"/>
          <w:szCs w:val="20"/>
          <w:lang w:bidi="ar"/>
        </w:rPr>
        <w:t>）</w:t>
      </w:r>
    </w:p>
    <w:p w14:paraId="302F6E3C">
      <w:pPr>
        <w:spacing w:line="240" w:lineRule="auto"/>
        <w:jc w:val="center"/>
        <w:rPr>
          <w:vanish/>
          <w:color w:val="auto"/>
          <w:sz w:val="18"/>
          <w:szCs w:val="21"/>
        </w:rPr>
      </w:pPr>
    </w:p>
    <w:p w14:paraId="57E8A91B">
      <w:pPr>
        <w:autoSpaceDE w:val="0"/>
        <w:autoSpaceDN w:val="0"/>
        <w:spacing w:line="240" w:lineRule="auto"/>
        <w:ind w:right="-1039" w:rightChars="-495"/>
        <w:jc w:val="left"/>
        <w:rPr>
          <w:rFonts w:hint="eastAsia"/>
          <w:b/>
          <w:bCs w:val="0"/>
          <w:sz w:val="22"/>
          <w:szCs w:val="28"/>
          <w:lang w:eastAsia="zh-CN"/>
        </w:rPr>
      </w:pPr>
      <w:r>
        <w:rPr>
          <w:rFonts w:hint="eastAsia" w:ascii="宋体" w:hAnsi="宋体" w:cs="宋体"/>
          <w:b/>
          <w:bCs/>
          <w:sz w:val="21"/>
          <w:szCs w:val="21"/>
        </w:rPr>
        <w:t>注</w:t>
      </w:r>
      <w:r>
        <w:rPr>
          <w:rFonts w:hint="eastAsia" w:ascii="宋体" w:hAnsi="宋体" w:cs="宋体"/>
          <w:b/>
          <w:bCs/>
          <w:sz w:val="21"/>
          <w:szCs w:val="21"/>
          <w:lang w:eastAsia="zh-CN"/>
        </w:rPr>
        <w:t>：</w:t>
      </w:r>
      <w:r>
        <w:rPr>
          <w:rFonts w:hint="eastAsia" w:ascii="宋体" w:hAnsi="宋体" w:cs="宋体"/>
          <w:b/>
          <w:bCs/>
          <w:sz w:val="21"/>
          <w:szCs w:val="21"/>
        </w:rPr>
        <w:t>评审完毕，</w:t>
      </w:r>
      <w:r>
        <w:rPr>
          <w:rFonts w:hint="eastAsia" w:ascii="宋体" w:hAnsi="宋体" w:cs="宋体"/>
          <w:b/>
          <w:bCs/>
          <w:sz w:val="21"/>
          <w:szCs w:val="21"/>
          <w:lang w:val="en-US" w:eastAsia="zh-CN"/>
        </w:rPr>
        <w:t>磋商小组</w:t>
      </w:r>
      <w:r>
        <w:rPr>
          <w:rFonts w:hint="eastAsia" w:ascii="宋体" w:hAnsi="宋体" w:cs="宋体"/>
          <w:b/>
          <w:bCs/>
          <w:sz w:val="21"/>
          <w:szCs w:val="21"/>
        </w:rPr>
        <w:t>根据汇总各</w:t>
      </w:r>
      <w:r>
        <w:rPr>
          <w:rFonts w:hint="eastAsia" w:ascii="宋体" w:hAnsi="宋体" w:cs="宋体"/>
          <w:b/>
          <w:bCs/>
          <w:sz w:val="21"/>
          <w:szCs w:val="21"/>
          <w:lang w:eastAsia="zh-CN"/>
        </w:rPr>
        <w:t>供应商</w:t>
      </w:r>
      <w:r>
        <w:rPr>
          <w:rFonts w:hint="eastAsia" w:ascii="宋体" w:hAnsi="宋体" w:cs="宋体"/>
          <w:b/>
          <w:bCs/>
          <w:sz w:val="21"/>
          <w:szCs w:val="21"/>
        </w:rPr>
        <w:t>的综合得分，按照得分高低序，取前三名作为中标候选人推荐给</w:t>
      </w:r>
      <w:r>
        <w:rPr>
          <w:rFonts w:hint="eastAsia" w:ascii="宋体" w:hAnsi="宋体" w:cs="宋体"/>
          <w:b/>
          <w:bCs/>
          <w:sz w:val="21"/>
          <w:szCs w:val="21"/>
          <w:lang w:eastAsia="zh-CN"/>
        </w:rPr>
        <w:t>采购人</w:t>
      </w:r>
      <w:r>
        <w:rPr>
          <w:rFonts w:hint="eastAsia" w:ascii="宋体" w:hAnsi="宋体" w:cs="宋体"/>
          <w:b/>
          <w:bCs/>
          <w:sz w:val="21"/>
          <w:szCs w:val="21"/>
        </w:rPr>
        <w:t>。如果</w:t>
      </w:r>
      <w:r>
        <w:rPr>
          <w:rFonts w:hint="eastAsia" w:ascii="宋体" w:hAnsi="宋体" w:cs="宋体"/>
          <w:b/>
          <w:bCs/>
          <w:sz w:val="21"/>
          <w:szCs w:val="21"/>
          <w:lang w:eastAsia="zh-CN"/>
        </w:rPr>
        <w:t>供应商</w:t>
      </w:r>
      <w:r>
        <w:rPr>
          <w:rFonts w:hint="eastAsia" w:ascii="宋体" w:hAnsi="宋体" w:cs="宋体"/>
          <w:b/>
          <w:bCs/>
          <w:sz w:val="21"/>
          <w:szCs w:val="21"/>
        </w:rPr>
        <w:t>的得分相同，价格低者排在前。</w:t>
      </w:r>
      <w:r>
        <w:rPr>
          <w:rFonts w:hint="eastAsia" w:ascii="宋体" w:hAnsi="宋体" w:eastAsia="宋体" w:cs="宋体"/>
          <w:b/>
          <w:bCs w:val="0"/>
          <w:snapToGrid w:val="0"/>
          <w:kern w:val="0"/>
          <w:sz w:val="22"/>
          <w:szCs w:val="22"/>
          <w:lang w:val="en-US" w:eastAsia="zh-CN" w:bidi="ar-SA"/>
        </w:rPr>
        <w:t>计算公式的计算结果值在小数点后均保留两位小数，后余位数四舍五入计。</w:t>
      </w:r>
    </w:p>
    <w:p w14:paraId="7B24E1A9">
      <w:pPr>
        <w:pStyle w:val="11"/>
        <w:rPr>
          <w:rFonts w:hint="eastAsia"/>
          <w:lang w:eastAsia="zh-CN"/>
        </w:rPr>
      </w:pPr>
    </w:p>
    <w:p w14:paraId="30C0DBF5">
      <w:pPr>
        <w:pStyle w:val="11"/>
        <w:rPr>
          <w:rFonts w:hint="eastAsia"/>
          <w:lang w:eastAsia="zh-CN"/>
        </w:rPr>
      </w:pPr>
    </w:p>
    <w:p w14:paraId="0D5CB46A">
      <w:pPr>
        <w:rPr>
          <w:rFonts w:hint="eastAsia"/>
          <w:lang w:eastAsia="zh-CN"/>
        </w:rPr>
      </w:pPr>
    </w:p>
    <w:p w14:paraId="366340A2">
      <w:pPr>
        <w:pStyle w:val="53"/>
        <w:rPr>
          <w:rFonts w:hint="eastAsia"/>
          <w:lang w:eastAsia="zh-CN"/>
        </w:rPr>
      </w:pPr>
    </w:p>
    <w:p w14:paraId="57DEA4EC">
      <w:pPr>
        <w:pStyle w:val="54"/>
        <w:rPr>
          <w:rFonts w:hint="eastAsia"/>
          <w:lang w:eastAsia="zh-CN"/>
        </w:rPr>
      </w:pPr>
    </w:p>
    <w:p w14:paraId="77BEBC24">
      <w:pPr>
        <w:pStyle w:val="54"/>
        <w:rPr>
          <w:rFonts w:hint="eastAsia"/>
          <w:lang w:eastAsia="zh-CN"/>
        </w:rPr>
      </w:pPr>
    </w:p>
    <w:p w14:paraId="6FBE0A72">
      <w:pPr>
        <w:pStyle w:val="54"/>
        <w:rPr>
          <w:rFonts w:hint="eastAsia"/>
          <w:lang w:eastAsia="zh-CN"/>
        </w:rPr>
      </w:pPr>
    </w:p>
    <w:p w14:paraId="7C3D0AD3">
      <w:pPr>
        <w:pStyle w:val="54"/>
        <w:rPr>
          <w:rFonts w:hint="eastAsia"/>
          <w:lang w:eastAsia="zh-CN"/>
        </w:rPr>
      </w:pPr>
    </w:p>
    <w:p w14:paraId="14D30ED7">
      <w:pPr>
        <w:pStyle w:val="54"/>
        <w:rPr>
          <w:rFonts w:hint="eastAsia"/>
          <w:lang w:eastAsia="zh-CN"/>
        </w:rPr>
      </w:pPr>
    </w:p>
    <w:p w14:paraId="7CA681D0">
      <w:pPr>
        <w:pStyle w:val="54"/>
        <w:rPr>
          <w:rFonts w:hint="eastAsia"/>
          <w:lang w:eastAsia="zh-CN"/>
        </w:rPr>
      </w:pPr>
    </w:p>
    <w:p w14:paraId="654B6523">
      <w:pPr>
        <w:pStyle w:val="54"/>
        <w:rPr>
          <w:rFonts w:hint="eastAsia"/>
          <w:lang w:eastAsia="zh-CN"/>
        </w:rPr>
      </w:pPr>
    </w:p>
    <w:p w14:paraId="0801002A">
      <w:pPr>
        <w:pStyle w:val="54"/>
        <w:rPr>
          <w:rFonts w:hint="eastAsia"/>
          <w:lang w:eastAsia="zh-CN"/>
        </w:rPr>
      </w:pPr>
    </w:p>
    <w:p w14:paraId="2C9C74F3">
      <w:pPr>
        <w:pStyle w:val="54"/>
        <w:rPr>
          <w:rFonts w:hint="eastAsia"/>
          <w:lang w:eastAsia="zh-CN"/>
        </w:rPr>
      </w:pPr>
    </w:p>
    <w:p w14:paraId="5A22FFD2">
      <w:pPr>
        <w:pStyle w:val="54"/>
        <w:rPr>
          <w:rFonts w:hint="eastAsia"/>
          <w:lang w:eastAsia="zh-CN"/>
        </w:rPr>
      </w:pPr>
    </w:p>
    <w:p w14:paraId="66707F11">
      <w:pPr>
        <w:pStyle w:val="54"/>
        <w:rPr>
          <w:rFonts w:hint="eastAsia"/>
          <w:lang w:eastAsia="zh-CN"/>
        </w:rPr>
      </w:pPr>
    </w:p>
    <w:p w14:paraId="5739F394">
      <w:pPr>
        <w:pStyle w:val="11"/>
        <w:rPr>
          <w:rFonts w:hint="eastAsia"/>
          <w:lang w:eastAsia="zh-CN"/>
        </w:rPr>
      </w:pPr>
    </w:p>
    <w:p w14:paraId="5765193E">
      <w:pPr>
        <w:pStyle w:val="8"/>
        <w:ind w:left="0" w:leftChars="0" w:firstLine="0" w:firstLineChars="0"/>
        <w:jc w:val="center"/>
        <w:rPr>
          <w:rFonts w:hint="eastAsia" w:asciiTheme="minorEastAsia" w:hAnsiTheme="minorEastAsia" w:eastAsiaTheme="minorEastAsia" w:cstheme="minorEastAsia"/>
          <w:bCs/>
          <w:sz w:val="44"/>
          <w:szCs w:val="44"/>
          <w:lang w:eastAsia="zh-CN"/>
        </w:rPr>
      </w:pPr>
      <w:r>
        <w:rPr>
          <w:rFonts w:hint="eastAsia" w:asciiTheme="minorEastAsia" w:hAnsiTheme="minorEastAsia" w:eastAsiaTheme="minorEastAsia" w:cstheme="minorEastAsia"/>
          <w:bCs/>
          <w:sz w:val="44"/>
          <w:szCs w:val="44"/>
          <w:lang w:eastAsia="zh-CN"/>
        </w:rPr>
        <w:t>疏勒县疾病预防控制中心（卫生监督所）综合楼（实验室）维修改造项目</w:t>
      </w:r>
    </w:p>
    <w:p w14:paraId="780C464F">
      <w:pPr>
        <w:pStyle w:val="8"/>
        <w:rPr>
          <w:rFonts w:hint="eastAsia" w:asciiTheme="minorEastAsia" w:hAnsiTheme="minorEastAsia" w:eastAsiaTheme="minorEastAsia" w:cstheme="minorEastAsia"/>
          <w:bCs/>
          <w:sz w:val="48"/>
          <w:szCs w:val="48"/>
        </w:rPr>
      </w:pPr>
    </w:p>
    <w:p w14:paraId="66076625">
      <w:pPr>
        <w:autoSpaceDE w:val="0"/>
        <w:autoSpaceDN w:val="0"/>
        <w:spacing w:line="360" w:lineRule="auto"/>
        <w:jc w:val="center"/>
        <w:outlineLvl w:val="1"/>
        <w:rPr>
          <w:rFonts w:hint="eastAsia" w:asciiTheme="minorEastAsia" w:hAnsiTheme="minorEastAsia" w:eastAsiaTheme="minorEastAsia" w:cstheme="minorEastAsia"/>
          <w:b/>
          <w:bCs/>
          <w:color w:val="000000"/>
          <w:kern w:val="0"/>
          <w:sz w:val="36"/>
          <w:szCs w:val="36"/>
          <w:lang w:eastAsia="zh-CN" w:bidi="ar"/>
        </w:rPr>
      </w:pPr>
      <w:bookmarkStart w:id="375" w:name="_Toc5099"/>
      <w:bookmarkStart w:id="376" w:name="_Toc2107_WPSOffice_Level2"/>
      <w:bookmarkStart w:id="377" w:name="_Toc13153_WPSOffice_Level2"/>
      <w:r>
        <w:rPr>
          <w:rFonts w:hint="eastAsia" w:asciiTheme="minorEastAsia" w:hAnsiTheme="minorEastAsia" w:eastAsiaTheme="minorEastAsia" w:cstheme="minorEastAsia"/>
          <w:bCs/>
          <w:sz w:val="32"/>
          <w:szCs w:val="32"/>
        </w:rPr>
        <w:t>项目编号：</w:t>
      </w:r>
      <w:bookmarkEnd w:id="375"/>
      <w:r>
        <w:rPr>
          <w:rFonts w:hint="eastAsia" w:asciiTheme="minorEastAsia" w:hAnsiTheme="minorEastAsia" w:eastAsiaTheme="minorEastAsia" w:cstheme="minorEastAsia"/>
          <w:bCs/>
          <w:sz w:val="32"/>
          <w:szCs w:val="32"/>
          <w:lang w:eastAsia="zh-CN"/>
        </w:rPr>
        <w:t>XJGQ</w:t>
      </w:r>
      <w:r>
        <w:rPr>
          <w:rFonts w:hint="eastAsia" w:asciiTheme="minorEastAsia" w:hAnsiTheme="minorEastAsia" w:eastAsiaTheme="minorEastAsia" w:cstheme="minorEastAsia"/>
          <w:bCs/>
          <w:sz w:val="32"/>
          <w:szCs w:val="32"/>
          <w:lang w:val="en-US" w:eastAsia="zh-CN"/>
        </w:rPr>
        <w:t>SLX</w:t>
      </w:r>
      <w:r>
        <w:rPr>
          <w:rFonts w:hint="eastAsia" w:asciiTheme="minorEastAsia" w:hAnsiTheme="minorEastAsia" w:eastAsiaTheme="minorEastAsia" w:cstheme="minorEastAsia"/>
          <w:bCs/>
          <w:sz w:val="32"/>
          <w:szCs w:val="32"/>
          <w:lang w:eastAsia="zh-CN"/>
        </w:rPr>
        <w:t>(CS)2025-01号</w:t>
      </w:r>
    </w:p>
    <w:p w14:paraId="158AEC82">
      <w:pPr>
        <w:spacing w:line="240" w:lineRule="atLeast"/>
        <w:ind w:left="1080" w:leftChars="257" w:hanging="540"/>
        <w:jc w:val="center"/>
        <w:outlineLvl w:val="0"/>
        <w:rPr>
          <w:rFonts w:hint="eastAsia" w:asciiTheme="minorEastAsia" w:hAnsiTheme="minorEastAsia" w:eastAsiaTheme="minorEastAsia" w:cstheme="minorEastAsia"/>
          <w:bCs/>
          <w:sz w:val="48"/>
          <w:szCs w:val="48"/>
        </w:rPr>
      </w:pPr>
    </w:p>
    <w:p w14:paraId="4EFF7712">
      <w:pPr>
        <w:pStyle w:val="8"/>
        <w:ind w:left="0" w:leftChars="0" w:firstLine="0" w:firstLineChars="0"/>
        <w:rPr>
          <w:rFonts w:hint="eastAsia" w:asciiTheme="minorEastAsia" w:hAnsiTheme="minorEastAsia" w:eastAsiaTheme="minorEastAsia" w:cstheme="minorEastAsia"/>
          <w:bCs/>
          <w:sz w:val="48"/>
          <w:szCs w:val="48"/>
        </w:rPr>
      </w:pPr>
    </w:p>
    <w:p w14:paraId="151C9FC9">
      <w:pPr>
        <w:spacing w:line="240" w:lineRule="atLeast"/>
        <w:ind w:left="1080" w:leftChars="257" w:hanging="540"/>
        <w:jc w:val="center"/>
        <w:outlineLvl w:val="0"/>
        <w:rPr>
          <w:rFonts w:hint="eastAsia" w:asciiTheme="minorEastAsia" w:hAnsiTheme="minorEastAsia" w:eastAsiaTheme="minorEastAsia" w:cstheme="minorEastAsia"/>
          <w:bCs/>
          <w:sz w:val="48"/>
          <w:szCs w:val="48"/>
        </w:rPr>
      </w:pPr>
    </w:p>
    <w:p w14:paraId="507EC6D1">
      <w:pPr>
        <w:pStyle w:val="3"/>
        <w:rPr>
          <w:rFonts w:hint="eastAsia" w:asciiTheme="minorEastAsia" w:hAnsiTheme="minorEastAsia" w:eastAsiaTheme="minorEastAsia" w:cstheme="minorEastAsia"/>
        </w:rPr>
      </w:pPr>
    </w:p>
    <w:p w14:paraId="73F4221B">
      <w:pPr>
        <w:spacing w:line="240" w:lineRule="atLeast"/>
        <w:ind w:left="1080" w:leftChars="257" w:hanging="540"/>
        <w:jc w:val="center"/>
        <w:outlineLvl w:val="0"/>
        <w:rPr>
          <w:rFonts w:hint="eastAsia" w:asciiTheme="minorEastAsia" w:hAnsiTheme="minorEastAsia" w:eastAsiaTheme="minorEastAsia" w:cstheme="minorEastAsia"/>
          <w:b/>
          <w:sz w:val="32"/>
          <w:szCs w:val="32"/>
        </w:rPr>
      </w:pPr>
      <w:bookmarkStart w:id="378" w:name="_Toc23502"/>
      <w:r>
        <w:rPr>
          <w:rFonts w:hint="eastAsia" w:asciiTheme="minorEastAsia" w:hAnsiTheme="minorEastAsia" w:eastAsiaTheme="minorEastAsia" w:cstheme="minorEastAsia"/>
          <w:bCs/>
          <w:sz w:val="48"/>
          <w:szCs w:val="48"/>
        </w:rPr>
        <w:t>竞争性磋商文件</w:t>
      </w:r>
      <w:bookmarkEnd w:id="376"/>
      <w:bookmarkEnd w:id="377"/>
      <w:bookmarkEnd w:id="378"/>
      <w:r>
        <w:rPr>
          <w:rFonts w:hint="eastAsia" w:asciiTheme="minorEastAsia" w:hAnsiTheme="minorEastAsia" w:eastAsiaTheme="minorEastAsia" w:cstheme="minorEastAsia"/>
          <w:bCs/>
          <w:sz w:val="52"/>
          <w:szCs w:val="52"/>
        </w:rPr>
        <w:t xml:space="preserve"> </w:t>
      </w:r>
    </w:p>
    <w:p w14:paraId="718AED79">
      <w:pPr>
        <w:spacing w:line="240" w:lineRule="atLeast"/>
        <w:ind w:left="1080" w:leftChars="257" w:hanging="540"/>
        <w:jc w:val="center"/>
        <w:rPr>
          <w:rFonts w:hint="eastAsia" w:asciiTheme="minorEastAsia" w:hAnsiTheme="minorEastAsia" w:eastAsiaTheme="minorEastAsia" w:cstheme="minorEastAsia"/>
          <w:b/>
          <w:sz w:val="32"/>
          <w:szCs w:val="32"/>
        </w:rPr>
      </w:pPr>
    </w:p>
    <w:p w14:paraId="4968D32B">
      <w:pPr>
        <w:pStyle w:val="3"/>
        <w:rPr>
          <w:rFonts w:hint="eastAsia" w:asciiTheme="minorEastAsia" w:hAnsiTheme="minorEastAsia" w:eastAsiaTheme="minorEastAsia" w:cstheme="minorEastAsia"/>
          <w:b/>
          <w:sz w:val="32"/>
          <w:szCs w:val="32"/>
        </w:rPr>
      </w:pPr>
    </w:p>
    <w:p w14:paraId="25931D41">
      <w:pPr>
        <w:spacing w:line="240" w:lineRule="atLeast"/>
        <w:rPr>
          <w:rFonts w:hint="eastAsia" w:asciiTheme="minorEastAsia" w:hAnsiTheme="minorEastAsia" w:eastAsiaTheme="minorEastAsia" w:cstheme="minorEastAsia"/>
          <w:b/>
          <w:sz w:val="28"/>
        </w:rPr>
      </w:pPr>
    </w:p>
    <w:p w14:paraId="2E970B01">
      <w:pPr>
        <w:spacing w:line="240" w:lineRule="atLeast"/>
        <w:ind w:left="1080" w:leftChars="257" w:hanging="540"/>
        <w:jc w:val="center"/>
        <w:outlineLvl w:val="0"/>
        <w:rPr>
          <w:rFonts w:hint="eastAsia" w:asciiTheme="minorEastAsia" w:hAnsiTheme="minorEastAsia" w:eastAsiaTheme="minorEastAsia" w:cstheme="minorEastAsia"/>
          <w:b/>
          <w:sz w:val="48"/>
          <w:szCs w:val="48"/>
        </w:rPr>
      </w:pPr>
      <w:bookmarkStart w:id="379" w:name="_Toc26108_WPSOffice_Level2"/>
      <w:bookmarkStart w:id="380" w:name="_Toc15795_WPSOffice_Level2"/>
      <w:bookmarkStart w:id="381" w:name="_Toc1810"/>
      <w:r>
        <w:rPr>
          <w:rFonts w:hint="eastAsia" w:asciiTheme="minorEastAsia" w:hAnsiTheme="minorEastAsia" w:eastAsiaTheme="minorEastAsia" w:cstheme="minorEastAsia"/>
          <w:b/>
          <w:sz w:val="48"/>
          <w:szCs w:val="48"/>
        </w:rPr>
        <w:t>第三册</w:t>
      </w:r>
      <w:bookmarkEnd w:id="379"/>
      <w:bookmarkEnd w:id="380"/>
      <w:bookmarkEnd w:id="381"/>
    </w:p>
    <w:p w14:paraId="61C69E88">
      <w:pPr>
        <w:pStyle w:val="13"/>
        <w:ind w:left="0" w:leftChars="0" w:firstLine="0" w:firstLineChars="0"/>
        <w:rPr>
          <w:rFonts w:hint="eastAsia" w:asciiTheme="minorEastAsia" w:hAnsiTheme="minorEastAsia" w:eastAsiaTheme="minorEastAsia" w:cstheme="minorEastAsia"/>
          <w:b/>
          <w:sz w:val="52"/>
        </w:rPr>
      </w:pPr>
    </w:p>
    <w:p w14:paraId="02029076">
      <w:pPr>
        <w:pStyle w:val="13"/>
        <w:ind w:left="0" w:leftChars="0" w:firstLine="0" w:firstLineChars="0"/>
        <w:rPr>
          <w:rFonts w:hint="eastAsia" w:asciiTheme="minorEastAsia" w:hAnsiTheme="minorEastAsia" w:eastAsiaTheme="minorEastAsia" w:cstheme="minorEastAsia"/>
          <w:b/>
          <w:sz w:val="52"/>
        </w:rPr>
      </w:pPr>
    </w:p>
    <w:p w14:paraId="66585327">
      <w:pPr>
        <w:pStyle w:val="8"/>
        <w:rPr>
          <w:rFonts w:hint="eastAsia" w:asciiTheme="minorEastAsia" w:hAnsiTheme="minorEastAsia" w:eastAsiaTheme="minorEastAsia" w:cstheme="minorEastAsia"/>
          <w:b/>
          <w:sz w:val="52"/>
        </w:rPr>
      </w:pPr>
    </w:p>
    <w:p w14:paraId="48D71688">
      <w:pPr>
        <w:pStyle w:val="9"/>
        <w:rPr>
          <w:rFonts w:hint="eastAsia" w:asciiTheme="minorEastAsia" w:hAnsiTheme="minorEastAsia" w:eastAsiaTheme="minorEastAsia" w:cstheme="minorEastAsia"/>
          <w:b/>
          <w:sz w:val="52"/>
        </w:rPr>
      </w:pPr>
    </w:p>
    <w:p w14:paraId="788687AF">
      <w:pPr>
        <w:rPr>
          <w:rFonts w:hint="eastAsia"/>
        </w:rPr>
      </w:pPr>
    </w:p>
    <w:bookmarkEnd w:id="374"/>
    <w:p w14:paraId="7E169089">
      <w:pPr>
        <w:pStyle w:val="2"/>
        <w:numPr>
          <w:ilvl w:val="0"/>
          <w:numId w:val="0"/>
        </w:numPr>
        <w:tabs>
          <w:tab w:val="left" w:pos="0"/>
        </w:tabs>
        <w:spacing w:before="0" w:after="0" w:line="240" w:lineRule="atLeast"/>
        <w:jc w:val="center"/>
        <w:rPr>
          <w:rFonts w:hint="eastAsia" w:asciiTheme="minorEastAsia" w:hAnsiTheme="minorEastAsia" w:eastAsiaTheme="minorEastAsia" w:cstheme="minorEastAsia"/>
          <w:sz w:val="28"/>
          <w:szCs w:val="28"/>
        </w:rPr>
      </w:pPr>
      <w:bookmarkStart w:id="382" w:name="_Hlt487972895"/>
      <w:bookmarkEnd w:id="382"/>
      <w:bookmarkStart w:id="383" w:name="_Toc6109"/>
      <w:bookmarkStart w:id="384" w:name="_Toc24110"/>
      <w:bookmarkStart w:id="385" w:name="_Toc28778"/>
      <w:bookmarkStart w:id="386" w:name="_Toc21888_WPSOffice_Level1"/>
      <w:bookmarkStart w:id="387" w:name="_Toc32428_WPSOffice_Level1"/>
      <w:bookmarkStart w:id="388" w:name="_Toc12949_WPSOffice_Level1"/>
      <w:bookmarkStart w:id="389" w:name="_Toc487900382"/>
      <w:bookmarkStart w:id="390" w:name="_Toc216513788"/>
      <w:r>
        <w:rPr>
          <w:rFonts w:hint="eastAsia" w:asciiTheme="minorEastAsia" w:hAnsiTheme="minorEastAsia" w:eastAsiaTheme="minorEastAsia" w:cstheme="minorEastAsia"/>
          <w:sz w:val="28"/>
          <w:szCs w:val="28"/>
          <w:lang w:val="en-US" w:eastAsia="zh-CN"/>
        </w:rPr>
        <w:t xml:space="preserve">第七章  </w:t>
      </w:r>
      <w:r>
        <w:rPr>
          <w:rFonts w:hint="eastAsia" w:asciiTheme="minorEastAsia" w:hAnsiTheme="minorEastAsia" w:eastAsiaTheme="minorEastAsia" w:cstheme="minorEastAsia"/>
          <w:sz w:val="28"/>
          <w:szCs w:val="28"/>
        </w:rPr>
        <w:t>授予合同</w:t>
      </w:r>
      <w:bookmarkEnd w:id="383"/>
      <w:bookmarkEnd w:id="384"/>
      <w:bookmarkEnd w:id="385"/>
    </w:p>
    <w:p w14:paraId="505A9660">
      <w:pPr>
        <w:jc w:val="left"/>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（GF—201</w:t>
      </w:r>
      <w:r>
        <w:rPr>
          <w:rFonts w:hint="eastAsia" w:asciiTheme="minorEastAsia" w:hAnsiTheme="minorEastAsia" w:eastAsiaTheme="minorEastAsia" w:cstheme="minorEastAsia"/>
          <w:bCs/>
          <w:color w:val="000000"/>
          <w:sz w:val="28"/>
          <w:szCs w:val="28"/>
          <w:lang w:val="en-US" w:eastAsia="zh-CN"/>
        </w:rPr>
        <w:t>7</w:t>
      </w:r>
      <w:r>
        <w:rPr>
          <w:rFonts w:hint="eastAsia" w:asciiTheme="minorEastAsia" w:hAnsiTheme="minorEastAsia" w:eastAsiaTheme="minorEastAsia" w:cstheme="minorEastAsia"/>
          <w:bCs/>
          <w:color w:val="000000"/>
          <w:sz w:val="28"/>
          <w:szCs w:val="28"/>
        </w:rPr>
        <w:t>—</w:t>
      </w:r>
      <w:r>
        <w:rPr>
          <w:rFonts w:hint="eastAsia" w:asciiTheme="minorEastAsia" w:hAnsiTheme="minorEastAsia" w:eastAsiaTheme="minorEastAsia" w:cstheme="minorEastAsia"/>
          <w:bCs/>
          <w:color w:val="000000"/>
          <w:sz w:val="28"/>
          <w:szCs w:val="28"/>
          <w:lang w:val="en-US" w:eastAsia="zh-CN"/>
        </w:rPr>
        <w:t>0201</w:t>
      </w:r>
      <w:r>
        <w:rPr>
          <w:rFonts w:hint="eastAsia" w:asciiTheme="minorEastAsia" w:hAnsiTheme="minorEastAsia" w:eastAsiaTheme="minorEastAsia" w:cstheme="minorEastAsia"/>
          <w:bCs/>
          <w:color w:val="000000"/>
          <w:sz w:val="28"/>
          <w:szCs w:val="28"/>
        </w:rPr>
        <w:t>）</w:t>
      </w:r>
    </w:p>
    <w:p w14:paraId="182C97D5">
      <w:pPr>
        <w:jc w:val="center"/>
        <w:rPr>
          <w:rFonts w:hint="eastAsia" w:asciiTheme="minorEastAsia" w:hAnsiTheme="minorEastAsia" w:eastAsiaTheme="minorEastAsia" w:cstheme="minorEastAsia"/>
          <w:b/>
          <w:color w:val="000000"/>
          <w:sz w:val="28"/>
          <w:szCs w:val="28"/>
        </w:rPr>
      </w:pPr>
    </w:p>
    <w:p w14:paraId="160AA55E">
      <w:pPr>
        <w:jc w:val="center"/>
        <w:rPr>
          <w:rFonts w:hint="eastAsia" w:asciiTheme="minorEastAsia" w:hAnsiTheme="minorEastAsia" w:eastAsiaTheme="minorEastAsia" w:cstheme="minorEastAsia"/>
          <w:b/>
          <w:color w:val="000000"/>
          <w:sz w:val="28"/>
          <w:szCs w:val="28"/>
        </w:rPr>
      </w:pPr>
    </w:p>
    <w:p w14:paraId="44DFB7F2">
      <w:pPr>
        <w:jc w:val="center"/>
        <w:rPr>
          <w:rFonts w:hint="eastAsia" w:asciiTheme="minorEastAsia" w:hAnsiTheme="minorEastAsia" w:eastAsiaTheme="minorEastAsia" w:cstheme="minorEastAsia"/>
          <w:b/>
          <w:color w:val="000000"/>
          <w:sz w:val="28"/>
          <w:szCs w:val="28"/>
        </w:rPr>
      </w:pPr>
    </w:p>
    <w:p w14:paraId="6700574F">
      <w:pPr>
        <w:jc w:val="center"/>
        <w:rPr>
          <w:rFonts w:hint="eastAsia" w:asciiTheme="minorEastAsia" w:hAnsiTheme="minorEastAsia" w:eastAsiaTheme="minorEastAsia" w:cstheme="minorEastAsia"/>
          <w:b/>
          <w:color w:val="000000"/>
          <w:sz w:val="28"/>
          <w:szCs w:val="28"/>
        </w:rPr>
      </w:pPr>
    </w:p>
    <w:p w14:paraId="79362249">
      <w:pPr>
        <w:jc w:val="center"/>
        <w:rPr>
          <w:rFonts w:hint="eastAsia" w:asciiTheme="minorEastAsia" w:hAnsiTheme="minorEastAsia" w:eastAsiaTheme="minorEastAsia" w:cstheme="minorEastAsia"/>
          <w:b/>
          <w:color w:val="000000"/>
          <w:sz w:val="28"/>
          <w:szCs w:val="28"/>
          <w:lang w:eastAsia="zh-CN"/>
        </w:rPr>
      </w:pPr>
      <w:r>
        <w:rPr>
          <w:rFonts w:hint="eastAsia" w:asciiTheme="minorEastAsia" w:hAnsiTheme="minorEastAsia" w:eastAsiaTheme="minorEastAsia" w:cstheme="minorEastAsia"/>
          <w:b/>
          <w:color w:val="000000"/>
          <w:sz w:val="28"/>
          <w:szCs w:val="28"/>
        </w:rPr>
        <w:t>建设工程施工合同</w:t>
      </w:r>
    </w:p>
    <w:p w14:paraId="0758F1C4">
      <w:pPr>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（示范文本）</w:t>
      </w:r>
    </w:p>
    <w:p w14:paraId="136B23DD">
      <w:pPr>
        <w:jc w:val="center"/>
        <w:rPr>
          <w:rFonts w:hint="eastAsia" w:asciiTheme="minorEastAsia" w:hAnsiTheme="minorEastAsia" w:eastAsiaTheme="minorEastAsia" w:cstheme="minorEastAsia"/>
          <w:b/>
          <w:color w:val="000000"/>
          <w:sz w:val="28"/>
          <w:szCs w:val="28"/>
        </w:rPr>
      </w:pPr>
    </w:p>
    <w:p w14:paraId="6A0C34F4">
      <w:pPr>
        <w:jc w:val="center"/>
        <w:rPr>
          <w:rFonts w:hint="eastAsia" w:asciiTheme="minorEastAsia" w:hAnsiTheme="minorEastAsia" w:eastAsiaTheme="minorEastAsia" w:cstheme="minorEastAsia"/>
          <w:b/>
          <w:color w:val="000000"/>
          <w:sz w:val="28"/>
          <w:szCs w:val="28"/>
        </w:rPr>
      </w:pPr>
    </w:p>
    <w:p w14:paraId="5B0F34EF">
      <w:pPr>
        <w:jc w:val="center"/>
        <w:rPr>
          <w:rFonts w:hint="eastAsia" w:asciiTheme="minorEastAsia" w:hAnsiTheme="minorEastAsia" w:eastAsiaTheme="minorEastAsia" w:cstheme="minorEastAsia"/>
          <w:b/>
          <w:color w:val="000000"/>
          <w:sz w:val="28"/>
          <w:szCs w:val="28"/>
        </w:rPr>
      </w:pPr>
    </w:p>
    <w:p w14:paraId="3BAABDB1">
      <w:pPr>
        <w:rPr>
          <w:rFonts w:hint="eastAsia" w:asciiTheme="minorEastAsia" w:hAnsiTheme="minorEastAsia" w:eastAsiaTheme="minorEastAsia" w:cstheme="minorEastAsia"/>
          <w:b/>
          <w:color w:val="000000"/>
          <w:sz w:val="28"/>
          <w:szCs w:val="28"/>
        </w:rPr>
      </w:pPr>
    </w:p>
    <w:p w14:paraId="487B155E">
      <w:pPr>
        <w:rPr>
          <w:rFonts w:hint="eastAsia" w:asciiTheme="minorEastAsia" w:hAnsiTheme="minorEastAsia" w:eastAsiaTheme="minorEastAsia" w:cstheme="minorEastAsia"/>
          <w:b/>
          <w:color w:val="000000"/>
          <w:sz w:val="28"/>
          <w:szCs w:val="28"/>
        </w:rPr>
      </w:pPr>
    </w:p>
    <w:p w14:paraId="329D9EED">
      <w:pPr>
        <w:rPr>
          <w:rFonts w:hint="eastAsia" w:asciiTheme="minorEastAsia" w:hAnsiTheme="minorEastAsia" w:eastAsiaTheme="minorEastAsia" w:cstheme="minorEastAsia"/>
          <w:b/>
          <w:color w:val="000000"/>
          <w:sz w:val="28"/>
          <w:szCs w:val="28"/>
        </w:rPr>
      </w:pPr>
    </w:p>
    <w:p w14:paraId="55B25502">
      <w:pPr>
        <w:rPr>
          <w:rFonts w:hint="eastAsia" w:asciiTheme="minorEastAsia" w:hAnsiTheme="minorEastAsia" w:eastAsiaTheme="minorEastAsia" w:cstheme="minorEastAsia"/>
          <w:b/>
          <w:color w:val="000000"/>
          <w:sz w:val="28"/>
          <w:szCs w:val="28"/>
        </w:rPr>
      </w:pPr>
    </w:p>
    <w:p w14:paraId="18DBF9BC">
      <w:pPr>
        <w:rPr>
          <w:rFonts w:hint="eastAsia" w:asciiTheme="minorEastAsia" w:hAnsiTheme="minorEastAsia" w:eastAsiaTheme="minorEastAsia" w:cstheme="minorEastAsia"/>
          <w:b/>
          <w:color w:val="000000"/>
          <w:sz w:val="28"/>
          <w:szCs w:val="28"/>
        </w:rPr>
      </w:pPr>
    </w:p>
    <w:p w14:paraId="08015271">
      <w:pPr>
        <w:ind w:right="2719" w:rightChars="1295" w:firstLine="3651" w:firstLineChars="1304"/>
        <w:jc w:val="distribute"/>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65408"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CEC8836">
                            <w:pPr>
                              <w:rPr>
                                <w:rFonts w:hint="eastAsia"/>
                                <w:b/>
                                <w:bCs/>
                                <w:sz w:val="28"/>
                                <w:szCs w:val="22"/>
                              </w:rPr>
                            </w:pPr>
                            <w:r>
                              <w:rPr>
                                <w:rFonts w:hint="eastAsia"/>
                                <w:b/>
                                <w:bCs/>
                                <w:sz w:val="28"/>
                                <w:szCs w:val="2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540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BMA6w8EAgAADAQAAA4AAAAAAAAAAQAgAAAAJwEA&#10;AGRycy9lMm9Eb2MueG1sUEsFBgAAAAAGAAYAWQEAAJ0FAAAAAA==&#10;">
                <v:fill on="f" focussize="0,0"/>
                <v:stroke color="#FFFFFF" joinstyle="miter"/>
                <v:imagedata o:title=""/>
                <o:lock v:ext="edit" aspectratio="f"/>
                <v:textbox>
                  <w:txbxContent>
                    <w:p w14:paraId="7CEC8836">
                      <w:pPr>
                        <w:rPr>
                          <w:rFonts w:hint="eastAsia"/>
                          <w:b/>
                          <w:bCs/>
                          <w:sz w:val="28"/>
                          <w:szCs w:val="22"/>
                        </w:rPr>
                      </w:pPr>
                      <w:r>
                        <w:rPr>
                          <w:rFonts w:hint="eastAsia"/>
                          <w:b/>
                          <w:bCs/>
                          <w:sz w:val="28"/>
                          <w:szCs w:val="22"/>
                        </w:rPr>
                        <w:t>制定</w:t>
                      </w:r>
                    </w:p>
                  </w:txbxContent>
                </v:textbox>
              </v:shape>
            </w:pict>
          </mc:Fallback>
        </mc:AlternateContent>
      </w:r>
      <w:r>
        <w:rPr>
          <w:rFonts w:hint="eastAsia" w:asciiTheme="minorEastAsia" w:hAnsiTheme="minorEastAsia" w:eastAsiaTheme="minorEastAsia" w:cstheme="minorEastAsia"/>
          <w:b/>
          <w:color w:val="000000"/>
          <w:sz w:val="28"/>
          <w:szCs w:val="28"/>
        </w:rPr>
        <w:t>住房城乡建设部</w:t>
      </w:r>
    </w:p>
    <w:p w14:paraId="4EBA89B1">
      <w:pPr>
        <w:ind w:right="2719" w:rightChars="1295" w:firstLine="2406" w:firstLineChars="856"/>
        <w:jc w:val="distribute"/>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国家工商行政管理总局</w:t>
      </w:r>
    </w:p>
    <w:p w14:paraId="675C67BD">
      <w:pPr>
        <w:rPr>
          <w:rFonts w:hint="eastAsia" w:asciiTheme="minorEastAsia" w:hAnsiTheme="minorEastAsia" w:eastAsiaTheme="minorEastAsia" w:cstheme="minorEastAsia"/>
          <w:b/>
          <w:color w:val="000000"/>
          <w:sz w:val="24"/>
          <w:szCs w:val="24"/>
        </w:rPr>
      </w:pPr>
    </w:p>
    <w:p w14:paraId="55040C87">
      <w:pPr>
        <w:pStyle w:val="121"/>
        <w:spacing w:before="0" w:after="0" w:line="240" w:lineRule="auto"/>
        <w:jc w:val="center"/>
        <w:outlineLvl w:val="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 w:val="0"/>
          <w:color w:val="000000"/>
          <w:sz w:val="24"/>
          <w:szCs w:val="24"/>
        </w:rPr>
        <w:br w:type="page"/>
      </w:r>
      <w:bookmarkStart w:id="391" w:name="_Toc296503025"/>
      <w:bookmarkStart w:id="392" w:name="_Toc296890982"/>
      <w:r>
        <w:rPr>
          <w:rFonts w:hint="eastAsia" w:asciiTheme="minorEastAsia" w:hAnsiTheme="minorEastAsia" w:eastAsiaTheme="minorEastAsia" w:cstheme="minorEastAsia"/>
          <w:sz w:val="24"/>
          <w:szCs w:val="24"/>
          <w:lang w:val="zh-CN"/>
        </w:rPr>
        <w:t>说  明</w:t>
      </w:r>
    </w:p>
    <w:p w14:paraId="5AAFEAC0">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w:t>
      </w:r>
      <w:r>
        <w:rPr>
          <w:rFonts w:hint="eastAsia" w:asciiTheme="minorEastAsia" w:hAnsiTheme="minorEastAsia" w:eastAsiaTheme="minorEastAsia" w:cstheme="minorEastAsia"/>
          <w:sz w:val="24"/>
          <w:szCs w:val="24"/>
          <w:lang w:val="en-US" w:eastAsia="zh-CN"/>
        </w:rPr>
        <w:t>2013</w:t>
      </w:r>
      <w:r>
        <w:rPr>
          <w:rFonts w:hint="eastAsia" w:asciiTheme="minorEastAsia" w:hAnsiTheme="minorEastAsia" w:eastAsiaTheme="minorEastAsia" w:cstheme="minorEastAsia"/>
          <w:sz w:val="24"/>
          <w:szCs w:val="24"/>
        </w:rPr>
        <w:t>-0201）进行了修订，制定了《建设工程施工合同（示范文本）》（GF-201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-0201）（以下简称《示范文本》）。为了便于合同当事人使用《示范文本》，现就有关问题说明如下：</w:t>
      </w:r>
    </w:p>
    <w:p w14:paraId="23770C68">
      <w:pPr>
        <w:ind w:firstLine="480" w:firstLineChars="200"/>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一、《示范文本》的组成</w:t>
      </w:r>
    </w:p>
    <w:p w14:paraId="4F48E041">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《示范文本》由合同协议书、通用合同条款和专用合同条款三部分组成。</w:t>
      </w:r>
    </w:p>
    <w:p w14:paraId="5B2A82EC">
      <w:pPr>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（一）合同协议书</w:t>
      </w:r>
    </w:p>
    <w:p w14:paraId="61484C6A">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36349324">
      <w:pPr>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（二）通用合同条款</w:t>
      </w:r>
    </w:p>
    <w:p w14:paraId="15B54DC5">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通用合同条款是合同当事人根据《中华人民共和国建筑法》、《中华人民共和国合同法》等法律法规的规定，就工程建设的实施及相关事项，对合同当事人的权利义务作出的原则性约定。</w:t>
      </w:r>
    </w:p>
    <w:p w14:paraId="0B17A3A5">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B30A9F4">
      <w:pPr>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（三）专用合同条款</w:t>
      </w:r>
    </w:p>
    <w:p w14:paraId="1B09FBF7">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7CB46FE5">
      <w:pPr>
        <w:ind w:right="25" w:rightChars="12"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专用合同条款的编号应与相应的通用合同条款的编号一致；</w:t>
      </w:r>
    </w:p>
    <w:p w14:paraId="396DDFB1">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合同当事人可以通过对专用合同条款的修改，满足具体建设工程的特殊要求，避免直接修改通用合同条款；</w:t>
      </w:r>
    </w:p>
    <w:p w14:paraId="56920A2F">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在专用合同条款中有横道线的地方，合同当事人可针对相应的通用合同条款进行细化、完善、补充、修改或另行约定；如无细化、完善、补充、修改或另行约定，则填写“无”或划“/”。</w:t>
      </w:r>
    </w:p>
    <w:p w14:paraId="4F8C4FAB">
      <w:pPr>
        <w:ind w:firstLine="480" w:firstLineChars="200"/>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二、《示范文本》的性质和适用范围</w:t>
      </w:r>
    </w:p>
    <w:p w14:paraId="1BB9DD86">
      <w:pPr>
        <w:ind w:firstLine="480" w:firstLineChars="200"/>
        <w:rPr>
          <w:rFonts w:hint="eastAsia" w:asciiTheme="minorEastAsia" w:hAnsiTheme="minorEastAsia" w:eastAsiaTheme="minorEastAsia" w:cstheme="minorEastAsia"/>
          <w:sz w:val="24"/>
          <w:szCs w:val="24"/>
        </w:rPr>
        <w:sectPr>
          <w:footerReference r:id="rId21" w:type="first"/>
          <w:footerReference r:id="rId20" w:type="default"/>
          <w:pgSz w:w="11906" w:h="16838"/>
          <w:pgMar w:top="1418" w:right="1555" w:bottom="1418" w:left="1531" w:header="851" w:footer="992" w:gutter="0"/>
          <w:pgNumType w:fmt="decimal"/>
          <w:cols w:space="720" w:num="1"/>
          <w:docGrid w:type="lines" w:linePitch="312" w:charSpace="0"/>
        </w:sectPr>
      </w:pPr>
      <w:r>
        <w:rPr>
          <w:rFonts w:hint="eastAsia" w:asciiTheme="minorEastAsia" w:hAnsiTheme="minorEastAsia" w:eastAsiaTheme="minorEastAsia" w:cstheme="minorEastAsia"/>
          <w:sz w:val="24"/>
          <w:szCs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67DEA5A7">
      <w:pPr>
        <w:pStyle w:val="121"/>
        <w:spacing w:before="120" w:after="12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zh-CN"/>
        </w:rPr>
        <w:t>目  录</w:t>
      </w:r>
    </w:p>
    <w:p w14:paraId="37C97BD6">
      <w:pPr>
        <w:pStyle w:val="15"/>
        <w:tabs>
          <w:tab w:val="right" w:leader="dot" w:pos="8810"/>
          <w:tab w:val="clear" w:pos="1260"/>
          <w:tab w:val="clear" w:pos="8630"/>
        </w:tabs>
        <w:ind w:left="0" w:leftChars="0" w:firstLine="330" w:firstLineChars="15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TOC \o "1-5" \h \z \u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"_Toc351203480"</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b/>
          <w:sz w:val="22"/>
          <w:szCs w:val="22"/>
        </w:rPr>
        <w:t>第一部分 合同协议书</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pacing w:val="34"/>
          <w:sz w:val="22"/>
          <w:szCs w:val="22"/>
        </w:rPr>
        <w:t>…</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_Toc351203480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b/>
          <w:sz w:val="22"/>
          <w:szCs w:val="22"/>
        </w:rPr>
        <w:fldChar w:fldCharType="end"/>
      </w:r>
    </w:p>
    <w:p w14:paraId="0CDCE389">
      <w:pPr>
        <w:pStyle w:val="24"/>
        <w:tabs>
          <w:tab w:val="left" w:pos="1890"/>
          <w:tab w:val="right" w:leader="dot" w:pos="8296"/>
        </w:tabs>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"_Toc351203481"</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一、工程概况</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_Toc351203481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6E54431">
      <w:pPr>
        <w:pStyle w:val="24"/>
        <w:tabs>
          <w:tab w:val="left" w:pos="1890"/>
          <w:tab w:val="right" w:leader="dot" w:pos="8296"/>
        </w:tabs>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"_Toc351203482"</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二、合同工期</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_Toc351203482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A714D36">
      <w:pPr>
        <w:pStyle w:val="24"/>
        <w:tabs>
          <w:tab w:val="left" w:pos="1890"/>
          <w:tab w:val="right" w:leader="dot" w:pos="8296"/>
        </w:tabs>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"_Toc351203483"</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三、质量标准</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_Toc351203483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7EBD4EA9">
      <w:pPr>
        <w:pStyle w:val="24"/>
        <w:tabs>
          <w:tab w:val="left" w:pos="1890"/>
          <w:tab w:val="right" w:leader="dot" w:pos="8296"/>
        </w:tabs>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"_Toc351203484"</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四、签约合同价与合同价格形式</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_Toc351203484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2EB2281">
      <w:pPr>
        <w:pStyle w:val="24"/>
        <w:tabs>
          <w:tab w:val="left" w:pos="1890"/>
          <w:tab w:val="right" w:leader="dot" w:pos="8296"/>
        </w:tabs>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"_Toc351203485"</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五、项目经理</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_Toc351203485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43988A0F">
      <w:pPr>
        <w:pStyle w:val="24"/>
        <w:tabs>
          <w:tab w:val="left" w:pos="1890"/>
          <w:tab w:val="right" w:leader="dot" w:pos="8296"/>
        </w:tabs>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"_Toc351203486"</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六、合同文件构成</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fldChar w:fldCharType="end"/>
      </w:r>
    </w:p>
    <w:p w14:paraId="7837E8A1">
      <w:pPr>
        <w:pStyle w:val="24"/>
        <w:tabs>
          <w:tab w:val="left" w:pos="1890"/>
          <w:tab w:val="right" w:leader="dot" w:pos="8296"/>
        </w:tabs>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"_Toc351203487"</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七、承诺</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_Toc351203487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595D359">
      <w:pPr>
        <w:pStyle w:val="24"/>
        <w:tabs>
          <w:tab w:val="left" w:pos="1890"/>
          <w:tab w:val="right" w:leader="dot" w:pos="8296"/>
        </w:tabs>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"_Toc351203488"</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八、词语含义</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rPr>
        <w:fldChar w:fldCharType="end"/>
      </w:r>
    </w:p>
    <w:p w14:paraId="1BAB8B18">
      <w:pPr>
        <w:pStyle w:val="24"/>
        <w:tabs>
          <w:tab w:val="left" w:pos="1890"/>
          <w:tab w:val="right" w:leader="dot" w:pos="8296"/>
        </w:tabs>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"_Toc351203489"</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九、签订时间</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_Toc351203489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48D48D0D">
      <w:pPr>
        <w:pStyle w:val="24"/>
        <w:tabs>
          <w:tab w:val="left" w:pos="1890"/>
          <w:tab w:val="right" w:leader="dot" w:pos="8296"/>
        </w:tabs>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"_Toc351203490"</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十、签订地点</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_Toc351203490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43E984BC">
      <w:pPr>
        <w:pStyle w:val="24"/>
        <w:tabs>
          <w:tab w:val="left" w:pos="1890"/>
          <w:tab w:val="right" w:leader="dot" w:pos="8296"/>
        </w:tabs>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"_Toc351203491"</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十一、补充协议</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_Toc351203491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B351303">
      <w:pPr>
        <w:pStyle w:val="24"/>
        <w:tabs>
          <w:tab w:val="left" w:pos="1890"/>
          <w:tab w:val="right" w:leader="dot" w:pos="8296"/>
        </w:tabs>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"_Toc351203492"</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十二、合同生效</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_Toc351203492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0C15C7F">
      <w:pPr>
        <w:pStyle w:val="24"/>
        <w:tabs>
          <w:tab w:val="left" w:pos="1890"/>
          <w:tab w:val="right" w:leader="dot" w:pos="8296"/>
        </w:tabs>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"_Toc351203493"</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十三、合同份数</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_Toc351203493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3B37570F">
      <w:pPr>
        <w:pStyle w:val="15"/>
        <w:tabs>
          <w:tab w:val="right" w:leader="dot" w:pos="8810"/>
          <w:tab w:val="clear" w:pos="1260"/>
          <w:tab w:val="clear" w:pos="8630"/>
        </w:tabs>
        <w:ind w:left="0" w:leftChars="0" w:firstLine="219" w:firstLineChars="99"/>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fldChar w:fldCharType="begin"/>
      </w:r>
      <w:r>
        <w:rPr>
          <w:rStyle w:val="48"/>
          <w:rFonts w:hint="eastAsia" w:asciiTheme="minorEastAsia" w:hAnsiTheme="minorEastAsia" w:eastAsiaTheme="minorEastAsia" w:cstheme="minorEastAsia"/>
          <w:b/>
          <w:sz w:val="22"/>
          <w:szCs w:val="22"/>
        </w:rPr>
        <w:instrText xml:space="preserve"> </w:instrText>
      </w:r>
      <w:r>
        <w:rPr>
          <w:rFonts w:hint="eastAsia" w:asciiTheme="minorEastAsia" w:hAnsiTheme="minorEastAsia" w:eastAsiaTheme="minorEastAsia" w:cstheme="minorEastAsia"/>
          <w:b/>
          <w:sz w:val="22"/>
          <w:szCs w:val="22"/>
        </w:rPr>
        <w:instrText xml:space="preserve">HYPERLINK \l "_Toc351203494"</w:instrText>
      </w:r>
      <w:r>
        <w:rPr>
          <w:rStyle w:val="48"/>
          <w:rFonts w:hint="eastAsia" w:asciiTheme="minorEastAsia" w:hAnsiTheme="minorEastAsia" w:eastAsiaTheme="minorEastAsia" w:cstheme="minorEastAsia"/>
          <w:b/>
          <w:sz w:val="22"/>
          <w:szCs w:val="22"/>
        </w:rPr>
        <w:instrText xml:space="preserve"> </w:instrText>
      </w:r>
      <w:r>
        <w:rPr>
          <w:rFonts w:hint="eastAsia" w:asciiTheme="minorEastAsia" w:hAnsiTheme="minorEastAsia" w:eastAsiaTheme="minorEastAsia" w:cstheme="minorEastAsia"/>
          <w:b/>
          <w:sz w:val="22"/>
          <w:szCs w:val="22"/>
        </w:rPr>
        <w:fldChar w:fldCharType="separate"/>
      </w:r>
      <w:r>
        <w:rPr>
          <w:rStyle w:val="48"/>
          <w:rFonts w:hint="eastAsia" w:asciiTheme="minorEastAsia" w:hAnsiTheme="minorEastAsia" w:eastAsiaTheme="minorEastAsia" w:cstheme="minorEastAsia"/>
          <w:b/>
          <w:sz w:val="22"/>
          <w:szCs w:val="22"/>
        </w:rPr>
        <w:t>第二部分 通用合同条款</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_Toc351203494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b/>
          <w:sz w:val="22"/>
          <w:szCs w:val="22"/>
        </w:rPr>
        <w:fldChar w:fldCharType="end"/>
      </w:r>
    </w:p>
    <w:p w14:paraId="2E461603">
      <w:pPr>
        <w:pStyle w:val="24"/>
        <w:tabs>
          <w:tab w:val="left" w:pos="1890"/>
          <w:tab w:val="right" w:leader="dot" w:pos="8296"/>
        </w:tabs>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"_Toc351203495"</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 一般约定</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_Toc351203495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C9F7560">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"_Toc351203496"</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1.1词语定义与解释</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_Toc351203496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32092D2">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"_Toc351203497"</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1.2语言文字</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_Toc351203497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B57E152">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"_Toc351203498"</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1.3法律</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_Toc351203498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AD8587B">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"_Toc351203499"</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1.4 标准和规范</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_Toc351203499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A7478C7">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"_Toc351203500"</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1.5 合同文件的优先顺序</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_Toc351203500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73F16C61">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"_Toc351203501"</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1.6图纸和承包人文件</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_Toc351203501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70AB6F62">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"_Toc351203502"</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1.7联络</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_Toc351203502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3E021E35">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"_Toc351203503"</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1.8严禁贿赂</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_Toc351203503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860BE4D">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"_Toc351203504"</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1.9化石、文物</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_Toc351203504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410188E8">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"_Toc351203505"</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1.10交通运输</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_Toc351203505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354A5512">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"_Toc351203506"</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1.11知识产权</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_Toc351203506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5D1AF69">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"_Toc351203507"</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1.12保密</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_Toc351203507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0BB2BFE">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"_Toc351203508"</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1.13工程量清单错误的修正</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_Toc351203508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E368987">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"_Toc351203509"</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2. 发包人</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_Toc351203509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F2A40AD">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"_Toc351203510"</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2.1 许可或批准</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_Toc351203510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B84AB28">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"_Toc351203511"</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2.2 发包人代表</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_Toc351203511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3885D3D1">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"_Toc351203512"</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2.3 发包人人员</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_Toc351203512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778C14D">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"_Toc351203513"</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2.4 施工现场、施工条件和基础资料的提供</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_Toc351203513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3306860C">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"_Toc351203514"</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2.5 资金来源证明及支付担保</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_Toc351203514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3AD723F">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"_Toc351203515"</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2.6 支付合同价款</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_Toc351203515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707597FF">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"_Toc351203516"</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2.7 组织竣工验收</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_Toc351203516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CAEF263">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"_Toc351203517"</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2.8 现场统一管理协议</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_Toc351203517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C3CEF06">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"_Toc351203518"</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3. 承包人</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_Toc351203518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6C9A82A">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"_Toc351203519"</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3.1 承包人的一般义务</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_Toc351203519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4D16B6B2">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"_Toc351203520"</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3.2 项目经理</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_Toc351203520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87</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FEE2480">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"_Toc351203521"</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3.3 承包人人员</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_Toc351203521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7F491BB">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"_Toc351203522"</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3.4 承包人现场查勘</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_Toc351203522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860088A">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"_Toc351203523"</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3.5 分包</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_Toc351203523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74E9382">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"_Toc351203524"</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3.6 工程照管与成品、半成品保护</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_Toc351203524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F34EE27">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"_Toc351203525"</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3.7 履约担保</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_Toc351203525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B1EA813">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"_Toc351203526"</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3.8 联合体</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_Toc351203526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4954C899">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"_Toc351203527"</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4. 监理人</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30</w:t>
      </w:r>
      <w:r>
        <w:rPr>
          <w:rFonts w:hint="eastAsia" w:asciiTheme="minorEastAsia" w:hAnsiTheme="minorEastAsia" w:eastAsiaTheme="minorEastAsia" w:cstheme="minorEastAsia"/>
          <w:sz w:val="22"/>
          <w:szCs w:val="22"/>
        </w:rPr>
        <w:fldChar w:fldCharType="end"/>
      </w:r>
    </w:p>
    <w:p w14:paraId="3BC1F508">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"_Toc351203528"</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4.1监理人的一般规定</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30</w:t>
      </w:r>
      <w:r>
        <w:rPr>
          <w:rFonts w:hint="eastAsia" w:asciiTheme="minorEastAsia" w:hAnsiTheme="minorEastAsia" w:eastAsiaTheme="minorEastAsia" w:cstheme="minorEastAsia"/>
          <w:sz w:val="22"/>
          <w:szCs w:val="22"/>
        </w:rPr>
        <w:fldChar w:fldCharType="end"/>
      </w:r>
    </w:p>
    <w:p w14:paraId="7D84768B">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"_Toc351203529"</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4.2监理人员</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_Toc351203529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76949B33">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"_Toc351203530"</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4.3监理人的指示</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_Toc351203530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3EF40B4A">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"_Toc351203531"</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4.4 商定或确定</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_Toc351203531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AA8AB41">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"_Toc351203532"</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5. 工程质量</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_Toc351203532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0AD91BC">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"_Toc351203533"</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5.1质量要求</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_Toc351203533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89FCC56">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"_Toc351203534"</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5.2质量保证措施</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_Toc351203534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33408026">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"_Toc351203535"</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5.3 隐蔽工程检查</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_Toc351203535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8ECAB26">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"_Toc351203536"</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5.4不合格工程的处理</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_Toc351203536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4B05D51">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"_Toc351203537"</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5.5 质量争议检测</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_Toc351203537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F92BC7B">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"_Toc351203538"</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6. 安全文明施工与环境保护</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_Toc351203538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7531FE55">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"_Toc351203539"</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6.1安全文明施工</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_Toc351203539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FC7708F">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"_Toc351203540"</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6.2 职业健康</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_Toc351203540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97</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48168557">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"_Toc351203541"</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6.3 环境保护</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_Toc351203541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4E21021C">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"_Toc351203542"</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7. 工期和进度</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_Toc351203542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BD736EC">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"_Toc351203543"</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7.1施工组织设计</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_Toc351203543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A519AF5">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"_Toc351203544"</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7.2 施工进度计划</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_Toc351203544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ABFAC19">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"_Toc351203545"</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7.3 开工</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_Toc351203545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2291197">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"_Toc351203546"</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7.4测量放线</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_Toc351203546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2A0768F">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"_Toc351203547"</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7.5工期延误</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_Toc351203547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37907056">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"_Toc351203548"</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7.6 不利物质条件</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_Toc351203548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3FD46CC7">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"_Toc351203549"</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7.7异常恶劣的气候条件</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_Toc351203549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3F5982BE">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"_Toc351203550"</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7.8 暂停施工</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_Toc351203550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758675B8">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"_Toc351203551"</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7.9 提前竣工</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_Toc351203551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320790E">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"_Toc351203552"</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8. 材料与设备</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50</w:t>
      </w:r>
      <w:r>
        <w:rPr>
          <w:rFonts w:hint="eastAsia" w:asciiTheme="minorEastAsia" w:hAnsiTheme="minorEastAsia" w:eastAsiaTheme="minorEastAsia" w:cstheme="minorEastAsia"/>
          <w:sz w:val="22"/>
          <w:szCs w:val="22"/>
        </w:rPr>
        <w:fldChar w:fldCharType="end"/>
      </w:r>
    </w:p>
    <w:p w14:paraId="21F54FCB">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"_Toc351203553"</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8.1发包人供应材料与工程设备</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50</w:t>
      </w:r>
      <w:r>
        <w:rPr>
          <w:rFonts w:hint="eastAsia" w:asciiTheme="minorEastAsia" w:hAnsiTheme="minorEastAsia" w:eastAsiaTheme="minorEastAsia" w:cstheme="minorEastAsia"/>
          <w:sz w:val="22"/>
          <w:szCs w:val="22"/>
        </w:rPr>
        <w:fldChar w:fldCharType="end"/>
      </w:r>
    </w:p>
    <w:p w14:paraId="3E8DEDA4">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"_Toc351203554"</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8.2承包人采购材料与工程设备</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_Toc351203554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242CD02">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"_Toc351203555"</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8.3材料与工程设备的接收与拒收</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_Toc351203555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3C4E349">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"_Toc351203556"</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8.4材料与工程设备的保管与使用</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_Toc351203556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AD4E9BB">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"_Toc351203557"</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8.5 禁止使用不合格的材料和工程设备</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_Toc351203557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3341C21F">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"_Toc351203558"</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8.6 样品</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_Toc351203558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6A99AE5">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"_Toc351203559"</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8.7 材料与工程设备的替代</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_Toc351203559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3878AA2">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"_Toc351203560"</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8.8 施工设备和临时设施</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_Toc351203560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107</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41551023">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"_Toc351203561"</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8.9材料与设备专用要求</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_Toc351203561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107</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1C14A02">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"_Toc351203562"</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9. 试验与检验</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_Toc351203562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107</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75BC4664">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"_Toc351203563"</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9.1试验设备与试验人员</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_Toc351203563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107</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1F955A7">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"_Toc351203564"</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9.2取样</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_Toc351203564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467C55F">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"_Toc351203565"</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9.3 材料、工程设备和工程的试验和检验</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_Toc351203565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47BA3E7D">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"_Toc351203566"</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9.4 现场工艺试验</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_Toc351203566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3439E32B">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"_Toc351203567"</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10. 变更</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_Toc351203567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4B15450A">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"_Toc351203568"</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10.1变更的范围</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_Toc351203568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50EEF91">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"_Toc351203569"</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10.2 变更权</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_Toc351203569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7A40E683">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"_Toc351203570"</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10.3变更程序</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_Toc351203570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2F9F03E">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"_Toc351203571"</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10.4变更估价</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_Toc351203571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110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78290DD7">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"_Toc351203572"</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10.5 承包人的合理化建议</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_Toc351203572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110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CD7B06E">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"_Toc351203573"</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10.6 变更引起的工期调整</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_Toc351203573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111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E71B123">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"_Toc351203574"</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10.7 暂估价</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_Toc351203574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111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0D4A823">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"_Toc351203575"</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10.8 暂列金额</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_Toc351203575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112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77CE5AB">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"_Toc351203576"</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10.9 计日工</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_Toc351203576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112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FC29C72">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"_Toc351203577"</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11. 价格调整</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_Toc351203577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113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4FF0A7B">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"_Toc351203578"</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11.1 市场价格波动引起的调整</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_Toc351203578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113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2E05006">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"_Toc351203579"</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11.2 法律变化引起的调整</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_Toc351203579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115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0FF51BC">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"_Toc351203580"</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12. 合同价格、计量与支付</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_Toc351203580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116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31B8A6D7">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"_Toc351203581"</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12.1 合同价格形式</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_Toc351203581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116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A565EAB">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"_Toc351203582"</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12.2 预付款</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_Toc351203582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116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78A2C9EC">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"_Toc351203583"</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12.3 计量</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70</w:t>
      </w:r>
      <w:r>
        <w:rPr>
          <w:rFonts w:hint="eastAsia" w:asciiTheme="minorEastAsia" w:hAnsiTheme="minorEastAsia" w:eastAsiaTheme="minorEastAsia" w:cstheme="minorEastAsia"/>
          <w:sz w:val="22"/>
          <w:szCs w:val="22"/>
        </w:rPr>
        <w:fldChar w:fldCharType="end"/>
      </w:r>
    </w:p>
    <w:p w14:paraId="4B2F27EE">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"_Toc351203584"</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12.4 工程进度款支付</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_Toc351203584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118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427A1A7">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"_Toc351203585"</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12.5 支付账户</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_Toc351203585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3870538">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"_Toc351203586"</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13. 验收和工程试车</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_Toc351203586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447B1068">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"_Toc351203587"</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13.1 分部分项工程验收</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_Toc351203587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99B7B2F">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"_Toc351203588"</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13.2竣工验收</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_Toc351203588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70815F0">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"_Toc351203589"</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13.3工程试车</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_Toc351203589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90E455C">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"_Toc351203590"</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13.4提前交付单位工程的验收</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_Toc351203590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95CA789">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"_Toc351203591"</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13.5 施工期运行</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_Toc351203591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5E94D79">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"_Toc351203592"</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13.6 竣工退场</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_Toc351203592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CB257E2">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"_Toc351203593"</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14. 竣工结算</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_Toc351203593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1341788">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"_Toc351203594"</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14.1 竣工结算申请</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_Toc351203594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E876F95">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"_Toc351203595"</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14.2 竣工</w:t>
      </w:r>
      <w:bookmarkStart w:id="393" w:name="_Hlt356058165"/>
      <w:bookmarkStart w:id="394" w:name="_Hlt356058166"/>
      <w:r>
        <w:rPr>
          <w:rStyle w:val="48"/>
          <w:rFonts w:hint="eastAsia" w:asciiTheme="minorEastAsia" w:hAnsiTheme="minorEastAsia" w:eastAsiaTheme="minorEastAsia" w:cstheme="minorEastAsia"/>
          <w:sz w:val="22"/>
          <w:szCs w:val="22"/>
        </w:rPr>
        <w:t>结</w:t>
      </w:r>
      <w:bookmarkEnd w:id="393"/>
      <w:bookmarkEnd w:id="394"/>
      <w:r>
        <w:rPr>
          <w:rStyle w:val="48"/>
          <w:rFonts w:hint="eastAsia" w:asciiTheme="minorEastAsia" w:hAnsiTheme="minorEastAsia" w:eastAsiaTheme="minorEastAsia" w:cstheme="minorEastAsia"/>
          <w:sz w:val="22"/>
          <w:szCs w:val="22"/>
        </w:rPr>
        <w:t>算审核</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_Toc351203595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70EC9886">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"_Toc351203596"</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14.3 甩项竣工协议</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_Toc351203596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4E6D43BF">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"_Toc351203597"</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14.4 最终结清</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_Toc351203597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E0C90AE">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"_Toc351203598"</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15. 缺陷责任与保修</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_Toc351203598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127</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5CFE99C">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"_Toc351203599"</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15.1 工程保修的原则</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_Toc351203599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127</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8F2C25F">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"_Toc351203600"</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15.2 缺</w:t>
      </w:r>
      <w:bookmarkStart w:id="395" w:name="_Hlt354658487"/>
      <w:bookmarkStart w:id="396" w:name="_Hlt354658488"/>
      <w:r>
        <w:rPr>
          <w:rStyle w:val="48"/>
          <w:rFonts w:hint="eastAsia" w:asciiTheme="minorEastAsia" w:hAnsiTheme="minorEastAsia" w:eastAsiaTheme="minorEastAsia" w:cstheme="minorEastAsia"/>
          <w:sz w:val="22"/>
          <w:szCs w:val="22"/>
        </w:rPr>
        <w:t>陷</w:t>
      </w:r>
      <w:bookmarkEnd w:id="395"/>
      <w:bookmarkEnd w:id="396"/>
      <w:r>
        <w:rPr>
          <w:rStyle w:val="48"/>
          <w:rFonts w:hint="eastAsia" w:asciiTheme="minorEastAsia" w:hAnsiTheme="minorEastAsia" w:eastAsiaTheme="minorEastAsia" w:cstheme="minorEastAsia"/>
          <w:sz w:val="22"/>
          <w:szCs w:val="22"/>
        </w:rPr>
        <w:t>责任期</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_Toc351203600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127</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7967EC91">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"_Toc351203601"</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15.3 质量保证金</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_Toc351203601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7160BCF">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"_Toc351203602"</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15.4 保修</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_Toc351203602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1FF3D64">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"_Toc351203603"</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16. 违约</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_Toc351203603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792A8428">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"_Toc351203604"</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16.1 发包人违约</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_Toc351203604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C44C0F3">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"_Toc351203605"</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16.2 承包人违约</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_Toc351203605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52C6C6E">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"_Toc351203606"</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16.3 第三人造成的违约</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_Toc351203606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313C4D30">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"_Toc351203607"</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17. 不可抗力</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_Toc351203607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7B64354A">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"_Toc351203608"</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17.1 不可抗力的确认</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_Toc351203608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4A5D9858">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"_Toc351203609"</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17.2 不可抗力的通知</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_Toc351203609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428F314">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"_Toc351203610"</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17.3 不可抗力后果的承担</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_Toc351203610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48788C43">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"_Toc351203611"</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17.4 因不可抗力解除合同</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_Toc351203611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9D9ACF5">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"_Toc351203612"</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18. 保险</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_Toc351203612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FCBACEB">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"_Toc351203613"</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18.1 工程保险</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_Toc351203613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B94CDC3">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"_Toc351203614"</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18.2 工伤保险</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_Toc351203614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908E748">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"_Toc351203615"</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18.3 其他保险</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_Toc351203615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7B8A4D1">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"_Toc351203616"</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18.4 持续保险</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_Toc351203616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74CB2DB">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"_Toc351203617"</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18.5 保险凭证</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_Toc351203617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2B7FF38">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"_Toc351203618"</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18.6 未按约定投保的补救</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_Toc351203618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67A33F0">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"_Toc351203619"</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18.7 通知义务</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_Toc351203619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4649F44F">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"_Toc351203620"</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19. 索赔</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_Toc351203620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CCAEE97">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"_Toc351203621"</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19.1 承包人的索赔</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_Toc351203621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13C441E">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"_Toc351203622"</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19.2 对承包人索赔的处理</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_Toc351203622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137</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50F5CB6">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"_Toc351203623"</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19.3 发包人的索赔</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100</w:t>
      </w:r>
      <w:r>
        <w:rPr>
          <w:rFonts w:hint="eastAsia" w:asciiTheme="minorEastAsia" w:hAnsiTheme="minorEastAsia" w:eastAsiaTheme="minorEastAsia" w:cstheme="minorEastAsia"/>
          <w:sz w:val="22"/>
          <w:szCs w:val="22"/>
        </w:rPr>
        <w:fldChar w:fldCharType="end"/>
      </w:r>
    </w:p>
    <w:p w14:paraId="6875C081">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"_Toc351203624"</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19.4 对发包人索赔的处理</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_Toc351203624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137</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6DFA0BB">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"_Toc351203625"</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19.5 提出索赔的期限</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_Toc351203625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137</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0223342F">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"_Toc351203626"</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20. 争议解决</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_Toc351203626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76985DF6">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"_Toc351203627"</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20.1和解</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_Toc351203627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114F3808">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"_Toc351203628"</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20.2调解</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_Toc351203628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5F7DA454">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"_Toc351203629"</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20.3争议评审</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_Toc351203629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62B8D7CC">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"_Toc351203630"</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20.4仲裁或诉讼</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_Toc351203630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25B54F46">
      <w:pPr>
        <w:pStyle w:val="14"/>
        <w:tabs>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"_Toc351203631"</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20.5争议解决条款效力</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_Toc351203631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14:paraId="77736F6F">
      <w:pPr>
        <w:pStyle w:val="15"/>
        <w:tabs>
          <w:tab w:val="right" w:leader="dot" w:pos="8810"/>
          <w:tab w:val="clear" w:pos="1260"/>
          <w:tab w:val="clear" w:pos="8630"/>
        </w:tabs>
        <w:rPr>
          <w:rStyle w:val="48"/>
          <w:rFonts w:hint="eastAsia" w:asciiTheme="minorEastAsia" w:hAnsiTheme="minorEastAsia" w:eastAsiaTheme="minorEastAsia" w:cstheme="minorEastAsia"/>
          <w:b/>
          <w:sz w:val="22"/>
          <w:szCs w:val="22"/>
        </w:rPr>
      </w:pPr>
    </w:p>
    <w:p w14:paraId="41AF6F7D">
      <w:pPr>
        <w:pStyle w:val="15"/>
        <w:tabs>
          <w:tab w:val="right" w:leader="dot" w:pos="8810"/>
          <w:tab w:val="clear" w:pos="1260"/>
          <w:tab w:val="clear" w:pos="8630"/>
        </w:tabs>
        <w:ind w:left="0" w:leftChars="0"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"_Toc351203632"</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b/>
          <w:sz w:val="22"/>
          <w:szCs w:val="22"/>
        </w:rPr>
        <w:t>第三部分 专用合同条款</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104</w:t>
      </w:r>
    </w:p>
    <w:p w14:paraId="39466D99">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"_Toc351203633"</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 一般约定</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04</w:t>
      </w:r>
    </w:p>
    <w:p w14:paraId="5D45E3D1">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"_Toc351203634"</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2. 发包人</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08</w:t>
      </w:r>
    </w:p>
    <w:p w14:paraId="14C8B0A5">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"_Toc351203635"</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3. 承包人</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09</w:t>
      </w:r>
    </w:p>
    <w:p w14:paraId="3A08D6E8">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"_Toc351203636"</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4. 监理人</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12</w:t>
      </w:r>
    </w:p>
    <w:p w14:paraId="5885422D">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"_Toc351203637"</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5. 工程质量</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13</w:t>
      </w:r>
    </w:p>
    <w:p w14:paraId="5AA6071C">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"_Toc351203638"</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6. 安全文明施工与环境保护</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14</w:t>
      </w:r>
    </w:p>
    <w:p w14:paraId="4CA38422">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"_Toc351203639"</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7. 工期和进度</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14</w:t>
      </w:r>
    </w:p>
    <w:p w14:paraId="2A0AC7B8">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"_Toc351203640"</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8. 材料与设备</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16</w:t>
      </w:r>
    </w:p>
    <w:p w14:paraId="41535040">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"_Toc351203641"</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9. 试验与检验</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17</w:t>
      </w:r>
    </w:p>
    <w:p w14:paraId="279CD4DF">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"_Toc351203642"</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10. 变更</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18</w:t>
      </w:r>
    </w:p>
    <w:p w14:paraId="5F64542B">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"_Toc351203643"</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11. 价格调整</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19</w:t>
      </w:r>
    </w:p>
    <w:p w14:paraId="5FAA1386">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"_Toc351203644"</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12. 合同价格、计量与支付</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20</w:t>
      </w:r>
    </w:p>
    <w:p w14:paraId="0DA48AD3">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"_Toc351203645"</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13. 验收和工程试车</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23</w:t>
      </w:r>
    </w:p>
    <w:p w14:paraId="4EB1FC56">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"_Toc351203646"</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14. 竣工结算</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24</w:t>
      </w:r>
    </w:p>
    <w:p w14:paraId="4E303E62">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"_Toc351203647"</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15. 缺陷责任期与保修</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25</w:t>
      </w:r>
    </w:p>
    <w:p w14:paraId="7737A820">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"_Toc351203648"</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16. 违约</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26</w:t>
      </w:r>
    </w:p>
    <w:p w14:paraId="73066A4F">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"_Toc351203649"</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17. 不可抗力</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28</w:t>
      </w:r>
    </w:p>
    <w:p w14:paraId="17238059">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"_Toc351203650"</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18. 保险</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29</w:t>
      </w:r>
    </w:p>
    <w:p w14:paraId="5881456A">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"_Toc351203651"</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20. 争议解决</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29</w:t>
      </w:r>
    </w:p>
    <w:p w14:paraId="448D37DA">
      <w:pPr>
        <w:pStyle w:val="24"/>
        <w:tabs>
          <w:tab w:val="left" w:pos="1890"/>
          <w:tab w:val="right" w:leader="dot" w:pos="8296"/>
        </w:tabs>
        <w:ind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instrText xml:space="preserve">HYPERLINK \l "_Toc351203652"</w:instrText>
      </w:r>
      <w:r>
        <w:rPr>
          <w:rStyle w:val="48"/>
          <w:rFonts w:hint="eastAsia" w:asciiTheme="minorEastAsia" w:hAnsiTheme="minorEastAsia" w:eastAsiaTheme="minorEastAsia" w:cstheme="minorEastAsia"/>
          <w:sz w:val="22"/>
          <w:szCs w:val="22"/>
        </w:rPr>
        <w:instrText xml:space="preserve"> </w:instrText>
      </w:r>
      <w:r>
        <w:rPr>
          <w:rFonts w:hint="eastAsia" w:asciiTheme="minorEastAsia" w:hAnsiTheme="minorEastAsia" w:eastAsiaTheme="minorEastAsia" w:cstheme="minorEastAsia"/>
          <w:sz w:val="22"/>
          <w:szCs w:val="22"/>
        </w:rPr>
        <w:fldChar w:fldCharType="separate"/>
      </w:r>
      <w:r>
        <w:rPr>
          <w:rStyle w:val="48"/>
          <w:rFonts w:hint="eastAsia" w:asciiTheme="minorEastAsia" w:hAnsiTheme="minorEastAsia" w:eastAsiaTheme="minorEastAsia" w:cstheme="minorEastAsia"/>
          <w:sz w:val="22"/>
          <w:szCs w:val="22"/>
        </w:rPr>
        <w:t>附件</w:t>
      </w: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t>31</w:t>
      </w:r>
    </w:p>
    <w:p w14:paraId="2C32276B">
      <w:pPr>
        <w:pStyle w:val="4"/>
        <w:jc w:val="center"/>
        <w:rPr>
          <w:rFonts w:hint="eastAsia" w:asciiTheme="minorEastAsia" w:hAnsiTheme="minorEastAsia" w:eastAsiaTheme="minorEastAsia" w:cstheme="minorEastAsia"/>
          <w:sz w:val="22"/>
          <w:szCs w:val="22"/>
        </w:rPr>
        <w:sectPr>
          <w:footerReference r:id="rId22" w:type="first"/>
          <w:pgSz w:w="11906" w:h="16838"/>
          <w:pgMar w:top="1418" w:right="1555" w:bottom="1418" w:left="1531" w:header="851" w:footer="992" w:gutter="0"/>
          <w:pgNumType w:fmt="decimal"/>
          <w:cols w:space="720" w:num="1"/>
          <w:titlePg/>
          <w:docGrid w:type="lines" w:linePitch="312" w:charSpace="0"/>
        </w:sectPr>
      </w:pPr>
      <w:r>
        <w:rPr>
          <w:rFonts w:hint="eastAsia" w:asciiTheme="minorEastAsia" w:hAnsiTheme="minorEastAsia" w:eastAsiaTheme="minorEastAsia" w:cstheme="minorEastAsia"/>
          <w:sz w:val="22"/>
          <w:szCs w:val="22"/>
        </w:rPr>
        <w:fldChar w:fldCharType="end"/>
      </w:r>
      <w:bookmarkStart w:id="397" w:name="_Toc351203480"/>
    </w:p>
    <w:p w14:paraId="7B9D9C8A">
      <w:pPr>
        <w:pStyle w:val="4"/>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sz w:val="24"/>
          <w:szCs w:val="24"/>
        </w:rPr>
        <w:t>第一部分 合同协议书</w:t>
      </w:r>
      <w:bookmarkEnd w:id="391"/>
      <w:bookmarkEnd w:id="392"/>
      <w:bookmarkEnd w:id="397"/>
    </w:p>
    <w:p w14:paraId="1E1E4068">
      <w:pPr>
        <w:spacing w:line="360" w:lineRule="auto"/>
        <w:rPr>
          <w:rFonts w:hint="eastAsia" w:asciiTheme="minorEastAsia" w:hAnsiTheme="minorEastAsia" w:eastAsiaTheme="minorEastAsia" w:cstheme="minorEastAsia"/>
          <w:b/>
          <w:color w:val="000000"/>
          <w:sz w:val="24"/>
          <w:szCs w:val="24"/>
          <w:u w:val="single"/>
        </w:rPr>
      </w:pPr>
      <w:r>
        <w:rPr>
          <w:rFonts w:hint="eastAsia" w:asciiTheme="minorEastAsia" w:hAnsiTheme="minorEastAsia" w:eastAsiaTheme="minorEastAsia" w:cstheme="minorEastAsia"/>
          <w:b/>
          <w:color w:val="000000"/>
          <w:sz w:val="24"/>
          <w:szCs w:val="24"/>
        </w:rPr>
        <w:t>发包人（全称）：</w:t>
      </w:r>
      <w:r>
        <w:rPr>
          <w:rFonts w:hint="eastAsia" w:asciiTheme="minorEastAsia" w:hAnsiTheme="minorEastAsia" w:eastAsiaTheme="minorEastAsia" w:cstheme="minorEastAsia"/>
          <w:b/>
          <w:color w:val="000000"/>
          <w:sz w:val="24"/>
          <w:szCs w:val="24"/>
          <w:u w:val="single"/>
        </w:rPr>
        <w:t>                       </w:t>
      </w:r>
    </w:p>
    <w:p w14:paraId="0EC461D3">
      <w:pPr>
        <w:spacing w:line="360" w:lineRule="auto"/>
        <w:rPr>
          <w:rFonts w:hint="eastAsia" w:asciiTheme="minorEastAsia" w:hAnsiTheme="minorEastAsia" w:eastAsiaTheme="minorEastAsia" w:cstheme="minorEastAsia"/>
          <w:b/>
          <w:color w:val="000000"/>
          <w:sz w:val="24"/>
          <w:szCs w:val="24"/>
          <w:u w:val="single"/>
        </w:rPr>
      </w:pPr>
      <w:r>
        <w:rPr>
          <w:rFonts w:hint="eastAsia" w:asciiTheme="minorEastAsia" w:hAnsiTheme="minorEastAsia" w:eastAsiaTheme="minorEastAsia" w:cstheme="minorEastAsia"/>
          <w:b/>
          <w:color w:val="000000"/>
          <w:sz w:val="24"/>
          <w:szCs w:val="24"/>
        </w:rPr>
        <w:t>承包人（全称）：</w:t>
      </w:r>
      <w:r>
        <w:rPr>
          <w:rFonts w:hint="eastAsia" w:asciiTheme="minorEastAsia" w:hAnsiTheme="minorEastAsia" w:eastAsiaTheme="minorEastAsia" w:cstheme="minorEastAsia"/>
          <w:b/>
          <w:color w:val="000000"/>
          <w:sz w:val="24"/>
          <w:szCs w:val="24"/>
          <w:u w:val="single"/>
        </w:rPr>
        <w:t>                      </w:t>
      </w:r>
    </w:p>
    <w:p w14:paraId="117F720D">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根据《中华人民共和国合同法》、《中华人民共和国建筑法》及有关法律规定，遵循平等、自愿、公平和诚实信用的原则，双方就</w:t>
      </w:r>
    </w:p>
    <w:p w14:paraId="5C7911F8">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工程施工及有关事项协商一致，共同达成如下协议：</w:t>
      </w:r>
    </w:p>
    <w:p w14:paraId="014A5C90">
      <w:pPr>
        <w:pStyle w:val="5"/>
        <w:spacing w:before="120" w:after="120" w:line="360" w:lineRule="auto"/>
        <w:rPr>
          <w:rFonts w:hint="eastAsia"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r>
        <w:rPr>
          <w:rFonts w:hint="eastAsia" w:asciiTheme="minorEastAsia" w:hAnsiTheme="minorEastAsia" w:eastAsiaTheme="minorEastAsia" w:cstheme="minorEastAsia"/>
          <w:b w:val="0"/>
          <w:color w:val="000000"/>
          <w:sz w:val="24"/>
          <w:szCs w:val="24"/>
        </w:rPr>
        <w:t xml:space="preserve"> </w:t>
      </w:r>
      <w:bookmarkStart w:id="398" w:name="_Toc351203481"/>
      <w:r>
        <w:rPr>
          <w:rFonts w:hint="eastAsia" w:asciiTheme="minorEastAsia" w:hAnsiTheme="minorEastAsia" w:eastAsiaTheme="minorEastAsia" w:cstheme="minorEastAsia"/>
          <w:b w:val="0"/>
          <w:color w:val="000000"/>
          <w:sz w:val="24"/>
          <w:szCs w:val="24"/>
        </w:rPr>
        <w:t>一、工程概况</w:t>
      </w:r>
      <w:bookmarkEnd w:id="398"/>
    </w:p>
    <w:p w14:paraId="1F142CD9">
      <w:pPr>
        <w:spacing w:line="360" w:lineRule="auto"/>
        <w:ind w:firstLine="470" w:firstLineChars="196"/>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bCs/>
          <w:color w:val="000000"/>
          <w:sz w:val="24"/>
          <w:szCs w:val="24"/>
        </w:rPr>
        <w:t>1.工程名称</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w:t>
      </w:r>
    </w:p>
    <w:p w14:paraId="4CF73314">
      <w:pPr>
        <w:spacing w:line="360" w:lineRule="auto"/>
        <w:ind w:firstLine="470" w:firstLineChars="196"/>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2.工程地点：</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w:t>
      </w:r>
    </w:p>
    <w:p w14:paraId="11DEA356">
      <w:pPr>
        <w:spacing w:line="360" w:lineRule="auto"/>
        <w:ind w:firstLine="470" w:firstLineChars="196"/>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3.工程立项批准文号：</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bCs/>
          <w:color w:val="000000"/>
          <w:sz w:val="24"/>
          <w:szCs w:val="24"/>
        </w:rPr>
        <w:t>。</w:t>
      </w:r>
    </w:p>
    <w:p w14:paraId="0D5AF98B">
      <w:pPr>
        <w:spacing w:line="360" w:lineRule="auto"/>
        <w:ind w:firstLine="470" w:firstLineChars="196"/>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4.资金来源：</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bCs/>
          <w:color w:val="000000"/>
          <w:sz w:val="24"/>
          <w:szCs w:val="24"/>
        </w:rPr>
        <w:t>。</w:t>
      </w:r>
    </w:p>
    <w:p w14:paraId="45BED92C">
      <w:pPr>
        <w:spacing w:line="360" w:lineRule="auto"/>
        <w:ind w:firstLine="470" w:firstLineChars="196"/>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5.工程内容：</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bCs/>
          <w:color w:val="000000"/>
          <w:sz w:val="24"/>
          <w:szCs w:val="24"/>
        </w:rPr>
        <w:t>。</w:t>
      </w:r>
    </w:p>
    <w:p w14:paraId="339315B3">
      <w:pPr>
        <w:spacing w:line="360" w:lineRule="auto"/>
        <w:ind w:firstLine="470" w:firstLineChars="196"/>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群体工程应附《承包人承揽工程项目一览表》（附件1）。</w:t>
      </w:r>
    </w:p>
    <w:p w14:paraId="17925B23">
      <w:pPr>
        <w:spacing w:line="360" w:lineRule="auto"/>
        <w:ind w:firstLine="470" w:firstLineChars="196"/>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6.工程承包范围：</w:t>
      </w:r>
    </w:p>
    <w:p w14:paraId="78340C9C">
      <w:pPr>
        <w:spacing w:line="360" w:lineRule="auto"/>
        <w:ind w:firstLine="463" w:firstLineChars="193"/>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w:t>
      </w:r>
    </w:p>
    <w:p w14:paraId="74E3BEB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3BDD207F">
      <w:pPr>
        <w:pStyle w:val="5"/>
        <w:spacing w:before="120" w:after="120"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bookmarkStart w:id="399" w:name="_Toc351203482"/>
      <w:r>
        <w:rPr>
          <w:rFonts w:hint="eastAsia" w:asciiTheme="minorEastAsia" w:hAnsiTheme="minorEastAsia" w:eastAsiaTheme="minorEastAsia" w:cstheme="minorEastAsia"/>
          <w:b w:val="0"/>
          <w:color w:val="000000"/>
          <w:sz w:val="24"/>
          <w:szCs w:val="24"/>
        </w:rPr>
        <w:t>二、合同工期</w:t>
      </w:r>
      <w:bookmarkEnd w:id="399"/>
    </w:p>
    <w:p w14:paraId="2C7DA012">
      <w:pPr>
        <w:spacing w:line="360" w:lineRule="auto"/>
        <w:ind w:firstLine="45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计划开工日期：</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日。</w:t>
      </w:r>
    </w:p>
    <w:p w14:paraId="167FC80B">
      <w:pPr>
        <w:spacing w:line="360" w:lineRule="auto"/>
        <w:ind w:firstLine="45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计划竣工日期：</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日。</w:t>
      </w:r>
    </w:p>
    <w:p w14:paraId="18ABA095">
      <w:pPr>
        <w:spacing w:line="360" w:lineRule="auto"/>
        <w:ind w:firstLine="45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工期总日历天数：</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天。工期总日历天数与根据前述计划开竣工日期计算的工期天数不一致的，以工期总日历天数为准。</w:t>
      </w:r>
    </w:p>
    <w:p w14:paraId="305CC457">
      <w:pPr>
        <w:pStyle w:val="5"/>
        <w:spacing w:before="120" w:after="120" w:line="360" w:lineRule="auto"/>
        <w:rPr>
          <w:rFonts w:hint="eastAsia"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bookmarkStart w:id="400" w:name="_Toc351203483"/>
      <w:r>
        <w:rPr>
          <w:rFonts w:hint="eastAsia" w:asciiTheme="minorEastAsia" w:hAnsiTheme="minorEastAsia" w:eastAsiaTheme="minorEastAsia" w:cstheme="minorEastAsia"/>
          <w:b w:val="0"/>
          <w:color w:val="000000"/>
          <w:sz w:val="24"/>
          <w:szCs w:val="24"/>
        </w:rPr>
        <w:t>三、质量标准</w:t>
      </w:r>
      <w:bookmarkEnd w:id="400"/>
    </w:p>
    <w:p w14:paraId="19BA2F01">
      <w:pPr>
        <w:spacing w:line="360" w:lineRule="auto"/>
        <w:ind w:firstLine="45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工程质量符合</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标准。</w:t>
      </w:r>
    </w:p>
    <w:p w14:paraId="625A35B9">
      <w:pPr>
        <w:pStyle w:val="5"/>
        <w:spacing w:before="120" w:after="120" w:line="360" w:lineRule="auto"/>
        <w:rPr>
          <w:rFonts w:hint="eastAsia"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r>
        <w:rPr>
          <w:rFonts w:hint="eastAsia" w:asciiTheme="minorEastAsia" w:hAnsiTheme="minorEastAsia" w:eastAsiaTheme="minorEastAsia" w:cstheme="minorEastAsia"/>
          <w:b w:val="0"/>
          <w:color w:val="000000"/>
          <w:sz w:val="24"/>
          <w:szCs w:val="24"/>
        </w:rPr>
        <w:t xml:space="preserve"> </w:t>
      </w:r>
      <w:bookmarkStart w:id="401" w:name="_Toc351203484"/>
      <w:r>
        <w:rPr>
          <w:rFonts w:hint="eastAsia" w:asciiTheme="minorEastAsia" w:hAnsiTheme="minorEastAsia" w:eastAsiaTheme="minorEastAsia" w:cstheme="minorEastAsia"/>
          <w:b w:val="0"/>
          <w:color w:val="000000"/>
          <w:sz w:val="24"/>
          <w:szCs w:val="24"/>
        </w:rPr>
        <w:t>四、签约合同价与合同价格形式</w:t>
      </w:r>
      <w:bookmarkEnd w:id="401"/>
      <w:r>
        <w:rPr>
          <w:rFonts w:hint="eastAsia" w:asciiTheme="minorEastAsia" w:hAnsiTheme="minorEastAsia" w:eastAsiaTheme="minorEastAsia" w:cstheme="minorEastAsia"/>
          <w:b w:val="0"/>
          <w:color w:val="000000"/>
          <w:sz w:val="24"/>
          <w:szCs w:val="24"/>
        </w:rPr>
        <w:tab/>
      </w:r>
    </w:p>
    <w:p w14:paraId="4F5E37B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1.签约合同价为：</w:t>
      </w:r>
    </w:p>
    <w:p w14:paraId="79F4A29A">
      <w:pPr>
        <w:spacing w:line="360" w:lineRule="auto"/>
        <w:ind w:firstLine="600" w:firstLineChars="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w:t>
      </w:r>
    </w:p>
    <w:p w14:paraId="31CC0FE1">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w:t>
      </w:r>
    </w:p>
    <w:p w14:paraId="177038E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（1）安全文明施工费：</w:t>
      </w:r>
    </w:p>
    <w:p w14:paraId="65621B1F">
      <w:pPr>
        <w:spacing w:line="360" w:lineRule="auto"/>
        <w:ind w:firstLine="1080" w:firstLineChars="4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w:t>
      </w:r>
    </w:p>
    <w:p w14:paraId="3D7B69B3">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（2）材料和工程设备暂估价金额：</w:t>
      </w:r>
    </w:p>
    <w:p w14:paraId="0D35301A">
      <w:pPr>
        <w:spacing w:line="360" w:lineRule="auto"/>
        <w:ind w:firstLine="1080" w:firstLineChars="4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w:t>
      </w:r>
    </w:p>
    <w:p w14:paraId="31408E02">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（3）专业工程暂估价金额：</w:t>
      </w:r>
    </w:p>
    <w:p w14:paraId="479C7A8F">
      <w:pPr>
        <w:spacing w:line="360" w:lineRule="auto"/>
        <w:ind w:firstLine="1080" w:firstLineChars="4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w:t>
      </w:r>
    </w:p>
    <w:p w14:paraId="31455E4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（4）暂列金额：</w:t>
      </w:r>
    </w:p>
    <w:p w14:paraId="1823171B">
      <w:pPr>
        <w:spacing w:line="360" w:lineRule="auto"/>
        <w:ind w:firstLine="1080" w:firstLineChars="4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w:t>
      </w:r>
    </w:p>
    <w:p w14:paraId="26F0BC7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2.合同价格形式：</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0864F576">
      <w:pPr>
        <w:pStyle w:val="5"/>
        <w:spacing w:before="120" w:after="120"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Cs w:val="0"/>
          <w:color w:val="000000"/>
          <w:sz w:val="24"/>
          <w:szCs w:val="24"/>
        </w:rPr>
        <w:t xml:space="preserve">   </w:t>
      </w:r>
      <w:r>
        <w:rPr>
          <w:rFonts w:hint="eastAsia" w:asciiTheme="minorEastAsia" w:hAnsiTheme="minorEastAsia" w:eastAsiaTheme="minorEastAsia" w:cstheme="minorEastAsia"/>
          <w:b w:val="0"/>
          <w:color w:val="000000"/>
          <w:sz w:val="24"/>
          <w:szCs w:val="24"/>
        </w:rPr>
        <w:t xml:space="preserve"> </w:t>
      </w:r>
      <w:bookmarkStart w:id="402" w:name="_Toc351203485"/>
      <w:r>
        <w:rPr>
          <w:rFonts w:hint="eastAsia" w:asciiTheme="minorEastAsia" w:hAnsiTheme="minorEastAsia" w:eastAsiaTheme="minorEastAsia" w:cstheme="minorEastAsia"/>
          <w:b w:val="0"/>
          <w:color w:val="000000"/>
          <w:sz w:val="24"/>
          <w:szCs w:val="24"/>
        </w:rPr>
        <w:t>五、</w:t>
      </w:r>
      <w:bookmarkEnd w:id="402"/>
      <w:r>
        <w:rPr>
          <w:rFonts w:hint="eastAsia" w:asciiTheme="minorEastAsia" w:hAnsiTheme="minorEastAsia" w:eastAsiaTheme="minorEastAsia" w:cstheme="minorEastAsia"/>
          <w:b w:val="0"/>
          <w:color w:val="000000"/>
          <w:sz w:val="24"/>
          <w:szCs w:val="24"/>
        </w:rPr>
        <w:t>项目经理</w:t>
      </w:r>
    </w:p>
    <w:p w14:paraId="01B35369">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承包人项目经理：</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4B1EC292">
      <w:pPr>
        <w:pStyle w:val="5"/>
        <w:spacing w:before="120" w:after="120" w:line="360" w:lineRule="auto"/>
        <w:rPr>
          <w:rFonts w:hint="eastAsia"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r>
        <w:rPr>
          <w:rFonts w:hint="eastAsia" w:asciiTheme="minorEastAsia" w:hAnsiTheme="minorEastAsia" w:eastAsiaTheme="minorEastAsia" w:cstheme="minorEastAsia"/>
          <w:b w:val="0"/>
          <w:color w:val="000000"/>
          <w:sz w:val="24"/>
          <w:szCs w:val="24"/>
        </w:rPr>
        <w:t xml:space="preserve"> </w:t>
      </w:r>
      <w:bookmarkStart w:id="403" w:name="_Toc351203486"/>
      <w:r>
        <w:rPr>
          <w:rFonts w:hint="eastAsia" w:asciiTheme="minorEastAsia" w:hAnsiTheme="minorEastAsia" w:eastAsiaTheme="minorEastAsia" w:cstheme="minorEastAsia"/>
          <w:b w:val="0"/>
          <w:color w:val="000000"/>
          <w:sz w:val="24"/>
          <w:szCs w:val="24"/>
        </w:rPr>
        <w:t>六、合同文件构成</w:t>
      </w:r>
      <w:bookmarkEnd w:id="403"/>
    </w:p>
    <w:p w14:paraId="05EA2C22">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本协议书与下列文件一起构成合同文件：</w:t>
      </w:r>
    </w:p>
    <w:p w14:paraId="308F229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（1）中标通知书（如果有）；</w:t>
      </w:r>
    </w:p>
    <w:p w14:paraId="52625CB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（2）投标函及其附录（如果有）； </w:t>
      </w:r>
    </w:p>
    <w:p w14:paraId="4B03242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（3）专用合同条款及其附件；</w:t>
      </w:r>
    </w:p>
    <w:p w14:paraId="24071CA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（4）通用合同条款；</w:t>
      </w:r>
    </w:p>
    <w:p w14:paraId="3F53E37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（5）技术标准和要求；</w:t>
      </w:r>
    </w:p>
    <w:p w14:paraId="6543966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（6）图纸；</w:t>
      </w:r>
    </w:p>
    <w:p w14:paraId="7B1B0A6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（7）已标价工程量清单或预算书；</w:t>
      </w:r>
    </w:p>
    <w:p w14:paraId="2488B3F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（8）其他合同文件。</w:t>
      </w:r>
    </w:p>
    <w:p w14:paraId="6EF2898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在合同订立及履行过程中形成的与合同有关的文件均构成合同文件组成部分。</w:t>
      </w:r>
    </w:p>
    <w:p w14:paraId="596D1B0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648CD3D9">
      <w:pPr>
        <w:pStyle w:val="5"/>
        <w:spacing w:before="120" w:after="120" w:line="360" w:lineRule="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 xml:space="preserve">   </w:t>
      </w:r>
      <w:r>
        <w:rPr>
          <w:rFonts w:hint="eastAsia" w:asciiTheme="minorEastAsia" w:hAnsiTheme="minorEastAsia" w:eastAsiaTheme="minorEastAsia" w:cstheme="minorEastAsia"/>
          <w:b w:val="0"/>
          <w:color w:val="000000"/>
          <w:sz w:val="24"/>
          <w:szCs w:val="24"/>
        </w:rPr>
        <w:t xml:space="preserve"> </w:t>
      </w:r>
      <w:bookmarkStart w:id="404" w:name="_Toc351203487"/>
      <w:r>
        <w:rPr>
          <w:rFonts w:hint="eastAsia" w:asciiTheme="minorEastAsia" w:hAnsiTheme="minorEastAsia" w:eastAsiaTheme="minorEastAsia" w:cstheme="minorEastAsia"/>
          <w:b w:val="0"/>
          <w:color w:val="000000"/>
          <w:sz w:val="24"/>
          <w:szCs w:val="24"/>
        </w:rPr>
        <w:t>七、承诺</w:t>
      </w:r>
      <w:bookmarkEnd w:id="404"/>
    </w:p>
    <w:p w14:paraId="76ED1540">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1.发包人承诺按照法律规定履行项目审批手续、筹集工程建设资金并按照合同约定的期限和方式支付合同价款。</w:t>
      </w:r>
    </w:p>
    <w:p w14:paraId="29529D18">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2.承包人承诺按照法律规定及合同约定组织完成工程施工，确保工程质量和安全，不进行转包及违法分包，并在缺陷责任期及保修期内承担相应的工程维修责任。</w:t>
      </w:r>
    </w:p>
    <w:p w14:paraId="6FF178C6">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3.发包人和承包人通过招投标形式签订合同的，双方理解并承诺不再就同一工程另行签订与合同实质性内容相背离的协议。</w:t>
      </w:r>
    </w:p>
    <w:p w14:paraId="7212EFFF">
      <w:pPr>
        <w:spacing w:line="360" w:lineRule="auto"/>
        <w:rPr>
          <w:rFonts w:hint="eastAsia" w:asciiTheme="minorEastAsia" w:hAnsiTheme="minorEastAsia" w:eastAsiaTheme="minorEastAsia" w:cstheme="minorEastAsia"/>
          <w:bCs/>
          <w:color w:val="000000"/>
          <w:sz w:val="24"/>
          <w:szCs w:val="24"/>
        </w:rPr>
      </w:pPr>
      <w:bookmarkStart w:id="405" w:name="_Toc351203488"/>
      <w:r>
        <w:rPr>
          <w:rFonts w:hint="eastAsia" w:asciiTheme="minorEastAsia" w:hAnsiTheme="minorEastAsia" w:eastAsiaTheme="minorEastAsia" w:cstheme="minorEastAsia"/>
          <w:b/>
          <w:color w:val="000000"/>
          <w:sz w:val="24"/>
          <w:szCs w:val="24"/>
        </w:rPr>
        <w:t xml:space="preserve">    八、词语含义</w:t>
      </w:r>
      <w:bookmarkEnd w:id="405"/>
    </w:p>
    <w:p w14:paraId="63CC6B20">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本协议书中词语含义与第二部分通用合同条款中赋予的含义相同。</w:t>
      </w:r>
    </w:p>
    <w:p w14:paraId="661869BA">
      <w:pPr>
        <w:pStyle w:val="5"/>
        <w:spacing w:before="120" w:after="120" w:line="360" w:lineRule="auto"/>
        <w:rPr>
          <w:rFonts w:hint="eastAsia"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r>
        <w:rPr>
          <w:rFonts w:hint="eastAsia" w:asciiTheme="minorEastAsia" w:hAnsiTheme="minorEastAsia" w:eastAsiaTheme="minorEastAsia" w:cstheme="minorEastAsia"/>
          <w:b w:val="0"/>
          <w:color w:val="000000"/>
          <w:sz w:val="24"/>
          <w:szCs w:val="24"/>
        </w:rPr>
        <w:t xml:space="preserve">  </w:t>
      </w:r>
      <w:bookmarkStart w:id="406" w:name="_Toc351203489"/>
      <w:r>
        <w:rPr>
          <w:rFonts w:hint="eastAsia" w:asciiTheme="minorEastAsia" w:hAnsiTheme="minorEastAsia" w:eastAsiaTheme="minorEastAsia" w:cstheme="minorEastAsia"/>
          <w:b w:val="0"/>
          <w:color w:val="000000"/>
          <w:sz w:val="24"/>
          <w:szCs w:val="24"/>
        </w:rPr>
        <w:t>九、签订时间</w:t>
      </w:r>
      <w:bookmarkEnd w:id="406"/>
    </w:p>
    <w:p w14:paraId="0096D658">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本合同于</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年</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月</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日签订。</w:t>
      </w:r>
    </w:p>
    <w:p w14:paraId="770910DF">
      <w:pPr>
        <w:pStyle w:val="5"/>
        <w:spacing w:before="120" w:after="120" w:line="360" w:lineRule="auto"/>
        <w:rPr>
          <w:rFonts w:hint="eastAsia"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bookmarkStart w:id="407" w:name="_Toc351203490"/>
      <w:r>
        <w:rPr>
          <w:rFonts w:hint="eastAsia" w:asciiTheme="minorEastAsia" w:hAnsiTheme="minorEastAsia" w:eastAsiaTheme="minorEastAsia" w:cstheme="minorEastAsia"/>
          <w:b w:val="0"/>
          <w:color w:val="000000"/>
          <w:sz w:val="24"/>
          <w:szCs w:val="24"/>
        </w:rPr>
        <w:t>十、签订地点</w:t>
      </w:r>
      <w:bookmarkEnd w:id="407"/>
    </w:p>
    <w:p w14:paraId="21080677">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本合同在</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签订。</w:t>
      </w:r>
    </w:p>
    <w:p w14:paraId="701470AE">
      <w:pPr>
        <w:pStyle w:val="5"/>
        <w:spacing w:before="120" w:after="120" w:line="360" w:lineRule="auto"/>
        <w:rPr>
          <w:rFonts w:hint="eastAsia"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bookmarkStart w:id="408" w:name="_Toc351203491"/>
      <w:r>
        <w:rPr>
          <w:rFonts w:hint="eastAsia" w:asciiTheme="minorEastAsia" w:hAnsiTheme="minorEastAsia" w:eastAsiaTheme="minorEastAsia" w:cstheme="minorEastAsia"/>
          <w:b w:val="0"/>
          <w:color w:val="000000"/>
          <w:sz w:val="24"/>
          <w:szCs w:val="24"/>
        </w:rPr>
        <w:t>十一、补充协议</w:t>
      </w:r>
      <w:bookmarkEnd w:id="408"/>
    </w:p>
    <w:p w14:paraId="151F5ECD">
      <w:pPr>
        <w:spacing w:line="360" w:lineRule="auto"/>
        <w:ind w:firstLine="480"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Cs/>
          <w:color w:val="000000"/>
          <w:sz w:val="24"/>
          <w:szCs w:val="24"/>
        </w:rPr>
        <w:t>合同未尽事宜，合同当事人另行签订补充协议，补充协议是合同的组成部分。</w:t>
      </w:r>
    </w:p>
    <w:p w14:paraId="509F3C13">
      <w:pPr>
        <w:pStyle w:val="5"/>
        <w:spacing w:before="120" w:after="120" w:line="360" w:lineRule="auto"/>
        <w:rPr>
          <w:rFonts w:hint="eastAsia"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bookmarkStart w:id="409" w:name="_Toc351203492"/>
      <w:r>
        <w:rPr>
          <w:rFonts w:hint="eastAsia" w:asciiTheme="minorEastAsia" w:hAnsiTheme="minorEastAsia" w:eastAsiaTheme="minorEastAsia" w:cstheme="minorEastAsia"/>
          <w:b w:val="0"/>
          <w:color w:val="000000"/>
          <w:sz w:val="24"/>
          <w:szCs w:val="24"/>
        </w:rPr>
        <w:t>十二、合同生效</w:t>
      </w:r>
      <w:bookmarkEnd w:id="409"/>
    </w:p>
    <w:p w14:paraId="78F527D1">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本合同自</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生效。</w:t>
      </w:r>
    </w:p>
    <w:p w14:paraId="68665528">
      <w:pPr>
        <w:pStyle w:val="5"/>
        <w:spacing w:before="120" w:after="120" w:line="360" w:lineRule="auto"/>
        <w:rPr>
          <w:rFonts w:hint="eastAsia" w:asciiTheme="minorEastAsia" w:hAnsiTheme="minorEastAsia" w:eastAsiaTheme="minorEastAsia" w:cstheme="minorEastAsia"/>
          <w:bCs w:val="0"/>
          <w:color w:val="000000"/>
          <w:sz w:val="24"/>
          <w:szCs w:val="24"/>
        </w:rPr>
      </w:pPr>
      <w:r>
        <w:rPr>
          <w:rFonts w:hint="eastAsia" w:asciiTheme="minorEastAsia" w:hAnsiTheme="minorEastAsia" w:eastAsiaTheme="minorEastAsia" w:cstheme="minorEastAsia"/>
          <w:bCs w:val="0"/>
          <w:color w:val="000000"/>
          <w:sz w:val="24"/>
          <w:szCs w:val="24"/>
        </w:rPr>
        <w:t xml:space="preserve">    </w:t>
      </w:r>
      <w:bookmarkStart w:id="410" w:name="_Toc351203493"/>
      <w:r>
        <w:rPr>
          <w:rFonts w:hint="eastAsia" w:asciiTheme="minorEastAsia" w:hAnsiTheme="minorEastAsia" w:eastAsiaTheme="minorEastAsia" w:cstheme="minorEastAsia"/>
          <w:b w:val="0"/>
          <w:color w:val="000000"/>
          <w:sz w:val="24"/>
          <w:szCs w:val="24"/>
        </w:rPr>
        <w:t>十三、合同份数</w:t>
      </w:r>
      <w:bookmarkEnd w:id="410"/>
    </w:p>
    <w:p w14:paraId="73EE93AE">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本合同一式</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份，均具有同等法律效力，发包人执</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份，承包人执</w:t>
      </w:r>
      <w:r>
        <w:rPr>
          <w:rFonts w:hint="eastAsia" w:asciiTheme="minorEastAsia" w:hAnsiTheme="minorEastAsia" w:eastAsiaTheme="minorEastAsia" w:cstheme="minorEastAsia"/>
          <w:bCs/>
          <w:color w:val="000000"/>
          <w:sz w:val="24"/>
          <w:szCs w:val="24"/>
          <w:u w:val="single"/>
        </w:rPr>
        <w:t xml:space="preserve">    </w:t>
      </w:r>
      <w:r>
        <w:rPr>
          <w:rFonts w:hint="eastAsia" w:asciiTheme="minorEastAsia" w:hAnsiTheme="minorEastAsia" w:eastAsiaTheme="minorEastAsia" w:cstheme="minorEastAsia"/>
          <w:bCs/>
          <w:color w:val="000000"/>
          <w:sz w:val="24"/>
          <w:szCs w:val="24"/>
        </w:rPr>
        <w:t>份。</w:t>
      </w:r>
    </w:p>
    <w:p w14:paraId="462570B5">
      <w:pPr>
        <w:spacing w:line="360" w:lineRule="auto"/>
        <w:rPr>
          <w:rFonts w:hint="eastAsia" w:asciiTheme="minorEastAsia" w:hAnsiTheme="minorEastAsia" w:eastAsiaTheme="minorEastAsia" w:cstheme="minorEastAsia"/>
          <w:bCs/>
          <w:color w:val="000000"/>
          <w:sz w:val="24"/>
          <w:szCs w:val="24"/>
        </w:rPr>
      </w:pPr>
    </w:p>
    <w:p w14:paraId="40932CA4">
      <w:pPr>
        <w:spacing w:line="360" w:lineRule="auto"/>
        <w:rPr>
          <w:rFonts w:hint="eastAsia" w:asciiTheme="minorEastAsia" w:hAnsiTheme="minorEastAsia" w:eastAsiaTheme="minorEastAsia" w:cstheme="minorEastAsia"/>
          <w:bCs/>
          <w:color w:val="000000"/>
          <w:sz w:val="24"/>
          <w:szCs w:val="24"/>
        </w:rPr>
      </w:pPr>
    </w:p>
    <w:p w14:paraId="364D0FE9">
      <w:pPr>
        <w:spacing w:line="360" w:lineRule="auto"/>
        <w:rPr>
          <w:rFonts w:hint="eastAsia" w:asciiTheme="minorEastAsia" w:hAnsiTheme="minorEastAsia" w:eastAsiaTheme="minorEastAsia" w:cstheme="minorEastAsia"/>
          <w:bCs/>
          <w:color w:val="000000"/>
          <w:sz w:val="24"/>
          <w:szCs w:val="24"/>
        </w:rPr>
      </w:pPr>
    </w:p>
    <w:p w14:paraId="6453FB78">
      <w:pPr>
        <w:spacing w:line="360" w:lineRule="auto"/>
        <w:rPr>
          <w:rFonts w:hint="eastAsia" w:asciiTheme="minorEastAsia" w:hAnsiTheme="minorEastAsia" w:eastAsiaTheme="minorEastAsia" w:cstheme="minorEastAsia"/>
          <w:bCs/>
          <w:color w:val="000000"/>
          <w:sz w:val="24"/>
          <w:szCs w:val="24"/>
        </w:rPr>
      </w:pPr>
    </w:p>
    <w:p w14:paraId="77936973">
      <w:pPr>
        <w:spacing w:line="360" w:lineRule="auto"/>
        <w:rPr>
          <w:rFonts w:hint="eastAsia" w:asciiTheme="minorEastAsia" w:hAnsiTheme="minorEastAsia" w:eastAsiaTheme="minorEastAsia" w:cstheme="minorEastAsia"/>
          <w:bCs/>
          <w:color w:val="000000"/>
          <w:sz w:val="24"/>
          <w:szCs w:val="24"/>
        </w:rPr>
      </w:pPr>
    </w:p>
    <w:p w14:paraId="776FD462">
      <w:pPr>
        <w:spacing w:line="360" w:lineRule="auto"/>
        <w:rPr>
          <w:rFonts w:hint="eastAsia" w:asciiTheme="minorEastAsia" w:hAnsiTheme="minorEastAsia" w:eastAsiaTheme="minorEastAsia" w:cstheme="minorEastAsia"/>
          <w:bCs/>
          <w:color w:val="000000"/>
          <w:sz w:val="24"/>
          <w:szCs w:val="24"/>
        </w:rPr>
      </w:pPr>
    </w:p>
    <w:p w14:paraId="68E71FAC">
      <w:pPr>
        <w:spacing w:line="360" w:lineRule="auto"/>
        <w:rPr>
          <w:rFonts w:hint="eastAsia" w:asciiTheme="minorEastAsia" w:hAnsiTheme="minorEastAsia" w:eastAsiaTheme="minorEastAsia" w:cstheme="minorEastAsia"/>
          <w:bCs/>
          <w:color w:val="000000"/>
          <w:sz w:val="24"/>
          <w:szCs w:val="24"/>
        </w:rPr>
      </w:pPr>
    </w:p>
    <w:p w14:paraId="126C5D92">
      <w:pPr>
        <w:spacing w:line="360" w:lineRule="auto"/>
        <w:rPr>
          <w:rFonts w:hint="eastAsia" w:asciiTheme="minorEastAsia" w:hAnsiTheme="minorEastAsia" w:eastAsiaTheme="minorEastAsia" w:cstheme="minorEastAsia"/>
          <w:color w:val="000000"/>
          <w:sz w:val="24"/>
          <w:szCs w:val="24"/>
        </w:rPr>
      </w:pPr>
    </w:p>
    <w:p w14:paraId="7CF6ACDA">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  (公章)             承包人：  (公章)</w:t>
      </w:r>
    </w:p>
    <w:p w14:paraId="61C8A7E5">
      <w:pPr>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 xml:space="preserve">                                 </w:t>
      </w:r>
    </w:p>
    <w:p w14:paraId="1EB85B88">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法定代表人或其委托代理人：  法定代表人或其委托代理人：</w:t>
      </w:r>
    </w:p>
    <w:p w14:paraId="22DF8D66">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（签字）                    （签字）</w:t>
      </w:r>
    </w:p>
    <w:p w14:paraId="489CE757">
      <w:pPr>
        <w:spacing w:line="360" w:lineRule="auto"/>
        <w:rPr>
          <w:rFonts w:hint="eastAsia" w:asciiTheme="minorEastAsia" w:hAnsiTheme="minorEastAsia" w:eastAsiaTheme="minorEastAsia" w:cstheme="minorEastAsia"/>
          <w:color w:val="000000"/>
          <w:sz w:val="24"/>
          <w:szCs w:val="24"/>
          <w:u w:val="single"/>
        </w:rPr>
      </w:pPr>
    </w:p>
    <w:p w14:paraId="7257B62A">
      <w:pPr>
        <w:tabs>
          <w:tab w:val="left" w:pos="4410"/>
        </w:tabs>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组织机构代码：</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组织机构代码：</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w:t>
      </w:r>
    </w:p>
    <w:p w14:paraId="7371F07A">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地  址：</w:t>
      </w:r>
      <w:r>
        <w:rPr>
          <w:rFonts w:hint="eastAsia" w:asciiTheme="minorEastAsia" w:hAnsiTheme="minorEastAsia" w:eastAsiaTheme="minorEastAsia" w:cstheme="minorEastAsia"/>
          <w:color w:val="000000"/>
          <w:sz w:val="24"/>
          <w:szCs w:val="24"/>
          <w:u w:val="single"/>
        </w:rPr>
        <w:t xml:space="preserve">        </w:t>
      </w:r>
    </w:p>
    <w:p w14:paraId="46B4497C">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邮政编码：</w:t>
      </w:r>
      <w:r>
        <w:rPr>
          <w:rFonts w:hint="eastAsia" w:asciiTheme="minorEastAsia" w:hAnsiTheme="minorEastAsia" w:eastAsiaTheme="minorEastAsia" w:cstheme="minorEastAsia"/>
          <w:color w:val="000000"/>
          <w:sz w:val="24"/>
          <w:szCs w:val="24"/>
          <w:u w:val="single"/>
        </w:rPr>
        <w:t xml:space="preserve">      </w:t>
      </w:r>
      <w:r>
        <w:rPr>
          <w:rFonts w:hint="eastAsia" w:asciiTheme="minorEastAsia" w:hAnsiTheme="minorEastAsia" w:eastAsiaTheme="minorEastAsia" w:cstheme="minorEastAsia"/>
          <w:color w:val="000000"/>
          <w:sz w:val="24"/>
          <w:szCs w:val="24"/>
        </w:rPr>
        <w:t xml:space="preserve">  邮政编码：</w:t>
      </w:r>
      <w:r>
        <w:rPr>
          <w:rFonts w:hint="eastAsia" w:asciiTheme="minorEastAsia" w:hAnsiTheme="minorEastAsia" w:eastAsiaTheme="minorEastAsia" w:cstheme="minorEastAsia"/>
          <w:color w:val="000000"/>
          <w:sz w:val="24"/>
          <w:szCs w:val="24"/>
          <w:u w:val="single"/>
        </w:rPr>
        <w:t xml:space="preserve">   </w:t>
      </w:r>
    </w:p>
    <w:p w14:paraId="4F06F481">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法定代表人：</w:t>
      </w:r>
      <w:r>
        <w:rPr>
          <w:rFonts w:hint="eastAsia" w:asciiTheme="minorEastAsia" w:hAnsiTheme="minorEastAsia" w:eastAsiaTheme="minorEastAsia" w:cstheme="minorEastAsia"/>
          <w:color w:val="000000"/>
          <w:sz w:val="24"/>
          <w:szCs w:val="24"/>
          <w:u w:val="single"/>
        </w:rPr>
        <w:t xml:space="preserve">             </w:t>
      </w:r>
    </w:p>
    <w:p w14:paraId="5EA1A7E0">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委托代理人：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委托代理人：</w:t>
      </w:r>
      <w:r>
        <w:rPr>
          <w:rFonts w:hint="eastAsia" w:asciiTheme="minorEastAsia" w:hAnsiTheme="minorEastAsia" w:eastAsiaTheme="minorEastAsia" w:cstheme="minorEastAsia"/>
          <w:color w:val="000000"/>
          <w:sz w:val="24"/>
          <w:szCs w:val="24"/>
          <w:u w:val="single"/>
        </w:rPr>
        <w:t xml:space="preserve">             </w:t>
      </w:r>
    </w:p>
    <w:p w14:paraId="58937E41">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  话：</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电  话：</w:t>
      </w:r>
      <w:r>
        <w:rPr>
          <w:rFonts w:hint="eastAsia" w:asciiTheme="minorEastAsia" w:hAnsiTheme="minorEastAsia" w:eastAsiaTheme="minorEastAsia" w:cstheme="minorEastAsia"/>
          <w:color w:val="000000"/>
          <w:sz w:val="24"/>
          <w:szCs w:val="24"/>
          <w:u w:val="single"/>
        </w:rPr>
        <w:t xml:space="preserve">     </w:t>
      </w:r>
    </w:p>
    <w:p w14:paraId="68602609">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传  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传  真：</w:t>
      </w:r>
      <w:r>
        <w:rPr>
          <w:rFonts w:hint="eastAsia" w:asciiTheme="minorEastAsia" w:hAnsiTheme="minorEastAsia" w:eastAsiaTheme="minorEastAsia" w:cstheme="minorEastAsia"/>
          <w:color w:val="000000"/>
          <w:sz w:val="24"/>
          <w:szCs w:val="24"/>
          <w:u w:val="single"/>
        </w:rPr>
        <w:t xml:space="preserve">     </w:t>
      </w:r>
    </w:p>
    <w:p w14:paraId="57FAED86">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电子信箱：</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电子信箱：</w:t>
      </w:r>
      <w:r>
        <w:rPr>
          <w:rFonts w:hint="eastAsia" w:asciiTheme="minorEastAsia" w:hAnsiTheme="minorEastAsia" w:eastAsiaTheme="minorEastAsia" w:cstheme="minorEastAsia"/>
          <w:color w:val="000000"/>
          <w:sz w:val="24"/>
          <w:szCs w:val="24"/>
          <w:u w:val="single"/>
        </w:rPr>
        <w:t xml:space="preserve">   </w:t>
      </w:r>
    </w:p>
    <w:p w14:paraId="1F81A804">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开户银行：</w:t>
      </w:r>
      <w:r>
        <w:rPr>
          <w:rFonts w:hint="eastAsia" w:asciiTheme="minorEastAsia" w:hAnsiTheme="minorEastAsia" w:eastAsiaTheme="minorEastAsia" w:cstheme="minorEastAsia"/>
          <w:color w:val="000000"/>
          <w:sz w:val="24"/>
          <w:szCs w:val="24"/>
          <w:u w:val="single"/>
        </w:rPr>
        <w:t xml:space="preserve">   </w:t>
      </w:r>
    </w:p>
    <w:p w14:paraId="7DD181F5">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账  号：</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账  号：</w:t>
      </w:r>
      <w:r>
        <w:rPr>
          <w:rFonts w:hint="eastAsia" w:asciiTheme="minorEastAsia" w:hAnsiTheme="minorEastAsia" w:eastAsiaTheme="minorEastAsia" w:cstheme="minorEastAsia"/>
          <w:color w:val="000000"/>
          <w:sz w:val="24"/>
          <w:szCs w:val="24"/>
          <w:u w:val="single"/>
        </w:rPr>
        <w:t xml:space="preserve">     </w:t>
      </w:r>
    </w:p>
    <w:p w14:paraId="3CD3BC7C">
      <w:pPr>
        <w:pStyle w:val="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bookmarkStart w:id="411" w:name="_Toc351203494"/>
      <w:r>
        <w:rPr>
          <w:rFonts w:hint="eastAsia" w:asciiTheme="minorEastAsia" w:hAnsiTheme="minorEastAsia" w:eastAsiaTheme="minorEastAsia" w:cstheme="minorEastAsia"/>
          <w:sz w:val="24"/>
          <w:szCs w:val="24"/>
        </w:rPr>
        <w:t>第二部分 通用合同条款</w:t>
      </w:r>
      <w:bookmarkEnd w:id="411"/>
      <w:bookmarkStart w:id="412" w:name="_Toc337558727"/>
    </w:p>
    <w:p w14:paraId="2FC82DDE">
      <w:pPr>
        <w:pStyle w:val="5"/>
        <w:spacing w:before="120" w:after="120" w:line="360" w:lineRule="auto"/>
        <w:rPr>
          <w:rFonts w:hint="eastAsia" w:asciiTheme="minorEastAsia" w:hAnsiTheme="minorEastAsia" w:eastAsiaTheme="minorEastAsia" w:cstheme="minorEastAsia"/>
          <w:b w:val="0"/>
          <w:color w:val="000000"/>
          <w:sz w:val="24"/>
          <w:szCs w:val="24"/>
        </w:rPr>
      </w:pPr>
      <w:bookmarkStart w:id="413" w:name="_Toc351203495"/>
      <w:r>
        <w:rPr>
          <w:rFonts w:hint="eastAsia" w:asciiTheme="minorEastAsia" w:hAnsiTheme="minorEastAsia" w:eastAsiaTheme="minorEastAsia" w:cstheme="minorEastAsia"/>
          <w:b w:val="0"/>
          <w:color w:val="000000"/>
          <w:sz w:val="24"/>
          <w:szCs w:val="24"/>
        </w:rPr>
        <w:t>1.</w:t>
      </w:r>
      <w:bookmarkStart w:id="414" w:name="_Toc303538975"/>
      <w:bookmarkEnd w:id="414"/>
      <w:bookmarkStart w:id="415" w:name="_Toc303538973"/>
      <w:bookmarkEnd w:id="415"/>
      <w:bookmarkStart w:id="416" w:name="_Toc303538972"/>
      <w:bookmarkEnd w:id="416"/>
      <w:bookmarkStart w:id="417" w:name="_Toc303538976"/>
      <w:bookmarkEnd w:id="417"/>
      <w:bookmarkStart w:id="418" w:name="_Toc303538974"/>
      <w:bookmarkEnd w:id="418"/>
      <w:bookmarkStart w:id="419" w:name="_Toc296503027"/>
      <w:bookmarkStart w:id="420" w:name="_Toc296346528"/>
      <w:r>
        <w:rPr>
          <w:rFonts w:hint="eastAsia" w:asciiTheme="minorEastAsia" w:hAnsiTheme="minorEastAsia" w:eastAsiaTheme="minorEastAsia" w:cstheme="minorEastAsia"/>
          <w:b w:val="0"/>
          <w:color w:val="000000"/>
          <w:sz w:val="24"/>
          <w:szCs w:val="24"/>
        </w:rPr>
        <w:t xml:space="preserve"> 一般约定</w:t>
      </w:r>
      <w:bookmarkEnd w:id="412"/>
      <w:bookmarkEnd w:id="413"/>
      <w:bookmarkEnd w:id="419"/>
      <w:bookmarkEnd w:id="420"/>
    </w:p>
    <w:p w14:paraId="71A8A45F">
      <w:pPr>
        <w:pStyle w:val="6"/>
        <w:spacing w:before="120" w:after="120" w:line="360" w:lineRule="auto"/>
        <w:ind w:firstLine="480" w:firstLineChars="200"/>
        <w:rPr>
          <w:rFonts w:hint="eastAsia" w:asciiTheme="minorEastAsia" w:hAnsiTheme="minorEastAsia" w:eastAsiaTheme="minorEastAsia" w:cstheme="minorEastAsia"/>
          <w:b w:val="0"/>
          <w:color w:val="000000"/>
          <w:sz w:val="24"/>
          <w:szCs w:val="24"/>
        </w:rPr>
      </w:pPr>
      <w:bookmarkStart w:id="421" w:name="_Toc296346529"/>
      <w:bookmarkStart w:id="422" w:name="_Toc296503028"/>
      <w:bookmarkStart w:id="423" w:name="_Toc337558728"/>
      <w:bookmarkStart w:id="424" w:name="_Toc351203496"/>
      <w:r>
        <w:rPr>
          <w:rFonts w:hint="eastAsia" w:asciiTheme="minorEastAsia" w:hAnsiTheme="minorEastAsia" w:eastAsiaTheme="minorEastAsia" w:cstheme="minorEastAsia"/>
          <w:b w:val="0"/>
          <w:color w:val="000000"/>
          <w:sz w:val="24"/>
          <w:szCs w:val="24"/>
        </w:rPr>
        <w:t>1.1词语定义</w:t>
      </w:r>
      <w:bookmarkEnd w:id="421"/>
      <w:bookmarkEnd w:id="422"/>
      <w:bookmarkEnd w:id="423"/>
      <w:r>
        <w:rPr>
          <w:rFonts w:hint="eastAsia" w:asciiTheme="minorEastAsia" w:hAnsiTheme="minorEastAsia" w:eastAsiaTheme="minorEastAsia" w:cstheme="minorEastAsia"/>
          <w:b w:val="0"/>
          <w:color w:val="000000"/>
          <w:sz w:val="24"/>
          <w:szCs w:val="24"/>
        </w:rPr>
        <w:t>与解释</w:t>
      </w:r>
      <w:bookmarkEnd w:id="424"/>
    </w:p>
    <w:p w14:paraId="09FB01A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合同协议书、通用合同条款、专用合同条款中的下列词语具有本款所赋予的含义：</w:t>
      </w:r>
    </w:p>
    <w:p w14:paraId="69ADA5B3">
      <w:pPr>
        <w:autoSpaceDE w:val="0"/>
        <w:autoSpaceDN w:val="0"/>
        <w:adjustRightInd w:val="0"/>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1.1.1 合同</w:t>
      </w:r>
    </w:p>
    <w:p w14:paraId="3F74234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1.1.1.1 合同：是指根据法律规定和合同当事人约定具有约束力的文件，构成合同的文件包括合同协议书、中标通知书（如果有）、投标函及其附录（如果有）、专用合同条款</w:t>
      </w:r>
      <w:r>
        <w:rPr>
          <w:rFonts w:hint="eastAsia" w:asciiTheme="minorEastAsia" w:hAnsiTheme="minorEastAsia" w:eastAsiaTheme="minorEastAsia" w:cstheme="minorEastAsia"/>
          <w:color w:val="000000"/>
          <w:sz w:val="24"/>
          <w:szCs w:val="24"/>
        </w:rPr>
        <w:t>及其附件</w:t>
      </w:r>
      <w:r>
        <w:rPr>
          <w:rFonts w:hint="eastAsia" w:asciiTheme="minorEastAsia" w:hAnsiTheme="minorEastAsia" w:eastAsiaTheme="minorEastAsia" w:cstheme="minorEastAsia"/>
          <w:color w:val="000000"/>
          <w:kern w:val="0"/>
          <w:sz w:val="24"/>
          <w:szCs w:val="24"/>
        </w:rPr>
        <w:t>、通用合同条款、技术标准和要求、图纸、已标价工程量清单或预算书以及其他合同文件。</w:t>
      </w:r>
    </w:p>
    <w:p w14:paraId="59345FF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1.1.1.2 合同协议书：是指构成合同的由发包人和承包人共同签署的称为“合同协议书”的书面文件。</w:t>
      </w:r>
    </w:p>
    <w:p w14:paraId="18B8438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1.1.1.3 中标通知书：是指构成合同的由发包人通知承包人中标的书面文件。</w:t>
      </w:r>
    </w:p>
    <w:p w14:paraId="02ABE85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1.1.1.4 投标函：是指构成合同的由承包人填写并签署的用于投标的称为“投标函”的文件。</w:t>
      </w:r>
    </w:p>
    <w:p w14:paraId="4A1D145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1.1.1.5 投标函附录：是指构成合同的附在投标函后的称为“投标函附录”的文件。</w:t>
      </w:r>
    </w:p>
    <w:p w14:paraId="55C243C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1.1.1.6 技术标准和要求：是指构成合同的施工应当遵守的或指导施工的国家、行业或地方的技术标准和要求，以及合同约定的技术标准和要求。</w:t>
      </w:r>
    </w:p>
    <w:p w14:paraId="11A609D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14:paraId="4B6AFDAB">
      <w:pPr>
        <w:autoSpaceDE w:val="0"/>
        <w:autoSpaceDN w:val="0"/>
        <w:adjustRightInd w:val="0"/>
        <w:spacing w:line="360" w:lineRule="auto"/>
        <w:ind w:firstLine="468" w:firstLineChars="19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1.1.1.8 已标价工程量清单：是指构成合同的由承包人按照规定的格式和要求填写并标明价格的工程量清单，包括说明和表格。</w:t>
      </w:r>
    </w:p>
    <w:p w14:paraId="5D760F85">
      <w:pPr>
        <w:autoSpaceDE w:val="0"/>
        <w:autoSpaceDN w:val="0"/>
        <w:adjustRightInd w:val="0"/>
        <w:spacing w:line="360" w:lineRule="auto"/>
        <w:ind w:firstLine="468" w:firstLineChars="19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1.1.1.9 预算书：是指构成合同的由承包人按照发包人规定的格式和要求编制的工程预算文件。</w:t>
      </w:r>
    </w:p>
    <w:p w14:paraId="04C4DCB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1.1.1.10 其他合同文件：是指经合同当事人约定的与工程施工有关的具有合同约束力的文件或书面协议。合同当事人可以在专用合同条款中进行约定。</w:t>
      </w:r>
    </w:p>
    <w:p w14:paraId="77E124E8">
      <w:pPr>
        <w:autoSpaceDE w:val="0"/>
        <w:autoSpaceDN w:val="0"/>
        <w:adjustRightInd w:val="0"/>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1.1.2 合同当事人及其他相关方</w:t>
      </w:r>
    </w:p>
    <w:p w14:paraId="0752021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1.1.2.1 合同当事人：是指发包人和（或）承包人。</w:t>
      </w:r>
    </w:p>
    <w:p w14:paraId="233CA1E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1.1.2.2 发包人：是指与承包人签订合同协议书的当事人及取得该当事人资格的合法继承人。</w:t>
      </w:r>
    </w:p>
    <w:p w14:paraId="39DF679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1.1.2.3 承包人：是指与发包人签订合同协议书的，具有相应工程施工承包资质的当事人及取得该当事人资格的合法继承人。</w:t>
      </w:r>
    </w:p>
    <w:p w14:paraId="2B58203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1.1.2.4 监理人：是指在专用合同条款中指明的，受发包人委托按照法律规定进行工程监督管理的法人或其他组织。</w:t>
      </w:r>
    </w:p>
    <w:p w14:paraId="4EF09AD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1.1.2.5 设计人：是指在专用合同条款中指明的，受发包人委托负责工程设计并具备相应工程设计资质的法人或其他组织。</w:t>
      </w:r>
    </w:p>
    <w:p w14:paraId="2A2DDEFC">
      <w:pPr>
        <w:spacing w:line="360" w:lineRule="auto"/>
        <w:ind w:firstLine="468" w:firstLineChars="19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1.1.2.6 分包人：</w:t>
      </w:r>
      <w:bookmarkStart w:id="425" w:name="#go5"/>
      <w:bookmarkEnd w:id="425"/>
      <w:r>
        <w:rPr>
          <w:rFonts w:hint="eastAsia" w:asciiTheme="minorEastAsia" w:hAnsiTheme="minorEastAsia" w:eastAsiaTheme="minorEastAsia" w:cstheme="minorEastAsia"/>
          <w:color w:val="000000"/>
          <w:kern w:val="0"/>
          <w:sz w:val="24"/>
          <w:szCs w:val="24"/>
        </w:rPr>
        <w:t>是指按照法律规定和合同约定，分包部分工程或工作，并与承包人签订分包合同的具有相应资质的法人。</w:t>
      </w:r>
    </w:p>
    <w:p w14:paraId="02C6510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1.1.2.7 发包人代表：是指由发包人任命并派驻施工现场在发包人授权范围内行使发包人权利的人。</w:t>
      </w:r>
    </w:p>
    <w:p w14:paraId="6271B2D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1.1.2.8 项目经理：是指由承包人任命并派驻施工现场，在承包人授权范围内负责合同履行，且按照法律规定具有相应资格的项目负责人。</w:t>
      </w:r>
    </w:p>
    <w:p w14:paraId="0B92E30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1.1.2.9 总监理工程师：是指由监理人任命并派驻施工现场进行工程监理的总负责人。</w:t>
      </w:r>
    </w:p>
    <w:p w14:paraId="256E1C5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 工程和设备</w:t>
      </w:r>
    </w:p>
    <w:p w14:paraId="54089A7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1.1.3.1 工程：是指与合同协议书中工程承包范围对应的永久工程和（或）临时工程。</w:t>
      </w:r>
    </w:p>
    <w:p w14:paraId="165FE6B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1.1.3.2 永久工程：是指按合同约定建造并移交给发包人的工程，包括工程设备。</w:t>
      </w:r>
    </w:p>
    <w:p w14:paraId="4FFBB54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1.1.3.3 临时工程：是指为完成合同约定的永久工程所修建的各类临时性工程，不包括施工设备。</w:t>
      </w:r>
    </w:p>
    <w:p w14:paraId="004EAF1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1.1.3.4 单位工程：是指在合同协议书中指明的，具备独立施工条件并能形成独立使用功能的永久工程。</w:t>
      </w:r>
    </w:p>
    <w:p w14:paraId="1432341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1.1.3.5 工程设备：是指构成永久工程的机电设备、金属结构设备、仪器及其他类似的设备和装置。</w:t>
      </w:r>
    </w:p>
    <w:p w14:paraId="2D9FE30D">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1.1.3.6 施工设备：是指为完成合同约定的各项工作所需的设备、器具和其他物品，但不包括工程设备、临时工程和材料。</w:t>
      </w:r>
    </w:p>
    <w:p w14:paraId="3D087C3B">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1.1.3.7 施工现场：是指用于工程施工的场所，以及在专用合同条款中指明作为施工场所组成部分的其他场所，包括永久占地和临时占地。</w:t>
      </w:r>
    </w:p>
    <w:p w14:paraId="0B4E3D4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1.1.3.8临时设施：是指为完成合同约定的各项工作所服务的临时性生产和生活设施。</w:t>
      </w:r>
    </w:p>
    <w:p w14:paraId="26D61D6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1.1.3.9 永久占地：是指专用合同条款中指明为实施工程需永久占用的土地。</w:t>
      </w:r>
    </w:p>
    <w:p w14:paraId="00B11023">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1.1.3.10 临时占地：是指专用合同条款中指明为实施工程需要临时占用的土地。</w:t>
      </w:r>
    </w:p>
    <w:p w14:paraId="0F105EC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1.1.4 日期和期限</w:t>
      </w:r>
    </w:p>
    <w:p w14:paraId="51E63C60">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576F3D1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1.1.4.2 竣工日期：包括计划竣工日期和实际竣工日期。计划竣工日期是指合同协议书约定的竣工日期；实际竣工日期按照第13.2.3项〔竣工日期〕的约定确定。 </w:t>
      </w:r>
    </w:p>
    <w:p w14:paraId="687D755A">
      <w:pPr>
        <w:spacing w:line="360" w:lineRule="auto"/>
        <w:ind w:firstLine="487" w:firstLineChars="203"/>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1.1.4.3 工期：是指在合同协议书约定的承包人完成工程所需的期限，包括按照合同约定所作的期限变更。</w:t>
      </w:r>
    </w:p>
    <w:p w14:paraId="65442F6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1.1.4.4 缺陷责任期：是指承包人按照合同约定承担缺陷修复义务，且发包人预留质量保证金</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已缴纳履约保证金的除外</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的期限，自工程实际竣工日期起计算。</w:t>
      </w:r>
    </w:p>
    <w:p w14:paraId="7590EB9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1.1.4.5 保修期：是指承包人按照合同约定对工程承担保修责任的期限，从工程竣工验收合格之日起计算。</w:t>
      </w:r>
    </w:p>
    <w:p w14:paraId="4D8A6AE0">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1.1.4.6 基准日期：招标发包的工程以投标截止日前28天的日期为基准日期，直接发包的工程以合同签订日前28天的日期为基准日期。</w:t>
      </w:r>
    </w:p>
    <w:p w14:paraId="1E59704B">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1.1.4.7 天：除特别指明外，均指日历天。合同中按天计算时间的，开始当天不计入，从次日开始计算，期限最后一天的截止时间为当天24:00时。</w:t>
      </w:r>
    </w:p>
    <w:p w14:paraId="6F812343">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 合同价格和费用</w:t>
      </w:r>
    </w:p>
    <w:p w14:paraId="7CFD5E10">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1.1.5.1 签约合同价：是指</w:t>
      </w:r>
      <w:r>
        <w:rPr>
          <w:rFonts w:hint="eastAsia" w:asciiTheme="minorEastAsia" w:hAnsiTheme="minorEastAsia" w:eastAsiaTheme="minorEastAsia" w:cstheme="minorEastAsia"/>
          <w:color w:val="000000"/>
          <w:sz w:val="24"/>
          <w:szCs w:val="24"/>
        </w:rPr>
        <w:t>发包人和承包人在合同协议书中确定的总金额，包括安全文明施工费、暂估价及暂列金额等。</w:t>
      </w:r>
    </w:p>
    <w:p w14:paraId="4EFF172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1.1.5.2 合同价格：是指发包人用于支付承包人按照合同约定完成承包范围内全部工作的金额，包括合同履行过程中按合同约定发生的价格变化。</w:t>
      </w:r>
    </w:p>
    <w:p w14:paraId="2D918949">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1.1.5.3 费用：是指为履行合同所发生的或将要发生的所有必需的开支，包括管理费和应分摊的其他费用，但不包括利润。</w:t>
      </w:r>
    </w:p>
    <w:p w14:paraId="041237E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1.1.5.4 暂估价：是指发包人在工程量清单或预算书中提供的用于支付必然发生但暂时不能确定价格的材料、工程设备的单价、专业工程以及服务工作的金额。</w:t>
      </w:r>
    </w:p>
    <w:p w14:paraId="24309D7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132405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1.1.5.6 计日工：是指合同履行过程中，承包人完成发包人提出的零星工作或需要采用计日工计价的变更工作时，按合同中约定的单价计价的一种方式。</w:t>
      </w:r>
    </w:p>
    <w:p w14:paraId="7DCCF3E9">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1.1.5.7 质量保证金</w:t>
      </w:r>
      <w:bookmarkStart w:id="426" w:name="#go2"/>
      <w:bookmarkEnd w:id="426"/>
      <w:r>
        <w:rPr>
          <w:rFonts w:hint="eastAsia" w:asciiTheme="minorEastAsia" w:hAnsiTheme="minorEastAsia" w:eastAsiaTheme="minorEastAsia" w:cstheme="minorEastAsia"/>
          <w:color w:val="000000"/>
          <w:kern w:val="0"/>
          <w:sz w:val="24"/>
          <w:szCs w:val="24"/>
        </w:rPr>
        <w:t>：是指按照第15.3款〔质量保证金〕约定承包人用于保证其在缺陷责任期内履行缺陷修补义务的担保</w:t>
      </w:r>
      <w:r>
        <w:rPr>
          <w:rFonts w:hint="eastAsia" w:asciiTheme="minorEastAsia" w:hAnsiTheme="minorEastAsia" w:eastAsiaTheme="minorEastAsia" w:cstheme="minorEastAsia"/>
          <w:color w:val="000000"/>
          <w:sz w:val="24"/>
          <w:szCs w:val="24"/>
        </w:rPr>
        <w:t>。</w:t>
      </w:r>
    </w:p>
    <w:p w14:paraId="0040148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1.1.5.8 总价项目：是指在现行国家、行业以及地方的计量规则中无工程量计算规则，在已标价工程量清单或预算书中以总价或以费率形式计算的项目。</w:t>
      </w:r>
    </w:p>
    <w:p w14:paraId="0E512901">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1.1.6 其他</w:t>
      </w:r>
    </w:p>
    <w:p w14:paraId="00D77109">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1.1.6.1 书面形式：是指合同文件、信函、电报、传真等可以有形地表现所载内容的形式。</w:t>
      </w:r>
    </w:p>
    <w:p w14:paraId="230C5A10">
      <w:pPr>
        <w:pStyle w:val="6"/>
        <w:numPr>
          <w:ilvl w:val="4"/>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bookmarkStart w:id="427" w:name="_Toc296503029"/>
      <w:bookmarkStart w:id="428" w:name="_Toc337558729"/>
      <w:bookmarkStart w:id="429" w:name="_Toc351203497"/>
      <w:bookmarkStart w:id="430" w:name="_Toc296346530"/>
      <w:r>
        <w:rPr>
          <w:rFonts w:hint="eastAsia" w:asciiTheme="minorEastAsia" w:hAnsiTheme="minorEastAsia" w:eastAsiaTheme="minorEastAsia" w:cstheme="minorEastAsia"/>
          <w:b w:val="0"/>
          <w:color w:val="000000"/>
          <w:sz w:val="24"/>
          <w:szCs w:val="24"/>
        </w:rPr>
        <w:t>1.2语言文字</w:t>
      </w:r>
      <w:bookmarkEnd w:id="427"/>
      <w:bookmarkEnd w:id="428"/>
      <w:bookmarkEnd w:id="429"/>
      <w:bookmarkEnd w:id="430"/>
    </w:p>
    <w:p w14:paraId="54A691E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合同以中国的汉语简体文字编写、解释和说明。合同当事人在专用合同条款中约定使用两种以上语言时，汉语为优先解释和说明合同的语言。</w:t>
      </w:r>
    </w:p>
    <w:p w14:paraId="6489A040">
      <w:pPr>
        <w:pStyle w:val="6"/>
        <w:numPr>
          <w:ilvl w:val="4"/>
          <w:numId w:val="0"/>
        </w:numPr>
        <w:spacing w:before="120" w:after="120" w:line="360" w:lineRule="auto"/>
        <w:ind w:firstLine="240" w:firstLineChars="100"/>
        <w:rPr>
          <w:rFonts w:hint="eastAsia" w:asciiTheme="minorEastAsia" w:hAnsiTheme="minorEastAsia" w:eastAsiaTheme="minorEastAsia" w:cstheme="minorEastAsia"/>
          <w:b w:val="0"/>
          <w:color w:val="000000"/>
          <w:sz w:val="24"/>
          <w:szCs w:val="24"/>
        </w:rPr>
      </w:pPr>
      <w:bookmarkStart w:id="431" w:name="_Toc351203498"/>
      <w:bookmarkStart w:id="432" w:name="_Toc337558730"/>
      <w:bookmarkStart w:id="433" w:name="_Toc296346531"/>
      <w:bookmarkStart w:id="434" w:name="_Toc296503030"/>
      <w:r>
        <w:rPr>
          <w:rFonts w:hint="eastAsia" w:asciiTheme="minorEastAsia" w:hAnsiTheme="minorEastAsia" w:eastAsiaTheme="minorEastAsia" w:cstheme="minorEastAsia"/>
          <w:b w:val="0"/>
          <w:color w:val="000000"/>
          <w:sz w:val="24"/>
          <w:szCs w:val="24"/>
        </w:rPr>
        <w:t>1.3法律</w:t>
      </w:r>
      <w:bookmarkEnd w:id="431"/>
      <w:bookmarkEnd w:id="432"/>
      <w:bookmarkEnd w:id="433"/>
      <w:bookmarkEnd w:id="434"/>
    </w:p>
    <w:p w14:paraId="1F83483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合同所称法律是指中华人民共和国法律、行政法规、部门规章，以及工程所在地的地方性法规、自治条例、单行条例和地方政府规章等。</w:t>
      </w:r>
    </w:p>
    <w:p w14:paraId="7D34F8B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合同当事人可以在专用合同条款中约定合同适用的其他规范性文件。</w:t>
      </w:r>
    </w:p>
    <w:p w14:paraId="6429674F">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435" w:name="_Toc351203499"/>
      <w:r>
        <w:rPr>
          <w:rFonts w:hint="eastAsia" w:asciiTheme="minorEastAsia" w:hAnsiTheme="minorEastAsia" w:eastAsiaTheme="minorEastAsia" w:cstheme="minorEastAsia"/>
          <w:b w:val="0"/>
          <w:color w:val="000000"/>
          <w:sz w:val="24"/>
          <w:szCs w:val="24"/>
        </w:rPr>
        <w:t>1.4 标准和规范</w:t>
      </w:r>
      <w:bookmarkEnd w:id="435"/>
    </w:p>
    <w:p w14:paraId="2CD4921B">
      <w:pPr>
        <w:autoSpaceDE w:val="0"/>
        <w:autoSpaceDN w:val="0"/>
        <w:adjustRightInd w:val="0"/>
        <w:spacing w:line="360" w:lineRule="auto"/>
        <w:ind w:firstLine="64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1.4.1 适用于工程的国家标准、行业标准、工程所在地的地方性标准，以及相应的规范、规程等，合同当事人有特别要求的，应在专用合同条款中约定。</w:t>
      </w:r>
    </w:p>
    <w:p w14:paraId="13A6380B">
      <w:pPr>
        <w:autoSpaceDE w:val="0"/>
        <w:autoSpaceDN w:val="0"/>
        <w:adjustRightInd w:val="0"/>
        <w:spacing w:line="360" w:lineRule="auto"/>
        <w:ind w:firstLine="64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1.4.2 发包人要求使用国外标准、规范的，发包人负责提供原文版本和中文译本，并在专用合同条款中约定提供标准规范的名称、份数和时间。</w:t>
      </w:r>
    </w:p>
    <w:p w14:paraId="03A171CD">
      <w:pPr>
        <w:autoSpaceDE w:val="0"/>
        <w:autoSpaceDN w:val="0"/>
        <w:adjustRightInd w:val="0"/>
        <w:spacing w:line="360" w:lineRule="auto"/>
        <w:ind w:firstLine="64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01F633D">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436" w:name="_Toc351203500"/>
      <w:r>
        <w:rPr>
          <w:rFonts w:hint="eastAsia" w:asciiTheme="minorEastAsia" w:hAnsiTheme="minorEastAsia" w:eastAsiaTheme="minorEastAsia" w:cstheme="minorEastAsia"/>
          <w:b w:val="0"/>
          <w:color w:val="000000"/>
          <w:sz w:val="24"/>
          <w:szCs w:val="24"/>
        </w:rPr>
        <w:t>1</w:t>
      </w:r>
      <w:bookmarkStart w:id="437" w:name="_Toc296346532"/>
      <w:bookmarkStart w:id="438" w:name="_Toc296503031"/>
      <w:bookmarkStart w:id="439" w:name="_Toc337558731"/>
      <w:r>
        <w:rPr>
          <w:rFonts w:hint="eastAsia" w:asciiTheme="minorEastAsia" w:hAnsiTheme="minorEastAsia" w:eastAsiaTheme="minorEastAsia" w:cstheme="minorEastAsia"/>
          <w:b w:val="0"/>
          <w:color w:val="000000"/>
          <w:sz w:val="24"/>
          <w:szCs w:val="24"/>
        </w:rPr>
        <w:t>.5 合同文件的优先顺序</w:t>
      </w:r>
      <w:bookmarkEnd w:id="436"/>
    </w:p>
    <w:bookmarkEnd w:id="437"/>
    <w:bookmarkEnd w:id="438"/>
    <w:bookmarkEnd w:id="439"/>
    <w:p w14:paraId="35224D2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组成合同的各项文件应互相解释，互为说明。除专用合同条款另有约定外，解释合同文件的优先顺序如下：</w:t>
      </w:r>
    </w:p>
    <w:p w14:paraId="379D368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（1）合同协议书；</w:t>
      </w:r>
    </w:p>
    <w:p w14:paraId="5C8E2AC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（2）中标通知书（如果有）；</w:t>
      </w:r>
    </w:p>
    <w:p w14:paraId="7F2C85A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（3）投标函及其附录（如果有）；</w:t>
      </w:r>
    </w:p>
    <w:p w14:paraId="259350E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（4）专用合同条款</w:t>
      </w:r>
      <w:r>
        <w:rPr>
          <w:rFonts w:hint="eastAsia" w:asciiTheme="minorEastAsia" w:hAnsiTheme="minorEastAsia" w:eastAsiaTheme="minorEastAsia" w:cstheme="minorEastAsia"/>
          <w:color w:val="000000"/>
          <w:sz w:val="24"/>
          <w:szCs w:val="24"/>
        </w:rPr>
        <w:t>及其附件</w:t>
      </w:r>
      <w:r>
        <w:rPr>
          <w:rFonts w:hint="eastAsia" w:asciiTheme="minorEastAsia" w:hAnsiTheme="minorEastAsia" w:eastAsiaTheme="minorEastAsia" w:cstheme="minorEastAsia"/>
          <w:color w:val="000000"/>
          <w:kern w:val="0"/>
          <w:sz w:val="24"/>
          <w:szCs w:val="24"/>
        </w:rPr>
        <w:t>；</w:t>
      </w:r>
    </w:p>
    <w:p w14:paraId="0F757E0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（5）通用合同条款；</w:t>
      </w:r>
    </w:p>
    <w:p w14:paraId="3C0D3E7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（6）技术标准和要求；</w:t>
      </w:r>
    </w:p>
    <w:p w14:paraId="5236827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（7）图纸；</w:t>
      </w:r>
    </w:p>
    <w:p w14:paraId="7AB5061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（8）已标价工程量清单或预算书；</w:t>
      </w:r>
    </w:p>
    <w:p w14:paraId="1FF538C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（9）其他合同文件。</w:t>
      </w:r>
    </w:p>
    <w:p w14:paraId="42805357">
      <w:pPr>
        <w:spacing w:line="360" w:lineRule="auto"/>
        <w:ind w:firstLine="511" w:firstLineChars="213"/>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上述各项合同文件包括合同当事人就该项合同文件所作出的补充和修改，属于同一类内容的文件，应以最新签署的为准。</w:t>
      </w:r>
    </w:p>
    <w:p w14:paraId="0BE3927E">
      <w:pPr>
        <w:spacing w:line="360" w:lineRule="auto"/>
        <w:ind w:firstLine="511" w:firstLineChars="213"/>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在合同订立及履行过程中形成的与合同有关的文件均构成合同文件组成部分，并根据其性质确定优先解释顺序。</w:t>
      </w:r>
    </w:p>
    <w:p w14:paraId="109B6861">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440" w:name="_Toc351203501"/>
      <w:r>
        <w:rPr>
          <w:rFonts w:hint="eastAsia" w:asciiTheme="minorEastAsia" w:hAnsiTheme="minorEastAsia" w:eastAsiaTheme="minorEastAsia" w:cstheme="minorEastAsia"/>
          <w:b w:val="0"/>
          <w:color w:val="000000"/>
          <w:sz w:val="24"/>
          <w:szCs w:val="24"/>
        </w:rPr>
        <w:t>1</w:t>
      </w:r>
      <w:bookmarkStart w:id="441" w:name="_Toc296503032"/>
      <w:bookmarkStart w:id="442" w:name="_Toc296346533"/>
      <w:bookmarkStart w:id="443" w:name="_Toc337558732"/>
      <w:r>
        <w:rPr>
          <w:rFonts w:hint="eastAsia" w:asciiTheme="minorEastAsia" w:hAnsiTheme="minorEastAsia" w:eastAsiaTheme="minorEastAsia" w:cstheme="minorEastAsia"/>
          <w:b w:val="0"/>
          <w:color w:val="000000"/>
          <w:sz w:val="24"/>
          <w:szCs w:val="24"/>
        </w:rPr>
        <w:t>.6图纸和承包人文件</w:t>
      </w:r>
      <w:bookmarkEnd w:id="440"/>
    </w:p>
    <w:bookmarkEnd w:id="441"/>
    <w:bookmarkEnd w:id="442"/>
    <w:bookmarkEnd w:id="443"/>
    <w:p w14:paraId="0F9539C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1.6.1 图纸的提供和交底</w:t>
      </w:r>
    </w:p>
    <w:p w14:paraId="791E38CB">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3E6FB2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因发包人未按合同约定提供图纸导致承包人费用增加和（或）工期延误的，按照第7.5.1项〔因发包人原因导致工期延误〕约定办理。</w:t>
      </w:r>
    </w:p>
    <w:p w14:paraId="077592E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 图纸的错误</w:t>
      </w:r>
    </w:p>
    <w:p w14:paraId="7CC15AD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69275D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1.6.3 图纸的修改和补充</w:t>
      </w:r>
    </w:p>
    <w:p w14:paraId="7425A5F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4A201D0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1.6.4 承包人文件</w:t>
      </w:r>
    </w:p>
    <w:p w14:paraId="7A413129">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承包人应按照专用合同条款的约定提供应当由其编制的与工程施工有关的文件，并按照专用合同条款约定的期限、数量和形式提交监理人，并由监理人报送发包人。</w:t>
      </w:r>
    </w:p>
    <w:p w14:paraId="4A1DC1B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9BA17B3">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1.6.5 图纸和承包人文件的保管</w:t>
      </w:r>
    </w:p>
    <w:p w14:paraId="268E0B33">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除专用合同条款另有约定外，承包人应在施工现场另外保存一套完整的图纸和承包人文件，供发包人、监理人及有关人员进行工程检查时使用。</w:t>
      </w:r>
    </w:p>
    <w:p w14:paraId="159CBDF0">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444" w:name="_Toc351203502"/>
      <w:r>
        <w:rPr>
          <w:rFonts w:hint="eastAsia" w:asciiTheme="minorEastAsia" w:hAnsiTheme="minorEastAsia" w:eastAsiaTheme="minorEastAsia" w:cstheme="minorEastAsia"/>
          <w:b w:val="0"/>
          <w:color w:val="000000"/>
          <w:sz w:val="24"/>
          <w:szCs w:val="24"/>
        </w:rPr>
        <w:t>1</w:t>
      </w:r>
      <w:bookmarkStart w:id="445" w:name="_Toc337558733"/>
      <w:bookmarkStart w:id="446" w:name="_Toc296503033"/>
      <w:bookmarkStart w:id="447" w:name="_Toc296346534"/>
      <w:r>
        <w:rPr>
          <w:rFonts w:hint="eastAsia" w:asciiTheme="minorEastAsia" w:hAnsiTheme="minorEastAsia" w:eastAsiaTheme="minorEastAsia" w:cstheme="minorEastAsia"/>
          <w:b w:val="0"/>
          <w:color w:val="000000"/>
          <w:sz w:val="24"/>
          <w:szCs w:val="24"/>
        </w:rPr>
        <w:t>.7联络</w:t>
      </w:r>
      <w:bookmarkEnd w:id="444"/>
    </w:p>
    <w:bookmarkEnd w:id="445"/>
    <w:bookmarkEnd w:id="446"/>
    <w:bookmarkEnd w:id="447"/>
    <w:p w14:paraId="26C943A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1.7.1 与合同有关的通知、批准、证明、证书、指示、指令、要求、请求、同意、意见、确定和决定等，均应采用书面形式，并应在合同约定的期限内送达接收人和送达地点。</w:t>
      </w:r>
    </w:p>
    <w:p w14:paraId="6B21E2A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1.7.2 发包人和承包人应在专用合同条款中约定各自的送达接收人和送达地点。任何一方合同当事人指定的接收人或送达地点发生变动的，应提前3天以书面形式通知对方。</w:t>
      </w:r>
    </w:p>
    <w:p w14:paraId="449AA68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FF0000"/>
          <w:kern w:val="0"/>
          <w:sz w:val="24"/>
          <w:szCs w:val="24"/>
        </w:rPr>
      </w:pPr>
      <w:r>
        <w:rPr>
          <w:rFonts w:hint="eastAsia" w:asciiTheme="minorEastAsia" w:hAnsiTheme="minorEastAsia" w:eastAsiaTheme="minorEastAsia" w:cstheme="minorEastAsia"/>
          <w:color w:val="000000"/>
          <w:kern w:val="0"/>
          <w:sz w:val="24"/>
          <w:szCs w:val="24"/>
        </w:rPr>
        <w:t>1.7.3 发包人和承包人应当及时签收另一方送达至送达地点和指定接收人的来往信函。拒不签收的，由此增加的费用和（或）延误的工期由拒绝接收一方承担。</w:t>
      </w:r>
    </w:p>
    <w:p w14:paraId="286F055B">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448" w:name="_Toc351203503"/>
      <w:r>
        <w:rPr>
          <w:rFonts w:hint="eastAsia" w:asciiTheme="minorEastAsia" w:hAnsiTheme="minorEastAsia" w:eastAsiaTheme="minorEastAsia" w:cstheme="minorEastAsia"/>
          <w:b w:val="0"/>
          <w:color w:val="000000"/>
          <w:sz w:val="24"/>
          <w:szCs w:val="24"/>
        </w:rPr>
        <w:t>1</w:t>
      </w:r>
      <w:bookmarkStart w:id="449" w:name="_Toc337558734"/>
      <w:bookmarkStart w:id="450" w:name="_Toc296346536"/>
      <w:bookmarkStart w:id="451" w:name="_Toc296503035"/>
      <w:r>
        <w:rPr>
          <w:rFonts w:hint="eastAsia" w:asciiTheme="minorEastAsia" w:hAnsiTheme="minorEastAsia" w:eastAsiaTheme="minorEastAsia" w:cstheme="minorEastAsia"/>
          <w:b w:val="0"/>
          <w:color w:val="000000"/>
          <w:sz w:val="24"/>
          <w:szCs w:val="24"/>
        </w:rPr>
        <w:t>.8严禁贿赂</w:t>
      </w:r>
      <w:bookmarkEnd w:id="448"/>
    </w:p>
    <w:bookmarkEnd w:id="449"/>
    <w:bookmarkEnd w:id="450"/>
    <w:bookmarkEnd w:id="451"/>
    <w:p w14:paraId="2DD810E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合同当事人不得以贿赂或变相贿赂的方式，谋取非法利益或损害对方权益。因一方合同当事人的贿赂造成对方损失的，应赔偿损失，并承担相应的法律责任。</w:t>
      </w:r>
    </w:p>
    <w:p w14:paraId="40BC281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36A5EE46">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452" w:name="_Toc351203504"/>
      <w:r>
        <w:rPr>
          <w:rFonts w:hint="eastAsia" w:asciiTheme="minorEastAsia" w:hAnsiTheme="minorEastAsia" w:eastAsiaTheme="minorEastAsia" w:cstheme="minorEastAsia"/>
          <w:b w:val="0"/>
          <w:color w:val="000000"/>
          <w:sz w:val="24"/>
          <w:szCs w:val="24"/>
        </w:rPr>
        <w:t>1</w:t>
      </w:r>
      <w:bookmarkStart w:id="453" w:name="_Toc337558735"/>
      <w:bookmarkStart w:id="454" w:name="_Toc296503036"/>
      <w:bookmarkStart w:id="455" w:name="_Toc296346537"/>
      <w:r>
        <w:rPr>
          <w:rFonts w:hint="eastAsia" w:asciiTheme="minorEastAsia" w:hAnsiTheme="minorEastAsia" w:eastAsiaTheme="minorEastAsia" w:cstheme="minorEastAsia"/>
          <w:b w:val="0"/>
          <w:color w:val="000000"/>
          <w:sz w:val="24"/>
          <w:szCs w:val="24"/>
        </w:rPr>
        <w:t>.9化石、文物</w:t>
      </w:r>
      <w:bookmarkEnd w:id="452"/>
    </w:p>
    <w:bookmarkEnd w:id="453"/>
    <w:bookmarkEnd w:id="454"/>
    <w:bookmarkEnd w:id="455"/>
    <w:p w14:paraId="1A32764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BDAA8A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发包人、监理人和承包人应按有关政府行政管理部门要求采取妥善的保护措施，由此增加的费用和（或）延误的工期由发包人承担。</w:t>
      </w:r>
    </w:p>
    <w:p w14:paraId="03C9B5A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承包人发现文物后不及时报告或隐瞒不报，致使文物丢失或损坏的，应赔偿损失，并承担相应的法律责任。</w:t>
      </w:r>
    </w:p>
    <w:p w14:paraId="3F70A9F2">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456" w:name="_Toc351203505"/>
      <w:r>
        <w:rPr>
          <w:rFonts w:hint="eastAsia" w:asciiTheme="minorEastAsia" w:hAnsiTheme="minorEastAsia" w:eastAsiaTheme="minorEastAsia" w:cstheme="minorEastAsia"/>
          <w:b w:val="0"/>
          <w:color w:val="000000"/>
          <w:sz w:val="24"/>
          <w:szCs w:val="24"/>
        </w:rPr>
        <w:t>1</w:t>
      </w:r>
      <w:bookmarkStart w:id="457" w:name="_Toc337558736"/>
      <w:r>
        <w:rPr>
          <w:rFonts w:hint="eastAsia" w:asciiTheme="minorEastAsia" w:hAnsiTheme="minorEastAsia" w:eastAsiaTheme="minorEastAsia" w:cstheme="minorEastAsia"/>
          <w:b w:val="0"/>
          <w:color w:val="000000"/>
          <w:sz w:val="24"/>
          <w:szCs w:val="24"/>
        </w:rPr>
        <w:t>.10交通运输</w:t>
      </w:r>
      <w:bookmarkEnd w:id="456"/>
    </w:p>
    <w:bookmarkEnd w:id="457"/>
    <w:p w14:paraId="3B293F6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1.10.1 出入现场的权利</w:t>
      </w:r>
    </w:p>
    <w:p w14:paraId="3350F8E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713D607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25CDFDE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1.10.2 场外交通</w:t>
      </w:r>
    </w:p>
    <w:p w14:paraId="24D2B1B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7EB09F3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1.10.3场内交通</w:t>
      </w:r>
    </w:p>
    <w:p w14:paraId="4DB5DB30">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EBE2F1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7074C6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场外交通和场内交通的边界由合同当事人在专用合同条款中约定。</w:t>
      </w:r>
    </w:p>
    <w:p w14:paraId="2DEDED2E">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1.10.4 超大件和超重件的运输</w:t>
      </w:r>
    </w:p>
    <w:p w14:paraId="633936F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8BF5A9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1.10.5 道路和桥梁的损坏责任</w:t>
      </w:r>
    </w:p>
    <w:p w14:paraId="0C9950C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因承包人运输造成施工场地内外公共道路和桥梁损坏的，由承包人承担修复损坏的全部费用和可能引起的赔偿。</w:t>
      </w:r>
    </w:p>
    <w:p w14:paraId="367A997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1.10.6 水路和航空运输</w:t>
      </w:r>
    </w:p>
    <w:p w14:paraId="111DB26E">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本款前述各项的内容适用于水路运输和航空运输，其中“道路”一词的涵义包括河道、航线、船闸、机场、码头、堤防以及水路或航空运输中其他相似结构物；“车辆”一词的涵义包括船舶和飞机等。</w:t>
      </w:r>
    </w:p>
    <w:p w14:paraId="377FAAAA">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458" w:name="_Toc351203506"/>
      <w:r>
        <w:rPr>
          <w:rFonts w:hint="eastAsia" w:asciiTheme="minorEastAsia" w:hAnsiTheme="minorEastAsia" w:eastAsiaTheme="minorEastAsia" w:cstheme="minorEastAsia"/>
          <w:b w:val="0"/>
          <w:color w:val="000000"/>
          <w:sz w:val="24"/>
          <w:szCs w:val="24"/>
        </w:rPr>
        <w:t>1</w:t>
      </w:r>
      <w:bookmarkStart w:id="459" w:name="_Toc337558737"/>
      <w:bookmarkStart w:id="460" w:name="_Toc296346538"/>
      <w:bookmarkStart w:id="461" w:name="_Toc296503037"/>
      <w:r>
        <w:rPr>
          <w:rFonts w:hint="eastAsia" w:asciiTheme="minorEastAsia" w:hAnsiTheme="minorEastAsia" w:eastAsiaTheme="minorEastAsia" w:cstheme="minorEastAsia"/>
          <w:b w:val="0"/>
          <w:color w:val="000000"/>
          <w:sz w:val="24"/>
          <w:szCs w:val="24"/>
        </w:rPr>
        <w:t>.11知识产权</w:t>
      </w:r>
      <w:bookmarkEnd w:id="458"/>
      <w:r>
        <w:rPr>
          <w:rFonts w:hint="eastAsia" w:asciiTheme="minorEastAsia" w:hAnsiTheme="minorEastAsia" w:eastAsiaTheme="minorEastAsia" w:cstheme="minorEastAsia"/>
          <w:b w:val="0"/>
          <w:color w:val="000000"/>
          <w:sz w:val="24"/>
          <w:szCs w:val="24"/>
        </w:rPr>
        <w:t xml:space="preserve"> </w:t>
      </w:r>
      <w:bookmarkEnd w:id="459"/>
    </w:p>
    <w:bookmarkEnd w:id="460"/>
    <w:bookmarkEnd w:id="461"/>
    <w:p w14:paraId="25CB8BC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0E81FA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FA5C52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9EAFA8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sz w:val="24"/>
          <w:szCs w:val="24"/>
        </w:rPr>
        <w:t>1.11.4 除专用合同条款另有约定外，承包人在合同签订前和签订时已确定采用的专利、专有技术、技术秘密的使用费已包含在签约合同价中。</w:t>
      </w:r>
    </w:p>
    <w:p w14:paraId="49E7B945">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462" w:name="_Toc351203507"/>
      <w:r>
        <w:rPr>
          <w:rFonts w:hint="eastAsia" w:asciiTheme="minorEastAsia" w:hAnsiTheme="minorEastAsia" w:eastAsiaTheme="minorEastAsia" w:cstheme="minorEastAsia"/>
          <w:b w:val="0"/>
          <w:color w:val="000000"/>
          <w:sz w:val="24"/>
          <w:szCs w:val="24"/>
        </w:rPr>
        <w:t>1</w:t>
      </w:r>
      <w:bookmarkStart w:id="463" w:name="_Toc337558738"/>
      <w:r>
        <w:rPr>
          <w:rFonts w:hint="eastAsia" w:asciiTheme="minorEastAsia" w:hAnsiTheme="minorEastAsia" w:eastAsiaTheme="minorEastAsia" w:cstheme="minorEastAsia"/>
          <w:b w:val="0"/>
          <w:color w:val="000000"/>
          <w:sz w:val="24"/>
          <w:szCs w:val="24"/>
        </w:rPr>
        <w:t>.12保密</w:t>
      </w:r>
      <w:bookmarkEnd w:id="462"/>
    </w:p>
    <w:bookmarkEnd w:id="463"/>
    <w:p w14:paraId="5726564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除法律规定或合同另有约定外，未经发包人同意，承包人不得将发包人提供的图纸、文件以及声明需要保密的资料信息等商业秘密泄露给第三方。</w:t>
      </w:r>
    </w:p>
    <w:p w14:paraId="78A6B79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除法律规定或合同另有约定外，未经承包人同意，发包人不得将承包人提供的技术秘密及声明需要保密的资料信息等商业秘密泄露给第三方。</w:t>
      </w:r>
    </w:p>
    <w:p w14:paraId="4CD3F507">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464" w:name="_Toc351203508"/>
      <w:r>
        <w:rPr>
          <w:rFonts w:hint="eastAsia" w:asciiTheme="minorEastAsia" w:hAnsiTheme="minorEastAsia" w:eastAsiaTheme="minorEastAsia" w:cstheme="minorEastAsia"/>
          <w:b w:val="0"/>
          <w:color w:val="000000"/>
          <w:sz w:val="24"/>
          <w:szCs w:val="24"/>
        </w:rPr>
        <w:t>1.13工程量清单错误的修正</w:t>
      </w:r>
      <w:bookmarkEnd w:id="464"/>
    </w:p>
    <w:p w14:paraId="532E0B7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除专用合同条款另有约定外，发包人提供的工程量清单，应被认为是准确的和完整的。出现下列情形之一时，发包人应予以修正，并相应调整合同价格：</w:t>
      </w:r>
    </w:p>
    <w:p w14:paraId="3597600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（1）工程量清单存在缺项、漏项的；</w:t>
      </w:r>
    </w:p>
    <w:p w14:paraId="6847183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（2）工程量清单偏差超出专用合同条款约定的工程量偏差范围的；</w:t>
      </w:r>
    </w:p>
    <w:p w14:paraId="2BD4F73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（3）未按照国家现行计量规范强制性规定计量的。</w:t>
      </w:r>
    </w:p>
    <w:p w14:paraId="2E2EC8B1">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465" w:name="_Toc351203509"/>
      <w:r>
        <w:rPr>
          <w:rFonts w:hint="eastAsia" w:asciiTheme="minorEastAsia" w:hAnsiTheme="minorEastAsia" w:eastAsiaTheme="minorEastAsia" w:cstheme="minorEastAsia"/>
          <w:b w:val="0"/>
          <w:color w:val="000000"/>
          <w:sz w:val="24"/>
          <w:szCs w:val="24"/>
        </w:rPr>
        <w:t>2</w:t>
      </w:r>
      <w:bookmarkStart w:id="466" w:name="_Toc337558739"/>
      <w:bookmarkStart w:id="467" w:name="_Toc296346539"/>
      <w:bookmarkStart w:id="468" w:name="_Toc296503038"/>
      <w:bookmarkStart w:id="469" w:name="OLE_LINK1"/>
      <w:bookmarkStart w:id="470" w:name="OLE_LINK2"/>
      <w:r>
        <w:rPr>
          <w:rFonts w:hint="eastAsia" w:asciiTheme="minorEastAsia" w:hAnsiTheme="minorEastAsia" w:eastAsiaTheme="minorEastAsia" w:cstheme="minorEastAsia"/>
          <w:b w:val="0"/>
          <w:color w:val="000000"/>
          <w:sz w:val="24"/>
          <w:szCs w:val="24"/>
        </w:rPr>
        <w:t>. 发包人</w:t>
      </w:r>
      <w:bookmarkEnd w:id="465"/>
    </w:p>
    <w:bookmarkEnd w:id="466"/>
    <w:bookmarkEnd w:id="467"/>
    <w:bookmarkEnd w:id="468"/>
    <w:p w14:paraId="5D2861D5">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471" w:name="_Toc351203510"/>
      <w:r>
        <w:rPr>
          <w:rFonts w:hint="eastAsia" w:asciiTheme="minorEastAsia" w:hAnsiTheme="minorEastAsia" w:eastAsiaTheme="minorEastAsia" w:cstheme="minorEastAsia"/>
          <w:b w:val="0"/>
          <w:color w:val="000000"/>
          <w:sz w:val="24"/>
          <w:szCs w:val="24"/>
        </w:rPr>
        <w:t>2</w:t>
      </w:r>
      <w:bookmarkStart w:id="472" w:name="_Toc337558740"/>
      <w:bookmarkStart w:id="473" w:name="_Toc296346540"/>
      <w:bookmarkStart w:id="474" w:name="_Toc296503039"/>
      <w:r>
        <w:rPr>
          <w:rFonts w:hint="eastAsia" w:asciiTheme="minorEastAsia" w:hAnsiTheme="minorEastAsia" w:eastAsiaTheme="minorEastAsia" w:cstheme="minorEastAsia"/>
          <w:b w:val="0"/>
          <w:color w:val="000000"/>
          <w:sz w:val="24"/>
          <w:szCs w:val="24"/>
        </w:rPr>
        <w:t>.1 许可或批准</w:t>
      </w:r>
      <w:bookmarkEnd w:id="471"/>
    </w:p>
    <w:p w14:paraId="4DE1DFD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7EFF971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因发包人原因未能及时办理完毕前述许可、批准或备案，由发包人承担由此增加的费用和（或）延误的工期，并支付承包人合理的利润。</w:t>
      </w:r>
    </w:p>
    <w:p w14:paraId="59477F7E">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475" w:name="_Toc351203511"/>
      <w:r>
        <w:rPr>
          <w:rFonts w:hint="eastAsia" w:asciiTheme="minorEastAsia" w:hAnsiTheme="minorEastAsia" w:eastAsiaTheme="minorEastAsia" w:cstheme="minorEastAsia"/>
          <w:b w:val="0"/>
          <w:color w:val="000000"/>
          <w:sz w:val="24"/>
          <w:szCs w:val="24"/>
        </w:rPr>
        <w:t>2.2 发包人代表</w:t>
      </w:r>
      <w:bookmarkEnd w:id="475"/>
    </w:p>
    <w:p w14:paraId="598A2E0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676D654">
      <w:pPr>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发包人代表不能按照合同约定履行其职责及义务，并导致合同无法继续正常履行的，承包人可以要求发包人撤换发包人代表。</w:t>
      </w:r>
    </w:p>
    <w:p w14:paraId="44A262E7">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不属于法定必须监理的工程，监理人的职权可以由发包人代表或发包人指定的其他人员行使。</w:t>
      </w:r>
    </w:p>
    <w:p w14:paraId="439663E9">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476" w:name="_Toc351203512"/>
      <w:r>
        <w:rPr>
          <w:rFonts w:hint="eastAsia" w:asciiTheme="minorEastAsia" w:hAnsiTheme="minorEastAsia" w:eastAsiaTheme="minorEastAsia" w:cstheme="minorEastAsia"/>
          <w:b w:val="0"/>
          <w:color w:val="000000"/>
          <w:sz w:val="24"/>
          <w:szCs w:val="24"/>
        </w:rPr>
        <w:t>2.3 发包人人员</w:t>
      </w:r>
      <w:bookmarkEnd w:id="476"/>
    </w:p>
    <w:p w14:paraId="7F75F37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386C0034">
      <w:pPr>
        <w:spacing w:line="360" w:lineRule="auto"/>
        <w:ind w:firstLine="64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发包人人员包括发包人代表及其他由发包人派驻施工现场的人员。</w:t>
      </w:r>
      <w:bookmarkEnd w:id="472"/>
      <w:bookmarkEnd w:id="473"/>
      <w:bookmarkEnd w:id="474"/>
    </w:p>
    <w:p w14:paraId="5C0B1C30">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477" w:name="_Toc351203513"/>
      <w:r>
        <w:rPr>
          <w:rFonts w:hint="eastAsia" w:asciiTheme="minorEastAsia" w:hAnsiTheme="minorEastAsia" w:eastAsiaTheme="minorEastAsia" w:cstheme="minorEastAsia"/>
          <w:b w:val="0"/>
          <w:color w:val="000000"/>
          <w:sz w:val="24"/>
          <w:szCs w:val="24"/>
        </w:rPr>
        <w:t>2</w:t>
      </w:r>
      <w:bookmarkStart w:id="478" w:name="_Toc296346541"/>
      <w:bookmarkStart w:id="479" w:name="_Toc296503040"/>
      <w:bookmarkStart w:id="480" w:name="_Toc337558741"/>
      <w:r>
        <w:rPr>
          <w:rFonts w:hint="eastAsia" w:asciiTheme="minorEastAsia" w:hAnsiTheme="minorEastAsia" w:eastAsiaTheme="minorEastAsia" w:cstheme="minorEastAsia"/>
          <w:b w:val="0"/>
          <w:color w:val="000000"/>
          <w:sz w:val="24"/>
          <w:szCs w:val="24"/>
        </w:rPr>
        <w:t>.4 施工现场、施工条件和基础资料的提供</w:t>
      </w:r>
      <w:bookmarkEnd w:id="477"/>
      <w:r>
        <w:rPr>
          <w:rFonts w:hint="eastAsia" w:asciiTheme="minorEastAsia" w:hAnsiTheme="minorEastAsia" w:eastAsiaTheme="minorEastAsia" w:cstheme="minorEastAsia"/>
          <w:b w:val="0"/>
          <w:color w:val="000000"/>
          <w:sz w:val="24"/>
          <w:szCs w:val="24"/>
        </w:rPr>
        <w:t xml:space="preserve"> </w:t>
      </w:r>
      <w:bookmarkEnd w:id="478"/>
      <w:bookmarkEnd w:id="479"/>
      <w:bookmarkEnd w:id="480"/>
      <w:r>
        <w:rPr>
          <w:rFonts w:hint="eastAsia" w:asciiTheme="minorEastAsia" w:hAnsiTheme="minorEastAsia" w:eastAsiaTheme="minorEastAsia" w:cstheme="minorEastAsia"/>
          <w:b w:val="0"/>
          <w:color w:val="000000"/>
          <w:sz w:val="24"/>
          <w:szCs w:val="24"/>
        </w:rPr>
        <w:t xml:space="preserve"> </w:t>
      </w:r>
    </w:p>
    <w:p w14:paraId="0C66D85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2.4.1 提供施工现场</w:t>
      </w:r>
    </w:p>
    <w:p w14:paraId="448562A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w:t>
      </w:r>
      <w:bookmarkEnd w:id="469"/>
      <w:bookmarkEnd w:id="470"/>
      <w:r>
        <w:rPr>
          <w:rFonts w:hint="eastAsia" w:asciiTheme="minorEastAsia" w:hAnsiTheme="minorEastAsia" w:eastAsiaTheme="minorEastAsia" w:cstheme="minorEastAsia"/>
          <w:color w:val="000000"/>
          <w:kern w:val="0"/>
          <w:sz w:val="24"/>
          <w:szCs w:val="24"/>
        </w:rPr>
        <w:t>专用合同条款另有约定外，发包人应最迟于开工日期7天前向承包人移交施工现场。</w:t>
      </w:r>
    </w:p>
    <w:p w14:paraId="441C48A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2.4.2 提供施工条件</w:t>
      </w:r>
    </w:p>
    <w:p w14:paraId="57E1E0E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除专用合同条款另有约定外，发包人应负责提供施工所需要的条件，包括：</w:t>
      </w:r>
    </w:p>
    <w:p w14:paraId="42C0E2F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（1）将施工用水、电力、通讯线路等施工所必需的条件接至施工现场内；</w:t>
      </w:r>
    </w:p>
    <w:p w14:paraId="269FE82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（2）保证向承包人提供正常施工所需要的进入施工现场的交通条件；</w:t>
      </w:r>
    </w:p>
    <w:p w14:paraId="6CB52B6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（3）协调处理施工现场周围地下管线和邻近建筑物、构筑物、古树名木的保护工作，并承担相关费用；</w:t>
      </w:r>
    </w:p>
    <w:p w14:paraId="3C7CFC7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（4）按照专用合同条款约定应提供的其他设施和条件。</w:t>
      </w:r>
    </w:p>
    <w:p w14:paraId="0C3795E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2.4.3 提供基础资料</w:t>
      </w:r>
    </w:p>
    <w:p w14:paraId="1D2F7B7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CD51AA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按照法律规定确需在开工后方能提供的基础资料，发包人应尽其努力及时地在相应工程施工前的合理期限内提供，合理期限应以不影响承包人的正常施工为限。</w:t>
      </w:r>
    </w:p>
    <w:p w14:paraId="4F0017A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2.4.4 逾期提供的责任</w:t>
      </w:r>
    </w:p>
    <w:p w14:paraId="57D630E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因发包人原因未能按合同约定及时向承包人提供施工现场、施工条件、基础资料的，由发包人承担由此增加的费用和（或）延误的工期。</w:t>
      </w:r>
    </w:p>
    <w:p w14:paraId="65DFFCED">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481" w:name="_Toc351203514"/>
      <w:r>
        <w:rPr>
          <w:rFonts w:hint="eastAsia" w:asciiTheme="minorEastAsia" w:hAnsiTheme="minorEastAsia" w:eastAsiaTheme="minorEastAsia" w:cstheme="minorEastAsia"/>
          <w:b w:val="0"/>
          <w:color w:val="000000"/>
          <w:sz w:val="24"/>
          <w:szCs w:val="24"/>
        </w:rPr>
        <w:t>2</w:t>
      </w:r>
      <w:bookmarkStart w:id="482" w:name="_Toc296503042"/>
      <w:bookmarkStart w:id="483" w:name="_Toc296346543"/>
      <w:bookmarkStart w:id="484" w:name="_Toc337558745"/>
      <w:r>
        <w:rPr>
          <w:rFonts w:hint="eastAsia" w:asciiTheme="minorEastAsia" w:hAnsiTheme="minorEastAsia" w:eastAsiaTheme="minorEastAsia" w:cstheme="minorEastAsia"/>
          <w:b w:val="0"/>
          <w:color w:val="000000"/>
          <w:sz w:val="24"/>
          <w:szCs w:val="24"/>
        </w:rPr>
        <w:t>.5 资</w:t>
      </w:r>
      <w:bookmarkEnd w:id="482"/>
      <w:bookmarkEnd w:id="483"/>
      <w:bookmarkEnd w:id="484"/>
      <w:r>
        <w:rPr>
          <w:rFonts w:hint="eastAsia" w:asciiTheme="minorEastAsia" w:hAnsiTheme="minorEastAsia" w:eastAsiaTheme="minorEastAsia" w:cstheme="minorEastAsia"/>
          <w:b w:val="0"/>
          <w:color w:val="000000"/>
          <w:sz w:val="24"/>
          <w:szCs w:val="24"/>
        </w:rPr>
        <w:t>金来源证明及支付担保</w:t>
      </w:r>
      <w:bookmarkEnd w:id="481"/>
    </w:p>
    <w:p w14:paraId="6AC66C0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除专用合同条款另有约定外，发包人应在收到承包人要求提供资金来源证明的书面通知后28天内，向承包人提供能够按照合同约定支付合同价款的相应资金来源证明。</w:t>
      </w:r>
    </w:p>
    <w:p w14:paraId="692161D3">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235B02A1">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485" w:name="_Toc351203515"/>
      <w:r>
        <w:rPr>
          <w:rFonts w:hint="eastAsia" w:asciiTheme="minorEastAsia" w:hAnsiTheme="minorEastAsia" w:eastAsiaTheme="minorEastAsia" w:cstheme="minorEastAsia"/>
          <w:b w:val="0"/>
          <w:color w:val="000000"/>
          <w:sz w:val="24"/>
          <w:szCs w:val="24"/>
        </w:rPr>
        <w:t>2.6 支付合同价款</w:t>
      </w:r>
      <w:bookmarkEnd w:id="485"/>
    </w:p>
    <w:p w14:paraId="2A13DC1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发包人应按合同约定向承包人及时支付合同价款。</w:t>
      </w:r>
    </w:p>
    <w:p w14:paraId="254DB0D3">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486" w:name="_Toc351203516"/>
      <w:r>
        <w:rPr>
          <w:rFonts w:hint="eastAsia" w:asciiTheme="minorEastAsia" w:hAnsiTheme="minorEastAsia" w:eastAsiaTheme="minorEastAsia" w:cstheme="minorEastAsia"/>
          <w:b w:val="0"/>
          <w:color w:val="000000"/>
          <w:sz w:val="24"/>
          <w:szCs w:val="24"/>
        </w:rPr>
        <w:t>2.7 组织竣工验收</w:t>
      </w:r>
      <w:bookmarkEnd w:id="486"/>
    </w:p>
    <w:p w14:paraId="47221CE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发包人应按合同约定及时组织竣工验收。</w:t>
      </w:r>
    </w:p>
    <w:p w14:paraId="3629B96A">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487" w:name="_Toc351203517"/>
      <w:r>
        <w:rPr>
          <w:rFonts w:hint="eastAsia" w:asciiTheme="minorEastAsia" w:hAnsiTheme="minorEastAsia" w:eastAsiaTheme="minorEastAsia" w:cstheme="minorEastAsia"/>
          <w:b w:val="0"/>
          <w:color w:val="000000"/>
          <w:sz w:val="24"/>
          <w:szCs w:val="24"/>
        </w:rPr>
        <w:t>2.8 现场统一管理协议</w:t>
      </w:r>
      <w:bookmarkEnd w:id="487"/>
    </w:p>
    <w:p w14:paraId="1D0EFFF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发包人应与承包人、由发包人直接发包的专业工程的承包人签订施工现场统一管理协议，明确各方的权利义务。施工现场统一管理协议作为专用合同条款的附件。</w:t>
      </w:r>
    </w:p>
    <w:p w14:paraId="3077F402">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488" w:name="_Toc351203518"/>
      <w:r>
        <w:rPr>
          <w:rFonts w:hint="eastAsia" w:asciiTheme="minorEastAsia" w:hAnsiTheme="minorEastAsia" w:eastAsiaTheme="minorEastAsia" w:cstheme="minorEastAsia"/>
          <w:b w:val="0"/>
          <w:color w:val="000000"/>
          <w:sz w:val="24"/>
          <w:szCs w:val="24"/>
        </w:rPr>
        <w:t>3</w:t>
      </w:r>
      <w:bookmarkStart w:id="489" w:name="_Toc296503045"/>
      <w:bookmarkStart w:id="490" w:name="_Toc337558746"/>
      <w:bookmarkStart w:id="491" w:name="_Toc296346546"/>
      <w:r>
        <w:rPr>
          <w:rFonts w:hint="eastAsia" w:asciiTheme="minorEastAsia" w:hAnsiTheme="minorEastAsia" w:eastAsiaTheme="minorEastAsia" w:cstheme="minorEastAsia"/>
          <w:b w:val="0"/>
          <w:color w:val="000000"/>
          <w:sz w:val="24"/>
          <w:szCs w:val="24"/>
        </w:rPr>
        <w:t>. 承包人</w:t>
      </w:r>
      <w:bookmarkEnd w:id="488"/>
    </w:p>
    <w:bookmarkEnd w:id="489"/>
    <w:bookmarkEnd w:id="490"/>
    <w:bookmarkEnd w:id="491"/>
    <w:p w14:paraId="62077463">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492" w:name="_Toc351203519"/>
      <w:r>
        <w:rPr>
          <w:rFonts w:hint="eastAsia" w:asciiTheme="minorEastAsia" w:hAnsiTheme="minorEastAsia" w:eastAsiaTheme="minorEastAsia" w:cstheme="minorEastAsia"/>
          <w:b w:val="0"/>
          <w:color w:val="000000"/>
          <w:sz w:val="24"/>
          <w:szCs w:val="24"/>
        </w:rPr>
        <w:t>3</w:t>
      </w:r>
      <w:bookmarkStart w:id="493" w:name="_Toc296346547"/>
      <w:bookmarkStart w:id="494" w:name="_Toc296503046"/>
      <w:bookmarkStart w:id="495" w:name="_Toc337558747"/>
      <w:r>
        <w:rPr>
          <w:rFonts w:hint="eastAsia" w:asciiTheme="minorEastAsia" w:hAnsiTheme="minorEastAsia" w:eastAsiaTheme="minorEastAsia" w:cstheme="minorEastAsia"/>
          <w:b w:val="0"/>
          <w:color w:val="000000"/>
          <w:sz w:val="24"/>
          <w:szCs w:val="24"/>
        </w:rPr>
        <w:t>.1 承包人的一般义务</w:t>
      </w:r>
      <w:bookmarkEnd w:id="492"/>
    </w:p>
    <w:bookmarkEnd w:id="493"/>
    <w:bookmarkEnd w:id="494"/>
    <w:bookmarkEnd w:id="495"/>
    <w:p w14:paraId="0405374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承包人在履行合同过程中应遵守法律和工程建设标准规范，并履行以下义务：</w:t>
      </w:r>
    </w:p>
    <w:p w14:paraId="4E0D3959">
      <w:pPr>
        <w:numPr>
          <w:ilvl w:val="0"/>
          <w:numId w:val="21"/>
        </w:num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办理法律规定应由承包人办理的许可和批准，并将办理结果书面报送发包人留存；</w:t>
      </w:r>
    </w:p>
    <w:p w14:paraId="273828E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（2）按法律规定和合同约定完成工程，并在保修期内承担保修义务；</w:t>
      </w:r>
    </w:p>
    <w:p w14:paraId="65B3E1D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（3）按法律规定和合同约定采取施工安全和环境保护措施，办理工伤保险，确保工程及人员、材料、设备和设施的安全；</w:t>
      </w:r>
    </w:p>
    <w:p w14:paraId="32513A5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（4）按合同约定的工作内容和施工进度要求，编制施工组织设计和施工措施计划，并对所有施工作业和施工方法的完备性和安全可靠性负责；</w:t>
      </w:r>
    </w:p>
    <w:p w14:paraId="23E77ED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A086FF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（6）按照第6.3款〔环境保护〕约定负责施工场地及其周边环境与生态的保护工作；</w:t>
      </w:r>
    </w:p>
    <w:p w14:paraId="7AF6F6A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（7）按第6.1款〔安全文明施工〕约定采取施工安全措施，确保工程及其人员、材料、设备和设施的安全，防止因工程施工造成的人身伤害和财产损失；</w:t>
      </w:r>
    </w:p>
    <w:p w14:paraId="3B8EFD8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（8）将发包人按合同约定支付的各项价款专用于合同工程，且应及时支付其雇用人员工资，并及时向分包人支付合同价款；</w:t>
      </w:r>
    </w:p>
    <w:p w14:paraId="55EE7EF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（9）按照法律规定和合同约定编制竣工资料，完成竣工资料立卷及归档，并按专用合同条款约定的竣工资料的套数、内容、时间等要求移交发包人；</w:t>
      </w:r>
    </w:p>
    <w:p w14:paraId="2FFD95F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（10）应履行的其他义务。</w:t>
      </w:r>
    </w:p>
    <w:p w14:paraId="2EAEB523">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496" w:name="_Toc351203520"/>
      <w:r>
        <w:rPr>
          <w:rFonts w:hint="eastAsia" w:asciiTheme="minorEastAsia" w:hAnsiTheme="minorEastAsia" w:eastAsiaTheme="minorEastAsia" w:cstheme="minorEastAsia"/>
          <w:b w:val="0"/>
          <w:color w:val="000000"/>
          <w:sz w:val="24"/>
          <w:szCs w:val="24"/>
        </w:rPr>
        <w:t>3</w:t>
      </w:r>
      <w:bookmarkStart w:id="497" w:name="_Toc296503047"/>
      <w:bookmarkStart w:id="498" w:name="_Toc296346548"/>
      <w:bookmarkStart w:id="499" w:name="_Toc337558748"/>
      <w:r>
        <w:rPr>
          <w:rFonts w:hint="eastAsia" w:asciiTheme="minorEastAsia" w:hAnsiTheme="minorEastAsia" w:eastAsiaTheme="minorEastAsia" w:cstheme="minorEastAsia"/>
          <w:b w:val="0"/>
          <w:color w:val="000000"/>
          <w:sz w:val="24"/>
          <w:szCs w:val="24"/>
        </w:rPr>
        <w:t xml:space="preserve">.2 </w:t>
      </w:r>
      <w:bookmarkEnd w:id="496"/>
      <w:r>
        <w:rPr>
          <w:rFonts w:hint="eastAsia" w:asciiTheme="minorEastAsia" w:hAnsiTheme="minorEastAsia" w:eastAsiaTheme="minorEastAsia" w:cstheme="minorEastAsia"/>
          <w:b w:val="0"/>
          <w:color w:val="000000"/>
          <w:sz w:val="24"/>
          <w:szCs w:val="24"/>
        </w:rPr>
        <w:t>项目经理</w:t>
      </w:r>
    </w:p>
    <w:bookmarkEnd w:id="497"/>
    <w:bookmarkEnd w:id="498"/>
    <w:bookmarkEnd w:id="499"/>
    <w:p w14:paraId="0000571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974F38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C5121C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承包人违反上述约定的，应按照专用合同条款的约定，承担违约责任。</w:t>
      </w:r>
    </w:p>
    <w:p w14:paraId="3F7F364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60E3A8A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39F749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E5CC3F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5443459B">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00" w:name="_Toc351203521"/>
      <w:r>
        <w:rPr>
          <w:rFonts w:hint="eastAsia" w:asciiTheme="minorEastAsia" w:hAnsiTheme="minorEastAsia" w:eastAsiaTheme="minorEastAsia" w:cstheme="minorEastAsia"/>
          <w:b w:val="0"/>
          <w:color w:val="000000"/>
          <w:sz w:val="24"/>
          <w:szCs w:val="24"/>
        </w:rPr>
        <w:t>3</w:t>
      </w:r>
      <w:bookmarkStart w:id="501" w:name="_Toc296503048"/>
      <w:bookmarkStart w:id="502" w:name="_Toc296346549"/>
      <w:bookmarkStart w:id="503" w:name="_Toc337558749"/>
      <w:r>
        <w:rPr>
          <w:rFonts w:hint="eastAsia" w:asciiTheme="minorEastAsia" w:hAnsiTheme="minorEastAsia" w:eastAsiaTheme="minorEastAsia" w:cstheme="minorEastAsia"/>
          <w:b w:val="0"/>
          <w:color w:val="000000"/>
          <w:sz w:val="24"/>
          <w:szCs w:val="24"/>
        </w:rPr>
        <w:t xml:space="preserve">.3 </w:t>
      </w:r>
      <w:bookmarkEnd w:id="501"/>
      <w:bookmarkEnd w:id="502"/>
      <w:r>
        <w:rPr>
          <w:rFonts w:hint="eastAsia" w:asciiTheme="minorEastAsia" w:hAnsiTheme="minorEastAsia" w:eastAsiaTheme="minorEastAsia" w:cstheme="minorEastAsia"/>
          <w:b w:val="0"/>
          <w:color w:val="000000"/>
          <w:sz w:val="24"/>
          <w:szCs w:val="24"/>
        </w:rPr>
        <w:t>承包人人员</w:t>
      </w:r>
      <w:bookmarkEnd w:id="500"/>
    </w:p>
    <w:bookmarkEnd w:id="503"/>
    <w:p w14:paraId="472FBDE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7EAE267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404ED3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特殊工种作业人员均应持有相应的资格证明，监理人可以随时检查。</w:t>
      </w:r>
    </w:p>
    <w:p w14:paraId="5BC085D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44B3DD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3CC6FEA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3.3.5 承包人擅自更换主要施工管理人员，或前述人员未经监理人或发包人同意擅自离开施工现场的，应按照专用合同条款约定承担违约责任。</w:t>
      </w:r>
    </w:p>
    <w:p w14:paraId="186A61F8">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04" w:name="_Toc351203522"/>
      <w:r>
        <w:rPr>
          <w:rFonts w:hint="eastAsia" w:asciiTheme="minorEastAsia" w:hAnsiTheme="minorEastAsia" w:eastAsiaTheme="minorEastAsia" w:cstheme="minorEastAsia"/>
          <w:b w:val="0"/>
          <w:color w:val="000000"/>
          <w:sz w:val="24"/>
          <w:szCs w:val="24"/>
        </w:rPr>
        <w:t>3</w:t>
      </w:r>
      <w:bookmarkStart w:id="505" w:name="_Toc296503050"/>
      <w:bookmarkStart w:id="506" w:name="_Toc296346551"/>
      <w:bookmarkStart w:id="507" w:name="_Toc337558750"/>
      <w:r>
        <w:rPr>
          <w:rFonts w:hint="eastAsia" w:asciiTheme="minorEastAsia" w:hAnsiTheme="minorEastAsia" w:eastAsiaTheme="minorEastAsia" w:cstheme="minorEastAsia"/>
          <w:b w:val="0"/>
          <w:color w:val="000000"/>
          <w:sz w:val="24"/>
          <w:szCs w:val="24"/>
        </w:rPr>
        <w:t>.4 承包人现场查勘</w:t>
      </w:r>
      <w:bookmarkEnd w:id="504"/>
    </w:p>
    <w:bookmarkEnd w:id="505"/>
    <w:bookmarkEnd w:id="506"/>
    <w:bookmarkEnd w:id="507"/>
    <w:p w14:paraId="382686C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承包人应对基于发包人按照第2.4.3项〔提供基础资料〕提交的基础资料所做出的解释和推断负责，但因基础资料存在错误、遗漏导致承包人解释或推断失实的，由发包人承担责任。</w:t>
      </w:r>
    </w:p>
    <w:p w14:paraId="0CE6898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368B1B2">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08" w:name="_Toc351203523"/>
      <w:r>
        <w:rPr>
          <w:rFonts w:hint="eastAsia" w:asciiTheme="minorEastAsia" w:hAnsiTheme="minorEastAsia" w:eastAsiaTheme="minorEastAsia" w:cstheme="minorEastAsia"/>
          <w:b w:val="0"/>
          <w:color w:val="000000"/>
          <w:sz w:val="24"/>
          <w:szCs w:val="24"/>
        </w:rPr>
        <w:t>3</w:t>
      </w:r>
      <w:bookmarkStart w:id="509" w:name="_Toc296346552"/>
      <w:bookmarkStart w:id="510" w:name="_Toc337558751"/>
      <w:bookmarkStart w:id="511" w:name="_Toc296503051"/>
      <w:r>
        <w:rPr>
          <w:rFonts w:hint="eastAsia" w:asciiTheme="minorEastAsia" w:hAnsiTheme="minorEastAsia" w:eastAsiaTheme="minorEastAsia" w:cstheme="minorEastAsia"/>
          <w:b w:val="0"/>
          <w:color w:val="000000"/>
          <w:sz w:val="24"/>
          <w:szCs w:val="24"/>
        </w:rPr>
        <w:t>.5 分包</w:t>
      </w:r>
      <w:bookmarkEnd w:id="508"/>
    </w:p>
    <w:bookmarkEnd w:id="509"/>
    <w:bookmarkEnd w:id="510"/>
    <w:bookmarkEnd w:id="511"/>
    <w:p w14:paraId="6C15370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3.5.1 分包的一般约定</w:t>
      </w:r>
    </w:p>
    <w:p w14:paraId="0A337BE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6BD586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承包人不得以劳务分包的名义转包或违法分包工程。</w:t>
      </w:r>
    </w:p>
    <w:p w14:paraId="24BA9C1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3.5.2 分包的确定</w:t>
      </w:r>
    </w:p>
    <w:p w14:paraId="1A18B7BB">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C73D253">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3.5.3 分包管理</w:t>
      </w:r>
    </w:p>
    <w:p w14:paraId="02301ABB">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承包人应向监理人提交分包人的主要施工管理人员表，并对分包人的施工人员进行实名制管理，包括但不限于进出场管理、登记造册以及各种证照的办理。</w:t>
      </w:r>
    </w:p>
    <w:p w14:paraId="4FB2C3D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3.5.4 分包合同价款</w:t>
      </w:r>
    </w:p>
    <w:p w14:paraId="10A776ED">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（1）除本项第（2）目约定的情况或专用合同条款另有约定外，分包合同价款由承包人与分包人结算，未经承包人同意，发包人不得向分包人支付分包工程价款；</w:t>
      </w:r>
    </w:p>
    <w:p w14:paraId="2629EA9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（2）生效法律文书要求发包人向分包人支付分包合同价款的，发包人有权从应付承包人工程款中扣除该部分款项。</w:t>
      </w:r>
    </w:p>
    <w:p w14:paraId="5BF006E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3.5.5 分包合同权益的转让</w:t>
      </w:r>
    </w:p>
    <w:p w14:paraId="3581B19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12" w:name="_Toc351203524"/>
    </w:p>
    <w:p w14:paraId="2E5A255F">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3.6 工程照管与成品、半成品保护</w:t>
      </w:r>
      <w:bookmarkEnd w:id="512"/>
    </w:p>
    <w:p w14:paraId="025BDCCE">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（1）除专用合同条款另有约定外，自发包人向承包人移交施工现场之日起，承包人应负责照管工程及工程相关的材料、工程设备，直到颁发工程接收证书之日止。</w:t>
      </w:r>
    </w:p>
    <w:p w14:paraId="095348F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（2）在承包人负责照管期间，因承包人原因造成工程、材料、工程设备损坏的，由承包人负责修复或更换，并承担由此增加的费用和（或）延误的工期。</w:t>
      </w:r>
    </w:p>
    <w:p w14:paraId="25D69AF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14:paraId="6C048D39">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13" w:name="_Toc351203525"/>
      <w:r>
        <w:rPr>
          <w:rFonts w:hint="eastAsia" w:asciiTheme="minorEastAsia" w:hAnsiTheme="minorEastAsia" w:eastAsiaTheme="minorEastAsia" w:cstheme="minorEastAsia"/>
          <w:b w:val="0"/>
          <w:color w:val="000000"/>
          <w:sz w:val="24"/>
          <w:szCs w:val="24"/>
        </w:rPr>
        <w:t>3</w:t>
      </w:r>
      <w:bookmarkStart w:id="514" w:name="_Toc296503052"/>
      <w:bookmarkStart w:id="515" w:name="_Toc296346553"/>
      <w:bookmarkStart w:id="516" w:name="_Toc337558752"/>
      <w:r>
        <w:rPr>
          <w:rFonts w:hint="eastAsia" w:asciiTheme="minorEastAsia" w:hAnsiTheme="minorEastAsia" w:eastAsiaTheme="minorEastAsia" w:cstheme="minorEastAsia"/>
          <w:b w:val="0"/>
          <w:color w:val="000000"/>
          <w:sz w:val="24"/>
          <w:szCs w:val="24"/>
        </w:rPr>
        <w:t>.7 履约担保</w:t>
      </w:r>
      <w:bookmarkEnd w:id="513"/>
    </w:p>
    <w:bookmarkEnd w:id="514"/>
    <w:bookmarkEnd w:id="515"/>
    <w:bookmarkEnd w:id="516"/>
    <w:p w14:paraId="5FE666D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26D4DB3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因承包人原因导致工期延长的，继续提供履约担保所增加的费用由承包人承担；非因承包人原因导致工期延长的，继续提供履约担保所增加的费用由发包人承担。</w:t>
      </w:r>
    </w:p>
    <w:p w14:paraId="1FA33223">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17" w:name="_Toc351203526"/>
      <w:r>
        <w:rPr>
          <w:rFonts w:hint="eastAsia" w:asciiTheme="minorEastAsia" w:hAnsiTheme="minorEastAsia" w:eastAsiaTheme="minorEastAsia" w:cstheme="minorEastAsia"/>
          <w:b w:val="0"/>
          <w:color w:val="000000"/>
          <w:sz w:val="24"/>
          <w:szCs w:val="24"/>
        </w:rPr>
        <w:t>3.8 联合体</w:t>
      </w:r>
      <w:bookmarkEnd w:id="517"/>
    </w:p>
    <w:p w14:paraId="5A6E749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3.8.1 联合体各方应共同与发包人签订合同协议书。联合体各方应为履行合同向发包人承担连带责任。</w:t>
      </w:r>
    </w:p>
    <w:p w14:paraId="2991007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3.8.2 联合体协议经发包人确认后作为合同附件。在履行合同过程中，未经发包人同意，不得修改联合体协议。</w:t>
      </w:r>
    </w:p>
    <w:p w14:paraId="6F00092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3.8.3 联合体牵头人负责与发包人和监理人联系，并接受指示，负责组织联合体各成员全面履行合同。</w:t>
      </w:r>
    </w:p>
    <w:p w14:paraId="5970645B">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518" w:name="_Toc351203527"/>
      <w:r>
        <w:rPr>
          <w:rFonts w:hint="eastAsia" w:asciiTheme="minorEastAsia" w:hAnsiTheme="minorEastAsia" w:eastAsiaTheme="minorEastAsia" w:cstheme="minorEastAsia"/>
          <w:b w:val="0"/>
          <w:color w:val="000000"/>
          <w:sz w:val="24"/>
          <w:szCs w:val="24"/>
        </w:rPr>
        <w:t>4</w:t>
      </w:r>
      <w:bookmarkStart w:id="519" w:name="_Toc296346554"/>
      <w:bookmarkStart w:id="520" w:name="_Toc296503053"/>
      <w:bookmarkStart w:id="521" w:name="_Toc337558753"/>
      <w:r>
        <w:rPr>
          <w:rFonts w:hint="eastAsia" w:asciiTheme="minorEastAsia" w:hAnsiTheme="minorEastAsia" w:eastAsiaTheme="minorEastAsia" w:cstheme="minorEastAsia"/>
          <w:b w:val="0"/>
          <w:color w:val="000000"/>
          <w:sz w:val="24"/>
          <w:szCs w:val="24"/>
        </w:rPr>
        <w:t>. 监</w:t>
      </w:r>
      <w:bookmarkEnd w:id="519"/>
      <w:bookmarkEnd w:id="520"/>
      <w:r>
        <w:rPr>
          <w:rFonts w:hint="eastAsia" w:asciiTheme="minorEastAsia" w:hAnsiTheme="minorEastAsia" w:eastAsiaTheme="minorEastAsia" w:cstheme="minorEastAsia"/>
          <w:b w:val="0"/>
          <w:color w:val="000000"/>
          <w:sz w:val="24"/>
          <w:szCs w:val="24"/>
        </w:rPr>
        <w:t>理人</w:t>
      </w:r>
      <w:bookmarkEnd w:id="518"/>
    </w:p>
    <w:bookmarkEnd w:id="521"/>
    <w:p w14:paraId="58C19841">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22" w:name="_Toc351203528"/>
      <w:r>
        <w:rPr>
          <w:rFonts w:hint="eastAsia" w:asciiTheme="minorEastAsia" w:hAnsiTheme="minorEastAsia" w:eastAsiaTheme="minorEastAsia" w:cstheme="minorEastAsia"/>
          <w:b w:val="0"/>
          <w:color w:val="000000"/>
          <w:sz w:val="24"/>
          <w:szCs w:val="24"/>
        </w:rPr>
        <w:t>4</w:t>
      </w:r>
      <w:bookmarkStart w:id="523" w:name="_Toc337558754"/>
      <w:bookmarkStart w:id="524" w:name="_Toc296503054"/>
      <w:bookmarkStart w:id="525" w:name="_Toc296346555"/>
      <w:r>
        <w:rPr>
          <w:rFonts w:hint="eastAsia" w:asciiTheme="minorEastAsia" w:hAnsiTheme="minorEastAsia" w:eastAsiaTheme="minorEastAsia" w:cstheme="minorEastAsia"/>
          <w:b w:val="0"/>
          <w:color w:val="000000"/>
          <w:sz w:val="24"/>
          <w:szCs w:val="24"/>
        </w:rPr>
        <w:t>.1监理人的一般规定</w:t>
      </w:r>
      <w:bookmarkEnd w:id="522"/>
    </w:p>
    <w:bookmarkEnd w:id="523"/>
    <w:bookmarkEnd w:id="524"/>
    <w:bookmarkEnd w:id="525"/>
    <w:p w14:paraId="155AA25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97AD97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除专用合同条款另有约定外，监理人在施工现场的办公场所、生活场所由承包人提供，所发生的费用由发包人承担。</w:t>
      </w:r>
    </w:p>
    <w:p w14:paraId="48C05077">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26" w:name="_Toc351203529"/>
      <w:r>
        <w:rPr>
          <w:rFonts w:hint="eastAsia" w:asciiTheme="minorEastAsia" w:hAnsiTheme="minorEastAsia" w:eastAsiaTheme="minorEastAsia" w:cstheme="minorEastAsia"/>
          <w:b w:val="0"/>
          <w:color w:val="000000"/>
          <w:sz w:val="24"/>
          <w:szCs w:val="24"/>
        </w:rPr>
        <w:t>4</w:t>
      </w:r>
      <w:bookmarkStart w:id="527" w:name="_Toc337558755"/>
      <w:r>
        <w:rPr>
          <w:rFonts w:hint="eastAsia" w:asciiTheme="minorEastAsia" w:hAnsiTheme="minorEastAsia" w:eastAsiaTheme="minorEastAsia" w:cstheme="minorEastAsia"/>
          <w:b w:val="0"/>
          <w:color w:val="000000"/>
          <w:sz w:val="24"/>
          <w:szCs w:val="24"/>
        </w:rPr>
        <w:t>.2监理人员</w:t>
      </w:r>
      <w:bookmarkEnd w:id="526"/>
    </w:p>
    <w:bookmarkEnd w:id="527"/>
    <w:p w14:paraId="699EAE3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A8F79D6">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28" w:name="_Toc351203530"/>
      <w:r>
        <w:rPr>
          <w:rFonts w:hint="eastAsia" w:asciiTheme="minorEastAsia" w:hAnsiTheme="minorEastAsia" w:eastAsiaTheme="minorEastAsia" w:cstheme="minorEastAsia"/>
          <w:b w:val="0"/>
          <w:color w:val="000000"/>
          <w:sz w:val="24"/>
          <w:szCs w:val="24"/>
        </w:rPr>
        <w:t>4</w:t>
      </w:r>
      <w:bookmarkStart w:id="529" w:name="_Toc296346556"/>
      <w:bookmarkStart w:id="530" w:name="_Toc296503055"/>
      <w:bookmarkStart w:id="531" w:name="_Toc337558756"/>
      <w:r>
        <w:rPr>
          <w:rFonts w:hint="eastAsia" w:asciiTheme="minorEastAsia" w:hAnsiTheme="minorEastAsia" w:eastAsiaTheme="minorEastAsia" w:cstheme="minorEastAsia"/>
          <w:b w:val="0"/>
          <w:color w:val="000000"/>
          <w:sz w:val="24"/>
          <w:szCs w:val="24"/>
        </w:rPr>
        <w:t>.3</w:t>
      </w:r>
      <w:bookmarkEnd w:id="529"/>
      <w:bookmarkEnd w:id="530"/>
      <w:r>
        <w:rPr>
          <w:rFonts w:hint="eastAsia" w:asciiTheme="minorEastAsia" w:hAnsiTheme="minorEastAsia" w:eastAsiaTheme="minorEastAsia" w:cstheme="minorEastAsia"/>
          <w:b w:val="0"/>
          <w:color w:val="000000"/>
          <w:sz w:val="24"/>
          <w:szCs w:val="24"/>
        </w:rPr>
        <w:t>监理人的指</w:t>
      </w:r>
      <w:bookmarkEnd w:id="531"/>
      <w:r>
        <w:rPr>
          <w:rFonts w:hint="eastAsia" w:asciiTheme="minorEastAsia" w:hAnsiTheme="minorEastAsia" w:eastAsiaTheme="minorEastAsia" w:cstheme="minorEastAsia"/>
          <w:b w:val="0"/>
          <w:color w:val="000000"/>
          <w:sz w:val="24"/>
          <w:szCs w:val="24"/>
        </w:rPr>
        <w:t>示</w:t>
      </w:r>
      <w:bookmarkEnd w:id="528"/>
    </w:p>
    <w:p w14:paraId="2B3E80B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6B62BF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0ADE9B4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承包人对监理人发出的指示有疑问的，应向监理人提出书面异议，监理人应在48小时内对该指示予以确认、更改或撤销，监理人逾期未回复的，承包人有权拒绝执行上述指示。</w:t>
      </w:r>
    </w:p>
    <w:p w14:paraId="32A4EC8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28C35D17">
      <w:pPr>
        <w:pStyle w:val="5"/>
        <w:numPr>
          <w:ilvl w:val="3"/>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532" w:name="_Toc351203531"/>
      <w:r>
        <w:rPr>
          <w:rFonts w:hint="eastAsia" w:asciiTheme="minorEastAsia" w:hAnsiTheme="minorEastAsia" w:eastAsiaTheme="minorEastAsia" w:cstheme="minorEastAsia"/>
          <w:b w:val="0"/>
          <w:color w:val="000000"/>
          <w:sz w:val="24"/>
          <w:szCs w:val="24"/>
        </w:rPr>
        <w:t>4</w:t>
      </w:r>
      <w:bookmarkStart w:id="533" w:name="_Toc337558757"/>
      <w:bookmarkStart w:id="534" w:name="_Toc296346558"/>
      <w:bookmarkStart w:id="535" w:name="_Toc296503057"/>
      <w:r>
        <w:rPr>
          <w:rFonts w:hint="eastAsia" w:asciiTheme="minorEastAsia" w:hAnsiTheme="minorEastAsia" w:eastAsiaTheme="minorEastAsia" w:cstheme="minorEastAsia"/>
          <w:b w:val="0"/>
          <w:color w:val="000000"/>
          <w:sz w:val="24"/>
          <w:szCs w:val="24"/>
        </w:rPr>
        <w:t>.4 商定或确定</w:t>
      </w:r>
      <w:bookmarkEnd w:id="532"/>
    </w:p>
    <w:bookmarkEnd w:id="533"/>
    <w:bookmarkEnd w:id="534"/>
    <w:bookmarkEnd w:id="535"/>
    <w:p w14:paraId="041149B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合同当事人进行商定或确定时，总监理工程师应当会同合同当事人尽量通过协商达成一致，不能达成一致的，由总监理工程师按照合同约定审慎做出公正的确定。</w:t>
      </w:r>
    </w:p>
    <w:p w14:paraId="654E844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EFA73CD">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536" w:name="_Toc351203532"/>
      <w:r>
        <w:rPr>
          <w:rFonts w:hint="eastAsia" w:asciiTheme="minorEastAsia" w:hAnsiTheme="minorEastAsia" w:eastAsiaTheme="minorEastAsia" w:cstheme="minorEastAsia"/>
          <w:b w:val="0"/>
          <w:color w:val="000000"/>
          <w:sz w:val="24"/>
          <w:szCs w:val="24"/>
        </w:rPr>
        <w:t>5</w:t>
      </w:r>
      <w:bookmarkStart w:id="537" w:name="_Toc337558758"/>
      <w:r>
        <w:rPr>
          <w:rFonts w:hint="eastAsia" w:asciiTheme="minorEastAsia" w:hAnsiTheme="minorEastAsia" w:eastAsiaTheme="minorEastAsia" w:cstheme="minorEastAsia"/>
          <w:b w:val="0"/>
          <w:color w:val="000000"/>
          <w:sz w:val="24"/>
          <w:szCs w:val="24"/>
        </w:rPr>
        <w:t>. 工程质量</w:t>
      </w:r>
      <w:bookmarkEnd w:id="536"/>
    </w:p>
    <w:bookmarkEnd w:id="537"/>
    <w:p w14:paraId="416CF6A6">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38" w:name="_Toc351203533"/>
      <w:r>
        <w:rPr>
          <w:rFonts w:hint="eastAsia" w:asciiTheme="minorEastAsia" w:hAnsiTheme="minorEastAsia" w:eastAsiaTheme="minorEastAsia" w:cstheme="minorEastAsia"/>
          <w:b w:val="0"/>
          <w:color w:val="000000"/>
          <w:sz w:val="24"/>
          <w:szCs w:val="24"/>
        </w:rPr>
        <w:t>5</w:t>
      </w:r>
      <w:bookmarkStart w:id="539" w:name="_Toc337558759"/>
      <w:r>
        <w:rPr>
          <w:rFonts w:hint="eastAsia" w:asciiTheme="minorEastAsia" w:hAnsiTheme="minorEastAsia" w:eastAsiaTheme="minorEastAsia" w:cstheme="minorEastAsia"/>
          <w:b w:val="0"/>
          <w:color w:val="000000"/>
          <w:sz w:val="24"/>
          <w:szCs w:val="24"/>
        </w:rPr>
        <w:t>.1质量要求</w:t>
      </w:r>
      <w:bookmarkEnd w:id="538"/>
    </w:p>
    <w:bookmarkEnd w:id="539"/>
    <w:p w14:paraId="3F44081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5.1.1 工程质量标准必须符合现行国家有关工程施工质量验收规范和标准的要求。有关工程质量的特殊标准或要求由合同当事人在专用合同条款中约定。</w:t>
      </w:r>
    </w:p>
    <w:p w14:paraId="0196BD9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5.1.2 因发包人原因造成工程质量未达到合同约定标准的，由发包人承担由此增加的费用和（或）延误的工期，并支付承包人合理的利润。</w:t>
      </w:r>
    </w:p>
    <w:p w14:paraId="49C43BB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5.1.3 因承包人原因造成工程质量未达到合同约定标准的，发包人有权要求承包人返工直至工程质量达到合同约定的标准为止，并由承包人承担由此增加的费用和（或）延误的工期。</w:t>
      </w:r>
    </w:p>
    <w:p w14:paraId="7103E813">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40" w:name="_Toc351203534"/>
      <w:r>
        <w:rPr>
          <w:rFonts w:hint="eastAsia" w:asciiTheme="minorEastAsia" w:hAnsiTheme="minorEastAsia" w:eastAsiaTheme="minorEastAsia" w:cstheme="minorEastAsia"/>
          <w:b w:val="0"/>
          <w:color w:val="000000"/>
          <w:sz w:val="24"/>
          <w:szCs w:val="24"/>
        </w:rPr>
        <w:t>5</w:t>
      </w:r>
      <w:bookmarkStart w:id="541" w:name="_Toc337558760"/>
      <w:r>
        <w:rPr>
          <w:rFonts w:hint="eastAsia" w:asciiTheme="minorEastAsia" w:hAnsiTheme="minorEastAsia" w:eastAsiaTheme="minorEastAsia" w:cstheme="minorEastAsia"/>
          <w:b w:val="0"/>
          <w:color w:val="000000"/>
          <w:sz w:val="24"/>
          <w:szCs w:val="24"/>
        </w:rPr>
        <w:t>.2质量保证措施</w:t>
      </w:r>
      <w:bookmarkEnd w:id="540"/>
    </w:p>
    <w:bookmarkEnd w:id="541"/>
    <w:p w14:paraId="2E7C14AF">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5.2.1 发包人的质量管理</w:t>
      </w:r>
    </w:p>
    <w:p w14:paraId="7D7CC81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发包人应按照法律规定及合同约定完成与工程质量有关的各项工作。</w:t>
      </w:r>
    </w:p>
    <w:p w14:paraId="1DE82A0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5.2.2 承包人的质量管理</w:t>
      </w:r>
    </w:p>
    <w:p w14:paraId="627C2C7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5E76A5F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承包人应对施工人员进行质量教育和技术培训，定期考核施工人员的劳动技能，严格执行施工规范和操作规程。</w:t>
      </w:r>
    </w:p>
    <w:p w14:paraId="0AFCD37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67918A52">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5.2.3 监理人的质量检查和检验</w:t>
      </w:r>
    </w:p>
    <w:p w14:paraId="1E25727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46F8AF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E6F86A8">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42" w:name="_Toc351203535"/>
      <w:r>
        <w:rPr>
          <w:rFonts w:hint="eastAsia" w:asciiTheme="minorEastAsia" w:hAnsiTheme="minorEastAsia" w:eastAsiaTheme="minorEastAsia" w:cstheme="minorEastAsia"/>
          <w:b w:val="0"/>
          <w:color w:val="000000"/>
          <w:sz w:val="24"/>
          <w:szCs w:val="24"/>
        </w:rPr>
        <w:t>5</w:t>
      </w:r>
      <w:bookmarkStart w:id="543" w:name="_Toc337558761"/>
      <w:r>
        <w:rPr>
          <w:rFonts w:hint="eastAsia" w:asciiTheme="minorEastAsia" w:hAnsiTheme="minorEastAsia" w:eastAsiaTheme="minorEastAsia" w:cstheme="minorEastAsia"/>
          <w:b w:val="0"/>
          <w:color w:val="000000"/>
          <w:sz w:val="24"/>
          <w:szCs w:val="24"/>
        </w:rPr>
        <w:t>.3 隐蔽工程检查</w:t>
      </w:r>
      <w:bookmarkEnd w:id="542"/>
    </w:p>
    <w:bookmarkEnd w:id="543"/>
    <w:p w14:paraId="59AB65C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5.3.1承包人自检</w:t>
      </w:r>
    </w:p>
    <w:p w14:paraId="08F1B6F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承包人应当对工程隐蔽部位进行自检，并经自检确认是否具备覆盖条件。</w:t>
      </w:r>
    </w:p>
    <w:p w14:paraId="18245F8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5.3.2检查程序</w:t>
      </w:r>
    </w:p>
    <w:p w14:paraId="7929F789">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77ED27D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FB25AC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59842F2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5.3.3 重新检查</w:t>
      </w:r>
    </w:p>
    <w:p w14:paraId="5ACE103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174D17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5.3.4 承包人私自覆盖</w:t>
      </w:r>
    </w:p>
    <w:p w14:paraId="47583BEB">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17007E07">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44" w:name="_Toc351203536"/>
      <w:r>
        <w:rPr>
          <w:rFonts w:hint="eastAsia" w:asciiTheme="minorEastAsia" w:hAnsiTheme="minorEastAsia" w:eastAsiaTheme="minorEastAsia" w:cstheme="minorEastAsia"/>
          <w:b w:val="0"/>
          <w:color w:val="000000"/>
          <w:sz w:val="24"/>
          <w:szCs w:val="24"/>
        </w:rPr>
        <w:t>5</w:t>
      </w:r>
      <w:bookmarkStart w:id="545" w:name="_Toc337558762"/>
      <w:r>
        <w:rPr>
          <w:rFonts w:hint="eastAsia" w:asciiTheme="minorEastAsia" w:hAnsiTheme="minorEastAsia" w:eastAsiaTheme="minorEastAsia" w:cstheme="minorEastAsia"/>
          <w:b w:val="0"/>
          <w:color w:val="000000"/>
          <w:sz w:val="24"/>
          <w:szCs w:val="24"/>
        </w:rPr>
        <w:t>.4不合格工程的处理</w:t>
      </w:r>
      <w:bookmarkEnd w:id="544"/>
    </w:p>
    <w:bookmarkEnd w:id="545"/>
    <w:p w14:paraId="65CC55F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17A74B0B">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5.4.2 因发包人原因造成工程不合格的，由此增加的费用和（或）延误的工期由发包人承担，并支付承包人合理的利润。</w:t>
      </w:r>
    </w:p>
    <w:p w14:paraId="75C65689">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46" w:name="_Toc351203537"/>
      <w:r>
        <w:rPr>
          <w:rFonts w:hint="eastAsia" w:asciiTheme="minorEastAsia" w:hAnsiTheme="minorEastAsia" w:eastAsiaTheme="minorEastAsia" w:cstheme="minorEastAsia"/>
          <w:b w:val="0"/>
          <w:color w:val="000000"/>
          <w:sz w:val="24"/>
          <w:szCs w:val="24"/>
        </w:rPr>
        <w:t>5.5 质量争议检测</w:t>
      </w:r>
      <w:bookmarkEnd w:id="546"/>
    </w:p>
    <w:p w14:paraId="37406A9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合同当事人对工程质量有争议的，由双方协商确定的工程质量检测机构鉴定，由此产生的费用及因此造成的损失，由责任方承担。</w:t>
      </w:r>
    </w:p>
    <w:p w14:paraId="20B65390">
      <w:pPr>
        <w:autoSpaceDE w:val="0"/>
        <w:autoSpaceDN w:val="0"/>
        <w:adjustRightInd w:val="0"/>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合同当事人均有责任的，由双方根据其责任分别承担。合同当事人无法达成一致的，按照第4.4款〔商定或确定〕执行。</w:t>
      </w:r>
    </w:p>
    <w:p w14:paraId="611182D9">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547" w:name="_Toc351203538"/>
      <w:r>
        <w:rPr>
          <w:rFonts w:hint="eastAsia" w:asciiTheme="minorEastAsia" w:hAnsiTheme="minorEastAsia" w:eastAsiaTheme="minorEastAsia" w:cstheme="minorEastAsia"/>
          <w:b w:val="0"/>
          <w:color w:val="000000"/>
          <w:sz w:val="24"/>
          <w:szCs w:val="24"/>
        </w:rPr>
        <w:t>6</w:t>
      </w:r>
      <w:bookmarkStart w:id="548" w:name="_Toc337558763"/>
      <w:r>
        <w:rPr>
          <w:rFonts w:hint="eastAsia" w:asciiTheme="minorEastAsia" w:hAnsiTheme="minorEastAsia" w:eastAsiaTheme="minorEastAsia" w:cstheme="minorEastAsia"/>
          <w:b w:val="0"/>
          <w:color w:val="000000"/>
          <w:sz w:val="24"/>
          <w:szCs w:val="24"/>
        </w:rPr>
        <w:t>. 安全文明施工与环境保护</w:t>
      </w:r>
      <w:bookmarkEnd w:id="547"/>
    </w:p>
    <w:bookmarkEnd w:id="548"/>
    <w:p w14:paraId="64B95BCE">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49" w:name="_Toc351203539"/>
      <w:r>
        <w:rPr>
          <w:rFonts w:hint="eastAsia" w:asciiTheme="minorEastAsia" w:hAnsiTheme="minorEastAsia" w:eastAsiaTheme="minorEastAsia" w:cstheme="minorEastAsia"/>
          <w:b w:val="0"/>
          <w:color w:val="000000"/>
          <w:sz w:val="24"/>
          <w:szCs w:val="24"/>
        </w:rPr>
        <w:t>6</w:t>
      </w:r>
      <w:bookmarkStart w:id="550" w:name="_Toc337558764"/>
      <w:r>
        <w:rPr>
          <w:rFonts w:hint="eastAsia" w:asciiTheme="minorEastAsia" w:hAnsiTheme="minorEastAsia" w:eastAsiaTheme="minorEastAsia" w:cstheme="minorEastAsia"/>
          <w:b w:val="0"/>
          <w:color w:val="000000"/>
          <w:sz w:val="24"/>
          <w:szCs w:val="24"/>
        </w:rPr>
        <w:t>.1安全文明施工</w:t>
      </w:r>
      <w:bookmarkEnd w:id="549"/>
    </w:p>
    <w:bookmarkEnd w:id="550"/>
    <w:p w14:paraId="50A7329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6.1.1安全生产要求</w:t>
      </w:r>
    </w:p>
    <w:p w14:paraId="0F51067B">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4BEEC4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在施工过程中，如遇到突发的地质变动、事先未知的地下施工障碍等影响施工安全的紧急情况，承包人应及时报告监理人和发包人，发包人应当及时下令停工并报</w:t>
      </w:r>
      <w:r>
        <w:rPr>
          <w:rFonts w:hint="eastAsia" w:asciiTheme="minorEastAsia" w:hAnsiTheme="minorEastAsia" w:eastAsiaTheme="minorEastAsia" w:cstheme="minorEastAsia"/>
          <w:color w:val="000000"/>
          <w:kern w:val="0"/>
          <w:sz w:val="24"/>
          <w:szCs w:val="24"/>
        </w:rPr>
        <w:t>政府有关行政管理部门</w:t>
      </w:r>
      <w:r>
        <w:rPr>
          <w:rFonts w:hint="eastAsia" w:asciiTheme="minorEastAsia" w:hAnsiTheme="minorEastAsia" w:eastAsiaTheme="minorEastAsia" w:cstheme="minorEastAsia"/>
          <w:color w:val="000000"/>
          <w:sz w:val="24"/>
          <w:szCs w:val="24"/>
        </w:rPr>
        <w:t>采取应急措施。</w:t>
      </w:r>
    </w:p>
    <w:p w14:paraId="32A1B32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因安全生产需要暂停施工的，按照第7.8款〔暂停施工〕的约定执行。</w:t>
      </w:r>
    </w:p>
    <w:p w14:paraId="46EF0AC2">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6.1.2 安全生产保证措施</w:t>
      </w:r>
    </w:p>
    <w:p w14:paraId="62B0575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承包人应当按照有关</w:t>
      </w:r>
      <w:r>
        <w:rPr>
          <w:rFonts w:hint="eastAsia" w:asciiTheme="minorEastAsia" w:hAnsiTheme="minorEastAsia" w:eastAsiaTheme="minorEastAsia" w:cstheme="minorEastAsia"/>
          <w:color w:val="000000"/>
          <w:kern w:val="0"/>
          <w:sz w:val="24"/>
          <w:szCs w:val="24"/>
        </w:rPr>
        <w:t>规定编制安全技术措施或者专项施工方案，</w:t>
      </w:r>
      <w:r>
        <w:rPr>
          <w:rFonts w:hint="eastAsia" w:asciiTheme="minorEastAsia" w:hAnsiTheme="minorEastAsia" w:eastAsiaTheme="minorEastAsia" w:cstheme="minorEastAsia"/>
          <w:color w:val="000000"/>
          <w:sz w:val="24"/>
          <w:szCs w:val="24"/>
        </w:rPr>
        <w:t>建立安全生产责任制度、治安保卫制度及安全生产教育培训制度，并</w:t>
      </w:r>
      <w:r>
        <w:rPr>
          <w:rFonts w:hint="eastAsia" w:asciiTheme="minorEastAsia" w:hAnsiTheme="minorEastAsia" w:eastAsiaTheme="minorEastAsia" w:cstheme="minorEastAsia"/>
          <w:color w:val="000000"/>
          <w:kern w:val="0"/>
          <w:sz w:val="24"/>
          <w:szCs w:val="24"/>
        </w:rPr>
        <w:t>按安全生产法律规定及合同约定履行安全职责，如实</w:t>
      </w:r>
      <w:r>
        <w:rPr>
          <w:rFonts w:hint="eastAsia" w:asciiTheme="minorEastAsia" w:hAnsiTheme="minorEastAsia" w:eastAsiaTheme="minorEastAsia" w:cstheme="minorEastAsia"/>
          <w:color w:val="000000"/>
          <w:sz w:val="24"/>
          <w:szCs w:val="24"/>
        </w:rPr>
        <w:t>编制工程安全生产的有关记录，</w:t>
      </w:r>
      <w:r>
        <w:rPr>
          <w:rFonts w:hint="eastAsia" w:asciiTheme="minorEastAsia" w:hAnsiTheme="minorEastAsia" w:eastAsiaTheme="minorEastAsia" w:cstheme="minorEastAsia"/>
          <w:color w:val="000000"/>
          <w:kern w:val="0"/>
          <w:sz w:val="24"/>
          <w:szCs w:val="24"/>
        </w:rPr>
        <w:t>接受发包人、监理人及政府安全监督部门的检查与监督。</w:t>
      </w:r>
    </w:p>
    <w:p w14:paraId="790D5746">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6.1.3特别安全生产事项</w:t>
      </w:r>
    </w:p>
    <w:p w14:paraId="110C52A6">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6FDD71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38B93F8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7AA1183E">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需单独编制危险性较大分部分项专项工程施工方案的，及要求进行专家论证的超过一定规模的危险性较大的分部分项工程，承包人应及时编制和组织论证。</w:t>
      </w:r>
    </w:p>
    <w:p w14:paraId="5D7309C6">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6.1.4 治安保卫</w:t>
      </w:r>
    </w:p>
    <w:p w14:paraId="1B1BB192">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除专用合同条款另有约定外，发包人应与当地公安部门协商，在现场建立治安管理机构或联防组织，统一管理施工场地的治安保卫事项，履行合同工程的治安保卫职责。</w:t>
      </w:r>
    </w:p>
    <w:p w14:paraId="7CD10F33">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发包人和承包人除应协助现场治安管理机构或联防组织维护施工场地的社会治安外，还应做好包括生活区在内的各自管辖区的治安保卫工作。</w:t>
      </w:r>
    </w:p>
    <w:p w14:paraId="5C05DFE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70269650">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6.1.5 文明施工</w:t>
      </w:r>
    </w:p>
    <w:p w14:paraId="5CB2733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18F7B7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6D5A2E78">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6.1.6 安全文明施工费</w:t>
      </w:r>
    </w:p>
    <w:p w14:paraId="3036A95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安全文明施工费由发包人承担，发包人不得以任何形式扣减该部分费用。因基准日期后合同所适用的法律或政府有关规定发生变化，增加的安全文明施工费由发包人承担。</w:t>
      </w:r>
    </w:p>
    <w:p w14:paraId="6FC43C5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444600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7BC4252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67DA6E8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6.1.7 紧急情况处理</w:t>
      </w:r>
    </w:p>
    <w:p w14:paraId="5AA77FED">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EE278C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6.1.8 事故处理</w:t>
      </w:r>
    </w:p>
    <w:p w14:paraId="153208D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43147D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6.1.9 安全生产责任</w:t>
      </w:r>
    </w:p>
    <w:p w14:paraId="5424331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6.1.9.1 发包人的安全责任</w:t>
      </w:r>
    </w:p>
    <w:p w14:paraId="709F9151">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发包人应负责赔偿以下各种情况造成的损失：</w:t>
      </w:r>
    </w:p>
    <w:p w14:paraId="3BE4BAC3">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（1）工程或工程的任何部分对土地的占用所造成的第三者财产损失；</w:t>
      </w:r>
    </w:p>
    <w:p w14:paraId="393C078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（2）由于发包人原因在施工场地及其毗邻地带造成的第三者人身伤亡和财产损失；</w:t>
      </w:r>
    </w:p>
    <w:p w14:paraId="22F9ADD7">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（3）由于发包人原因对承包人、监理人造成的人员人身伤亡和财产损失；</w:t>
      </w:r>
    </w:p>
    <w:p w14:paraId="48D724A9">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（4）由于发包人原因造成的发包人自身人员的人身伤害以及财产损失。</w:t>
      </w:r>
    </w:p>
    <w:p w14:paraId="4B0DBA2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6.1.9.2 承包人的安全责任</w:t>
      </w:r>
    </w:p>
    <w:p w14:paraId="36655D50">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由于承包人原因在施工场地内及其毗邻地带造成的发包人、监理人以及第三者人员伤亡和财产损失，由承包人负责赔偿。</w:t>
      </w:r>
    </w:p>
    <w:p w14:paraId="2BF3A45F">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51" w:name="_Toc351203540"/>
      <w:r>
        <w:rPr>
          <w:rFonts w:hint="eastAsia" w:asciiTheme="minorEastAsia" w:hAnsiTheme="minorEastAsia" w:eastAsiaTheme="minorEastAsia" w:cstheme="minorEastAsia"/>
          <w:b w:val="0"/>
          <w:color w:val="000000"/>
          <w:sz w:val="24"/>
          <w:szCs w:val="24"/>
        </w:rPr>
        <w:t>6</w:t>
      </w:r>
      <w:bookmarkStart w:id="552" w:name="_Toc337558765"/>
      <w:r>
        <w:rPr>
          <w:rFonts w:hint="eastAsia" w:asciiTheme="minorEastAsia" w:hAnsiTheme="minorEastAsia" w:eastAsiaTheme="minorEastAsia" w:cstheme="minorEastAsia"/>
          <w:b w:val="0"/>
          <w:color w:val="000000"/>
          <w:sz w:val="24"/>
          <w:szCs w:val="24"/>
        </w:rPr>
        <w:t>.2 职业健康</w:t>
      </w:r>
      <w:bookmarkEnd w:id="551"/>
    </w:p>
    <w:bookmarkEnd w:id="552"/>
    <w:p w14:paraId="460D83E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6.2.1 劳动保护</w:t>
      </w:r>
    </w:p>
    <w:p w14:paraId="29F5705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FFEF9E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EB4E5F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45A48DF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6.2.2 生活条件</w:t>
      </w:r>
    </w:p>
    <w:p w14:paraId="69263A1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6EE52F8">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53" w:name="_Toc351203541"/>
      <w:r>
        <w:rPr>
          <w:rFonts w:hint="eastAsia" w:asciiTheme="minorEastAsia" w:hAnsiTheme="minorEastAsia" w:eastAsiaTheme="minorEastAsia" w:cstheme="minorEastAsia"/>
          <w:b w:val="0"/>
          <w:color w:val="000000"/>
          <w:sz w:val="24"/>
          <w:szCs w:val="24"/>
        </w:rPr>
        <w:t>6</w:t>
      </w:r>
      <w:bookmarkStart w:id="554" w:name="_Toc337558766"/>
      <w:r>
        <w:rPr>
          <w:rFonts w:hint="eastAsia" w:asciiTheme="minorEastAsia" w:hAnsiTheme="minorEastAsia" w:eastAsiaTheme="minorEastAsia" w:cstheme="minorEastAsia"/>
          <w:b w:val="0"/>
          <w:color w:val="000000"/>
          <w:sz w:val="24"/>
          <w:szCs w:val="24"/>
        </w:rPr>
        <w:t>.3 环境保护</w:t>
      </w:r>
      <w:bookmarkEnd w:id="553"/>
    </w:p>
    <w:bookmarkEnd w:id="554"/>
    <w:p w14:paraId="3C39A9F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90FE7A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承包人应当承担因其原因引起的环境污染侵权损害赔偿责任，因上述环境污染引起纠纷而导致暂停施工的，由此增加的费用和（或）延误的工期由承包人承担。</w:t>
      </w:r>
    </w:p>
    <w:p w14:paraId="1885AD93">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555" w:name="_Toc351203542"/>
      <w:r>
        <w:rPr>
          <w:rFonts w:hint="eastAsia" w:asciiTheme="minorEastAsia" w:hAnsiTheme="minorEastAsia" w:eastAsiaTheme="minorEastAsia" w:cstheme="minorEastAsia"/>
          <w:b w:val="0"/>
          <w:color w:val="000000"/>
          <w:sz w:val="24"/>
          <w:szCs w:val="24"/>
        </w:rPr>
        <w:t>7</w:t>
      </w:r>
      <w:bookmarkStart w:id="556" w:name="_Toc337558767"/>
      <w:r>
        <w:rPr>
          <w:rFonts w:hint="eastAsia" w:asciiTheme="minorEastAsia" w:hAnsiTheme="minorEastAsia" w:eastAsiaTheme="minorEastAsia" w:cstheme="minorEastAsia"/>
          <w:b w:val="0"/>
          <w:color w:val="000000"/>
          <w:sz w:val="24"/>
          <w:szCs w:val="24"/>
        </w:rPr>
        <w:t>. 工期和进度</w:t>
      </w:r>
      <w:bookmarkEnd w:id="555"/>
    </w:p>
    <w:bookmarkEnd w:id="556"/>
    <w:p w14:paraId="57545A17">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57" w:name="_Toc351203543"/>
      <w:r>
        <w:rPr>
          <w:rFonts w:hint="eastAsia" w:asciiTheme="minorEastAsia" w:hAnsiTheme="minorEastAsia" w:eastAsiaTheme="minorEastAsia" w:cstheme="minorEastAsia"/>
          <w:b w:val="0"/>
          <w:color w:val="000000"/>
          <w:sz w:val="24"/>
          <w:szCs w:val="24"/>
        </w:rPr>
        <w:t>7</w:t>
      </w:r>
      <w:bookmarkStart w:id="558" w:name="_Toc337558768"/>
      <w:bookmarkStart w:id="559" w:name="_Toc296503066"/>
      <w:bookmarkStart w:id="560" w:name="_Toc296346567"/>
      <w:r>
        <w:rPr>
          <w:rFonts w:hint="eastAsia" w:asciiTheme="minorEastAsia" w:hAnsiTheme="minorEastAsia" w:eastAsiaTheme="minorEastAsia" w:cstheme="minorEastAsia"/>
          <w:b w:val="0"/>
          <w:color w:val="000000"/>
          <w:sz w:val="24"/>
          <w:szCs w:val="24"/>
        </w:rPr>
        <w:t>.1施工组织设计</w:t>
      </w:r>
      <w:bookmarkEnd w:id="557"/>
    </w:p>
    <w:bookmarkEnd w:id="558"/>
    <w:p w14:paraId="09DBBE9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7.1.1</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kern w:val="0"/>
          <w:sz w:val="24"/>
          <w:szCs w:val="24"/>
        </w:rPr>
        <w:t>施工组织设计的内容</w:t>
      </w:r>
    </w:p>
    <w:p w14:paraId="0F850B0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施工组织设计应包含以下内容：</w:t>
      </w:r>
    </w:p>
    <w:p w14:paraId="3BE8CF3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（1）施工方案； </w:t>
      </w:r>
    </w:p>
    <w:p w14:paraId="077E8D7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（2）施工现场平面布置图；</w:t>
      </w:r>
    </w:p>
    <w:p w14:paraId="138538A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（3）施工进度计划和保证措施； </w:t>
      </w:r>
    </w:p>
    <w:p w14:paraId="3D84137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（4）劳动力及材料供应计划；</w:t>
      </w:r>
    </w:p>
    <w:p w14:paraId="7AA301D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（5）施工机械设备的选用；</w:t>
      </w:r>
    </w:p>
    <w:p w14:paraId="163E2B6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（6）质量保证体系及措施；</w:t>
      </w:r>
    </w:p>
    <w:p w14:paraId="28D9827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（7）安全生产、文明施工措施；</w:t>
      </w:r>
    </w:p>
    <w:p w14:paraId="3CF0CA5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（8）环境保护、成本控制措施；</w:t>
      </w:r>
    </w:p>
    <w:p w14:paraId="1AF294A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（9）合同当事人约定的其他内容。</w:t>
      </w:r>
    </w:p>
    <w:p w14:paraId="20F4CCC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7.1.2</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kern w:val="0"/>
          <w:sz w:val="24"/>
          <w:szCs w:val="24"/>
        </w:rPr>
        <w:t>施工组织设计的提交和修改</w:t>
      </w:r>
    </w:p>
    <w:p w14:paraId="2AAC19D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63C349A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施工进度计划的编制和修改按照第7.2款〔施工进度计划〕执行。</w:t>
      </w:r>
    </w:p>
    <w:p w14:paraId="09C420A7">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61" w:name="_Toc351203544"/>
      <w:r>
        <w:rPr>
          <w:rFonts w:hint="eastAsia" w:asciiTheme="minorEastAsia" w:hAnsiTheme="minorEastAsia" w:eastAsiaTheme="minorEastAsia" w:cstheme="minorEastAsia"/>
          <w:b w:val="0"/>
          <w:color w:val="000000"/>
          <w:sz w:val="24"/>
          <w:szCs w:val="24"/>
        </w:rPr>
        <w:t>7</w:t>
      </w:r>
      <w:bookmarkStart w:id="562" w:name="_Toc337558769"/>
      <w:r>
        <w:rPr>
          <w:rFonts w:hint="eastAsia" w:asciiTheme="minorEastAsia" w:hAnsiTheme="minorEastAsia" w:eastAsiaTheme="minorEastAsia" w:cstheme="minorEastAsia"/>
          <w:b w:val="0"/>
          <w:color w:val="000000"/>
          <w:sz w:val="24"/>
          <w:szCs w:val="24"/>
        </w:rPr>
        <w:t>.2 施工进度计划</w:t>
      </w:r>
      <w:bookmarkEnd w:id="561"/>
    </w:p>
    <w:bookmarkEnd w:id="562"/>
    <w:p w14:paraId="4A21391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7.2.1 施工进度计划的编制</w:t>
      </w:r>
    </w:p>
    <w:p w14:paraId="2525F31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1DB7B1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7.2.2 施工进度计划的修订</w:t>
      </w:r>
    </w:p>
    <w:p w14:paraId="728A7AB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211CB3E">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63" w:name="_Toc351203545"/>
      <w:r>
        <w:rPr>
          <w:rFonts w:hint="eastAsia" w:asciiTheme="minorEastAsia" w:hAnsiTheme="minorEastAsia" w:eastAsiaTheme="minorEastAsia" w:cstheme="minorEastAsia"/>
          <w:b w:val="0"/>
          <w:color w:val="000000"/>
          <w:sz w:val="24"/>
          <w:szCs w:val="24"/>
        </w:rPr>
        <w:t>7</w:t>
      </w:r>
      <w:bookmarkStart w:id="564" w:name="_Toc337558770"/>
      <w:r>
        <w:rPr>
          <w:rFonts w:hint="eastAsia" w:asciiTheme="minorEastAsia" w:hAnsiTheme="minorEastAsia" w:eastAsiaTheme="minorEastAsia" w:cstheme="minorEastAsia"/>
          <w:b w:val="0"/>
          <w:color w:val="000000"/>
          <w:sz w:val="24"/>
          <w:szCs w:val="24"/>
        </w:rPr>
        <w:t>.3 开工</w:t>
      </w:r>
      <w:bookmarkEnd w:id="563"/>
    </w:p>
    <w:p w14:paraId="099923A1">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7.3.1 开工准备</w:t>
      </w:r>
    </w:p>
    <w:p w14:paraId="77B9540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77F8103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除专用合同条款另有约定外，合同当事人应按约定完成开工准备工作。</w:t>
      </w:r>
    </w:p>
    <w:p w14:paraId="7BAE0A5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7.3.2 开工通知</w:t>
      </w:r>
    </w:p>
    <w:bookmarkEnd w:id="564"/>
    <w:p w14:paraId="63F59E8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01C27C7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19EB880E">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65" w:name="_Toc351203546"/>
      <w:r>
        <w:rPr>
          <w:rFonts w:hint="eastAsia" w:asciiTheme="minorEastAsia" w:hAnsiTheme="minorEastAsia" w:eastAsiaTheme="minorEastAsia" w:cstheme="minorEastAsia"/>
          <w:b w:val="0"/>
          <w:color w:val="000000"/>
          <w:sz w:val="24"/>
          <w:szCs w:val="24"/>
        </w:rPr>
        <w:t>7.4测量放线</w:t>
      </w:r>
      <w:bookmarkEnd w:id="565"/>
    </w:p>
    <w:p w14:paraId="1A258BB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41CDE49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97C675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411226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施工过程中对施工现场内水准点等测量标志物的保护工作由承包人负责。</w:t>
      </w:r>
      <w:bookmarkStart w:id="566" w:name="_Toc351203547"/>
    </w:p>
    <w:p w14:paraId="15293F53">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7</w:t>
      </w:r>
      <w:bookmarkEnd w:id="559"/>
      <w:bookmarkEnd w:id="560"/>
      <w:bookmarkStart w:id="567" w:name="_Toc337558772"/>
      <w:bookmarkStart w:id="568" w:name="_Toc296346574"/>
      <w:bookmarkStart w:id="569" w:name="_Toc296503073"/>
      <w:r>
        <w:rPr>
          <w:rFonts w:hint="eastAsia" w:asciiTheme="minorEastAsia" w:hAnsiTheme="minorEastAsia" w:eastAsiaTheme="minorEastAsia" w:cstheme="minorEastAsia"/>
          <w:b w:val="0"/>
          <w:color w:val="000000"/>
          <w:sz w:val="24"/>
          <w:szCs w:val="24"/>
        </w:rPr>
        <w:t>.5 工期延误</w:t>
      </w:r>
      <w:bookmarkEnd w:id="566"/>
    </w:p>
    <w:bookmarkEnd w:id="567"/>
    <w:bookmarkEnd w:id="568"/>
    <w:bookmarkEnd w:id="569"/>
    <w:p w14:paraId="535B92A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7.5.1 因发包人原因导致工期延误</w:t>
      </w:r>
    </w:p>
    <w:p w14:paraId="5E79D3A0">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在合同履行过程中，因下列情况导致工期延误和（或）费用增加的，由发包人承担由此延误的工期和（或）增加的费用，且发包人应支付承包人合理的利润： </w:t>
      </w:r>
    </w:p>
    <w:p w14:paraId="46553BD9">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（1）发包人未能按合同约定提供图纸或所提供图纸不符合合同约定的；</w:t>
      </w:r>
    </w:p>
    <w:p w14:paraId="12284FB9">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（2）发包人未能按合同约定提供施工现场、施工条件、基础资料、许可、批准等开工条件的；</w:t>
      </w:r>
    </w:p>
    <w:p w14:paraId="4832231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（3）发包人提供的测量基准点、基准线和水准点及其书面资料存在错误或疏漏的；</w:t>
      </w:r>
    </w:p>
    <w:p w14:paraId="1D860E1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（4）发包人未能在计划开工日期之日起7天内同意下达开工通知的；</w:t>
      </w:r>
    </w:p>
    <w:p w14:paraId="5E3F6CDE">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（5）发包人未能按合同约定日期支付工程预付款、进度款或竣工结算款的；</w:t>
      </w:r>
    </w:p>
    <w:p w14:paraId="0652436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（6）监理人未按合同约定发出指示、批准等文件的；</w:t>
      </w:r>
    </w:p>
    <w:p w14:paraId="61E3B38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（7）专用合同条款中约定的其他情形。</w:t>
      </w:r>
    </w:p>
    <w:p w14:paraId="1536295E">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FAE296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7.5.2 因承包人原因导致工期延误</w:t>
      </w:r>
    </w:p>
    <w:p w14:paraId="1F6A3BB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bookmarkStart w:id="570" w:name="_Toc296503076"/>
      <w:bookmarkStart w:id="571" w:name="_Toc296346577"/>
      <w:r>
        <w:rPr>
          <w:rFonts w:hint="eastAsia" w:asciiTheme="minorEastAsia" w:hAnsiTheme="minorEastAsia" w:eastAsiaTheme="minorEastAsia" w:cstheme="minorEastAsia"/>
          <w:color w:val="000000"/>
          <w:kern w:val="0"/>
          <w:sz w:val="24"/>
          <w:szCs w:val="24"/>
        </w:rPr>
        <w:t>因</w:t>
      </w:r>
      <w:bookmarkEnd w:id="570"/>
      <w:bookmarkEnd w:id="571"/>
      <w:r>
        <w:rPr>
          <w:rFonts w:hint="eastAsia" w:asciiTheme="minorEastAsia" w:hAnsiTheme="minorEastAsia" w:eastAsiaTheme="minorEastAsia" w:cstheme="minorEastAsia"/>
          <w:color w:val="000000"/>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7808256E">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72" w:name="_Toc351203548"/>
      <w:r>
        <w:rPr>
          <w:rFonts w:hint="eastAsia" w:asciiTheme="minorEastAsia" w:hAnsiTheme="minorEastAsia" w:eastAsiaTheme="minorEastAsia" w:cstheme="minorEastAsia"/>
          <w:b w:val="0"/>
          <w:color w:val="000000"/>
          <w:sz w:val="24"/>
          <w:szCs w:val="24"/>
        </w:rPr>
        <w:t>7</w:t>
      </w:r>
      <w:bookmarkStart w:id="573" w:name="_Toc296346575"/>
      <w:bookmarkStart w:id="574" w:name="_Toc337558773"/>
      <w:bookmarkStart w:id="575" w:name="_Toc296503074"/>
      <w:bookmarkStart w:id="576" w:name="_Toc296503077"/>
      <w:bookmarkStart w:id="577" w:name="_Toc296346578"/>
      <w:r>
        <w:rPr>
          <w:rFonts w:hint="eastAsia" w:asciiTheme="minorEastAsia" w:hAnsiTheme="minorEastAsia" w:eastAsiaTheme="minorEastAsia" w:cstheme="minorEastAsia"/>
          <w:b w:val="0"/>
          <w:color w:val="000000"/>
          <w:sz w:val="24"/>
          <w:szCs w:val="24"/>
        </w:rPr>
        <w:t>.6 不利物质条件</w:t>
      </w:r>
      <w:bookmarkEnd w:id="572"/>
    </w:p>
    <w:bookmarkEnd w:id="573"/>
    <w:bookmarkEnd w:id="574"/>
    <w:bookmarkEnd w:id="575"/>
    <w:p w14:paraId="6541ECF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9D5164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9B54BF4">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78" w:name="_Toc351203549"/>
      <w:r>
        <w:rPr>
          <w:rFonts w:hint="eastAsia" w:asciiTheme="minorEastAsia" w:hAnsiTheme="minorEastAsia" w:eastAsiaTheme="minorEastAsia" w:cstheme="minorEastAsia"/>
          <w:b w:val="0"/>
          <w:color w:val="000000"/>
          <w:sz w:val="24"/>
          <w:szCs w:val="24"/>
        </w:rPr>
        <w:t>7</w:t>
      </w:r>
      <w:bookmarkStart w:id="579" w:name="_Toc337558774"/>
      <w:bookmarkStart w:id="580" w:name="_Toc296346576"/>
      <w:bookmarkStart w:id="581" w:name="_Toc296503075"/>
      <w:r>
        <w:rPr>
          <w:rFonts w:hint="eastAsia" w:asciiTheme="minorEastAsia" w:hAnsiTheme="minorEastAsia" w:eastAsiaTheme="minorEastAsia" w:cstheme="minorEastAsia"/>
          <w:b w:val="0"/>
          <w:color w:val="000000"/>
          <w:sz w:val="24"/>
          <w:szCs w:val="24"/>
        </w:rPr>
        <w:t>.7 异常恶劣的气候条件</w:t>
      </w:r>
      <w:bookmarkEnd w:id="578"/>
    </w:p>
    <w:bookmarkEnd w:id="579"/>
    <w:bookmarkEnd w:id="580"/>
    <w:bookmarkEnd w:id="581"/>
    <w:p w14:paraId="37978F6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CAA15C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582" w:name="_Toc351203550"/>
    </w:p>
    <w:p w14:paraId="53186E00">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7</w:t>
      </w:r>
      <w:bookmarkStart w:id="583" w:name="_Toc337558775"/>
      <w:r>
        <w:rPr>
          <w:rFonts w:hint="eastAsia" w:asciiTheme="minorEastAsia" w:hAnsiTheme="minorEastAsia" w:eastAsiaTheme="minorEastAsia" w:cstheme="minorEastAsia"/>
          <w:bCs/>
          <w:color w:val="000000"/>
          <w:sz w:val="24"/>
          <w:szCs w:val="24"/>
        </w:rPr>
        <w:t>.8 暂停施工</w:t>
      </w:r>
      <w:bookmarkEnd w:id="582"/>
    </w:p>
    <w:bookmarkEnd w:id="576"/>
    <w:bookmarkEnd w:id="577"/>
    <w:bookmarkEnd w:id="583"/>
    <w:p w14:paraId="5E917FF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7.8.1发包人原因引起的暂停施工</w:t>
      </w:r>
    </w:p>
    <w:p w14:paraId="0B36F68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因发包人原因引起暂停施工的，监理人经发包人同意后，应及时下达暂停施工指示。情况紧急且监理人未及时下达暂停施工指示的，按照第7.8.4项〔紧急情况下的暂停施工〕执行。</w:t>
      </w:r>
    </w:p>
    <w:p w14:paraId="5E04F6BD">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因发包人原因引起的暂停施工，发包人应承担由此增加的费用和（或）延误的工期，</w:t>
      </w:r>
      <w:r>
        <w:rPr>
          <w:rFonts w:hint="eastAsia" w:asciiTheme="minorEastAsia" w:hAnsiTheme="minorEastAsia" w:eastAsiaTheme="minorEastAsia" w:cstheme="minorEastAsia"/>
          <w:kern w:val="0"/>
          <w:sz w:val="24"/>
          <w:szCs w:val="24"/>
        </w:rPr>
        <w:t>并支付承包人</w:t>
      </w:r>
      <w:r>
        <w:rPr>
          <w:rFonts w:hint="eastAsia" w:asciiTheme="minorEastAsia" w:hAnsiTheme="minorEastAsia" w:eastAsiaTheme="minorEastAsia" w:cstheme="minorEastAsia"/>
          <w:color w:val="000000"/>
          <w:kern w:val="0"/>
          <w:sz w:val="24"/>
          <w:szCs w:val="24"/>
        </w:rPr>
        <w:t>合理的利润。</w:t>
      </w:r>
    </w:p>
    <w:p w14:paraId="5DB1878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7.8.2 承包人原因引起的暂停施工</w:t>
      </w:r>
    </w:p>
    <w:p w14:paraId="005EEE0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6EA68ED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7.8.3 指示暂停施工</w:t>
      </w:r>
    </w:p>
    <w:p w14:paraId="631492F0">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监理人认为有必要时，并经发包人批准后，可向承包人作出暂停施工的指示，承包人应按监理人指示暂停施工。</w:t>
      </w:r>
    </w:p>
    <w:p w14:paraId="55CE8CB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7.8.4 紧急情况下的暂停施工</w:t>
      </w:r>
    </w:p>
    <w:p w14:paraId="75A7A59B">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FF1956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7.8.5 暂停施工后的复工</w:t>
      </w:r>
    </w:p>
    <w:p w14:paraId="7A84F52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778D9E6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承包人无故拖延和拒绝复工的，承包人承担由此增加的费用和（或）延误的工期；因发包人原因无法按时复工的，按照第7.5.1项〔因发包人原因导致工期延误〕约定办理。</w:t>
      </w:r>
    </w:p>
    <w:p w14:paraId="27D6CEB9">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7.8.6 暂停施工持续56天以上</w:t>
      </w:r>
    </w:p>
    <w:p w14:paraId="40CD972E">
      <w:pPr>
        <w:spacing w:line="360" w:lineRule="auto"/>
        <w:ind w:firstLine="468" w:firstLineChars="19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2064DF76">
      <w:pPr>
        <w:spacing w:line="360" w:lineRule="auto"/>
        <w:ind w:firstLine="468" w:firstLineChars="19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50E6570F">
      <w:pPr>
        <w:spacing w:line="360" w:lineRule="auto"/>
        <w:ind w:left="16" w:firstLine="468" w:firstLineChars="19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7.8.7 暂停施工期间的工程照管</w:t>
      </w:r>
    </w:p>
    <w:p w14:paraId="08994F4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暂停施工期间，承包人应负责妥善照管工程并提供安全保障，由此增加的费用由责任方承担。</w:t>
      </w:r>
    </w:p>
    <w:p w14:paraId="661A33C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7.8.8 暂停施工的措施</w:t>
      </w:r>
    </w:p>
    <w:p w14:paraId="1A51221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暂停施工期间，发包人和承包人均应采取必要的措施确保工程质量及安全，防止因暂停施工扩大损失。</w:t>
      </w:r>
    </w:p>
    <w:p w14:paraId="1C52B3D6">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84" w:name="_Toc351203551"/>
      <w:r>
        <w:rPr>
          <w:rFonts w:hint="eastAsia" w:asciiTheme="minorEastAsia" w:hAnsiTheme="minorEastAsia" w:eastAsiaTheme="minorEastAsia" w:cstheme="minorEastAsia"/>
          <w:b w:val="0"/>
          <w:color w:val="000000"/>
          <w:sz w:val="24"/>
          <w:szCs w:val="24"/>
        </w:rPr>
        <w:t>7.9提前竣工</w:t>
      </w:r>
      <w:bookmarkEnd w:id="584"/>
    </w:p>
    <w:p w14:paraId="2E9C4E9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52525F7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7.9.2 发包人要求承包人提前竣工，或承包人提出提前竣工的建议能够给发包人带来效益的，合同当事人可以在专用合同条款中约定提前竣工的奖励。</w:t>
      </w:r>
    </w:p>
    <w:p w14:paraId="35FB2496">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585" w:name="_Toc351203552"/>
      <w:r>
        <w:rPr>
          <w:rFonts w:hint="eastAsia" w:asciiTheme="minorEastAsia" w:hAnsiTheme="minorEastAsia" w:eastAsiaTheme="minorEastAsia" w:cstheme="minorEastAsia"/>
          <w:b w:val="0"/>
          <w:color w:val="000000"/>
          <w:sz w:val="24"/>
          <w:szCs w:val="24"/>
        </w:rPr>
        <w:t>8</w:t>
      </w:r>
      <w:bookmarkStart w:id="586" w:name="_Toc337558776"/>
      <w:bookmarkStart w:id="587" w:name="_Toc296503058"/>
      <w:bookmarkStart w:id="588" w:name="_Toc296346559"/>
      <w:r>
        <w:rPr>
          <w:rFonts w:hint="eastAsia" w:asciiTheme="minorEastAsia" w:hAnsiTheme="minorEastAsia" w:eastAsiaTheme="minorEastAsia" w:cstheme="minorEastAsia"/>
          <w:b w:val="0"/>
          <w:color w:val="000000"/>
          <w:sz w:val="24"/>
          <w:szCs w:val="24"/>
        </w:rPr>
        <w:t>. 材料与设备</w:t>
      </w:r>
      <w:bookmarkEnd w:id="585"/>
    </w:p>
    <w:bookmarkEnd w:id="586"/>
    <w:bookmarkEnd w:id="587"/>
    <w:bookmarkEnd w:id="588"/>
    <w:p w14:paraId="6FF415BC">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89" w:name="_Toc351203553"/>
      <w:r>
        <w:rPr>
          <w:rFonts w:hint="eastAsia" w:asciiTheme="minorEastAsia" w:hAnsiTheme="minorEastAsia" w:eastAsiaTheme="minorEastAsia" w:cstheme="minorEastAsia"/>
          <w:b w:val="0"/>
          <w:color w:val="000000"/>
          <w:sz w:val="24"/>
          <w:szCs w:val="24"/>
        </w:rPr>
        <w:t>8</w:t>
      </w:r>
      <w:bookmarkStart w:id="590" w:name="_Toc296503059"/>
      <w:bookmarkStart w:id="591" w:name="_Toc337558777"/>
      <w:bookmarkStart w:id="592" w:name="_Toc296346560"/>
      <w:bookmarkStart w:id="593" w:name="_Toc468936960"/>
      <w:r>
        <w:rPr>
          <w:rFonts w:hint="eastAsia" w:asciiTheme="minorEastAsia" w:hAnsiTheme="minorEastAsia" w:eastAsiaTheme="minorEastAsia" w:cstheme="minorEastAsia"/>
          <w:b w:val="0"/>
          <w:color w:val="000000"/>
          <w:sz w:val="24"/>
          <w:szCs w:val="24"/>
        </w:rPr>
        <w:t>.1发包人供应材料与工程设备</w:t>
      </w:r>
      <w:bookmarkEnd w:id="589"/>
    </w:p>
    <w:bookmarkEnd w:id="590"/>
    <w:bookmarkEnd w:id="591"/>
    <w:bookmarkEnd w:id="592"/>
    <w:p w14:paraId="4D6D4AD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62E4A57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2BC474F4">
      <w:pPr>
        <w:pStyle w:val="6"/>
        <w:numPr>
          <w:ilvl w:val="4"/>
          <w:numId w:val="0"/>
        </w:numPr>
        <w:spacing w:before="120" w:after="120" w:line="360" w:lineRule="auto"/>
        <w:rPr>
          <w:rFonts w:hint="eastAsia" w:asciiTheme="minorEastAsia" w:hAnsiTheme="minorEastAsia" w:eastAsiaTheme="minorEastAsia" w:cstheme="minorEastAsia"/>
          <w:color w:val="000000"/>
          <w:sz w:val="24"/>
          <w:szCs w:val="24"/>
        </w:rPr>
      </w:pPr>
      <w:bookmarkStart w:id="594" w:name="_Toc351203554"/>
      <w:r>
        <w:rPr>
          <w:rFonts w:hint="eastAsia" w:asciiTheme="minorEastAsia" w:hAnsiTheme="minorEastAsia" w:eastAsiaTheme="minorEastAsia" w:cstheme="minorEastAsia"/>
          <w:b w:val="0"/>
          <w:color w:val="000000"/>
          <w:sz w:val="24"/>
          <w:szCs w:val="24"/>
        </w:rPr>
        <w:t>8</w:t>
      </w:r>
      <w:bookmarkStart w:id="595" w:name="_Toc296346561"/>
      <w:bookmarkStart w:id="596" w:name="_Toc337558778"/>
      <w:bookmarkStart w:id="597" w:name="_Toc296503060"/>
      <w:r>
        <w:rPr>
          <w:rFonts w:hint="eastAsia" w:asciiTheme="minorEastAsia" w:hAnsiTheme="minorEastAsia" w:eastAsiaTheme="minorEastAsia" w:cstheme="minorEastAsia"/>
          <w:b w:val="0"/>
          <w:color w:val="000000"/>
          <w:sz w:val="24"/>
          <w:szCs w:val="24"/>
        </w:rPr>
        <w:t>.2承包人采购材料与工程设备</w:t>
      </w:r>
      <w:bookmarkEnd w:id="594"/>
    </w:p>
    <w:bookmarkEnd w:id="595"/>
    <w:bookmarkEnd w:id="596"/>
    <w:bookmarkEnd w:id="597"/>
    <w:p w14:paraId="49DFE4A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1FF144EE">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598" w:name="_Toc351203555"/>
      <w:r>
        <w:rPr>
          <w:rFonts w:hint="eastAsia" w:asciiTheme="minorEastAsia" w:hAnsiTheme="minorEastAsia" w:eastAsiaTheme="minorEastAsia" w:cstheme="minorEastAsia"/>
          <w:b w:val="0"/>
          <w:color w:val="000000"/>
          <w:sz w:val="24"/>
          <w:szCs w:val="24"/>
        </w:rPr>
        <w:t>8</w:t>
      </w:r>
      <w:bookmarkStart w:id="599" w:name="_Toc296346562"/>
      <w:bookmarkStart w:id="600" w:name="_Toc296503061"/>
      <w:bookmarkStart w:id="601" w:name="_Toc337558779"/>
      <w:r>
        <w:rPr>
          <w:rFonts w:hint="eastAsia" w:asciiTheme="minorEastAsia" w:hAnsiTheme="minorEastAsia" w:eastAsiaTheme="minorEastAsia" w:cstheme="minorEastAsia"/>
          <w:b w:val="0"/>
          <w:color w:val="000000"/>
          <w:sz w:val="24"/>
          <w:szCs w:val="24"/>
        </w:rPr>
        <w:t>.3材料与工程设备的接收与拒收</w:t>
      </w:r>
      <w:bookmarkEnd w:id="598"/>
    </w:p>
    <w:bookmarkEnd w:id="599"/>
    <w:bookmarkEnd w:id="600"/>
    <w:bookmarkEnd w:id="601"/>
    <w:p w14:paraId="3704FF7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0C61CD8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发包人提供的材料和工程设备的规格、数量或质量不符合合同约定的，或因发包人原因导致交货日期延误或交货地点变更等情况的，按照第16.1款〔发包人违约〕约定办理。</w:t>
      </w:r>
    </w:p>
    <w:p w14:paraId="78D112D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8.3.2 承包人采购的材料和工程设备，应保证产品质量合格，承包人应在材料和工程设备到货前24小时通知监理人检验。承</w:t>
      </w:r>
      <w:bookmarkStart w:id="602" w:name="_Toc250655469"/>
      <w:r>
        <w:rPr>
          <w:rFonts w:hint="eastAsia" w:asciiTheme="minorEastAsia" w:hAnsiTheme="minorEastAsia" w:eastAsiaTheme="minorEastAsia" w:cstheme="minorEastAsia"/>
          <w:color w:val="000000"/>
          <w:kern w:val="0"/>
          <w:sz w:val="24"/>
          <w:szCs w:val="24"/>
        </w:rPr>
        <w:t>包人进行永久设备、材料的制造和生产的，应符合相关质量标准，并向监理人提交材料的样本以及有关资料，并应在使用该材料或工程设备之前获得监理人同意。</w:t>
      </w:r>
    </w:p>
    <w:bookmarkEnd w:id="602"/>
    <w:p w14:paraId="76CBC779">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FE9273A">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03" w:name="_Toc351203556"/>
      <w:r>
        <w:rPr>
          <w:rFonts w:hint="eastAsia" w:asciiTheme="minorEastAsia" w:hAnsiTheme="minorEastAsia" w:eastAsiaTheme="minorEastAsia" w:cstheme="minorEastAsia"/>
          <w:b w:val="0"/>
          <w:color w:val="000000"/>
          <w:sz w:val="24"/>
          <w:szCs w:val="24"/>
        </w:rPr>
        <w:t>8</w:t>
      </w:r>
      <w:bookmarkStart w:id="604" w:name="_Toc296346563"/>
      <w:bookmarkStart w:id="605" w:name="_Toc337558780"/>
      <w:bookmarkStart w:id="606" w:name="_Toc296503062"/>
      <w:r>
        <w:rPr>
          <w:rFonts w:hint="eastAsia" w:asciiTheme="minorEastAsia" w:hAnsiTheme="minorEastAsia" w:eastAsiaTheme="minorEastAsia" w:cstheme="minorEastAsia"/>
          <w:b w:val="0"/>
          <w:color w:val="000000"/>
          <w:sz w:val="24"/>
          <w:szCs w:val="24"/>
        </w:rPr>
        <w:t>.4材料与工程设备的保管与使用</w:t>
      </w:r>
      <w:bookmarkEnd w:id="603"/>
    </w:p>
    <w:bookmarkEnd w:id="604"/>
    <w:bookmarkEnd w:id="605"/>
    <w:bookmarkEnd w:id="606"/>
    <w:p w14:paraId="2F45F87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8.4.1 发包人供应</w:t>
      </w:r>
      <w:r>
        <w:rPr>
          <w:rFonts w:hint="eastAsia" w:asciiTheme="minorEastAsia" w:hAnsiTheme="minorEastAsia" w:eastAsiaTheme="minorEastAsia" w:cstheme="minorEastAsia"/>
          <w:color w:val="000000"/>
          <w:sz w:val="24"/>
          <w:szCs w:val="24"/>
        </w:rPr>
        <w:t>材料与</w:t>
      </w:r>
      <w:r>
        <w:rPr>
          <w:rFonts w:hint="eastAsia" w:asciiTheme="minorEastAsia" w:hAnsiTheme="minorEastAsia" w:eastAsiaTheme="minorEastAsia" w:cstheme="minorEastAsia"/>
          <w:color w:val="000000"/>
          <w:kern w:val="0"/>
          <w:sz w:val="24"/>
          <w:szCs w:val="24"/>
        </w:rPr>
        <w:t>工程</w:t>
      </w:r>
      <w:r>
        <w:rPr>
          <w:rFonts w:hint="eastAsia" w:asciiTheme="minorEastAsia" w:hAnsiTheme="minorEastAsia" w:eastAsiaTheme="minorEastAsia" w:cstheme="minorEastAsia"/>
          <w:color w:val="000000"/>
          <w:sz w:val="24"/>
          <w:szCs w:val="24"/>
        </w:rPr>
        <w:t>设备的保管与使用</w:t>
      </w:r>
    </w:p>
    <w:p w14:paraId="31FA528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F1A321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发包人供应的材料和工程设备使用前，由承包人负责检验，检验费用由发包人承担，不合格的不得使用。</w:t>
      </w:r>
    </w:p>
    <w:p w14:paraId="28BD8B9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8.4.2 承包人采购</w:t>
      </w:r>
      <w:r>
        <w:rPr>
          <w:rFonts w:hint="eastAsia" w:asciiTheme="minorEastAsia" w:hAnsiTheme="minorEastAsia" w:eastAsiaTheme="minorEastAsia" w:cstheme="minorEastAsia"/>
          <w:color w:val="000000"/>
          <w:sz w:val="24"/>
          <w:szCs w:val="24"/>
        </w:rPr>
        <w:t>材料与</w:t>
      </w:r>
      <w:r>
        <w:rPr>
          <w:rFonts w:hint="eastAsia" w:asciiTheme="minorEastAsia" w:hAnsiTheme="minorEastAsia" w:eastAsiaTheme="minorEastAsia" w:cstheme="minorEastAsia"/>
          <w:color w:val="000000"/>
          <w:kern w:val="0"/>
          <w:sz w:val="24"/>
          <w:szCs w:val="24"/>
        </w:rPr>
        <w:t>工程</w:t>
      </w:r>
      <w:r>
        <w:rPr>
          <w:rFonts w:hint="eastAsia" w:asciiTheme="minorEastAsia" w:hAnsiTheme="minorEastAsia" w:eastAsiaTheme="minorEastAsia" w:cstheme="minorEastAsia"/>
          <w:color w:val="000000"/>
          <w:sz w:val="24"/>
          <w:szCs w:val="24"/>
        </w:rPr>
        <w:t>设备的保管与使用</w:t>
      </w:r>
    </w:p>
    <w:p w14:paraId="1B9062D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61D209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发包人或监理人发现承包人使用不符合设计或有关标准要求的材料和工程设备时，有权要求承包人进行修复、拆除或重新采购，由此增加的费用和（或）延误的工期，由承包人承担。</w:t>
      </w:r>
    </w:p>
    <w:p w14:paraId="410A109C">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07" w:name="_Toc351203557"/>
      <w:r>
        <w:rPr>
          <w:rFonts w:hint="eastAsia" w:asciiTheme="minorEastAsia" w:hAnsiTheme="minorEastAsia" w:eastAsiaTheme="minorEastAsia" w:cstheme="minorEastAsia"/>
          <w:b w:val="0"/>
          <w:color w:val="000000"/>
          <w:sz w:val="24"/>
          <w:szCs w:val="24"/>
        </w:rPr>
        <w:t>8.5禁止使用不合格的材料和工程设备</w:t>
      </w:r>
      <w:bookmarkEnd w:id="607"/>
    </w:p>
    <w:p w14:paraId="2D76E36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8.5.1 监理人有权拒绝承包人提供的不合格材料或工程设备，并要求承包人立即进行更换。监理人应在更换后再次进行检查和检验，由此增加的费用和（或）延误的工期由承包人承担。</w:t>
      </w:r>
    </w:p>
    <w:p w14:paraId="39C380B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8.5.2 监理人发现承包人使用了不合格的材料和工程设备，承包人应按照监理人的指示立即改正，并禁止在工程中继续使用不合格的材料和工程设备。</w:t>
      </w:r>
    </w:p>
    <w:p w14:paraId="2F7A99C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8.5.3 发包人提供的材料或工程设备不符合合同要求的，承包人有权拒绝，并可要求发包人更换，由此增加的费用和（或）延误的工期由发包人承担，并支付承包人合理的利润。</w:t>
      </w:r>
    </w:p>
    <w:p w14:paraId="4C387D3C">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08" w:name="_Toc351203558"/>
      <w:r>
        <w:rPr>
          <w:rFonts w:hint="eastAsia" w:asciiTheme="minorEastAsia" w:hAnsiTheme="minorEastAsia" w:eastAsiaTheme="minorEastAsia" w:cstheme="minorEastAsia"/>
          <w:b w:val="0"/>
          <w:color w:val="000000"/>
          <w:sz w:val="24"/>
          <w:szCs w:val="24"/>
        </w:rPr>
        <w:t>8.6 样品</w:t>
      </w:r>
      <w:bookmarkEnd w:id="608"/>
    </w:p>
    <w:p w14:paraId="1D7C045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8.6.1</w:t>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样品的报送与封存</w:t>
      </w:r>
    </w:p>
    <w:p w14:paraId="1CCF600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需要承包人报送样品的材料或工程设备，样品的种类、名称、规格、数量等要求均应在专用合同条款中约定。样品的报送程序如下：</w:t>
      </w:r>
    </w:p>
    <w:p w14:paraId="2557977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FF4BBB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1DCB6E3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（3）经发包人和监理人审批确认的样品应按约定的方法封样，封存的样品作为检验工程相关部分的标准之一。承包人在施工过程中不得使用与样品不符的材料或工程设备。</w:t>
      </w:r>
    </w:p>
    <w:p w14:paraId="4720265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A4F513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8.6.2 样品的保管</w:t>
      </w:r>
    </w:p>
    <w:p w14:paraId="2766FFC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经批准的样品应由监理人负责封存于现场，承包人应在现场为保存样品提供适当和固定的场所并保持适当和良好的存储环境条件。</w:t>
      </w:r>
    </w:p>
    <w:p w14:paraId="3C48FCC6">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09" w:name="_Toc351203559"/>
      <w:r>
        <w:rPr>
          <w:rFonts w:hint="eastAsia" w:asciiTheme="minorEastAsia" w:hAnsiTheme="minorEastAsia" w:eastAsiaTheme="minorEastAsia" w:cstheme="minorEastAsia"/>
          <w:b w:val="0"/>
          <w:color w:val="000000"/>
          <w:sz w:val="24"/>
          <w:szCs w:val="24"/>
        </w:rPr>
        <w:t>8.7材料与工程设备的替代</w:t>
      </w:r>
      <w:bookmarkEnd w:id="609"/>
    </w:p>
    <w:p w14:paraId="1CBDF63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8.7.1 出现下列情况需要使用替代材料和工程设备的，承包人应按照第8.7.2项约定的程序执行：</w:t>
      </w:r>
    </w:p>
    <w:p w14:paraId="61E615B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（1）基准日期后生效的法律规定禁止使用的；</w:t>
      </w:r>
    </w:p>
    <w:p w14:paraId="10E4797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（2）发包人要求使用替代品的；</w:t>
      </w:r>
    </w:p>
    <w:p w14:paraId="08F25D0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（3）因其他原因必须使用替代品的。</w:t>
      </w:r>
    </w:p>
    <w:p w14:paraId="2F05AD0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8.7.2 承包人应在使用替代材料和工程设备28天前书面通知监理人，并附下列文件：</w:t>
      </w:r>
    </w:p>
    <w:p w14:paraId="349D64E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（1）被替代的材料和工程设备的名称、数量、规格、型号、品牌、性能、价格及其他相关资料；</w:t>
      </w:r>
    </w:p>
    <w:p w14:paraId="364A9DA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（2）替代品的名称、数量、规格、型号、品牌、性能、价格及其他相关资料；</w:t>
      </w:r>
    </w:p>
    <w:p w14:paraId="382D07B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（3）替代品与被替代产品之间的差异以及使用替代品可能对工程产生的影响；</w:t>
      </w:r>
    </w:p>
    <w:p w14:paraId="09107B0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（4）替代品与被替代产品的价格差异；</w:t>
      </w:r>
    </w:p>
    <w:p w14:paraId="1D0E926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（5）使用替代品的理由和原因说明；</w:t>
      </w:r>
    </w:p>
    <w:p w14:paraId="2849903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（6）监理人要求的其他文件。</w:t>
      </w:r>
    </w:p>
    <w:p w14:paraId="75B8EA8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监理人应在收到通知后14天内向承包人发出经发包人签认的书面指示；监理人逾期发出书面指示的，视为发包人和监理人同意使用替代品。</w:t>
      </w:r>
    </w:p>
    <w:p w14:paraId="3318526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6FC7243B">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10" w:name="_Toc351203560"/>
      <w:r>
        <w:rPr>
          <w:rFonts w:hint="eastAsia" w:asciiTheme="minorEastAsia" w:hAnsiTheme="minorEastAsia" w:eastAsiaTheme="minorEastAsia" w:cstheme="minorEastAsia"/>
          <w:b w:val="0"/>
          <w:color w:val="000000"/>
          <w:sz w:val="24"/>
          <w:szCs w:val="24"/>
        </w:rPr>
        <w:t>8.8施工设备和临时设施</w:t>
      </w:r>
      <w:bookmarkEnd w:id="610"/>
    </w:p>
    <w:p w14:paraId="7DF3585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8.8.1 承包人提供的施工设备和临时设施</w:t>
      </w:r>
    </w:p>
    <w:p w14:paraId="4A504D0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311B621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除专用合同条款另有约定外，承包人应自行承担修建临时设施的费用，需要临时占地的，应由发包人办理申请手续并承担相应费用。</w:t>
      </w:r>
    </w:p>
    <w:p w14:paraId="7CE92A6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8.8.2发包人提供的施工设备和临时设施</w:t>
      </w:r>
    </w:p>
    <w:p w14:paraId="18F7741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发包人提供的施工设备或临时设施在专用合同条款中约定。</w:t>
      </w:r>
    </w:p>
    <w:p w14:paraId="2ADA215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8.8.3要求承包人增加或更换施工设备</w:t>
      </w:r>
    </w:p>
    <w:p w14:paraId="627F4A0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7B17AA94">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11" w:name="_Toc351203561"/>
      <w:r>
        <w:rPr>
          <w:rFonts w:hint="eastAsia" w:asciiTheme="minorEastAsia" w:hAnsiTheme="minorEastAsia" w:eastAsiaTheme="minorEastAsia" w:cstheme="minorEastAsia"/>
          <w:b w:val="0"/>
          <w:color w:val="000000"/>
          <w:sz w:val="24"/>
          <w:szCs w:val="24"/>
        </w:rPr>
        <w:t>8</w:t>
      </w:r>
      <w:bookmarkStart w:id="612" w:name="_Toc337558781"/>
      <w:bookmarkStart w:id="613" w:name="_Toc296346564"/>
      <w:bookmarkStart w:id="614" w:name="_Toc296503063"/>
      <w:r>
        <w:rPr>
          <w:rFonts w:hint="eastAsia" w:asciiTheme="minorEastAsia" w:hAnsiTheme="minorEastAsia" w:eastAsiaTheme="minorEastAsia" w:cstheme="minorEastAsia"/>
          <w:b w:val="0"/>
          <w:color w:val="000000"/>
          <w:sz w:val="24"/>
          <w:szCs w:val="24"/>
        </w:rPr>
        <w:t>.9材料与设备专用</w:t>
      </w:r>
      <w:bookmarkEnd w:id="611"/>
      <w:r>
        <w:rPr>
          <w:rFonts w:hint="eastAsia" w:asciiTheme="minorEastAsia" w:hAnsiTheme="minorEastAsia" w:eastAsiaTheme="minorEastAsia" w:cstheme="minorEastAsia"/>
          <w:b w:val="0"/>
          <w:color w:val="000000"/>
          <w:sz w:val="24"/>
          <w:szCs w:val="24"/>
        </w:rPr>
        <w:t>要求</w:t>
      </w:r>
    </w:p>
    <w:bookmarkEnd w:id="612"/>
    <w:bookmarkEnd w:id="613"/>
    <w:bookmarkEnd w:id="614"/>
    <w:p w14:paraId="1D0C0D4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593"/>
      <w:r>
        <w:rPr>
          <w:rFonts w:hint="eastAsia" w:asciiTheme="minorEastAsia" w:hAnsiTheme="minorEastAsia" w:eastAsiaTheme="minorEastAsia" w:cstheme="minorEastAsia"/>
          <w:color w:val="000000"/>
          <w:kern w:val="0"/>
          <w:sz w:val="24"/>
          <w:szCs w:val="24"/>
        </w:rPr>
        <w:t>经发包人批准，承包人可以根据施工进度计划撤走闲置的施工设备和其他物品。</w:t>
      </w:r>
    </w:p>
    <w:p w14:paraId="777236FC">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615" w:name="_Toc351203562"/>
      <w:r>
        <w:rPr>
          <w:rFonts w:hint="eastAsia" w:asciiTheme="minorEastAsia" w:hAnsiTheme="minorEastAsia" w:eastAsiaTheme="minorEastAsia" w:cstheme="minorEastAsia"/>
          <w:b w:val="0"/>
          <w:color w:val="000000"/>
          <w:sz w:val="24"/>
          <w:szCs w:val="24"/>
        </w:rPr>
        <w:t>9</w:t>
      </w:r>
      <w:bookmarkStart w:id="616" w:name="_Toc337558782"/>
      <w:bookmarkStart w:id="617" w:name="_Toc296346584"/>
      <w:bookmarkStart w:id="618" w:name="_Toc296503083"/>
      <w:r>
        <w:rPr>
          <w:rFonts w:hint="eastAsia" w:asciiTheme="minorEastAsia" w:hAnsiTheme="minorEastAsia" w:eastAsiaTheme="minorEastAsia" w:cstheme="minorEastAsia"/>
          <w:b w:val="0"/>
          <w:color w:val="000000"/>
          <w:sz w:val="24"/>
          <w:szCs w:val="24"/>
        </w:rPr>
        <w:t>. 试验与检验</w:t>
      </w:r>
      <w:bookmarkEnd w:id="615"/>
    </w:p>
    <w:bookmarkEnd w:id="616"/>
    <w:p w14:paraId="02323EA4">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19" w:name="_Toc351203563"/>
      <w:r>
        <w:rPr>
          <w:rFonts w:hint="eastAsia" w:asciiTheme="minorEastAsia" w:hAnsiTheme="minorEastAsia" w:eastAsiaTheme="minorEastAsia" w:cstheme="minorEastAsia"/>
          <w:b w:val="0"/>
          <w:color w:val="000000"/>
          <w:sz w:val="24"/>
          <w:szCs w:val="24"/>
        </w:rPr>
        <w:t>9</w:t>
      </w:r>
      <w:bookmarkStart w:id="620" w:name="_Toc337558783"/>
      <w:r>
        <w:rPr>
          <w:rFonts w:hint="eastAsia" w:asciiTheme="minorEastAsia" w:hAnsiTheme="minorEastAsia" w:eastAsiaTheme="minorEastAsia" w:cstheme="minorEastAsia"/>
          <w:b w:val="0"/>
          <w:color w:val="000000"/>
          <w:sz w:val="24"/>
          <w:szCs w:val="24"/>
        </w:rPr>
        <w:t>.1试验设备与试验人员</w:t>
      </w:r>
      <w:bookmarkEnd w:id="619"/>
    </w:p>
    <w:bookmarkEnd w:id="620"/>
    <w:p w14:paraId="1A7284C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2742F2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9.1.2 承包人应按专用合同条款的约定提供试验设备、取样装置、试验场所和试验条件，并向监理人提交相应进场计划表。</w:t>
      </w:r>
    </w:p>
    <w:p w14:paraId="4AD606E0">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承包人配置的试验设备要符合相应试验规程的要求并经过具有资质的检测单位检测，且在正式使用该试验设备前，需要经过监理人与承包人共同校定。</w:t>
      </w:r>
    </w:p>
    <w:p w14:paraId="285843D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9.1.3 承包人应向监理人提交试验人员的名单及其岗位、资格等证明资料，试验人员必须能够熟练进行相应的检测试验，承包人对试验人员的试验程序和试验结果的正确性负责。</w:t>
      </w:r>
    </w:p>
    <w:p w14:paraId="3B2849BB">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21" w:name="_Toc351203564"/>
      <w:r>
        <w:rPr>
          <w:rFonts w:hint="eastAsia" w:asciiTheme="minorEastAsia" w:hAnsiTheme="minorEastAsia" w:eastAsiaTheme="minorEastAsia" w:cstheme="minorEastAsia"/>
          <w:b w:val="0"/>
          <w:color w:val="000000"/>
          <w:sz w:val="24"/>
          <w:szCs w:val="24"/>
        </w:rPr>
        <w:t>9</w:t>
      </w:r>
      <w:bookmarkStart w:id="622" w:name="_Toc337558784"/>
      <w:r>
        <w:rPr>
          <w:rFonts w:hint="eastAsia" w:asciiTheme="minorEastAsia" w:hAnsiTheme="minorEastAsia" w:eastAsiaTheme="minorEastAsia" w:cstheme="minorEastAsia"/>
          <w:b w:val="0"/>
          <w:color w:val="000000"/>
          <w:sz w:val="24"/>
          <w:szCs w:val="24"/>
        </w:rPr>
        <w:t>.2取样</w:t>
      </w:r>
      <w:bookmarkEnd w:id="621"/>
    </w:p>
    <w:bookmarkEnd w:id="622"/>
    <w:p w14:paraId="29C58F6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试验属于自检性质的，承包人可以单独取样。试验属于监理人抽检性质的，可由监理人取样，也可由承包人的试验人员在监理人的监督下取样。</w:t>
      </w:r>
    </w:p>
    <w:p w14:paraId="4454F672">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23" w:name="_Toc351203565"/>
      <w:r>
        <w:rPr>
          <w:rFonts w:hint="eastAsia" w:asciiTheme="minorEastAsia" w:hAnsiTheme="minorEastAsia" w:eastAsiaTheme="minorEastAsia" w:cstheme="minorEastAsia"/>
          <w:b w:val="0"/>
          <w:color w:val="000000"/>
          <w:sz w:val="24"/>
          <w:szCs w:val="24"/>
        </w:rPr>
        <w:t>9</w:t>
      </w:r>
      <w:bookmarkStart w:id="624" w:name="_Toc337558785"/>
      <w:r>
        <w:rPr>
          <w:rFonts w:hint="eastAsia" w:asciiTheme="minorEastAsia" w:hAnsiTheme="minorEastAsia" w:eastAsiaTheme="minorEastAsia" w:cstheme="minorEastAsia"/>
          <w:b w:val="0"/>
          <w:color w:val="000000"/>
          <w:sz w:val="24"/>
          <w:szCs w:val="24"/>
        </w:rPr>
        <w:t>.3材料、工程设备和工程的试验和检验</w:t>
      </w:r>
      <w:bookmarkEnd w:id="623"/>
    </w:p>
    <w:bookmarkEnd w:id="624"/>
    <w:p w14:paraId="20E5DE9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EEBD50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1A541EE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6BFA130">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25" w:name="_Toc351203566"/>
      <w:r>
        <w:rPr>
          <w:rFonts w:hint="eastAsia" w:asciiTheme="minorEastAsia" w:hAnsiTheme="minorEastAsia" w:eastAsiaTheme="minorEastAsia" w:cstheme="minorEastAsia"/>
          <w:b w:val="0"/>
          <w:color w:val="000000"/>
          <w:sz w:val="24"/>
          <w:szCs w:val="24"/>
        </w:rPr>
        <w:t>9</w:t>
      </w:r>
      <w:bookmarkStart w:id="626" w:name="_Toc337558786"/>
      <w:r>
        <w:rPr>
          <w:rFonts w:hint="eastAsia" w:asciiTheme="minorEastAsia" w:hAnsiTheme="minorEastAsia" w:eastAsiaTheme="minorEastAsia" w:cstheme="minorEastAsia"/>
          <w:b w:val="0"/>
          <w:color w:val="000000"/>
          <w:sz w:val="24"/>
          <w:szCs w:val="24"/>
        </w:rPr>
        <w:t>.4现场工艺试验</w:t>
      </w:r>
      <w:bookmarkEnd w:id="625"/>
    </w:p>
    <w:bookmarkEnd w:id="626"/>
    <w:p w14:paraId="652DD5D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3175644A">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627" w:name="_Toc351203567"/>
      <w:r>
        <w:rPr>
          <w:rFonts w:hint="eastAsia" w:asciiTheme="minorEastAsia" w:hAnsiTheme="minorEastAsia" w:eastAsiaTheme="minorEastAsia" w:cstheme="minorEastAsia"/>
          <w:b w:val="0"/>
          <w:color w:val="000000"/>
          <w:sz w:val="24"/>
          <w:szCs w:val="24"/>
        </w:rPr>
        <w:t>1</w:t>
      </w:r>
      <w:bookmarkStart w:id="628" w:name="_Toc337558787"/>
      <w:r>
        <w:rPr>
          <w:rFonts w:hint="eastAsia" w:asciiTheme="minorEastAsia" w:hAnsiTheme="minorEastAsia" w:eastAsiaTheme="minorEastAsia" w:cstheme="minorEastAsia"/>
          <w:b w:val="0"/>
          <w:color w:val="000000"/>
          <w:sz w:val="24"/>
          <w:szCs w:val="24"/>
        </w:rPr>
        <w:t>0. 变更</w:t>
      </w:r>
      <w:bookmarkEnd w:id="617"/>
      <w:bookmarkEnd w:id="618"/>
      <w:bookmarkEnd w:id="627"/>
    </w:p>
    <w:bookmarkEnd w:id="628"/>
    <w:p w14:paraId="401ECEF1">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29" w:name="_Toc351203568"/>
      <w:r>
        <w:rPr>
          <w:rFonts w:hint="eastAsia" w:asciiTheme="minorEastAsia" w:hAnsiTheme="minorEastAsia" w:eastAsiaTheme="minorEastAsia" w:cstheme="minorEastAsia"/>
          <w:b w:val="0"/>
          <w:color w:val="000000"/>
          <w:sz w:val="24"/>
          <w:szCs w:val="24"/>
        </w:rPr>
        <w:t>1</w:t>
      </w:r>
      <w:bookmarkStart w:id="630" w:name="_Toc296503084"/>
      <w:bookmarkStart w:id="631" w:name="_Toc337558788"/>
      <w:bookmarkStart w:id="632" w:name="_Toc296346585"/>
      <w:r>
        <w:rPr>
          <w:rFonts w:hint="eastAsia" w:asciiTheme="minorEastAsia" w:hAnsiTheme="minorEastAsia" w:eastAsiaTheme="minorEastAsia" w:cstheme="minorEastAsia"/>
          <w:b w:val="0"/>
          <w:color w:val="000000"/>
          <w:sz w:val="24"/>
          <w:szCs w:val="24"/>
        </w:rPr>
        <w:t>0.1变更的范围</w:t>
      </w:r>
      <w:bookmarkEnd w:id="629"/>
    </w:p>
    <w:bookmarkEnd w:id="630"/>
    <w:bookmarkEnd w:id="631"/>
    <w:bookmarkEnd w:id="632"/>
    <w:p w14:paraId="3B16D40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除专用合同条款另有约定外，合同履行过程中发生以下情形的，应按照本条约定进行变更：</w:t>
      </w:r>
    </w:p>
    <w:p w14:paraId="5BEE007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（1）增加或减少合同中任何工作，或追加额外的工作；</w:t>
      </w:r>
    </w:p>
    <w:p w14:paraId="0E443B8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（2）取消合同中任何工作，但转由他人实施的工作除外；</w:t>
      </w:r>
    </w:p>
    <w:p w14:paraId="450017D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（3）改变合同中任何工作的质量标准或其他特性；</w:t>
      </w:r>
    </w:p>
    <w:p w14:paraId="108E180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（4）改变工程的基线、标高、位置和尺寸；</w:t>
      </w:r>
    </w:p>
    <w:p w14:paraId="080FF9F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（5）改变工程的时间安排或实施顺序。</w:t>
      </w:r>
    </w:p>
    <w:p w14:paraId="5C11AD5A">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33" w:name="_Toc351203569"/>
      <w:r>
        <w:rPr>
          <w:rFonts w:hint="eastAsia" w:asciiTheme="minorEastAsia" w:hAnsiTheme="minorEastAsia" w:eastAsiaTheme="minorEastAsia" w:cstheme="minorEastAsia"/>
          <w:b w:val="0"/>
          <w:color w:val="000000"/>
          <w:sz w:val="24"/>
          <w:szCs w:val="24"/>
        </w:rPr>
        <w:t>1</w:t>
      </w:r>
      <w:bookmarkStart w:id="634" w:name="_Toc337558789"/>
      <w:bookmarkStart w:id="635" w:name="_Toc296503085"/>
      <w:bookmarkStart w:id="636" w:name="_Toc296346586"/>
      <w:r>
        <w:rPr>
          <w:rFonts w:hint="eastAsia" w:asciiTheme="minorEastAsia" w:hAnsiTheme="minorEastAsia" w:eastAsiaTheme="minorEastAsia" w:cstheme="minorEastAsia"/>
          <w:b w:val="0"/>
          <w:color w:val="000000"/>
          <w:sz w:val="24"/>
          <w:szCs w:val="24"/>
        </w:rPr>
        <w:t>0.2变更权</w:t>
      </w:r>
      <w:bookmarkEnd w:id="633"/>
    </w:p>
    <w:bookmarkEnd w:id="634"/>
    <w:bookmarkEnd w:id="635"/>
    <w:bookmarkEnd w:id="636"/>
    <w:p w14:paraId="736499F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C6481F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涉及设计变更的，应由设计人提供变更后的图纸和说明。如变更超过原设计标准或批准的建设规模时，发包人应及时办理规划、设计变更等审批手续。</w:t>
      </w:r>
    </w:p>
    <w:p w14:paraId="4F85F26E">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37" w:name="_Toc351203570"/>
      <w:r>
        <w:rPr>
          <w:rFonts w:hint="eastAsia" w:asciiTheme="minorEastAsia" w:hAnsiTheme="minorEastAsia" w:eastAsiaTheme="minorEastAsia" w:cstheme="minorEastAsia"/>
          <w:b w:val="0"/>
          <w:color w:val="000000"/>
          <w:sz w:val="24"/>
          <w:szCs w:val="24"/>
        </w:rPr>
        <w:t>1</w:t>
      </w:r>
      <w:bookmarkStart w:id="638" w:name="_Toc296346587"/>
      <w:bookmarkStart w:id="639" w:name="_Toc337558790"/>
      <w:bookmarkStart w:id="640" w:name="_Toc296503086"/>
      <w:r>
        <w:rPr>
          <w:rFonts w:hint="eastAsia" w:asciiTheme="minorEastAsia" w:hAnsiTheme="minorEastAsia" w:eastAsiaTheme="minorEastAsia" w:cstheme="minorEastAsia"/>
          <w:b w:val="0"/>
          <w:color w:val="000000"/>
          <w:sz w:val="24"/>
          <w:szCs w:val="24"/>
        </w:rPr>
        <w:t>0.3变更程序</w:t>
      </w:r>
      <w:bookmarkEnd w:id="637"/>
    </w:p>
    <w:bookmarkEnd w:id="638"/>
    <w:bookmarkEnd w:id="639"/>
    <w:bookmarkEnd w:id="640"/>
    <w:p w14:paraId="297A6B6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10</w:t>
      </w:r>
      <w:r>
        <w:rPr>
          <w:rFonts w:hint="eastAsia" w:asciiTheme="minorEastAsia" w:hAnsiTheme="minorEastAsia" w:eastAsiaTheme="minorEastAsia" w:cstheme="minorEastAsia"/>
          <w:color w:val="000000"/>
          <w:kern w:val="0"/>
          <w:sz w:val="24"/>
          <w:szCs w:val="24"/>
        </w:rPr>
        <w:t>.3.1 发包人提出变更</w:t>
      </w:r>
    </w:p>
    <w:p w14:paraId="785C51F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发包人提出变更的，应通过监理人向承包人发出变更指示，变更指示应说明计划变更的工程范围和变更的内容。</w:t>
      </w:r>
    </w:p>
    <w:p w14:paraId="22FAA6C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10</w:t>
      </w:r>
      <w:r>
        <w:rPr>
          <w:rFonts w:hint="eastAsia" w:asciiTheme="minorEastAsia" w:hAnsiTheme="minorEastAsia" w:eastAsiaTheme="minorEastAsia" w:cstheme="minorEastAsia"/>
          <w:color w:val="000000"/>
          <w:kern w:val="0"/>
          <w:sz w:val="24"/>
          <w:szCs w:val="24"/>
        </w:rPr>
        <w:t>.3.2 监理人提出变更建议</w:t>
      </w:r>
    </w:p>
    <w:p w14:paraId="369A8C2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24B8F9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10.3.3 变更执行</w:t>
      </w:r>
    </w:p>
    <w:p w14:paraId="6CF05B4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1DD34B0A">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41" w:name="_Toc351203571"/>
      <w:r>
        <w:rPr>
          <w:rFonts w:hint="eastAsia" w:asciiTheme="minorEastAsia" w:hAnsiTheme="minorEastAsia" w:eastAsiaTheme="minorEastAsia" w:cstheme="minorEastAsia"/>
          <w:b w:val="0"/>
          <w:color w:val="000000"/>
          <w:sz w:val="24"/>
          <w:szCs w:val="24"/>
        </w:rPr>
        <w:t>1</w:t>
      </w:r>
      <w:bookmarkStart w:id="642" w:name="_Toc337558791"/>
      <w:bookmarkStart w:id="643" w:name="_Toc296346588"/>
      <w:bookmarkStart w:id="644" w:name="_Toc296503087"/>
      <w:r>
        <w:rPr>
          <w:rFonts w:hint="eastAsia" w:asciiTheme="minorEastAsia" w:hAnsiTheme="minorEastAsia" w:eastAsiaTheme="minorEastAsia" w:cstheme="minorEastAsia"/>
          <w:b w:val="0"/>
          <w:color w:val="000000"/>
          <w:sz w:val="24"/>
          <w:szCs w:val="24"/>
        </w:rPr>
        <w:t>0.4变更估价</w:t>
      </w:r>
      <w:bookmarkEnd w:id="641"/>
    </w:p>
    <w:bookmarkEnd w:id="642"/>
    <w:bookmarkEnd w:id="643"/>
    <w:bookmarkEnd w:id="644"/>
    <w:p w14:paraId="6E46963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10.4.1 变更估价原则</w:t>
      </w:r>
    </w:p>
    <w:p w14:paraId="4C7EEC6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除专用合同条款另有约定外，变更估价按照本款约定处理：</w:t>
      </w:r>
    </w:p>
    <w:p w14:paraId="6083C6A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（1）已标价工程量清单或预算书有相同项目的，按照相同项目单价认定；</w:t>
      </w:r>
    </w:p>
    <w:p w14:paraId="5F0A5FD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（2）已标价工程量清单或预算书中无相同项目，但有类似项目的，参照类似项目的单价认定；</w:t>
      </w:r>
    </w:p>
    <w:p w14:paraId="60338CB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ED35CD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10.4.2 变更估价程序</w:t>
      </w:r>
    </w:p>
    <w:p w14:paraId="60A4D6D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2C161FE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因变更引起的价格调整应计入最近一期的进度款中支付。</w:t>
      </w:r>
    </w:p>
    <w:p w14:paraId="65254F81">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45" w:name="_Toc351203572"/>
      <w:r>
        <w:rPr>
          <w:rFonts w:hint="eastAsia" w:asciiTheme="minorEastAsia" w:hAnsiTheme="minorEastAsia" w:eastAsiaTheme="minorEastAsia" w:cstheme="minorEastAsia"/>
          <w:b w:val="0"/>
          <w:color w:val="000000"/>
          <w:sz w:val="24"/>
          <w:szCs w:val="24"/>
        </w:rPr>
        <w:t>1</w:t>
      </w:r>
      <w:bookmarkStart w:id="646" w:name="_Toc337558792"/>
      <w:bookmarkStart w:id="647" w:name="_Toc296346595"/>
      <w:bookmarkStart w:id="648" w:name="_Toc296503094"/>
      <w:r>
        <w:rPr>
          <w:rFonts w:hint="eastAsia" w:asciiTheme="minorEastAsia" w:hAnsiTheme="minorEastAsia" w:eastAsiaTheme="minorEastAsia" w:cstheme="minorEastAsia"/>
          <w:b w:val="0"/>
          <w:color w:val="000000"/>
          <w:sz w:val="24"/>
          <w:szCs w:val="24"/>
        </w:rPr>
        <w:t>0.5承包人的合理化建议</w:t>
      </w:r>
      <w:bookmarkEnd w:id="645"/>
    </w:p>
    <w:bookmarkEnd w:id="646"/>
    <w:bookmarkEnd w:id="647"/>
    <w:bookmarkEnd w:id="648"/>
    <w:p w14:paraId="427DED4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承包人提出合理化建议的，应向监理人提交合理化建议说明，说明建议的内容和理由，以及实施该建议对合同价格和工期的影响。</w:t>
      </w:r>
    </w:p>
    <w:p w14:paraId="6EFF38D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EEA517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合理化建议降低了合同价格或者提高了工程经济效益的，发包人可对承包人给予奖励，奖励的方法和金额在专用合同条款中约定。</w:t>
      </w:r>
    </w:p>
    <w:p w14:paraId="1B2274EA">
      <w:pPr>
        <w:pStyle w:val="6"/>
        <w:numPr>
          <w:ilvl w:val="4"/>
          <w:numId w:val="0"/>
        </w:numPr>
        <w:spacing w:before="120" w:after="120" w:line="360" w:lineRule="auto"/>
        <w:rPr>
          <w:rFonts w:hint="eastAsia" w:asciiTheme="minorEastAsia" w:hAnsiTheme="minorEastAsia" w:eastAsiaTheme="minorEastAsia" w:cstheme="minorEastAsia"/>
          <w:color w:val="000000"/>
          <w:sz w:val="24"/>
          <w:szCs w:val="24"/>
        </w:rPr>
      </w:pPr>
      <w:bookmarkStart w:id="649" w:name="_Toc351203573"/>
      <w:r>
        <w:rPr>
          <w:rFonts w:hint="eastAsia" w:asciiTheme="minorEastAsia" w:hAnsiTheme="minorEastAsia" w:eastAsiaTheme="minorEastAsia" w:cstheme="minorEastAsia"/>
          <w:b w:val="0"/>
          <w:color w:val="000000"/>
          <w:sz w:val="24"/>
          <w:szCs w:val="24"/>
        </w:rPr>
        <w:t>1</w:t>
      </w:r>
      <w:bookmarkStart w:id="650" w:name="_Toc337558793"/>
      <w:r>
        <w:rPr>
          <w:rFonts w:hint="eastAsia" w:asciiTheme="minorEastAsia" w:hAnsiTheme="minorEastAsia" w:eastAsiaTheme="minorEastAsia" w:cstheme="minorEastAsia"/>
          <w:b w:val="0"/>
          <w:color w:val="000000"/>
          <w:sz w:val="24"/>
          <w:szCs w:val="24"/>
        </w:rPr>
        <w:t>0.6变更引起的工期调整</w:t>
      </w:r>
      <w:bookmarkEnd w:id="649"/>
      <w:r>
        <w:rPr>
          <w:rFonts w:hint="eastAsia" w:asciiTheme="minorEastAsia" w:hAnsiTheme="minorEastAsia" w:eastAsiaTheme="minorEastAsia" w:cstheme="minorEastAsia"/>
          <w:b w:val="0"/>
          <w:color w:val="000000"/>
          <w:sz w:val="24"/>
          <w:szCs w:val="24"/>
        </w:rPr>
        <w:t xml:space="preserve"> </w:t>
      </w:r>
      <w:bookmarkEnd w:id="650"/>
      <w:r>
        <w:rPr>
          <w:rFonts w:hint="eastAsia" w:asciiTheme="minorEastAsia" w:hAnsiTheme="minorEastAsia" w:eastAsiaTheme="minorEastAsia" w:cstheme="minorEastAsia"/>
          <w:b w:val="0"/>
          <w:color w:val="000000"/>
          <w:sz w:val="24"/>
          <w:szCs w:val="24"/>
        </w:rPr>
        <w:t xml:space="preserve"> </w:t>
      </w:r>
      <w:r>
        <w:rPr>
          <w:rFonts w:hint="eastAsia" w:asciiTheme="minorEastAsia" w:hAnsiTheme="minorEastAsia" w:eastAsiaTheme="minorEastAsia" w:cstheme="minorEastAsia"/>
          <w:color w:val="000000"/>
          <w:sz w:val="24"/>
          <w:szCs w:val="24"/>
        </w:rPr>
        <w:t xml:space="preserve"> </w:t>
      </w:r>
    </w:p>
    <w:p w14:paraId="51E611F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因变更引起工期变化的，合同当事人均可要求调整合同工期，由合同当事人按照第4.4款〔商定或确定〕并参考工程所在地的工期定额标准确定增减工期天数。</w:t>
      </w:r>
    </w:p>
    <w:p w14:paraId="7E8A6D8C">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51" w:name="_Toc351203574"/>
      <w:r>
        <w:rPr>
          <w:rFonts w:hint="eastAsia" w:asciiTheme="minorEastAsia" w:hAnsiTheme="minorEastAsia" w:eastAsiaTheme="minorEastAsia" w:cstheme="minorEastAsia"/>
          <w:b w:val="0"/>
          <w:color w:val="000000"/>
          <w:sz w:val="24"/>
          <w:szCs w:val="24"/>
        </w:rPr>
        <w:t>10.7暂估价</w:t>
      </w:r>
      <w:bookmarkEnd w:id="651"/>
    </w:p>
    <w:p w14:paraId="2B915D0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暂估价专业分包工程、服务、材料和工程设备的明细由合同当事人在专用合同条款中约定。</w:t>
      </w:r>
    </w:p>
    <w:p w14:paraId="188058D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10.7.1</w:t>
      </w:r>
      <w:r>
        <w:rPr>
          <w:rFonts w:hint="eastAsia" w:asciiTheme="minorEastAsia" w:hAnsiTheme="minorEastAsia" w:eastAsiaTheme="minorEastAsia" w:cstheme="minorEastAsia"/>
          <w:color w:val="000000"/>
          <w:kern w:val="0"/>
          <w:sz w:val="24"/>
          <w:szCs w:val="24"/>
        </w:rPr>
        <w:t xml:space="preserve"> 依法必须招标的暂估价项目</w:t>
      </w:r>
    </w:p>
    <w:p w14:paraId="5761B320">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对于依法必须招标的暂估价项目，采取以下第1种方式确定。合同当事人也可以在专用合同条款中选择其他招标方式。</w:t>
      </w:r>
    </w:p>
    <w:p w14:paraId="476EB069">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第1种方式：对于依法必须招标的暂估价项目，由承包人招标，对该暂估价项目的确认和批准按照以下约定执行：</w:t>
      </w:r>
    </w:p>
    <w:p w14:paraId="7DA9330B">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395C8FF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55388616">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E08C71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8ABF56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10.7.2</w:t>
      </w:r>
      <w:r>
        <w:rPr>
          <w:rFonts w:hint="eastAsia" w:asciiTheme="minorEastAsia" w:hAnsiTheme="minorEastAsia" w:eastAsiaTheme="minorEastAsia" w:cstheme="minorEastAsia"/>
          <w:color w:val="000000"/>
          <w:kern w:val="0"/>
          <w:sz w:val="24"/>
          <w:szCs w:val="24"/>
        </w:rPr>
        <w:t>不属于依法必须招标的暂估价项目</w:t>
      </w:r>
    </w:p>
    <w:p w14:paraId="75B8E46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除专用合同条款另有约定外，对于不属于依法必须招标的暂估价项目，采取以下第1种方式确定： </w:t>
      </w:r>
    </w:p>
    <w:p w14:paraId="7533926D">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第1种方式：对于不属于依法必须招标的暂估价项目，按本项约定确认和批准：</w:t>
      </w:r>
    </w:p>
    <w:p w14:paraId="1966950E">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495E199">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（2）发包人认为承包人确定的供应商、分包人无法满足工程质量或合同要求的，发包人可以要求承包人重新确定暂估价项目的供应商、分包人;</w:t>
      </w:r>
    </w:p>
    <w:p w14:paraId="57EC5B20">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（3）承包人应当在签订暂估价合同后7天内，将暂估价合同副本报送发包人留存。</w:t>
      </w:r>
    </w:p>
    <w:p w14:paraId="68258E8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第2种方式：承包人按照第10.7.1项〔依法必须招标的暂估价项目〕约定的第1种方式确定暂估价项目。</w:t>
      </w:r>
    </w:p>
    <w:p w14:paraId="7427346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第3种方式：</w:t>
      </w:r>
      <w:r>
        <w:rPr>
          <w:rFonts w:hint="eastAsia" w:asciiTheme="minorEastAsia" w:hAnsiTheme="minorEastAsia" w:eastAsiaTheme="minorEastAsia" w:cstheme="minorEastAsia"/>
          <w:color w:val="000000"/>
          <w:kern w:val="0"/>
          <w:sz w:val="24"/>
          <w:szCs w:val="24"/>
        </w:rPr>
        <w:t>承包人直接实施的暂估价项目</w:t>
      </w:r>
    </w:p>
    <w:p w14:paraId="2E098510">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承包人具备实施暂估价项目的资格和条件的，经发包人和承包人协商一致后，可由承包人自行实施暂估价项目，合同当事人可以在专用合同条款约定具体事项。</w:t>
      </w:r>
    </w:p>
    <w:p w14:paraId="317F0E90">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9655E72">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52" w:name="_Toc351203575"/>
      <w:r>
        <w:rPr>
          <w:rFonts w:hint="eastAsia" w:asciiTheme="minorEastAsia" w:hAnsiTheme="minorEastAsia" w:eastAsiaTheme="minorEastAsia" w:cstheme="minorEastAsia"/>
          <w:b w:val="0"/>
          <w:color w:val="000000"/>
          <w:sz w:val="24"/>
          <w:szCs w:val="24"/>
        </w:rPr>
        <w:t>1</w:t>
      </w:r>
      <w:bookmarkStart w:id="653" w:name="_Toc337558794"/>
      <w:bookmarkStart w:id="654" w:name="_Toc322522561"/>
      <w:bookmarkStart w:id="655" w:name="_Toc296503090"/>
      <w:bookmarkStart w:id="656" w:name="_Toc296346591"/>
      <w:r>
        <w:rPr>
          <w:rFonts w:hint="eastAsia" w:asciiTheme="minorEastAsia" w:hAnsiTheme="minorEastAsia" w:eastAsiaTheme="minorEastAsia" w:cstheme="minorEastAsia"/>
          <w:b w:val="0"/>
          <w:color w:val="000000"/>
          <w:sz w:val="24"/>
          <w:szCs w:val="24"/>
        </w:rPr>
        <w:t>0.8暂列金额</w:t>
      </w:r>
      <w:bookmarkEnd w:id="652"/>
    </w:p>
    <w:bookmarkEnd w:id="653"/>
    <w:p w14:paraId="68D1B0B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暂列金额应按照发包人的要求使用，发包人的要求应通过监理人发出。合同当事人可以在专用合同条款中协商确定有关事项。</w:t>
      </w:r>
    </w:p>
    <w:bookmarkEnd w:id="654"/>
    <w:bookmarkEnd w:id="655"/>
    <w:bookmarkEnd w:id="656"/>
    <w:p w14:paraId="2BC6AAD9">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57" w:name="_Toc351203576"/>
      <w:r>
        <w:rPr>
          <w:rFonts w:hint="eastAsia" w:asciiTheme="minorEastAsia" w:hAnsiTheme="minorEastAsia" w:eastAsiaTheme="minorEastAsia" w:cstheme="minorEastAsia"/>
          <w:b w:val="0"/>
          <w:color w:val="000000"/>
          <w:sz w:val="24"/>
          <w:szCs w:val="24"/>
        </w:rPr>
        <w:t>1</w:t>
      </w:r>
      <w:bookmarkStart w:id="658" w:name="_Toc296503091"/>
      <w:bookmarkStart w:id="659" w:name="_Toc337558796"/>
      <w:bookmarkStart w:id="660" w:name="_Toc296346592"/>
      <w:r>
        <w:rPr>
          <w:rFonts w:hint="eastAsia" w:asciiTheme="minorEastAsia" w:hAnsiTheme="minorEastAsia" w:eastAsiaTheme="minorEastAsia" w:cstheme="minorEastAsia"/>
          <w:b w:val="0"/>
          <w:color w:val="000000"/>
          <w:sz w:val="24"/>
          <w:szCs w:val="24"/>
        </w:rPr>
        <w:t>0.9计日工</w:t>
      </w:r>
      <w:bookmarkEnd w:id="657"/>
      <w:r>
        <w:rPr>
          <w:rFonts w:hint="eastAsia" w:asciiTheme="minorEastAsia" w:hAnsiTheme="minorEastAsia" w:eastAsiaTheme="minorEastAsia" w:cstheme="minorEastAsia"/>
          <w:b w:val="0"/>
          <w:color w:val="000000"/>
          <w:sz w:val="24"/>
          <w:szCs w:val="24"/>
        </w:rPr>
        <w:t xml:space="preserve"> </w:t>
      </w:r>
      <w:bookmarkEnd w:id="658"/>
      <w:bookmarkEnd w:id="659"/>
      <w:bookmarkEnd w:id="660"/>
    </w:p>
    <w:p w14:paraId="7061189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51C4ABF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采用计日工计价的任何一项工作，承包人应在该项工作实施过程中，每天提交以下报表和有关凭证报送监理人审查：</w:t>
      </w:r>
    </w:p>
    <w:p w14:paraId="4EFABAD7">
      <w:pPr>
        <w:spacing w:line="360" w:lineRule="auto"/>
        <w:ind w:firstLine="360" w:firstLineChars="15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（1）工作名称、内容和数量；</w:t>
      </w:r>
    </w:p>
    <w:p w14:paraId="56D47786">
      <w:pPr>
        <w:spacing w:line="360" w:lineRule="auto"/>
        <w:ind w:firstLine="360" w:firstLineChars="15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（2）投入该工作的所有人员的姓名、专业、工种、级别和耗用工时；</w:t>
      </w:r>
    </w:p>
    <w:p w14:paraId="74C58486">
      <w:pPr>
        <w:spacing w:line="360" w:lineRule="auto"/>
        <w:ind w:firstLine="360" w:firstLineChars="15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（3）投入该工作的材料类别和数量；</w:t>
      </w:r>
    </w:p>
    <w:p w14:paraId="7686A347">
      <w:pPr>
        <w:spacing w:line="360" w:lineRule="auto"/>
        <w:ind w:firstLine="360" w:firstLineChars="15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（4）投入该工作的施工设备型号、台数和耗用台时；</w:t>
      </w:r>
    </w:p>
    <w:p w14:paraId="7ADDD201">
      <w:pPr>
        <w:spacing w:line="360" w:lineRule="auto"/>
        <w:ind w:firstLine="360" w:firstLineChars="15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（5）其他有关资料和凭证。</w:t>
      </w:r>
    </w:p>
    <w:p w14:paraId="55C32E04">
      <w:pPr>
        <w:spacing w:line="360" w:lineRule="auto"/>
        <w:ind w:firstLine="360" w:firstLineChars="15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计日工由承包人汇总后，列入最近一期进度付款申请单，由监理人审查并经发包人批准后列入进度付款。</w:t>
      </w:r>
    </w:p>
    <w:p w14:paraId="740976D8">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661" w:name="_Toc351203577"/>
      <w:r>
        <w:rPr>
          <w:rFonts w:hint="eastAsia" w:asciiTheme="minorEastAsia" w:hAnsiTheme="minorEastAsia" w:eastAsiaTheme="minorEastAsia" w:cstheme="minorEastAsia"/>
          <w:b w:val="0"/>
          <w:color w:val="000000"/>
          <w:sz w:val="24"/>
          <w:szCs w:val="24"/>
        </w:rPr>
        <w:t>11. 价格调整</w:t>
      </w:r>
      <w:bookmarkEnd w:id="661"/>
    </w:p>
    <w:p w14:paraId="609EF0D0">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62" w:name="_Toc351203578"/>
      <w:bookmarkStart w:id="663" w:name="_Toc296346593"/>
      <w:bookmarkStart w:id="664" w:name="_Toc337558797"/>
      <w:bookmarkStart w:id="665" w:name="_Toc296503092"/>
      <w:r>
        <w:rPr>
          <w:rFonts w:hint="eastAsia" w:asciiTheme="minorEastAsia" w:hAnsiTheme="minorEastAsia" w:eastAsiaTheme="minorEastAsia" w:cstheme="minorEastAsia"/>
          <w:b w:val="0"/>
          <w:color w:val="000000"/>
          <w:sz w:val="24"/>
          <w:szCs w:val="24"/>
        </w:rPr>
        <w:t>11.1市场价格波动引起的调整</w:t>
      </w:r>
      <w:bookmarkEnd w:id="662"/>
    </w:p>
    <w:bookmarkEnd w:id="663"/>
    <w:bookmarkEnd w:id="664"/>
    <w:bookmarkEnd w:id="665"/>
    <w:p w14:paraId="4A431FD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77EA84AB">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第1种方式：采用价格指数进行价格调整。</w:t>
      </w:r>
    </w:p>
    <w:p w14:paraId="73CB67AC">
      <w:pPr>
        <w:tabs>
          <w:tab w:val="left" w:pos="0"/>
          <w:tab w:val="left" w:pos="360"/>
          <w:tab w:val="left" w:pos="54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（1）价格调整公式</w:t>
      </w:r>
    </w:p>
    <w:p w14:paraId="5AE08774">
      <w:pPr>
        <w:tabs>
          <w:tab w:val="left" w:pos="0"/>
          <w:tab w:val="left" w:pos="360"/>
          <w:tab w:val="left" w:pos="54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因人工、材料和设备等价格波动影响合同价格时，根据专用合同条款中约定的数据，按以下公式计算差额并调整合同价格：</w:t>
      </w:r>
    </w:p>
    <w:p w14:paraId="57DA3E8D">
      <w:pPr>
        <w:tabs>
          <w:tab w:val="left" w:pos="0"/>
          <w:tab w:val="left" w:pos="360"/>
          <w:tab w:val="left" w:pos="54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position w:val="-30"/>
          <w:sz w:val="24"/>
          <w:szCs w:val="24"/>
        </w:rPr>
        <w:object>
          <v:shape id="_x0000_i1025" o:spt="75" type="#_x0000_t75" style="height:43.9pt;width:359.85pt;" o:ole="t" filled="f" stroked="f" coordsize="21600,21600">
            <v:path/>
            <v:fill on="f" focussize="0,0"/>
            <v:stroke on="f"/>
            <v:imagedata r:id="rId27" o:title=""/>
            <o:lock v:ext="edit" grouping="f" rotation="f" text="f" aspectratio="t"/>
            <w10:wrap type="none"/>
            <w10:anchorlock/>
          </v:shape>
          <o:OLEObject Type="Embed" ProgID="Equation.KSEE3" ShapeID="_x0000_i1025" DrawAspect="Content" ObjectID="_1468075725" r:id="rId26">
            <o:LockedField>false</o:LockedField>
          </o:OLEObject>
        </w:object>
      </w:r>
    </w:p>
    <w:p w14:paraId="54F9E32D">
      <w:pPr>
        <w:tabs>
          <w:tab w:val="left" w:pos="0"/>
          <w:tab w:val="left" w:pos="360"/>
          <w:tab w:val="left" w:pos="540"/>
        </w:tabs>
        <w:spacing w:line="360" w:lineRule="auto"/>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公式中：ΔP——需调整的价格差额；</w:t>
      </w:r>
    </w:p>
    <w:p w14:paraId="11EA9A11">
      <w:pPr>
        <w:tabs>
          <w:tab w:val="left" w:pos="0"/>
          <w:tab w:val="left" w:pos="360"/>
          <w:tab w:val="left" w:pos="540"/>
        </w:tabs>
        <w:spacing w:line="360" w:lineRule="auto"/>
        <w:ind w:firstLine="1440" w:firstLineChars="6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position w:val="-6"/>
          <w:sz w:val="24"/>
          <w:szCs w:val="24"/>
        </w:rPr>
        <w:object>
          <v:shape id="_x0000_i1026" o:spt="75" type="#_x0000_t75" style="height:17.95pt;width:17.95pt;" o:ole="t" filled="f" stroked="f" coordsize="21600,21600">
            <v:path/>
            <v:fill on="f" focussize="0,0"/>
            <v:stroke on="f"/>
            <v:imagedata r:id="rId29" o:title=""/>
            <o:lock v:ext="edit" grouping="f" rotation="f" text="f" aspectratio="t"/>
            <w10:wrap type="none"/>
            <w10:anchorlock/>
          </v:shape>
          <o:OLEObject Type="Embed" ProgID="Equation.KSEE3" ShapeID="_x0000_i1026" DrawAspect="Content" ObjectID="_1468075726" r:id="rId28">
            <o:LockedField>false</o:LockedField>
          </o:OLEObject>
        </w:object>
      </w:r>
      <w:r>
        <w:rPr>
          <w:rFonts w:hint="eastAsia" w:asciiTheme="minorEastAsia" w:hAnsiTheme="minorEastAsia" w:eastAsiaTheme="minorEastAsia" w:cstheme="minorEastAsia"/>
          <w:color w:val="00000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0B045C42">
      <w:pPr>
        <w:tabs>
          <w:tab w:val="left" w:pos="0"/>
          <w:tab w:val="left" w:pos="360"/>
          <w:tab w:val="left" w:pos="54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A——定值权重（即不调部分的权重）；</w:t>
      </w:r>
    </w:p>
    <w:p w14:paraId="2D8679E1">
      <w:pPr>
        <w:tabs>
          <w:tab w:val="left" w:pos="0"/>
          <w:tab w:val="left" w:pos="360"/>
          <w:tab w:val="left" w:pos="54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position w:val="-10"/>
          <w:sz w:val="24"/>
          <w:szCs w:val="24"/>
        </w:rPr>
        <w:object>
          <v:shape id="_x0000_i1027" o:spt="75" type="#_x0000_t75" style="height:21.05pt;width:101pt;" o:ole="t" filled="f" stroked="f" coordsize="21600,21600">
            <v:path/>
            <v:fill on="f" focussize="0,0"/>
            <v:stroke on="f"/>
            <v:imagedata r:id="rId31" o:title=""/>
            <o:lock v:ext="edit" grouping="f" rotation="f" text="f" aspectratio="t"/>
            <w10:wrap type="none"/>
            <w10:anchorlock/>
          </v:shape>
          <o:OLEObject Type="Embed" ProgID="Equation.KSEE3" ShapeID="_x0000_i1027" DrawAspect="Content" ObjectID="_1468075727" r:id="rId30">
            <o:LockedField>false</o:LockedField>
          </o:OLEObject>
        </w:object>
      </w:r>
      <w:r>
        <w:rPr>
          <w:rFonts w:hint="eastAsia" w:asciiTheme="minorEastAsia" w:hAnsiTheme="minorEastAsia" w:eastAsiaTheme="minorEastAsia" w:cstheme="minorEastAsia"/>
          <w:color w:val="000000"/>
          <w:sz w:val="24"/>
          <w:szCs w:val="24"/>
        </w:rPr>
        <w:t>——各可调因子的变值权重（即可调部分的权重），为各可调因子在签约合同价中所占的比例；</w:t>
      </w:r>
    </w:p>
    <w:p w14:paraId="7C35D030">
      <w:pPr>
        <w:tabs>
          <w:tab w:val="left" w:pos="0"/>
          <w:tab w:val="left" w:pos="360"/>
          <w:tab w:val="left" w:pos="54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position w:val="-10"/>
          <w:sz w:val="24"/>
          <w:szCs w:val="24"/>
        </w:rPr>
        <w:object>
          <v:shape id="_x0000_i1028" o:spt="75" type="#_x0000_t75" style="height:20.6pt;width:102.05pt;" o:ole="t" filled="f" stroked="f" coordsize="21600,21600">
            <v:path/>
            <v:fill on="f" focussize="0,0"/>
            <v:stroke on="f"/>
            <v:imagedata r:id="rId33" o:title=""/>
            <o:lock v:ext="edit" grouping="f" rotation="f" text="f" aspectratio="t"/>
            <w10:wrap type="none"/>
            <w10:anchorlock/>
          </v:shape>
          <o:OLEObject Type="Embed" ProgID="Equation.KSEE3" ShapeID="_x0000_i1028" DrawAspect="Content" ObjectID="_1468075728" r:id="rId32">
            <o:LockedField>false</o:LockedField>
          </o:OLEObject>
        </w:object>
      </w:r>
      <w:r>
        <w:rPr>
          <w:rFonts w:hint="eastAsia" w:asciiTheme="minorEastAsia" w:hAnsiTheme="minorEastAsia" w:eastAsiaTheme="minorEastAsia" w:cstheme="minorEastAsia"/>
          <w:color w:val="000000"/>
          <w:sz w:val="24"/>
          <w:szCs w:val="24"/>
        </w:rPr>
        <w:t>——各可调因子的现行价格指数，指约定的付款证书相关周期最后一天的前42天的各可调因子的价格指数；</w:t>
      </w:r>
    </w:p>
    <w:p w14:paraId="560B7E4D">
      <w:pPr>
        <w:tabs>
          <w:tab w:val="left" w:pos="0"/>
          <w:tab w:val="left" w:pos="360"/>
          <w:tab w:val="left" w:pos="54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position w:val="-10"/>
          <w:sz w:val="24"/>
          <w:szCs w:val="24"/>
        </w:rPr>
        <w:object>
          <v:shape id="_x0000_i1029" o:spt="75" type="#_x0000_t75" style="height:20.2pt;width:108pt;" o:ole="t" filled="f" stroked="f" coordsize="21600,21600">
            <v:path/>
            <v:fill on="f" focussize="0,0"/>
            <v:stroke on="f"/>
            <v:imagedata r:id="rId35" o:title=""/>
            <o:lock v:ext="edit" grouping="f" rotation="f" text="f" aspectratio="t"/>
            <w10:wrap type="none"/>
            <w10:anchorlock/>
          </v:shape>
          <o:OLEObject Type="Embed" ProgID="Equation.KSEE3" ShapeID="_x0000_i1029" DrawAspect="Content" ObjectID="_1468075729" r:id="rId34">
            <o:LockedField>false</o:LockedField>
          </o:OLEObject>
        </w:object>
      </w:r>
      <w:r>
        <w:rPr>
          <w:rFonts w:hint="eastAsia" w:asciiTheme="minorEastAsia" w:hAnsiTheme="minorEastAsia" w:eastAsiaTheme="minorEastAsia" w:cstheme="minorEastAsia"/>
          <w:color w:val="000000"/>
          <w:sz w:val="24"/>
          <w:szCs w:val="24"/>
        </w:rPr>
        <w:t>——各可调因子的基本价格指数，指基准日期的各可调因子的价格指数。</w:t>
      </w:r>
    </w:p>
    <w:p w14:paraId="6D2721A4">
      <w:pPr>
        <w:tabs>
          <w:tab w:val="left" w:pos="0"/>
          <w:tab w:val="left" w:pos="360"/>
          <w:tab w:val="left" w:pos="54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E75F40A">
      <w:pPr>
        <w:tabs>
          <w:tab w:val="left" w:pos="0"/>
          <w:tab w:val="left" w:pos="360"/>
          <w:tab w:val="left" w:pos="54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（2）暂时确定调整差额</w:t>
      </w:r>
    </w:p>
    <w:p w14:paraId="71EFEBA5">
      <w:pPr>
        <w:tabs>
          <w:tab w:val="left" w:pos="0"/>
          <w:tab w:val="left" w:pos="360"/>
          <w:tab w:val="left" w:pos="54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在计算调整差额时无现行价格指数的，合同当事人同意暂用前次价格指数计算。实际价格指数有调整的，合同当事人进行相应调整。</w:t>
      </w:r>
    </w:p>
    <w:p w14:paraId="352DFA2E">
      <w:pPr>
        <w:tabs>
          <w:tab w:val="left" w:pos="0"/>
          <w:tab w:val="left" w:pos="360"/>
          <w:tab w:val="left" w:pos="54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（3）权重的调整</w:t>
      </w:r>
    </w:p>
    <w:p w14:paraId="2BBE50F1">
      <w:pPr>
        <w:tabs>
          <w:tab w:val="left" w:pos="0"/>
          <w:tab w:val="left" w:pos="360"/>
          <w:tab w:val="left" w:pos="54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因变更导致合同约定的权重不合理时，按照第4.4款〔商定或确定〕执行。</w:t>
      </w:r>
    </w:p>
    <w:p w14:paraId="092DF6B2">
      <w:pPr>
        <w:tabs>
          <w:tab w:val="left" w:pos="0"/>
          <w:tab w:val="left" w:pos="360"/>
          <w:tab w:val="left" w:pos="54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（4）因承包人原因工期延误后的价格调整</w:t>
      </w:r>
    </w:p>
    <w:p w14:paraId="516A0B7E">
      <w:pPr>
        <w:tabs>
          <w:tab w:val="left" w:pos="0"/>
          <w:tab w:val="left" w:pos="360"/>
          <w:tab w:val="left" w:pos="540"/>
        </w:tabs>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7F217457">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第2种方式：采用造价信息进行价格调整。</w:t>
      </w:r>
    </w:p>
    <w:p w14:paraId="14524BC7">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4E759E79">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31FCE9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（2）材料、工程设备价格变化的价款调整按照发包人提供的基准价格，按以下风险范围规定执行:</w:t>
      </w:r>
    </w:p>
    <w:p w14:paraId="50EDC839">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64878F0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3492F5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③承包人在已标价工程量清单或预算书中载明材料单价等于基准价格的：除专用合同条款另有约定外，合同履行期间材料单价涨跌幅以基准价格为基础超过±5%时，其超过部分据实调整。</w:t>
      </w:r>
    </w:p>
    <w:p w14:paraId="6556CF28">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29D1D5B">
      <w:pPr>
        <w:spacing w:line="360" w:lineRule="auto"/>
        <w:ind w:firstLine="480" w:firstLineChars="200"/>
        <w:rPr>
          <w:rFonts w:hint="eastAsia" w:asciiTheme="minorEastAsia" w:hAnsiTheme="minorEastAsia" w:eastAsiaTheme="minorEastAsia" w:cstheme="minorEastAsia"/>
          <w:color w:val="000000"/>
          <w:sz w:val="24"/>
          <w:szCs w:val="24"/>
        </w:rPr>
      </w:pPr>
      <w:bookmarkStart w:id="666" w:name="OLE_LINK3"/>
      <w:r>
        <w:rPr>
          <w:rFonts w:hint="eastAsia" w:asciiTheme="minorEastAsia" w:hAnsiTheme="minorEastAsia" w:eastAsiaTheme="minorEastAsia" w:cstheme="minorEastAsia"/>
          <w:color w:val="000000"/>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0D637897">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（3）施工机械台班单价或施工机械使用费发生变化超过省级或行业建设主管部门或其授权的工程造价管理机构规定的范围时，按规定调整合同价格。</w:t>
      </w:r>
    </w:p>
    <w:p w14:paraId="24C6536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第3种方式：专用合同条款约定的其他方式。</w:t>
      </w:r>
    </w:p>
    <w:p w14:paraId="322105F6">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67" w:name="_Toc351203579"/>
      <w:bookmarkStart w:id="668" w:name="_Toc337558798"/>
      <w:bookmarkStart w:id="669" w:name="_Toc296503093"/>
      <w:bookmarkStart w:id="670" w:name="_Toc296346594"/>
      <w:r>
        <w:rPr>
          <w:rFonts w:hint="eastAsia" w:asciiTheme="minorEastAsia" w:hAnsiTheme="minorEastAsia" w:eastAsiaTheme="minorEastAsia" w:cstheme="minorEastAsia"/>
          <w:b w:val="0"/>
          <w:color w:val="000000"/>
          <w:sz w:val="24"/>
          <w:szCs w:val="24"/>
        </w:rPr>
        <w:t>11.2法律变化引起的调整</w:t>
      </w:r>
      <w:bookmarkEnd w:id="667"/>
    </w:p>
    <w:bookmarkEnd w:id="668"/>
    <w:bookmarkEnd w:id="669"/>
    <w:bookmarkEnd w:id="670"/>
    <w:p w14:paraId="53B9ACA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025E46D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因法律变化引起的合同价格和工期调整，合同当事人无法达成一致的，由总监理工程师按第4.4款〔商定或确定〕的约定处理。</w:t>
      </w:r>
    </w:p>
    <w:p w14:paraId="6B65F7C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因承包人原因造成工期延误，在工期延误期间出现法律变化的，由此增加的费用和（或）延误的工期由承包人承担。</w:t>
      </w:r>
    </w:p>
    <w:p w14:paraId="02BDEA1B">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671" w:name="_Toc351203580"/>
      <w:bookmarkStart w:id="672" w:name="_Toc337558799"/>
      <w:bookmarkStart w:id="673" w:name="_Toc296503096"/>
      <w:bookmarkStart w:id="674" w:name="_Toc296346597"/>
      <w:r>
        <w:rPr>
          <w:rFonts w:hint="eastAsia" w:asciiTheme="minorEastAsia" w:hAnsiTheme="minorEastAsia" w:eastAsiaTheme="minorEastAsia" w:cstheme="minorEastAsia"/>
          <w:b w:val="0"/>
          <w:color w:val="000000"/>
          <w:sz w:val="24"/>
          <w:szCs w:val="24"/>
        </w:rPr>
        <w:t>12. 合同价格、计量与支付</w:t>
      </w:r>
      <w:bookmarkEnd w:id="671"/>
    </w:p>
    <w:bookmarkEnd w:id="672"/>
    <w:p w14:paraId="43778212">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75" w:name="_Toc351203581"/>
      <w:bookmarkStart w:id="676" w:name="_Toc337558800"/>
      <w:r>
        <w:rPr>
          <w:rFonts w:hint="eastAsia" w:asciiTheme="minorEastAsia" w:hAnsiTheme="minorEastAsia" w:eastAsiaTheme="minorEastAsia" w:cstheme="minorEastAsia"/>
          <w:b w:val="0"/>
          <w:color w:val="000000"/>
          <w:sz w:val="24"/>
          <w:szCs w:val="24"/>
        </w:rPr>
        <w:t>12.1 合同价</w:t>
      </w:r>
      <w:bookmarkEnd w:id="673"/>
      <w:bookmarkEnd w:id="674"/>
      <w:r>
        <w:rPr>
          <w:rFonts w:hint="eastAsia" w:asciiTheme="minorEastAsia" w:hAnsiTheme="minorEastAsia" w:eastAsiaTheme="minorEastAsia" w:cstheme="minorEastAsia"/>
          <w:b w:val="0"/>
          <w:color w:val="000000"/>
          <w:sz w:val="24"/>
          <w:szCs w:val="24"/>
        </w:rPr>
        <w:t>格形式</w:t>
      </w:r>
      <w:bookmarkEnd w:id="675"/>
    </w:p>
    <w:bookmarkEnd w:id="676"/>
    <w:p w14:paraId="7DC4F33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发包人和承包人应在合同协议书中选择下列一种合同价格形式： </w:t>
      </w:r>
    </w:p>
    <w:p w14:paraId="12C71D2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单价合同</w:t>
      </w:r>
    </w:p>
    <w:p w14:paraId="2EAAA6D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单价合同是指合同当事人约定以工程量清单及其综合单价进行合同价格计算、调整和确认的建设工程施工合同，</w:t>
      </w:r>
      <w:r>
        <w:rPr>
          <w:rFonts w:hint="eastAsia" w:asciiTheme="minorEastAsia" w:hAnsiTheme="minorEastAsia" w:eastAsiaTheme="minorEastAsia" w:cstheme="minorEastAsia"/>
          <w:sz w:val="24"/>
          <w:szCs w:val="24"/>
        </w:rPr>
        <w:t>在约定的范围内合同单价不作调整</w:t>
      </w:r>
      <w:r>
        <w:rPr>
          <w:rFonts w:hint="eastAsia" w:asciiTheme="minorEastAsia" w:hAnsiTheme="minorEastAsia" w:eastAsiaTheme="minorEastAsia" w:cstheme="minorEastAsia"/>
          <w:color w:val="000000"/>
          <w:kern w:val="0"/>
          <w:sz w:val="24"/>
          <w:szCs w:val="24"/>
        </w:rPr>
        <w:t>。合同当事人应在专用合同条款中约定综合单价包含的风险范围和风险费用的计算方法</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kern w:val="0"/>
          <w:sz w:val="24"/>
          <w:szCs w:val="24"/>
        </w:rPr>
        <w:t>并约定风险范围以外的合同价格的调整方法，其中因市场价格波动引起的调整按第11.1款〔市场价格波动引起的调整〕约定执行。</w:t>
      </w:r>
    </w:p>
    <w:p w14:paraId="20B8B12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总价合同</w:t>
      </w:r>
    </w:p>
    <w:p w14:paraId="6AE5FF9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总价合同是指合同当事人约定以施工图、已标价工程量清单或预算书及有关条件进行合同价格计算、调整和确认的建设工程施工合同，</w:t>
      </w:r>
      <w:r>
        <w:rPr>
          <w:rFonts w:hint="eastAsia" w:asciiTheme="minorEastAsia" w:hAnsiTheme="minorEastAsia" w:eastAsiaTheme="minorEastAsia" w:cstheme="minorEastAsia"/>
          <w:sz w:val="24"/>
          <w:szCs w:val="24"/>
        </w:rPr>
        <w:t>在约定的范围内合同总价不作调整</w:t>
      </w:r>
      <w:r>
        <w:rPr>
          <w:rFonts w:hint="eastAsia" w:asciiTheme="minorEastAsia" w:hAnsiTheme="minorEastAsia" w:eastAsiaTheme="minorEastAsia" w:cstheme="minorEastAsia"/>
          <w:color w:val="000000"/>
          <w:kern w:val="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7681579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其它价格形式</w:t>
      </w:r>
    </w:p>
    <w:p w14:paraId="5DE5E70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合同当事人可在专用合同条款中约定其他合同价格形式。</w:t>
      </w:r>
    </w:p>
    <w:p w14:paraId="4CBEFE37">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677" w:name="_Toc296346598"/>
      <w:bookmarkStart w:id="678" w:name="_Toc296503097"/>
      <w:bookmarkStart w:id="679" w:name="_Toc351203582"/>
      <w:bookmarkStart w:id="680" w:name="_Toc337558801"/>
      <w:r>
        <w:rPr>
          <w:rFonts w:hint="eastAsia" w:asciiTheme="minorEastAsia" w:hAnsiTheme="minorEastAsia" w:eastAsiaTheme="minorEastAsia" w:cstheme="minorEastAsia"/>
          <w:b w:val="0"/>
          <w:color w:val="000000"/>
          <w:sz w:val="24"/>
          <w:szCs w:val="24"/>
        </w:rPr>
        <w:t>12.2预</w:t>
      </w:r>
      <w:bookmarkEnd w:id="677"/>
      <w:bookmarkEnd w:id="678"/>
      <w:bookmarkStart w:id="681" w:name="_Toc296346601"/>
      <w:bookmarkStart w:id="682" w:name="_Toc296503100"/>
      <w:r>
        <w:rPr>
          <w:rFonts w:hint="eastAsia" w:asciiTheme="minorEastAsia" w:hAnsiTheme="minorEastAsia" w:eastAsiaTheme="minorEastAsia" w:cstheme="minorEastAsia"/>
          <w:b w:val="0"/>
          <w:color w:val="000000"/>
          <w:sz w:val="24"/>
          <w:szCs w:val="24"/>
        </w:rPr>
        <w:t>付款</w:t>
      </w:r>
      <w:bookmarkEnd w:id="679"/>
    </w:p>
    <w:bookmarkEnd w:id="680"/>
    <w:bookmarkEnd w:id="681"/>
    <w:bookmarkEnd w:id="682"/>
    <w:p w14:paraId="1193A3F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12.2.</w:t>
      </w:r>
      <w:r>
        <w:rPr>
          <w:rFonts w:hint="eastAsia" w:asciiTheme="minorEastAsia" w:hAnsiTheme="minorEastAsia" w:eastAsiaTheme="minorEastAsia" w:cstheme="minorEastAsia"/>
          <w:color w:val="000000"/>
          <w:kern w:val="0"/>
          <w:sz w:val="24"/>
          <w:szCs w:val="24"/>
        </w:rPr>
        <w:t>1预付款的支付</w:t>
      </w:r>
    </w:p>
    <w:p w14:paraId="40E51E7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14:paraId="0899585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除专用合同条款另有约定外，预付款在进度付款中同比例扣回。</w:t>
      </w:r>
      <w:bookmarkEnd w:id="666"/>
      <w:r>
        <w:rPr>
          <w:rFonts w:hint="eastAsia" w:asciiTheme="minorEastAsia" w:hAnsiTheme="minorEastAsia" w:eastAsiaTheme="minorEastAsia" w:cstheme="minorEastAsia"/>
          <w:color w:val="000000"/>
          <w:kern w:val="0"/>
          <w:sz w:val="24"/>
          <w:szCs w:val="24"/>
        </w:rPr>
        <w:t>在颁发工程接收证书前，提前解除合同的，尚未扣完的预付款应与合同价款一并结算。</w:t>
      </w:r>
    </w:p>
    <w:p w14:paraId="41163FDD">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发包人逾期支付预付款超过7天的，承包人有权向发包人发出要求预付的催告通知，发包人收到通知后7天内仍未支付的，承包人有权暂停施工，并按第16.1.1项〔发包人违约的情形〕执行。</w:t>
      </w:r>
    </w:p>
    <w:p w14:paraId="7AC0D1BB">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12.2.2 预付款担保</w:t>
      </w:r>
    </w:p>
    <w:p w14:paraId="5FC0CE1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76F2620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发包人在工程款中逐期扣回预付款后，预付款担保额度应相应减少，但剩余的预付款担保金额不得低于未被扣回的预付款金额。</w:t>
      </w:r>
    </w:p>
    <w:p w14:paraId="6AC77ADB">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83" w:name="_Toc351203583"/>
      <w:bookmarkStart w:id="684" w:name="_Toc337558802"/>
      <w:r>
        <w:rPr>
          <w:rFonts w:hint="eastAsia" w:asciiTheme="minorEastAsia" w:hAnsiTheme="minorEastAsia" w:eastAsiaTheme="minorEastAsia" w:cstheme="minorEastAsia"/>
          <w:b w:val="0"/>
          <w:color w:val="000000"/>
          <w:sz w:val="24"/>
          <w:szCs w:val="24"/>
        </w:rPr>
        <w:t>12.3计量</w:t>
      </w:r>
      <w:bookmarkEnd w:id="683"/>
    </w:p>
    <w:bookmarkEnd w:id="684"/>
    <w:p w14:paraId="33AC024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12.3.1 计量原则</w:t>
      </w:r>
    </w:p>
    <w:p w14:paraId="7BB0567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工程量计量按照合同约定的工程量计算规则、图纸及变更指示等进行计量。工程量计算规则应以相关的国家标准、行业标准等为依据，由合同当事人在专用合同条款中约定。</w:t>
      </w:r>
    </w:p>
    <w:p w14:paraId="00D6D1B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12.3.2 计量周期</w:t>
      </w:r>
    </w:p>
    <w:p w14:paraId="693B567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除专用合同条款另有约定外，工程量的计量按月进行。</w:t>
      </w:r>
    </w:p>
    <w:p w14:paraId="69DA6E0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12.3.3 单价合同的计量</w:t>
      </w:r>
    </w:p>
    <w:p w14:paraId="668DA05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除专用合同条款另有约定外，单价合同的计量按照本项约定执行：</w:t>
      </w:r>
    </w:p>
    <w:p w14:paraId="42202B6B">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（1）承包人应于每月25日向监理人报送上月20日至当月19日已完成的工程量报告，并附具进度付款申请单、已完成工程量报表和有关资料。</w:t>
      </w:r>
    </w:p>
    <w:p w14:paraId="1724328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DA56F9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（3）监理人未在收到承包人提交的工程量报表后的7天内完成审核的，承包人报送的工程量报告中的工程量视为承包人实际完成的工程量，据此计算工程价款。</w:t>
      </w:r>
    </w:p>
    <w:p w14:paraId="7CA11F5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12.3.4 总价合同的计量</w:t>
      </w:r>
    </w:p>
    <w:p w14:paraId="621BF77E">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除专用合同条款另有约定外，按月计量支付的总价合同，按照本项约定执行：</w:t>
      </w:r>
    </w:p>
    <w:p w14:paraId="218B7079">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（1）承包人应于每月25日向监理人报送上月20日至当月19日已完成的工程量报告，并附具进度付款申请单、已完成工程量报表和有关资料。</w:t>
      </w:r>
    </w:p>
    <w:p w14:paraId="48EF5CB3">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D3E7D8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（3）监理人未在收到承包人提交的工程量报表后的7天内完成复核的，承包人提交的工程量报告中的工程量视为承包人实际完成的工程量。</w:t>
      </w:r>
    </w:p>
    <w:p w14:paraId="2ADCBC40">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12.3.5 总价合同采用支付分解表计量支付的，可以按照第12.3.4项〔总价合同的计量〕约定进行计量，但合同价款按照支付分解表进行支付。</w:t>
      </w:r>
    </w:p>
    <w:p w14:paraId="03FB6729">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12.3.6 其他价格形式合同的计量</w:t>
      </w:r>
    </w:p>
    <w:p w14:paraId="49456269">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合同当事人可在专用合同条款中约定其他价格形式合同的计量方式和程序。</w:t>
      </w:r>
    </w:p>
    <w:p w14:paraId="204817AD">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685" w:name="_Toc296346602"/>
      <w:bookmarkStart w:id="686" w:name="_Toc296503101"/>
      <w:bookmarkStart w:id="687" w:name="_Toc351203584"/>
      <w:bookmarkStart w:id="688" w:name="_Toc337558803"/>
      <w:r>
        <w:rPr>
          <w:rFonts w:hint="eastAsia" w:asciiTheme="minorEastAsia" w:hAnsiTheme="minorEastAsia" w:eastAsiaTheme="minorEastAsia" w:cstheme="minorEastAsia"/>
          <w:b w:val="0"/>
          <w:color w:val="000000"/>
          <w:sz w:val="24"/>
          <w:szCs w:val="24"/>
        </w:rPr>
        <w:t>12.4工程进度款支</w:t>
      </w:r>
      <w:bookmarkEnd w:id="685"/>
      <w:bookmarkEnd w:id="686"/>
      <w:r>
        <w:rPr>
          <w:rFonts w:hint="eastAsia" w:asciiTheme="minorEastAsia" w:hAnsiTheme="minorEastAsia" w:eastAsiaTheme="minorEastAsia" w:cstheme="minorEastAsia"/>
          <w:b w:val="0"/>
          <w:color w:val="000000"/>
          <w:sz w:val="24"/>
          <w:szCs w:val="24"/>
        </w:rPr>
        <w:t>付</w:t>
      </w:r>
      <w:bookmarkEnd w:id="687"/>
    </w:p>
    <w:bookmarkEnd w:id="688"/>
    <w:p w14:paraId="6AE82F6F">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12.4</w:t>
      </w:r>
      <w:r>
        <w:rPr>
          <w:rFonts w:hint="eastAsia" w:asciiTheme="minorEastAsia" w:hAnsiTheme="minorEastAsia" w:eastAsiaTheme="minorEastAsia" w:cstheme="minorEastAsia"/>
          <w:color w:val="000000"/>
          <w:kern w:val="0"/>
          <w:sz w:val="24"/>
          <w:szCs w:val="24"/>
        </w:rPr>
        <w:t>.1 付款周期</w:t>
      </w:r>
    </w:p>
    <w:p w14:paraId="6686327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除专用合同条款另有约定外，付款周期应按照第12.3.2项〔计量周期〕的约定与计量周期保持一致。</w:t>
      </w:r>
    </w:p>
    <w:p w14:paraId="4749E31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12.4</w:t>
      </w:r>
      <w:r>
        <w:rPr>
          <w:rFonts w:hint="eastAsia" w:asciiTheme="minorEastAsia" w:hAnsiTheme="minorEastAsia" w:eastAsiaTheme="minorEastAsia" w:cstheme="minorEastAsia"/>
          <w:color w:val="000000"/>
          <w:kern w:val="0"/>
          <w:sz w:val="24"/>
          <w:szCs w:val="24"/>
        </w:rPr>
        <w:t>.2 进度付款申请单的编制</w:t>
      </w:r>
    </w:p>
    <w:p w14:paraId="42079BA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除专用合同条款另有约定外，进度付款申请单应包括下列内容：</w:t>
      </w:r>
    </w:p>
    <w:p w14:paraId="32E5292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（1）截至本次付款周期已完成工作对应的金额；</w:t>
      </w:r>
    </w:p>
    <w:p w14:paraId="10EDFEB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（2）根据第10条〔变更〕应增加和扣减的变更金额；</w:t>
      </w:r>
    </w:p>
    <w:p w14:paraId="22BB4AC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（3）根据第12.2款〔预付款〕约定应支付的预付款和扣减的返还预付款；</w:t>
      </w:r>
    </w:p>
    <w:p w14:paraId="2783557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（4）根据第15.3款〔质量保证金〕约定应扣减的质量保证金；</w:t>
      </w:r>
    </w:p>
    <w:p w14:paraId="34F4C86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（5）根据第19条〔索赔〕应增加和扣减的索赔金额；</w:t>
      </w:r>
    </w:p>
    <w:p w14:paraId="25A284D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（6）对已签发的进度款支付证书中出现错误的修正，应在本次进度付款中支付或扣除的金额；</w:t>
      </w:r>
    </w:p>
    <w:p w14:paraId="7C71BB8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（7）根据合同约定应增加和扣减的其他金额。</w:t>
      </w:r>
    </w:p>
    <w:p w14:paraId="3E6EDA38">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12.4.3 进度付款申请单的提交</w:t>
      </w:r>
    </w:p>
    <w:p w14:paraId="1AF6841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（1）单价合同进度付款申请单的提交</w:t>
      </w:r>
    </w:p>
    <w:p w14:paraId="2AEBCEF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7BEAC92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（2）总价合同进度付款申请单的提交</w:t>
      </w:r>
    </w:p>
    <w:p w14:paraId="12A5077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总价合同按月计量支付的，承包人按照第12.3.4项〔总价合同的计量〕约定的时间按月向监理人提交进度付款申请单，并附上已完成工程量报表和有关资料。</w:t>
      </w:r>
    </w:p>
    <w:p w14:paraId="2E6EE98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总价合同按支付分解表支付的，承包人应按照第12.4.6项〔支付分解表〕及第12.4.2项〔进度付款申请单的编制〕的约定向监理人提交进度付款申请单。</w:t>
      </w:r>
    </w:p>
    <w:p w14:paraId="0F9314B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（3）其他价格形式合同的进度付款申请单的提交</w:t>
      </w:r>
    </w:p>
    <w:p w14:paraId="576562F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合同当事人可在专用合同条款中约定其他价格形式合同的进度付款申请单的编制和提交程序。</w:t>
      </w:r>
    </w:p>
    <w:p w14:paraId="195204B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12.4</w:t>
      </w:r>
      <w:r>
        <w:rPr>
          <w:rFonts w:hint="eastAsia" w:asciiTheme="minorEastAsia" w:hAnsiTheme="minorEastAsia" w:eastAsiaTheme="minorEastAsia" w:cstheme="minorEastAsia"/>
          <w:color w:val="000000"/>
          <w:kern w:val="0"/>
          <w:sz w:val="24"/>
          <w:szCs w:val="24"/>
        </w:rPr>
        <w:t>.4 进度款审核和支付</w:t>
      </w:r>
    </w:p>
    <w:p w14:paraId="55CE758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CADE29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3493AD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4252872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（3）发包人签发进度款支付证书或临时进度款支付证书，不表明发包人已同意、批准或接受了承包人完成的相应部分的工作。</w:t>
      </w:r>
    </w:p>
    <w:p w14:paraId="33A2F5C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12.4.5 进度付款的修正</w:t>
      </w:r>
    </w:p>
    <w:p w14:paraId="5C98D9A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5E5213B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12.4.6 支付分解表</w:t>
      </w:r>
    </w:p>
    <w:p w14:paraId="6B970BF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支付分解表的编制要求</w:t>
      </w:r>
    </w:p>
    <w:p w14:paraId="27161AB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（1）支付分解表中所列的每期付款金额，应为第12.4.2项〔进度付款申请单的编制〕第（1）目的估算金额；</w:t>
      </w:r>
    </w:p>
    <w:p w14:paraId="454AAD8E">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（2）实际进度与施工进度计划不一致的，合同当事人可按照第4.4款〔商定或确定〕修改支付分解表；</w:t>
      </w:r>
    </w:p>
    <w:p w14:paraId="3DE0723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（3）不采用支付分解表的，承包人应向发包人和监理人提交按季度编制的支付估算分解表，用于支付参考。</w:t>
      </w:r>
    </w:p>
    <w:p w14:paraId="7066C73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总价合同支付分解表的编制与审批</w:t>
      </w:r>
    </w:p>
    <w:p w14:paraId="32904ACD">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6B4587D">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14:paraId="6144FBC0">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（3）发包人逾期未完成支付分解表审批的，也未及时要求承包人进行修正和提供补充资料的，则承包人提交的支付分解表视为已经获得发包人批准。</w:t>
      </w:r>
    </w:p>
    <w:p w14:paraId="78C70FC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单价合同的总价项目支付分解表的编制与审批</w:t>
      </w:r>
    </w:p>
    <w:p w14:paraId="2C6B3D2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07C96D29">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689" w:name="_Toc351203585"/>
      <w:r>
        <w:rPr>
          <w:rFonts w:hint="eastAsia" w:asciiTheme="minorEastAsia" w:hAnsiTheme="minorEastAsia" w:eastAsiaTheme="minorEastAsia" w:cstheme="minorEastAsia"/>
          <w:b w:val="0"/>
          <w:color w:val="000000"/>
          <w:sz w:val="24"/>
          <w:szCs w:val="24"/>
        </w:rPr>
        <w:t>12.5支付账户</w:t>
      </w:r>
      <w:bookmarkEnd w:id="689"/>
    </w:p>
    <w:p w14:paraId="7AF7C35E">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发包人应将合同价款支付至合同协议书中约定的承包人账户。</w:t>
      </w:r>
    </w:p>
    <w:p w14:paraId="3CA110BA">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690" w:name="_Toc351203586"/>
      <w:bookmarkStart w:id="691" w:name="_Toc296503106"/>
      <w:bookmarkStart w:id="692" w:name="_Toc337558804"/>
      <w:bookmarkStart w:id="693" w:name="_Toc322522574"/>
      <w:bookmarkStart w:id="694" w:name="_Toc296346607"/>
      <w:r>
        <w:rPr>
          <w:rFonts w:hint="eastAsia" w:asciiTheme="minorEastAsia" w:hAnsiTheme="minorEastAsia" w:eastAsiaTheme="minorEastAsia" w:cstheme="minorEastAsia"/>
          <w:b w:val="0"/>
          <w:color w:val="000000"/>
          <w:sz w:val="24"/>
          <w:szCs w:val="24"/>
        </w:rPr>
        <w:t>13. 验收和工程试车</w:t>
      </w:r>
      <w:bookmarkEnd w:id="690"/>
    </w:p>
    <w:bookmarkEnd w:id="691"/>
    <w:bookmarkEnd w:id="692"/>
    <w:bookmarkEnd w:id="693"/>
    <w:bookmarkEnd w:id="694"/>
    <w:p w14:paraId="2AE6A33F">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695" w:name="_Toc351203587"/>
      <w:bookmarkStart w:id="696" w:name="_Toc337558805"/>
      <w:bookmarkStart w:id="697" w:name="_Toc296346611"/>
      <w:bookmarkStart w:id="698" w:name="_Toc296503110"/>
      <w:r>
        <w:rPr>
          <w:rFonts w:hint="eastAsia" w:asciiTheme="minorEastAsia" w:hAnsiTheme="minorEastAsia" w:eastAsiaTheme="minorEastAsia" w:cstheme="minorEastAsia"/>
          <w:b w:val="0"/>
          <w:color w:val="000000"/>
          <w:sz w:val="24"/>
          <w:szCs w:val="24"/>
        </w:rPr>
        <w:t>13.1分部分项工程验收</w:t>
      </w:r>
      <w:bookmarkEnd w:id="695"/>
    </w:p>
    <w:bookmarkEnd w:id="696"/>
    <w:p w14:paraId="36C0D832">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13.1.1 分部分项工程质量应符合国家有关工程施工验收规范、标准及合同约定，承包人应按照施工组织设计的要求完成分部分项工程施工。</w:t>
      </w:r>
    </w:p>
    <w:p w14:paraId="3BA2F609">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13.1.2 除专用合同条款另有约定外，分部分项工程经承包人自检合格并具备验收条件的，承包人应提前48小时通知监理人进行验收。</w:t>
      </w:r>
      <w:r>
        <w:rPr>
          <w:rFonts w:hint="eastAsia" w:asciiTheme="minorEastAsia" w:hAnsiTheme="minorEastAsia" w:eastAsiaTheme="minorEastAsia" w:cstheme="minorEastAsia"/>
          <w:color w:val="000000"/>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Theme="minorEastAsia" w:hAnsiTheme="minorEastAsia" w:eastAsiaTheme="minorEastAsia" w:cstheme="minorEastAsia"/>
          <w:color w:val="000000"/>
          <w:sz w:val="24"/>
          <w:szCs w:val="24"/>
        </w:rPr>
        <w:t>分部分项工程未经验收的，不得进入下一道工序施工。</w:t>
      </w:r>
    </w:p>
    <w:p w14:paraId="4A4BA79B">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分部分项工程的验收资料应当作为竣工资料的组成部分。</w:t>
      </w:r>
    </w:p>
    <w:p w14:paraId="09A94068">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699" w:name="_Toc351203588"/>
      <w:bookmarkStart w:id="700" w:name="_Toc337558806"/>
      <w:r>
        <w:rPr>
          <w:rFonts w:hint="eastAsia" w:asciiTheme="minorEastAsia" w:hAnsiTheme="minorEastAsia" w:eastAsiaTheme="minorEastAsia" w:cstheme="minorEastAsia"/>
          <w:b w:val="0"/>
          <w:color w:val="000000"/>
          <w:sz w:val="24"/>
          <w:szCs w:val="24"/>
        </w:rPr>
        <w:t>13.2竣工验收</w:t>
      </w:r>
      <w:bookmarkEnd w:id="699"/>
    </w:p>
    <w:bookmarkEnd w:id="697"/>
    <w:bookmarkEnd w:id="698"/>
    <w:bookmarkEnd w:id="700"/>
    <w:p w14:paraId="2D1C616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13.2.1竣工验收条件</w:t>
      </w:r>
    </w:p>
    <w:p w14:paraId="26D3838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工程具备以下条件的，承包人可以申请竣工验收：</w:t>
      </w:r>
    </w:p>
    <w:p w14:paraId="6715AA8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（1）除发包人同意的甩项工作和缺陷修补工作外，合同范围内的全部工程以及有关工作，包括合同要求的试验、试运行以及检验均已完成，并符合合同要求；</w:t>
      </w:r>
    </w:p>
    <w:p w14:paraId="79C0DF20">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（2）已按合同约定编制了甩项工作和缺陷修补工作清单以及相应的施工计划；</w:t>
      </w:r>
    </w:p>
    <w:p w14:paraId="260DFE0E">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（3）已按合同约定的内容和份数备齐竣工资料。</w:t>
      </w:r>
    </w:p>
    <w:p w14:paraId="6FC53B5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13.2.2竣工验收程序</w:t>
      </w:r>
    </w:p>
    <w:p w14:paraId="15BA047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除专用合同条款另有约定外，承包人申请竣工验收的，应当按照以下程序进行：</w:t>
      </w:r>
    </w:p>
    <w:p w14:paraId="0D3DDB40">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ABB7E0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7C77678D">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（3）竣工验收合格的，发包人应在验收合格后14天内向承包人签发工程接收证书。发包人无正当理由逾期不颁发工程接收证书的，自验收合格后第15天起视为已颁发工程接收证书。</w:t>
      </w:r>
    </w:p>
    <w:p w14:paraId="14651ED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66CE941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39DC36F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4C4168F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13.2.3竣工日期</w:t>
      </w:r>
    </w:p>
    <w:p w14:paraId="1235E83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701" w:name="#go14"/>
      <w:bookmarkEnd w:id="701"/>
      <w:r>
        <w:rPr>
          <w:rFonts w:hint="eastAsia" w:asciiTheme="minorEastAsia" w:hAnsiTheme="minorEastAsia" w:eastAsiaTheme="minorEastAsia" w:cstheme="minorEastAsia"/>
          <w:color w:val="000000"/>
          <w:kern w:val="0"/>
          <w:sz w:val="24"/>
          <w:szCs w:val="24"/>
        </w:rPr>
        <w:t>收申请报告的日期为实际竣工日期；工程未经竣工验收，发包人擅自使用的，以转移占有工程之日为实际竣工日期。</w:t>
      </w:r>
    </w:p>
    <w:p w14:paraId="7E317745">
      <w:pPr>
        <w:spacing w:line="360" w:lineRule="auto"/>
        <w:ind w:firstLine="480" w:firstLineChars="200"/>
        <w:jc w:val="left"/>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13.2.4 拒绝接收全部或部分工程</w:t>
      </w:r>
    </w:p>
    <w:p w14:paraId="467D500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42DCC9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13.2.5 移交、接收全部与部分工程</w:t>
      </w:r>
    </w:p>
    <w:p w14:paraId="2504137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除专用合同条款另有约定外，合同当事人应当在颁发工程接收证书后7天内完成工程的移交。</w:t>
      </w:r>
    </w:p>
    <w:p w14:paraId="435ED38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34D5D6F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14:paraId="2B94241B">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702" w:name="_Toc351203589"/>
      <w:bookmarkStart w:id="703" w:name="_Toc337558807"/>
      <w:bookmarkStart w:id="704" w:name="_Toc296503111"/>
      <w:bookmarkStart w:id="705" w:name="_Toc296346612"/>
      <w:r>
        <w:rPr>
          <w:rFonts w:hint="eastAsia" w:asciiTheme="minorEastAsia" w:hAnsiTheme="minorEastAsia" w:eastAsiaTheme="minorEastAsia" w:cstheme="minorEastAsia"/>
          <w:b w:val="0"/>
          <w:color w:val="000000"/>
          <w:sz w:val="24"/>
          <w:szCs w:val="24"/>
        </w:rPr>
        <w:t>13.3工程试车</w:t>
      </w:r>
      <w:bookmarkEnd w:id="702"/>
    </w:p>
    <w:bookmarkEnd w:id="703"/>
    <w:bookmarkEnd w:id="704"/>
    <w:bookmarkEnd w:id="705"/>
    <w:p w14:paraId="5C4F74D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13.3.1试车程序</w:t>
      </w:r>
    </w:p>
    <w:p w14:paraId="28B3E11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工程需要试车的，除专用合同条款另有约定外，试车内容应与承包人承包范围相一致，试车费用由承包人承担。工程试车应按如下程序进行：</w:t>
      </w:r>
    </w:p>
    <w:p w14:paraId="259332FB">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E65271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2B339A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4AC0AF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13.3.2 试车中的责任</w:t>
      </w:r>
    </w:p>
    <w:p w14:paraId="192FDBE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582B75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4C6AF1B">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13.3.3 投料试车</w:t>
      </w:r>
    </w:p>
    <w:p w14:paraId="484FF25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如需进行投料试车的，发包人应在工程竣工验收后组织投料试车。发包人要求在工程竣工验收前进行或需要承包人配合时，应征得承包人同意，并在专用合同条款中约定有关事项。</w:t>
      </w:r>
    </w:p>
    <w:p w14:paraId="76A7D86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bookmarkStart w:id="706" w:name="_Toc351203590"/>
      <w:bookmarkStart w:id="707" w:name="_Toc337558808"/>
    </w:p>
    <w:p w14:paraId="19784892">
      <w:pPr>
        <w:spacing w:line="360" w:lineRule="auto"/>
        <w:ind w:firstLine="480" w:firstLineChars="200"/>
        <w:jc w:val="left"/>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13.4提前交付单位工程的验收</w:t>
      </w:r>
      <w:bookmarkEnd w:id="706"/>
    </w:p>
    <w:bookmarkEnd w:id="707"/>
    <w:p w14:paraId="2BA7303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13.4.1 发包人需要在工程竣工前使用单位工程的，或承包人提出提前交付已经竣工的单位工程且经发包人同意的，可进行单位工程验收，验收的程序按照第13.2款〔竣工验收〕的约定进行。</w:t>
      </w:r>
    </w:p>
    <w:p w14:paraId="3301488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10C9B5D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13.4.2 发包人要求在工程竣工前交付单位工程，由此导致承包人费用增加和（或）工期延误的，由发包人承担由此增加的费用和（或）延误的工期，并支付承包人合理的利润。</w:t>
      </w:r>
    </w:p>
    <w:p w14:paraId="341BF68E">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708" w:name="_Toc351203591"/>
      <w:r>
        <w:rPr>
          <w:rFonts w:hint="eastAsia" w:asciiTheme="minorEastAsia" w:hAnsiTheme="minorEastAsia" w:eastAsiaTheme="minorEastAsia" w:cstheme="minorEastAsia"/>
          <w:b w:val="0"/>
          <w:color w:val="000000"/>
          <w:sz w:val="24"/>
          <w:szCs w:val="24"/>
        </w:rPr>
        <w:t>13.5 施工期运行</w:t>
      </w:r>
      <w:bookmarkEnd w:id="708"/>
    </w:p>
    <w:p w14:paraId="06E0611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429F9D0D">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13.5.2 在施工期运行中发现工程或工程设备损坏或存在缺陷的，由承包人按第15.2款〔缺陷责任期〕约定进行修复。</w:t>
      </w:r>
    </w:p>
    <w:p w14:paraId="08601267">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709" w:name="_Toc296346613"/>
      <w:bookmarkStart w:id="710" w:name="_Toc296503112"/>
      <w:bookmarkStart w:id="711" w:name="_Toc351203592"/>
      <w:bookmarkStart w:id="712" w:name="_Toc337558809"/>
      <w:r>
        <w:rPr>
          <w:rFonts w:hint="eastAsia" w:asciiTheme="minorEastAsia" w:hAnsiTheme="minorEastAsia" w:eastAsiaTheme="minorEastAsia" w:cstheme="minorEastAsia"/>
          <w:b w:val="0"/>
          <w:color w:val="000000"/>
          <w:sz w:val="24"/>
          <w:szCs w:val="24"/>
        </w:rPr>
        <w:t>13.6 竣工退</w:t>
      </w:r>
      <w:bookmarkEnd w:id="709"/>
      <w:bookmarkEnd w:id="710"/>
      <w:r>
        <w:rPr>
          <w:rFonts w:hint="eastAsia" w:asciiTheme="minorEastAsia" w:hAnsiTheme="minorEastAsia" w:eastAsiaTheme="minorEastAsia" w:cstheme="minorEastAsia"/>
          <w:b w:val="0"/>
          <w:color w:val="000000"/>
          <w:sz w:val="24"/>
          <w:szCs w:val="24"/>
        </w:rPr>
        <w:t>场</w:t>
      </w:r>
      <w:bookmarkEnd w:id="711"/>
    </w:p>
    <w:bookmarkEnd w:id="712"/>
    <w:p w14:paraId="7EE21F5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13.6.1 竣工退场</w:t>
      </w:r>
    </w:p>
    <w:p w14:paraId="32ACA53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颁发工程接收证书后，承包人应按以下要求对施工现场进行清理：</w:t>
      </w:r>
    </w:p>
    <w:p w14:paraId="30A23A1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（1）施工现场内残留的垃圾已全部清除出场；</w:t>
      </w:r>
    </w:p>
    <w:p w14:paraId="3C41669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（2）临时工程已拆除，场地已进行清理、平整或复原；</w:t>
      </w:r>
    </w:p>
    <w:p w14:paraId="0089BE7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（3）按合同约定应撤离的人员、承包人施工设备和剩余的材料，包括废弃的施工设备和材料，已按计划撤离施工现场；</w:t>
      </w:r>
    </w:p>
    <w:p w14:paraId="4EC6169D">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（4）施工现场周边及其附近道路、河道的施工堆积物，已全部清理；</w:t>
      </w:r>
    </w:p>
    <w:p w14:paraId="5ECD69C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（5）施工现场其他场地清理工作已全部完成。</w:t>
      </w:r>
    </w:p>
    <w:p w14:paraId="16DAB35B">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92545BE">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13.6.2 地表还原</w:t>
      </w:r>
    </w:p>
    <w:p w14:paraId="5395B3BD">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642D5E9E">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713" w:name="_Toc351203593"/>
      <w:bookmarkStart w:id="714" w:name="_Toc337558810"/>
      <w:bookmarkStart w:id="715" w:name="_Toc296346614"/>
      <w:bookmarkStart w:id="716" w:name="_Toc296503113"/>
      <w:r>
        <w:rPr>
          <w:rFonts w:hint="eastAsia" w:asciiTheme="minorEastAsia" w:hAnsiTheme="minorEastAsia" w:eastAsiaTheme="minorEastAsia" w:cstheme="minorEastAsia"/>
          <w:b w:val="0"/>
          <w:color w:val="000000"/>
          <w:sz w:val="24"/>
          <w:szCs w:val="24"/>
        </w:rPr>
        <w:t>14. 竣工结算</w:t>
      </w:r>
      <w:bookmarkEnd w:id="713"/>
    </w:p>
    <w:bookmarkEnd w:id="714"/>
    <w:p w14:paraId="76D3C240">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717" w:name="_Toc351203594"/>
      <w:bookmarkStart w:id="718" w:name="_Toc337558811"/>
      <w:r>
        <w:rPr>
          <w:rFonts w:hint="eastAsia" w:asciiTheme="minorEastAsia" w:hAnsiTheme="minorEastAsia" w:eastAsiaTheme="minorEastAsia" w:cstheme="minorEastAsia"/>
          <w:b w:val="0"/>
          <w:color w:val="000000"/>
          <w:sz w:val="24"/>
          <w:szCs w:val="24"/>
        </w:rPr>
        <w:t>14.1 竣工结算申请</w:t>
      </w:r>
      <w:bookmarkEnd w:id="717"/>
    </w:p>
    <w:bookmarkEnd w:id="718"/>
    <w:p w14:paraId="4378492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除专用合同条款另有约定外，</w:t>
      </w:r>
      <w:r>
        <w:rPr>
          <w:rFonts w:hint="eastAsia" w:asciiTheme="minorEastAsia" w:hAnsiTheme="minorEastAsia" w:eastAsiaTheme="minorEastAsia" w:cstheme="minorEastAsia"/>
          <w:color w:val="000000"/>
          <w:sz w:val="24"/>
          <w:szCs w:val="24"/>
        </w:rPr>
        <w:t>承包人应在工程竣工验收合格后28天内向发包人和监理人提交竣工结算申请单，并提交完整的结算资料，有关竣工结算申请单的资料清单和份数等要求由合同当事人在专用合同条款中约定。</w:t>
      </w:r>
    </w:p>
    <w:p w14:paraId="7BE0913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除专用合同条款另有约定外，竣工结算申请单应包括以下内容：</w:t>
      </w:r>
    </w:p>
    <w:p w14:paraId="63A61F5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（1）竣工结算合同价格；</w:t>
      </w:r>
    </w:p>
    <w:p w14:paraId="12CAA8F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（2）发包人已支付承包人的款项；</w:t>
      </w:r>
    </w:p>
    <w:p w14:paraId="3AC5F82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（3）应扣留的质量保证金。已缴纳履约保证金的或提供其他工程质量担保方式的除外； </w:t>
      </w:r>
    </w:p>
    <w:p w14:paraId="3F77224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（4）发包人应支付承包人的合同价款。</w:t>
      </w:r>
    </w:p>
    <w:p w14:paraId="5FFF7930">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719" w:name="_Toc351203595"/>
      <w:bookmarkStart w:id="720" w:name="_Toc337558812"/>
      <w:r>
        <w:rPr>
          <w:rFonts w:hint="eastAsia" w:asciiTheme="minorEastAsia" w:hAnsiTheme="minorEastAsia" w:eastAsiaTheme="minorEastAsia" w:cstheme="minorEastAsia"/>
          <w:b w:val="0"/>
          <w:color w:val="000000"/>
          <w:sz w:val="24"/>
          <w:szCs w:val="24"/>
        </w:rPr>
        <w:t>14.2 竣工结算审核</w:t>
      </w:r>
      <w:bookmarkEnd w:id="719"/>
    </w:p>
    <w:bookmarkEnd w:id="720"/>
    <w:p w14:paraId="4464D72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Theme="minorEastAsia" w:hAnsiTheme="minorEastAsia" w:eastAsiaTheme="minorEastAsia" w:cstheme="minorEastAsia"/>
          <w:color w:val="000000"/>
          <w:sz w:val="24"/>
          <w:szCs w:val="24"/>
        </w:rPr>
        <w:t>发包人对竣工</w:t>
      </w:r>
      <w:r>
        <w:rPr>
          <w:rFonts w:hint="eastAsia" w:asciiTheme="minorEastAsia" w:hAnsiTheme="minorEastAsia" w:eastAsiaTheme="minorEastAsia" w:cstheme="minorEastAsia"/>
          <w:color w:val="000000"/>
          <w:kern w:val="0"/>
          <w:sz w:val="24"/>
          <w:szCs w:val="24"/>
        </w:rPr>
        <w:t>结算</w:t>
      </w:r>
      <w:r>
        <w:rPr>
          <w:rFonts w:hint="eastAsia" w:asciiTheme="minorEastAsia" w:hAnsiTheme="minorEastAsia" w:eastAsiaTheme="minorEastAsia" w:cstheme="minorEastAsia"/>
          <w:color w:val="000000"/>
          <w:sz w:val="24"/>
          <w:szCs w:val="24"/>
        </w:rPr>
        <w:t>申请单有异议的，有权要求承包人进行修正和提供补充资料，承包人应提交修正后的竣工</w:t>
      </w:r>
      <w:r>
        <w:rPr>
          <w:rFonts w:hint="eastAsia" w:asciiTheme="minorEastAsia" w:hAnsiTheme="minorEastAsia" w:eastAsiaTheme="minorEastAsia" w:cstheme="minorEastAsia"/>
          <w:color w:val="000000"/>
          <w:kern w:val="0"/>
          <w:sz w:val="24"/>
          <w:szCs w:val="24"/>
        </w:rPr>
        <w:t>结算</w:t>
      </w:r>
      <w:r>
        <w:rPr>
          <w:rFonts w:hint="eastAsia" w:asciiTheme="minorEastAsia" w:hAnsiTheme="minorEastAsia" w:eastAsiaTheme="minorEastAsia" w:cstheme="minorEastAsia"/>
          <w:color w:val="000000"/>
          <w:sz w:val="24"/>
          <w:szCs w:val="24"/>
        </w:rPr>
        <w:t>申请单。</w:t>
      </w:r>
    </w:p>
    <w:p w14:paraId="5AE83BA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1A05AAE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5749908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4CACC3D9">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721" w:name="_Toc351203596"/>
      <w:bookmarkStart w:id="722" w:name="_Toc337558813"/>
      <w:r>
        <w:rPr>
          <w:rFonts w:hint="eastAsia" w:asciiTheme="minorEastAsia" w:hAnsiTheme="minorEastAsia" w:eastAsiaTheme="minorEastAsia" w:cstheme="minorEastAsia"/>
          <w:b w:val="0"/>
          <w:color w:val="000000"/>
          <w:sz w:val="24"/>
          <w:szCs w:val="24"/>
        </w:rPr>
        <w:t>14.3 甩项竣工协议</w:t>
      </w:r>
      <w:bookmarkEnd w:id="721"/>
    </w:p>
    <w:bookmarkEnd w:id="722"/>
    <w:p w14:paraId="0E941E36">
      <w:pPr>
        <w:autoSpaceDE w:val="0"/>
        <w:autoSpaceDN w:val="0"/>
        <w:adjustRightInd w:val="0"/>
        <w:spacing w:line="360" w:lineRule="auto"/>
        <w:ind w:firstLine="470" w:firstLineChars="196"/>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75BDE0F6">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723" w:name="_Toc351203597"/>
      <w:bookmarkStart w:id="724" w:name="_Toc337558814"/>
      <w:r>
        <w:rPr>
          <w:rFonts w:hint="eastAsia" w:asciiTheme="minorEastAsia" w:hAnsiTheme="minorEastAsia" w:eastAsiaTheme="minorEastAsia" w:cstheme="minorEastAsia"/>
          <w:b w:val="0"/>
          <w:color w:val="000000"/>
          <w:sz w:val="24"/>
          <w:szCs w:val="24"/>
        </w:rPr>
        <w:t>14.4 最终结清</w:t>
      </w:r>
      <w:bookmarkEnd w:id="723"/>
    </w:p>
    <w:bookmarkEnd w:id="724"/>
    <w:p w14:paraId="6BC21BF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14.4.1 最终结清申请单</w:t>
      </w:r>
    </w:p>
    <w:p w14:paraId="039F9D8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（1）除专用合同条款另有约定外，承包人应在缺陷责任期终止证书颁发后7天内，按专用合同条款约定的份数向发包人提交最终结清申请单，并提供相关证明材料。</w:t>
      </w:r>
    </w:p>
    <w:p w14:paraId="6CEBC17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除专用合同条款另有约定外，</w:t>
      </w:r>
      <w:r>
        <w:rPr>
          <w:rFonts w:hint="eastAsia" w:asciiTheme="minorEastAsia" w:hAnsiTheme="minorEastAsia" w:eastAsiaTheme="minorEastAsia" w:cstheme="minorEastAsia"/>
          <w:color w:val="000000"/>
          <w:kern w:val="0"/>
          <w:sz w:val="24"/>
          <w:szCs w:val="24"/>
        </w:rPr>
        <w:t>最终结清申请单</w:t>
      </w:r>
      <w:r>
        <w:rPr>
          <w:rFonts w:hint="eastAsia" w:asciiTheme="minorEastAsia" w:hAnsiTheme="minorEastAsia" w:eastAsiaTheme="minorEastAsia" w:cstheme="minorEastAsia"/>
          <w:color w:val="000000"/>
          <w:sz w:val="24"/>
          <w:szCs w:val="24"/>
        </w:rPr>
        <w:t>应列明质量保证金、应扣除的质量保证金、缺陷责任期内发生的增减费用。</w:t>
      </w:r>
    </w:p>
    <w:p w14:paraId="090D0AD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（2）发包人对最终结清申请单内容有异议的，有权要求承包人进行修正和提供补充资料，承包人应向发包人提交修正后的最终结清申请单。</w:t>
      </w:r>
    </w:p>
    <w:p w14:paraId="16F9D6C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14.4.2 最终结清证书和支付</w:t>
      </w:r>
    </w:p>
    <w:p w14:paraId="73AA00D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4AFC33B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2C1D7F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（3）承包人对发包人颁发的最终结清证书有异议的，按第20条〔争议解决〕的约定办理。</w:t>
      </w:r>
    </w:p>
    <w:p w14:paraId="610068AA">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725" w:name="_Toc351203598"/>
      <w:bookmarkStart w:id="726" w:name="_Toc337558815"/>
      <w:r>
        <w:rPr>
          <w:rFonts w:hint="eastAsia" w:asciiTheme="minorEastAsia" w:hAnsiTheme="minorEastAsia" w:eastAsiaTheme="minorEastAsia" w:cstheme="minorEastAsia"/>
          <w:b w:val="0"/>
          <w:color w:val="000000"/>
          <w:sz w:val="24"/>
          <w:szCs w:val="24"/>
        </w:rPr>
        <w:t>15. 缺陷责任与保修</w:t>
      </w:r>
      <w:bookmarkEnd w:id="725"/>
    </w:p>
    <w:bookmarkEnd w:id="715"/>
    <w:bookmarkEnd w:id="716"/>
    <w:bookmarkEnd w:id="726"/>
    <w:p w14:paraId="24704CB9">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727" w:name="_Toc351203599"/>
      <w:bookmarkStart w:id="728" w:name="_Toc337558816"/>
      <w:bookmarkStart w:id="729" w:name="_Toc296346615"/>
      <w:bookmarkStart w:id="730" w:name="_Toc296503114"/>
      <w:r>
        <w:rPr>
          <w:rFonts w:hint="eastAsia" w:asciiTheme="minorEastAsia" w:hAnsiTheme="minorEastAsia" w:eastAsiaTheme="minorEastAsia" w:cstheme="minorEastAsia"/>
          <w:b w:val="0"/>
          <w:color w:val="000000"/>
          <w:sz w:val="24"/>
          <w:szCs w:val="24"/>
        </w:rPr>
        <w:t>15.1 工程保修的原则</w:t>
      </w:r>
      <w:bookmarkEnd w:id="727"/>
    </w:p>
    <w:bookmarkEnd w:id="728"/>
    <w:p w14:paraId="38A55EC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在工程移交发包人后，因承包人原因产生的质量缺陷，承包人应承担质量缺陷责任和保修义务。缺陷责任期届满，承包人仍应按合同约定的工程各部位保修年限承担保修义务。</w:t>
      </w:r>
    </w:p>
    <w:p w14:paraId="33BECCAA">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731" w:name="_Toc351203600"/>
      <w:bookmarkStart w:id="732" w:name="_Toc337558817"/>
      <w:r>
        <w:rPr>
          <w:rFonts w:hint="eastAsia" w:asciiTheme="minorEastAsia" w:hAnsiTheme="minorEastAsia" w:eastAsiaTheme="minorEastAsia" w:cstheme="minorEastAsia"/>
          <w:b w:val="0"/>
          <w:color w:val="000000"/>
          <w:sz w:val="24"/>
          <w:szCs w:val="24"/>
        </w:rPr>
        <w:t>15.2 缺陷责任期</w:t>
      </w:r>
      <w:bookmarkEnd w:id="729"/>
      <w:bookmarkEnd w:id="730"/>
      <w:bookmarkEnd w:id="731"/>
    </w:p>
    <w:bookmarkEnd w:id="732"/>
    <w:p w14:paraId="4525B3C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15.2.1 缺陷责任期从工程通过竣工验收之日起计算，合同当事人应在专用合同条款约定缺陷责任期的具体期限，但该期限最长不超过24个月。</w:t>
      </w:r>
    </w:p>
    <w:p w14:paraId="542D08C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203B790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Theme="minorEastAsia" w:hAnsiTheme="minorEastAsia" w:eastAsiaTheme="minorEastAsia" w:cstheme="minorEastAsia"/>
          <w:bCs/>
          <w:color w:val="000000"/>
          <w:sz w:val="24"/>
          <w:szCs w:val="24"/>
        </w:rPr>
        <w:t>包人延长缺陷责任期，</w:t>
      </w:r>
      <w:r>
        <w:rPr>
          <w:rFonts w:hint="eastAsia" w:asciiTheme="minorEastAsia" w:hAnsiTheme="minorEastAsia" w:eastAsiaTheme="minorEastAsia" w:cstheme="minorEastAsia"/>
          <w:color w:val="000000"/>
          <w:kern w:val="0"/>
          <w:sz w:val="24"/>
          <w:szCs w:val="24"/>
        </w:rPr>
        <w:t>并应在原缺陷责任期届满前发出延长通知</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bCs/>
          <w:color w:val="000000"/>
          <w:sz w:val="24"/>
          <w:szCs w:val="24"/>
        </w:rPr>
        <w:t>但缺陷责任期</w:t>
      </w:r>
      <w:r>
        <w:rPr>
          <w:rFonts w:hint="eastAsia" w:asciiTheme="minorEastAsia" w:hAnsiTheme="minorEastAsia" w:eastAsiaTheme="minorEastAsia" w:cstheme="minorEastAsia"/>
          <w:bCs/>
          <w:color w:val="000000"/>
          <w:sz w:val="24"/>
          <w:szCs w:val="24"/>
          <w:lang w:eastAsia="zh-CN"/>
        </w:rPr>
        <w:t>（含延长部分）</w:t>
      </w:r>
      <w:r>
        <w:rPr>
          <w:rFonts w:hint="eastAsia" w:asciiTheme="minorEastAsia" w:hAnsiTheme="minorEastAsia" w:eastAsiaTheme="minorEastAsia" w:cstheme="minorEastAsia"/>
          <w:bCs/>
          <w:color w:val="000000"/>
          <w:sz w:val="24"/>
          <w:szCs w:val="24"/>
        </w:rPr>
        <w:t>最长</w:t>
      </w:r>
      <w:r>
        <w:rPr>
          <w:rFonts w:hint="eastAsia" w:asciiTheme="minorEastAsia" w:hAnsiTheme="minorEastAsia" w:eastAsiaTheme="minorEastAsia" w:cstheme="minorEastAsia"/>
          <w:color w:val="000000"/>
          <w:kern w:val="0"/>
          <w:sz w:val="24"/>
          <w:szCs w:val="24"/>
        </w:rPr>
        <w:t>不能超过24个月。</w:t>
      </w:r>
    </w:p>
    <w:p w14:paraId="546971A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由他人原因造成的缺陷，发包人负责组织维修，承包人不承担费用，且发包人不得从保证金中扣除费用。</w:t>
      </w:r>
    </w:p>
    <w:p w14:paraId="242E8BB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15.2.3 任何一项缺陷或损坏修复后，经检查证明其影响了工程或工程设备的使用性能，承包人应重新进行合同约定的试验和试运行，试验和试运行的全部费用应由责任方承担。</w:t>
      </w:r>
    </w:p>
    <w:p w14:paraId="75FD923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4F2A58B9">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733" w:name="_Toc351203601"/>
      <w:bookmarkStart w:id="734" w:name="_Toc337558818"/>
      <w:bookmarkStart w:id="735" w:name="_Toc296503115"/>
      <w:bookmarkStart w:id="736" w:name="_Toc296346616"/>
      <w:r>
        <w:rPr>
          <w:rFonts w:hint="eastAsia" w:asciiTheme="minorEastAsia" w:hAnsiTheme="minorEastAsia" w:eastAsiaTheme="minorEastAsia" w:cstheme="minorEastAsia"/>
          <w:b w:val="0"/>
          <w:color w:val="000000"/>
          <w:sz w:val="24"/>
          <w:szCs w:val="24"/>
        </w:rPr>
        <w:t>15.3 质量保证金</w:t>
      </w:r>
      <w:bookmarkEnd w:id="733"/>
    </w:p>
    <w:bookmarkEnd w:id="734"/>
    <w:p w14:paraId="6AC5CD1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经合同当事人协商一致扣留质量保证金的，应在专用合同条款中予以明确。</w:t>
      </w:r>
    </w:p>
    <w:p w14:paraId="5B2C5BF7">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在工程项目竣工前，承包人已经提供履约担保的，发包人不得同时预留工程质量保证金。</w:t>
      </w:r>
    </w:p>
    <w:p w14:paraId="299B9EC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p>
    <w:p w14:paraId="456D849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15.3.1 承包人提供质量保证金的方式</w:t>
      </w:r>
    </w:p>
    <w:p w14:paraId="086322F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承包人提供质量保证金有以下三种方式：</w:t>
      </w:r>
    </w:p>
    <w:p w14:paraId="5C1F047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（1）质量保证金保函； </w:t>
      </w:r>
    </w:p>
    <w:p w14:paraId="497CFE5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（2）相应比例的工程款；</w:t>
      </w:r>
    </w:p>
    <w:p w14:paraId="5CE322C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（3）双方约定的其他方式。</w:t>
      </w:r>
    </w:p>
    <w:p w14:paraId="1B39517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除专用合同条款另有约定外，质量保证金原则上采用上述第（1）种方式。</w:t>
      </w:r>
    </w:p>
    <w:p w14:paraId="15E5B7E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15.3.2 质量保证金的扣留</w:t>
      </w:r>
    </w:p>
    <w:p w14:paraId="248F49F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质量保证金的扣留有以下三种方式：</w:t>
      </w:r>
    </w:p>
    <w:p w14:paraId="072D4DF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（1）在支付工程进度款时逐次扣留，在此情形下，质量保证金的计算基数不包括预付款的支付、扣回以及价格调整的金额；</w:t>
      </w:r>
    </w:p>
    <w:p w14:paraId="4EDE2DD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（2）工</w:t>
      </w:r>
      <w:bookmarkStart w:id="737" w:name="#go6"/>
      <w:bookmarkEnd w:id="737"/>
      <w:r>
        <w:rPr>
          <w:rFonts w:hint="eastAsia" w:asciiTheme="minorEastAsia" w:hAnsiTheme="minorEastAsia" w:eastAsiaTheme="minorEastAsia" w:cstheme="minorEastAsia"/>
          <w:color w:val="000000"/>
          <w:kern w:val="0"/>
          <w:sz w:val="24"/>
          <w:szCs w:val="24"/>
        </w:rPr>
        <w:t>程竣工结算时一次性扣留质量保证金；</w:t>
      </w:r>
    </w:p>
    <w:p w14:paraId="758A106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（3）双方约定的其他扣留方式。</w:t>
      </w:r>
    </w:p>
    <w:p w14:paraId="6F60167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除专用合同条款另有约定外，质量保证金的扣留原则上采用上述第（1）种方式。</w:t>
      </w:r>
    </w:p>
    <w:p w14:paraId="7B230BF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w:t>
      </w:r>
      <w:bookmarkStart w:id="738" w:name="#go4"/>
      <w:bookmarkEnd w:id="738"/>
      <w:r>
        <w:rPr>
          <w:rFonts w:hint="eastAsia" w:asciiTheme="minorEastAsia" w:hAnsiTheme="minorEastAsia" w:eastAsiaTheme="minorEastAsia" w:cstheme="minorEastAsia"/>
          <w:color w:val="000000"/>
          <w:kern w:val="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7522D2A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发包人在退还质量保证金的同时按照中国人民银行发布的同期同类贷款基准利率支付利息。</w:t>
      </w:r>
    </w:p>
    <w:p w14:paraId="4417096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15.3.3 </w:t>
      </w:r>
      <w:r>
        <w:rPr>
          <w:rFonts w:hint="eastAsia" w:asciiTheme="minorEastAsia" w:hAnsiTheme="minorEastAsia" w:eastAsiaTheme="minorEastAsia" w:cstheme="minorEastAsia"/>
          <w:color w:val="000000"/>
          <w:sz w:val="24"/>
          <w:szCs w:val="24"/>
        </w:rPr>
        <w:t>质量保证金</w:t>
      </w:r>
      <w:r>
        <w:rPr>
          <w:rFonts w:hint="eastAsia" w:asciiTheme="minorEastAsia" w:hAnsiTheme="minorEastAsia" w:eastAsiaTheme="minorEastAsia" w:cstheme="minorEastAsia"/>
          <w:color w:val="000000"/>
          <w:kern w:val="0"/>
          <w:sz w:val="24"/>
          <w:szCs w:val="24"/>
        </w:rPr>
        <w:t>的退还</w:t>
      </w:r>
    </w:p>
    <w:p w14:paraId="3A0A2FE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缺陷责任期内，承包人认真履行合同约定的责任，到期后，承包人可向发包人申请返还保证金。</w:t>
      </w:r>
    </w:p>
    <w:p w14:paraId="494A347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4D17C69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发包人和承包人对保证金预留、返还以及工程维修质量、费用有争议的，按本合同第20条约定的争议和纠纷解决程序处理。</w:t>
      </w:r>
    </w:p>
    <w:p w14:paraId="26D1B027">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739" w:name="_Toc351203602"/>
      <w:bookmarkStart w:id="740" w:name="_Toc337558819"/>
      <w:r>
        <w:rPr>
          <w:rFonts w:hint="eastAsia" w:asciiTheme="minorEastAsia" w:hAnsiTheme="minorEastAsia" w:eastAsiaTheme="minorEastAsia" w:cstheme="minorEastAsia"/>
          <w:b w:val="0"/>
          <w:color w:val="000000"/>
          <w:sz w:val="24"/>
          <w:szCs w:val="24"/>
        </w:rPr>
        <w:t>15.4 保修</w:t>
      </w:r>
      <w:bookmarkEnd w:id="739"/>
    </w:p>
    <w:bookmarkEnd w:id="735"/>
    <w:bookmarkEnd w:id="736"/>
    <w:bookmarkEnd w:id="740"/>
    <w:p w14:paraId="279CE1B0">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15.4.1保修责任</w:t>
      </w:r>
    </w:p>
    <w:p w14:paraId="698A95D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1CC28B1">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发包人未经竣工验收擅自使用工程的，保修期自</w:t>
      </w:r>
      <w:r>
        <w:rPr>
          <w:rFonts w:hint="eastAsia" w:asciiTheme="minorEastAsia" w:hAnsiTheme="minorEastAsia" w:eastAsiaTheme="minorEastAsia" w:cstheme="minorEastAsia"/>
          <w:color w:val="000000"/>
          <w:kern w:val="0"/>
          <w:sz w:val="24"/>
          <w:szCs w:val="24"/>
        </w:rPr>
        <w:t>转移占有之日起算</w:t>
      </w:r>
      <w:r>
        <w:rPr>
          <w:rFonts w:hint="eastAsia" w:asciiTheme="minorEastAsia" w:hAnsiTheme="minorEastAsia" w:eastAsiaTheme="minorEastAsia" w:cstheme="minorEastAsia"/>
          <w:color w:val="000000"/>
          <w:sz w:val="24"/>
          <w:szCs w:val="24"/>
        </w:rPr>
        <w:t>。</w:t>
      </w:r>
    </w:p>
    <w:p w14:paraId="0FEC9EE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15.4.2 修复费用</w:t>
      </w:r>
    </w:p>
    <w:p w14:paraId="060C41F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保修期内，修复的费用按照以下约定处理：</w:t>
      </w:r>
    </w:p>
    <w:p w14:paraId="64FBA76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（1）保修期内，因承包人原因造成工程的缺陷、损坏，承包人应负责修复，并承担修复的费用以及因工程的缺陷、损坏造成的人身伤害和财产损失；</w:t>
      </w:r>
    </w:p>
    <w:p w14:paraId="4BD6A93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（2）保修期内，因发包人使用不当造成工程的缺陷、损坏，可以委托承包人修复，但发包人应承担修复的费用，并支付承包人合理利润；</w:t>
      </w:r>
    </w:p>
    <w:p w14:paraId="27A010D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（3）因其他原因造成工程的缺陷、损坏，可以委托承包人修复，发包人应承担修复的费用，并支付承包人合理的利润，因工程的缺陷、损坏造成的人身伤害和财产损失由责任方承担。</w:t>
      </w:r>
    </w:p>
    <w:p w14:paraId="6349206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15.4.3 修复通知</w:t>
      </w:r>
    </w:p>
    <w:p w14:paraId="5FAF92F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B093C6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15.4.4 未能修复</w:t>
      </w:r>
    </w:p>
    <w:p w14:paraId="726A461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3D9BC5CE">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15.4.5 承包人出入权</w:t>
      </w:r>
    </w:p>
    <w:p w14:paraId="661C9CC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7AC4A99">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741" w:name="_Toc351203603"/>
      <w:bookmarkStart w:id="742" w:name="_Toc337558820"/>
      <w:r>
        <w:rPr>
          <w:rFonts w:hint="eastAsia" w:asciiTheme="minorEastAsia" w:hAnsiTheme="minorEastAsia" w:eastAsiaTheme="minorEastAsia" w:cstheme="minorEastAsia"/>
          <w:b w:val="0"/>
          <w:color w:val="000000"/>
          <w:sz w:val="24"/>
          <w:szCs w:val="24"/>
        </w:rPr>
        <w:t>16. 违约</w:t>
      </w:r>
      <w:bookmarkEnd w:id="741"/>
    </w:p>
    <w:bookmarkEnd w:id="742"/>
    <w:p w14:paraId="02919F93">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743" w:name="_Toc296503129"/>
      <w:bookmarkStart w:id="744" w:name="_Toc296346630"/>
      <w:bookmarkStart w:id="745" w:name="_Toc351203604"/>
      <w:bookmarkStart w:id="746" w:name="_Toc337558821"/>
      <w:r>
        <w:rPr>
          <w:rFonts w:hint="eastAsia" w:asciiTheme="minorEastAsia" w:hAnsiTheme="minorEastAsia" w:eastAsiaTheme="minorEastAsia" w:cstheme="minorEastAsia"/>
          <w:b w:val="0"/>
          <w:color w:val="000000"/>
          <w:sz w:val="24"/>
          <w:szCs w:val="24"/>
        </w:rPr>
        <w:t>16.1 发</w:t>
      </w:r>
      <w:bookmarkEnd w:id="743"/>
      <w:bookmarkEnd w:id="744"/>
      <w:r>
        <w:rPr>
          <w:rFonts w:hint="eastAsia" w:asciiTheme="minorEastAsia" w:hAnsiTheme="minorEastAsia" w:eastAsiaTheme="minorEastAsia" w:cstheme="minorEastAsia"/>
          <w:b w:val="0"/>
          <w:color w:val="000000"/>
          <w:sz w:val="24"/>
          <w:szCs w:val="24"/>
        </w:rPr>
        <w:t>包人违约</w:t>
      </w:r>
      <w:bookmarkEnd w:id="745"/>
    </w:p>
    <w:bookmarkEnd w:id="746"/>
    <w:p w14:paraId="05E4EB9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16.1.1 发包人违约的情形</w:t>
      </w:r>
    </w:p>
    <w:p w14:paraId="7EBAC90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在合同履行过程中发生的下列情形，属于发包人违约：</w:t>
      </w:r>
    </w:p>
    <w:p w14:paraId="6FF8AAF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（1）因发包人原因未能在计划开工日期前7天内下达开工通知的；</w:t>
      </w:r>
    </w:p>
    <w:p w14:paraId="12A01D2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（2）因发包人原因未能按合同约定支付合同价款的；</w:t>
      </w:r>
    </w:p>
    <w:p w14:paraId="10BD04D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（3）发包人违反第10.1款〔变更的范围〕第（2）项约定，自行实施被取消的工作或转由他人实施的；</w:t>
      </w:r>
    </w:p>
    <w:p w14:paraId="4C3F01B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（4）发包人提供的材料、工程设备的规格、数量或质量不符合合同约定，或因发包人原因导致交货日期延误或交货地点变更等情况的；</w:t>
      </w:r>
    </w:p>
    <w:p w14:paraId="46395C4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（5）因发包人违反合同约定造成暂停施工的；</w:t>
      </w:r>
    </w:p>
    <w:p w14:paraId="13CCB12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（6）发包人无正当理由没有在约定期限内发出复工指示，导致承包人无法复工的；</w:t>
      </w:r>
    </w:p>
    <w:p w14:paraId="629BC89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（7）发包人明确表示或者以其行为表明不履行合同主要义务的；</w:t>
      </w:r>
    </w:p>
    <w:p w14:paraId="0C24E2B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（8）发包人未能按照合同约定履行其他义务的。</w:t>
      </w:r>
    </w:p>
    <w:p w14:paraId="356E7E0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B390C1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16.1.2 发包人违约的责任</w:t>
      </w:r>
    </w:p>
    <w:p w14:paraId="0138384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2079F00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16.1.3 因发包人违约解除合同</w:t>
      </w:r>
    </w:p>
    <w:p w14:paraId="6A396A9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78C1405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16.1.4 因发包人违约解除合同后的付款</w:t>
      </w:r>
    </w:p>
    <w:p w14:paraId="2A707A4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承包人按照本款约定解除合同的，发包人应在解除合同后28天内支付下列款项，并解除履约担保：</w:t>
      </w:r>
    </w:p>
    <w:p w14:paraId="3F7839E9">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（1）合同解除前所完成工作的价款；</w:t>
      </w:r>
    </w:p>
    <w:p w14:paraId="3FBE19D0">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（2）承包人为工程施工订购并已付款的材料、工程设备和其他物品的价款；</w:t>
      </w:r>
    </w:p>
    <w:p w14:paraId="50EFFDEB">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（3）承包人撤离施工现场以及遣散承包人人员的款项；</w:t>
      </w:r>
    </w:p>
    <w:p w14:paraId="509FC59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（4）按照合同约定在合同解除前应支付的违约金；</w:t>
      </w:r>
    </w:p>
    <w:p w14:paraId="598F6043">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（5）按照合同约定应当支付给承包人的其他款项；</w:t>
      </w:r>
    </w:p>
    <w:p w14:paraId="273E941E">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（6）按照合同约定应退还的质量保证金；</w:t>
      </w:r>
    </w:p>
    <w:p w14:paraId="3621ADEA">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（7）因解除合同给承包人造成的损失。</w:t>
      </w:r>
    </w:p>
    <w:p w14:paraId="56C869B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合同当事人未能就解除合同后的结清达成一致的，按照第20条〔争议解决〕的约定处理。</w:t>
      </w:r>
    </w:p>
    <w:p w14:paraId="3824B073">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承包人应妥善做好已完工程和与工程有关的已购材料、工程设备的保护和移交工作，并将施工设备和人员撤出施工现场，发包人应为承包人撤出提供必要条件。</w:t>
      </w:r>
    </w:p>
    <w:p w14:paraId="6E886201">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747" w:name="_Toc351203605"/>
      <w:bookmarkStart w:id="748" w:name="_Toc296503131"/>
      <w:bookmarkStart w:id="749" w:name="_Toc296346632"/>
      <w:bookmarkStart w:id="750" w:name="_Toc337558822"/>
      <w:r>
        <w:rPr>
          <w:rFonts w:hint="eastAsia" w:asciiTheme="minorEastAsia" w:hAnsiTheme="minorEastAsia" w:eastAsiaTheme="minorEastAsia" w:cstheme="minorEastAsia"/>
          <w:b w:val="0"/>
          <w:color w:val="000000"/>
          <w:sz w:val="24"/>
          <w:szCs w:val="24"/>
        </w:rPr>
        <w:t>16.2 承包人违约</w:t>
      </w:r>
      <w:bookmarkEnd w:id="747"/>
    </w:p>
    <w:bookmarkEnd w:id="748"/>
    <w:bookmarkEnd w:id="749"/>
    <w:bookmarkEnd w:id="750"/>
    <w:p w14:paraId="26D59F4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16.2.1 承包人违约的情形</w:t>
      </w:r>
    </w:p>
    <w:p w14:paraId="0C0CF7F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在合同履行过程中发生的下列情形，属于承包人违约：</w:t>
      </w:r>
    </w:p>
    <w:p w14:paraId="4D67147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（1）承包人违反合同约定进行转包或违法分包的；</w:t>
      </w:r>
    </w:p>
    <w:p w14:paraId="01F255F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（2）承包人违反合同约定采购和使用不合格的材料和工程设备的；</w:t>
      </w:r>
    </w:p>
    <w:p w14:paraId="7573A19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（3）因承包人原因导致工程质量不符合合同要求的； </w:t>
      </w:r>
    </w:p>
    <w:p w14:paraId="4B2E9F5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（4）承包人违反第8.9款〔材料与设备专用要求〕的约定，未经批准，私自将已按照合同约定进入施工现场的材料或设备撤离施工现场的；</w:t>
      </w:r>
    </w:p>
    <w:p w14:paraId="02C8B6D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（5）承包人未能按施工进度计划及时完成合同约定的工作，造成工期延误的；</w:t>
      </w:r>
    </w:p>
    <w:p w14:paraId="7DC09AE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（6）承包人在缺陷责任期及保修期内，未能在合理期限对工程缺陷进行修复，或拒绝按发包人要求进行修复的；</w:t>
      </w:r>
    </w:p>
    <w:p w14:paraId="50CC06B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（7）承包人明确表示或者以其行为表明不履行合同主要义务的；</w:t>
      </w:r>
    </w:p>
    <w:p w14:paraId="0C9DCCA9">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（8）承包人未能按照合同约定履行其他义务的。</w:t>
      </w:r>
    </w:p>
    <w:p w14:paraId="154EB7A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承包人发生除本项第（7）目约定以外的其他违约情况时，监理人可向承包人发出整改通知，要求其在指定的期限内改正。</w:t>
      </w:r>
    </w:p>
    <w:p w14:paraId="7AE4F37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16.2.2 承包人违约的责任</w:t>
      </w:r>
    </w:p>
    <w:p w14:paraId="098F7E8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承包人应承担因其违约行为而增加的费用和（或）延误的工期。此外，合同当事人可在专用合同条款中另行约定承包人违约责任的承担方式和计算方法。</w:t>
      </w:r>
    </w:p>
    <w:p w14:paraId="23FB0B2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16.2.3 因承包人违约解除合同</w:t>
      </w:r>
    </w:p>
    <w:p w14:paraId="3F7634E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40863400">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16.2.4因承包人违约解除合同后的处理</w:t>
      </w:r>
    </w:p>
    <w:p w14:paraId="34839083">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因承包人原因导致合同解除的，则合同当事人应在合同解除后28天内完成估价、付款和清算，并按以下约定执行：</w:t>
      </w:r>
    </w:p>
    <w:p w14:paraId="1C7FC3F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（1）合同解除后，按第4.4款〔商定或确定〕商定或确定承包人实际完成工作对应的合同价款，以及承包人已提供的材料、工程设备、施工设备和临时工程等的价值；</w:t>
      </w:r>
    </w:p>
    <w:p w14:paraId="66D62F3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（2）合同解除后，承包人应支付的违约金；</w:t>
      </w:r>
    </w:p>
    <w:p w14:paraId="3B02B58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（3）合同解除后，因解除合同给发包人造成的损失；</w:t>
      </w:r>
    </w:p>
    <w:p w14:paraId="65494C2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（4）合同解除后，承包人应按照发包人要求和监理人的指示完成现场的清理和撤离；</w:t>
      </w:r>
    </w:p>
    <w:p w14:paraId="1AA8BA0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（5）发包人和承包人应在合同解除后进行清算，出具最终结清付款证书，结清全部款项。</w:t>
      </w:r>
    </w:p>
    <w:p w14:paraId="4A4E896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因承包人违约解除合同的，发包人有权暂停对承包人的付款，查清各项付款和已扣款项。发包人和承包人未能就合同解除后的清算和款项支付达成一致的，按照第20条〔争议解决〕的约定处理。</w:t>
      </w:r>
    </w:p>
    <w:p w14:paraId="172317F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16.2.5采购合同权益转让</w:t>
      </w:r>
    </w:p>
    <w:p w14:paraId="4AC8DC5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58B4220D">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751" w:name="_Toc351203606"/>
      <w:r>
        <w:rPr>
          <w:rFonts w:hint="eastAsia" w:asciiTheme="minorEastAsia" w:hAnsiTheme="minorEastAsia" w:eastAsiaTheme="minorEastAsia" w:cstheme="minorEastAsia"/>
          <w:b w:val="0"/>
          <w:color w:val="000000"/>
          <w:sz w:val="24"/>
          <w:szCs w:val="24"/>
        </w:rPr>
        <w:t>16.3 第三人造成的违约</w:t>
      </w:r>
      <w:bookmarkEnd w:id="751"/>
    </w:p>
    <w:p w14:paraId="3061686F">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在履行合同过程中，一方当事人因第三人的原因造成违约的，应当向对方当事人承担违约责任。一方当事人和第三人之间的纠纷，依照法律规定或者按照约定解决。</w:t>
      </w:r>
    </w:p>
    <w:p w14:paraId="3585DDA1">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752" w:name="_Toc351203607"/>
      <w:bookmarkStart w:id="753" w:name="_Toc337558823"/>
      <w:bookmarkStart w:id="754" w:name="_Toc296503116"/>
      <w:bookmarkStart w:id="755" w:name="_Toc296346617"/>
      <w:r>
        <w:rPr>
          <w:rFonts w:hint="eastAsia" w:asciiTheme="minorEastAsia" w:hAnsiTheme="minorEastAsia" w:eastAsiaTheme="minorEastAsia" w:cstheme="minorEastAsia"/>
          <w:b w:val="0"/>
          <w:color w:val="000000"/>
          <w:sz w:val="24"/>
          <w:szCs w:val="24"/>
        </w:rPr>
        <w:t>17. 不可抗力</w:t>
      </w:r>
      <w:bookmarkEnd w:id="752"/>
      <w:r>
        <w:rPr>
          <w:rFonts w:hint="eastAsia" w:asciiTheme="minorEastAsia" w:hAnsiTheme="minorEastAsia" w:eastAsiaTheme="minorEastAsia" w:cstheme="minorEastAsia"/>
          <w:b w:val="0"/>
          <w:color w:val="000000"/>
          <w:sz w:val="24"/>
          <w:szCs w:val="24"/>
        </w:rPr>
        <w:t xml:space="preserve"> </w:t>
      </w:r>
      <w:bookmarkEnd w:id="753"/>
      <w:bookmarkEnd w:id="754"/>
      <w:bookmarkEnd w:id="755"/>
    </w:p>
    <w:p w14:paraId="1B4A07B7">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756" w:name="_Toc351203608"/>
      <w:bookmarkStart w:id="757" w:name="_Toc296503117"/>
      <w:bookmarkStart w:id="758" w:name="_Toc296346618"/>
      <w:bookmarkStart w:id="759" w:name="_Toc337558824"/>
      <w:r>
        <w:rPr>
          <w:rFonts w:hint="eastAsia" w:asciiTheme="minorEastAsia" w:hAnsiTheme="minorEastAsia" w:eastAsiaTheme="minorEastAsia" w:cstheme="minorEastAsia"/>
          <w:b w:val="0"/>
          <w:color w:val="000000"/>
          <w:sz w:val="24"/>
          <w:szCs w:val="24"/>
        </w:rPr>
        <w:t>17.1 不可抗力的确认</w:t>
      </w:r>
      <w:bookmarkEnd w:id="756"/>
    </w:p>
    <w:bookmarkEnd w:id="757"/>
    <w:bookmarkEnd w:id="758"/>
    <w:bookmarkEnd w:id="759"/>
    <w:p w14:paraId="7C704F8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179D890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1B8CBDD2">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760" w:name="_Toc351203609"/>
      <w:bookmarkStart w:id="761" w:name="_Toc337558825"/>
      <w:bookmarkStart w:id="762" w:name="_Toc296503118"/>
      <w:bookmarkStart w:id="763" w:name="_Toc296346619"/>
      <w:r>
        <w:rPr>
          <w:rFonts w:hint="eastAsia" w:asciiTheme="minorEastAsia" w:hAnsiTheme="minorEastAsia" w:eastAsiaTheme="minorEastAsia" w:cstheme="minorEastAsia"/>
          <w:b w:val="0"/>
          <w:color w:val="000000"/>
          <w:sz w:val="24"/>
          <w:szCs w:val="24"/>
        </w:rPr>
        <w:t>17.2 不可抗力的通知</w:t>
      </w:r>
      <w:bookmarkEnd w:id="760"/>
    </w:p>
    <w:bookmarkEnd w:id="761"/>
    <w:bookmarkEnd w:id="762"/>
    <w:bookmarkEnd w:id="763"/>
    <w:p w14:paraId="19ABE6E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合同一方当事人遇到不可抗力事件，使其履行合同义务受到阻碍时，应立即通知合同另一方当事人和监理人，书面说明不可抗力和受阻碍的详细情况，并提供必要的证明。</w:t>
      </w:r>
    </w:p>
    <w:p w14:paraId="5B5B9B6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371D73C8">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764" w:name="_Toc351203610"/>
      <w:bookmarkStart w:id="765" w:name="_Toc296503119"/>
      <w:bookmarkStart w:id="766" w:name="_Toc337558826"/>
      <w:bookmarkStart w:id="767" w:name="_Toc296346620"/>
      <w:r>
        <w:rPr>
          <w:rFonts w:hint="eastAsia" w:asciiTheme="minorEastAsia" w:hAnsiTheme="minorEastAsia" w:eastAsiaTheme="minorEastAsia" w:cstheme="minorEastAsia"/>
          <w:b w:val="0"/>
          <w:color w:val="000000"/>
          <w:sz w:val="24"/>
          <w:szCs w:val="24"/>
        </w:rPr>
        <w:t>17.3 不可抗力后果的承担</w:t>
      </w:r>
      <w:bookmarkEnd w:id="764"/>
    </w:p>
    <w:bookmarkEnd w:id="765"/>
    <w:bookmarkEnd w:id="766"/>
    <w:bookmarkEnd w:id="767"/>
    <w:p w14:paraId="780E7E5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17.3.1 不可抗力引起的后果及造成的损失由合同当事人按照法律规定及合同约定各自承担。不可抗力发生前已完成的工程应当按照合同约定进行计量支付。</w:t>
      </w:r>
    </w:p>
    <w:p w14:paraId="3087EB3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17.3.2 不可抗力导致的人员伤亡、财产损失、费用增加和（或）工期延误等后果，由合同当事人按以下原则承担：</w:t>
      </w:r>
    </w:p>
    <w:p w14:paraId="20AB090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（1）永久工程、已运至施工现场的材料和工程设备的损坏，以及因工程损坏造成的第三人人员伤亡和财产损失由发包人承担；</w:t>
      </w:r>
    </w:p>
    <w:p w14:paraId="0050CC4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（2）承包人施工设备的损坏由承包人承担；</w:t>
      </w:r>
    </w:p>
    <w:p w14:paraId="036276A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（3）发包人和承包人承担各自人员伤亡和财产的损失；</w:t>
      </w:r>
    </w:p>
    <w:p w14:paraId="302B726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1139E62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（5）因不可抗力引起或将引起工期延误，发包人要求赶工的，由此增加的赶工费用由发包人承担；</w:t>
      </w:r>
    </w:p>
    <w:p w14:paraId="5DA4C9B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（6）承包人在停工期间按照发包人要求照管、清理和修复工程的费用由发包人承担。</w:t>
      </w:r>
    </w:p>
    <w:p w14:paraId="31D2526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不可抗力发生后，合同当事人均应采取措施尽量避免和减少损失的扩大，任何一方当事人没有采取有效措施导致损失扩大的，应对扩大的损失承担责任。</w:t>
      </w:r>
    </w:p>
    <w:p w14:paraId="0AC643D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因合同一方迟延履行合同义务，在迟延履行期间遭遇不可抗力的，不免除其违约责任。</w:t>
      </w:r>
    </w:p>
    <w:p w14:paraId="2564F7FD">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768" w:name="_Toc351203611"/>
      <w:bookmarkStart w:id="769" w:name="_Toc337558827"/>
      <w:r>
        <w:rPr>
          <w:rFonts w:hint="eastAsia" w:asciiTheme="minorEastAsia" w:hAnsiTheme="minorEastAsia" w:eastAsiaTheme="minorEastAsia" w:cstheme="minorEastAsia"/>
          <w:b w:val="0"/>
          <w:color w:val="000000"/>
          <w:sz w:val="24"/>
          <w:szCs w:val="24"/>
        </w:rPr>
        <w:t>17.4 因不可抗力解除合同</w:t>
      </w:r>
      <w:bookmarkEnd w:id="768"/>
    </w:p>
    <w:bookmarkEnd w:id="769"/>
    <w:p w14:paraId="0D9B2FF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14:paraId="20E5F06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（1）合同解除前承包人已完成工作的价款；</w:t>
      </w:r>
    </w:p>
    <w:p w14:paraId="2CCA28E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（2）承包人为工程订购的并已交付给承包人，或承包人有责任接受交付的材料、工程设备和其他物品的价款；</w:t>
      </w:r>
    </w:p>
    <w:p w14:paraId="5033B9C9">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（3）发包人要求承包人退货或解除订货合同而产生的费用，或因不能退货或解除合同而产生的损失；</w:t>
      </w:r>
    </w:p>
    <w:p w14:paraId="344275DB">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（4）承包人撤离施工现场以及遣散承包人人员的费用；</w:t>
      </w:r>
    </w:p>
    <w:p w14:paraId="696932ED">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（5）按照合同约定在合同解除前应支付给承包人的其他款项；</w:t>
      </w:r>
    </w:p>
    <w:p w14:paraId="7A5F58D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（6）扣减承包人按照合同约定应向发包人支付的款项；</w:t>
      </w:r>
    </w:p>
    <w:p w14:paraId="1B6F14E1">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（7）双方商定或确定的其他款项。</w:t>
      </w:r>
    </w:p>
    <w:p w14:paraId="62A538B8">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除专用合同条款另有约定外，合同解除后，发包人应在商定或确定上述款项后28天内完成上述款项的支付。</w:t>
      </w:r>
    </w:p>
    <w:p w14:paraId="20AD4DEA">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770" w:name="_Toc351203612"/>
      <w:bookmarkStart w:id="771" w:name="_Toc296346621"/>
      <w:bookmarkStart w:id="772" w:name="_Toc337558828"/>
      <w:bookmarkStart w:id="773" w:name="_Toc296503120"/>
      <w:r>
        <w:rPr>
          <w:rFonts w:hint="eastAsia" w:asciiTheme="minorEastAsia" w:hAnsiTheme="minorEastAsia" w:eastAsiaTheme="minorEastAsia" w:cstheme="minorEastAsia"/>
          <w:b w:val="0"/>
          <w:color w:val="000000"/>
          <w:sz w:val="24"/>
          <w:szCs w:val="24"/>
        </w:rPr>
        <w:t>18. 保险</w:t>
      </w:r>
      <w:bookmarkEnd w:id="770"/>
    </w:p>
    <w:bookmarkEnd w:id="771"/>
    <w:bookmarkEnd w:id="772"/>
    <w:bookmarkEnd w:id="773"/>
    <w:p w14:paraId="723EDEAC">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774" w:name="_Toc351203613"/>
      <w:bookmarkStart w:id="775" w:name="_Toc296346622"/>
      <w:bookmarkStart w:id="776" w:name="_Toc296503121"/>
      <w:bookmarkStart w:id="777" w:name="_Toc337558829"/>
      <w:r>
        <w:rPr>
          <w:rFonts w:hint="eastAsia" w:asciiTheme="minorEastAsia" w:hAnsiTheme="minorEastAsia" w:eastAsiaTheme="minorEastAsia" w:cstheme="minorEastAsia"/>
          <w:b w:val="0"/>
          <w:color w:val="000000"/>
          <w:sz w:val="24"/>
          <w:szCs w:val="24"/>
        </w:rPr>
        <w:t>18.1 工程保险</w:t>
      </w:r>
      <w:bookmarkEnd w:id="774"/>
    </w:p>
    <w:bookmarkEnd w:id="775"/>
    <w:bookmarkEnd w:id="776"/>
    <w:bookmarkEnd w:id="777"/>
    <w:p w14:paraId="4773D40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除专用合同条款另有约定外，发包人应投保建筑工程一切险或安装工程一切险；发包人委托承包人投保的，因投保产生的保险费和其他相关费用由发包人承担。</w:t>
      </w:r>
    </w:p>
    <w:p w14:paraId="2ADFE997">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778" w:name="_Toc351203614"/>
      <w:bookmarkStart w:id="779" w:name="_Toc296503122"/>
      <w:bookmarkStart w:id="780" w:name="_Toc337558830"/>
      <w:bookmarkStart w:id="781" w:name="_Toc296346623"/>
      <w:r>
        <w:rPr>
          <w:rFonts w:hint="eastAsia" w:asciiTheme="minorEastAsia" w:hAnsiTheme="minorEastAsia" w:eastAsiaTheme="minorEastAsia" w:cstheme="minorEastAsia"/>
          <w:b w:val="0"/>
          <w:color w:val="000000"/>
          <w:sz w:val="24"/>
          <w:szCs w:val="24"/>
        </w:rPr>
        <w:t>18.2 工伤保险</w:t>
      </w:r>
      <w:bookmarkEnd w:id="778"/>
    </w:p>
    <w:bookmarkEnd w:id="779"/>
    <w:bookmarkEnd w:id="780"/>
    <w:bookmarkEnd w:id="781"/>
    <w:p w14:paraId="161B567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18.2.1 发包人应依照法律规定参加工伤保险，并为在施工现场的全部员工办理工伤保险，缴纳工伤保险费，并要求监理人及由发包人为履行合同聘请的第三方依法参加工伤保险。</w:t>
      </w:r>
    </w:p>
    <w:p w14:paraId="3F52035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18.2.2 承包人应依照法律规定参加工伤保险，并为其履行合同的全部员工办理工伤保险，缴纳工伤保险费，并要求分包人及由承包人为履行合同聘请的第三方依法参加工伤保险。</w:t>
      </w:r>
    </w:p>
    <w:p w14:paraId="6E17ABEA">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782" w:name="_Toc351203615"/>
      <w:bookmarkStart w:id="783" w:name="_Toc296503125"/>
      <w:bookmarkStart w:id="784" w:name="_Toc296346626"/>
      <w:bookmarkStart w:id="785" w:name="_Toc337558831"/>
      <w:r>
        <w:rPr>
          <w:rFonts w:hint="eastAsia" w:asciiTheme="minorEastAsia" w:hAnsiTheme="minorEastAsia" w:eastAsiaTheme="minorEastAsia" w:cstheme="minorEastAsia"/>
          <w:b w:val="0"/>
          <w:color w:val="000000"/>
          <w:sz w:val="24"/>
          <w:szCs w:val="24"/>
        </w:rPr>
        <w:t>18.3其他保险</w:t>
      </w:r>
      <w:bookmarkEnd w:id="782"/>
    </w:p>
    <w:bookmarkEnd w:id="783"/>
    <w:bookmarkEnd w:id="784"/>
    <w:bookmarkEnd w:id="785"/>
    <w:p w14:paraId="3FAE381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发包人和承包人可以为其施工现场的全部人员办理意外伤害保险并支付保险费，包括其员工及为履行合同聘请的第三方的人员，具体事项由合同当事人在专用合同条款约定。</w:t>
      </w:r>
    </w:p>
    <w:p w14:paraId="7CDDFE42">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除专用合同条款另有约定外，承包人应为其施工设备等办理财产保险。</w:t>
      </w:r>
    </w:p>
    <w:p w14:paraId="5E94742C">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786" w:name="_Toc351203616"/>
      <w:r>
        <w:rPr>
          <w:rFonts w:hint="eastAsia" w:asciiTheme="minorEastAsia" w:hAnsiTheme="minorEastAsia" w:eastAsiaTheme="minorEastAsia" w:cstheme="minorEastAsia"/>
          <w:b w:val="0"/>
          <w:color w:val="000000"/>
          <w:sz w:val="24"/>
          <w:szCs w:val="24"/>
        </w:rPr>
        <w:t>18.4持续保险</w:t>
      </w:r>
      <w:bookmarkEnd w:id="786"/>
    </w:p>
    <w:p w14:paraId="6DE2440A">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合同当事人应与保险人保持联系，使保险人能够随时了解工程实施中的变动，并确保按保险合同条款要求持续保险。</w:t>
      </w:r>
    </w:p>
    <w:p w14:paraId="72B4FCDD">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787" w:name="_Toc351203617"/>
      <w:bookmarkStart w:id="788" w:name="_Toc296503126"/>
      <w:bookmarkStart w:id="789" w:name="_Toc337558832"/>
      <w:bookmarkStart w:id="790" w:name="_Toc296346627"/>
      <w:r>
        <w:rPr>
          <w:rFonts w:hint="eastAsia" w:asciiTheme="minorEastAsia" w:hAnsiTheme="minorEastAsia" w:eastAsiaTheme="minorEastAsia" w:cstheme="minorEastAsia"/>
          <w:b w:val="0"/>
          <w:color w:val="000000"/>
          <w:sz w:val="24"/>
          <w:szCs w:val="24"/>
        </w:rPr>
        <w:t>18.5 保险凭证</w:t>
      </w:r>
      <w:bookmarkEnd w:id="787"/>
    </w:p>
    <w:bookmarkEnd w:id="788"/>
    <w:bookmarkEnd w:id="789"/>
    <w:bookmarkEnd w:id="790"/>
    <w:p w14:paraId="231E2974">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合同当事人应及时向另一方当事人提交其已投保的各项保险的凭证和保险单复印件。</w:t>
      </w:r>
    </w:p>
    <w:p w14:paraId="78875241">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791" w:name="_Toc351203618"/>
      <w:bookmarkStart w:id="792" w:name="_Toc337558833"/>
      <w:bookmarkStart w:id="793" w:name="_Toc296503127"/>
      <w:bookmarkStart w:id="794" w:name="_Toc296346628"/>
      <w:r>
        <w:rPr>
          <w:rFonts w:hint="eastAsia" w:asciiTheme="minorEastAsia" w:hAnsiTheme="minorEastAsia" w:eastAsiaTheme="minorEastAsia" w:cstheme="minorEastAsia"/>
          <w:b w:val="0"/>
          <w:color w:val="000000"/>
          <w:sz w:val="24"/>
          <w:szCs w:val="24"/>
        </w:rPr>
        <w:t>18.6 未按约定投保的补救</w:t>
      </w:r>
      <w:bookmarkEnd w:id="791"/>
    </w:p>
    <w:bookmarkEnd w:id="792"/>
    <w:bookmarkEnd w:id="793"/>
    <w:bookmarkEnd w:id="794"/>
    <w:p w14:paraId="1CCD5EA3">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38D0B944">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52BA1F27">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795" w:name="_Toc351203619"/>
      <w:bookmarkStart w:id="796" w:name="_Toc337558834"/>
      <w:r>
        <w:rPr>
          <w:rFonts w:hint="eastAsia" w:asciiTheme="minorEastAsia" w:hAnsiTheme="minorEastAsia" w:eastAsiaTheme="minorEastAsia" w:cstheme="minorEastAsia"/>
          <w:b w:val="0"/>
          <w:color w:val="000000"/>
          <w:sz w:val="24"/>
          <w:szCs w:val="24"/>
        </w:rPr>
        <w:t>18.7 通知义务</w:t>
      </w:r>
      <w:bookmarkEnd w:id="795"/>
    </w:p>
    <w:bookmarkEnd w:id="796"/>
    <w:p w14:paraId="4D909169">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2C6FDBC7">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保险事故发生时，投保人应按照保险合同规定的条件和期限及时向保险人报告。发包人和承包人应当在知道保险事故发生后及时通知对方。</w:t>
      </w:r>
    </w:p>
    <w:p w14:paraId="4C9AF584">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797" w:name="_Toc351203620"/>
      <w:bookmarkStart w:id="798" w:name="_Toc296503140"/>
      <w:bookmarkStart w:id="799" w:name="_Toc296346641"/>
      <w:bookmarkStart w:id="800" w:name="_Toc337558835"/>
      <w:r>
        <w:rPr>
          <w:rFonts w:hint="eastAsia" w:asciiTheme="minorEastAsia" w:hAnsiTheme="minorEastAsia" w:eastAsiaTheme="minorEastAsia" w:cstheme="minorEastAsia"/>
          <w:b w:val="0"/>
          <w:color w:val="000000"/>
          <w:sz w:val="24"/>
          <w:szCs w:val="24"/>
        </w:rPr>
        <w:t>19. 索赔</w:t>
      </w:r>
      <w:bookmarkEnd w:id="797"/>
    </w:p>
    <w:bookmarkEnd w:id="798"/>
    <w:bookmarkEnd w:id="799"/>
    <w:bookmarkEnd w:id="800"/>
    <w:p w14:paraId="218AEF76">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801" w:name="_Toc351203621"/>
      <w:bookmarkStart w:id="802" w:name="_Toc296346642"/>
      <w:bookmarkStart w:id="803" w:name="_Toc337558836"/>
      <w:bookmarkStart w:id="804" w:name="_Toc296503141"/>
      <w:r>
        <w:rPr>
          <w:rFonts w:hint="eastAsia" w:asciiTheme="minorEastAsia" w:hAnsiTheme="minorEastAsia" w:eastAsiaTheme="minorEastAsia" w:cstheme="minorEastAsia"/>
          <w:b w:val="0"/>
          <w:color w:val="000000"/>
          <w:sz w:val="24"/>
          <w:szCs w:val="24"/>
        </w:rPr>
        <w:t>19.1承包人的索赔</w:t>
      </w:r>
      <w:bookmarkEnd w:id="801"/>
    </w:p>
    <w:bookmarkEnd w:id="802"/>
    <w:bookmarkEnd w:id="803"/>
    <w:bookmarkEnd w:id="804"/>
    <w:p w14:paraId="7628D66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根据合同约定，承包人认为有权得到追加付款和（或）延长工期的，应按以下程序向发包人提出索赔：</w:t>
      </w:r>
    </w:p>
    <w:p w14:paraId="3F47EEF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C21415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（2）承包人应在发出索赔意向通知书后28天内，向监理人正式递交索赔报告；索赔报告应详细说明索赔理由以及要求追加的付款金额和（或）延长的工期，并附必要的记录和证明材料；</w:t>
      </w:r>
    </w:p>
    <w:p w14:paraId="29B0C26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（3）索赔事件具有持续影响的，承包人应按合理时间间隔继续递交延续索赔通知，说明持续影响的实际情况和记录，列出累计的追加付款金额和（或）工期延长天数；</w:t>
      </w:r>
    </w:p>
    <w:p w14:paraId="34975CB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（4）在索赔事件影响结束后28天内，承包人应向监理人递交最终索赔报告，说明最终要求索赔的追加付款金额和（或）延长的工期，并附必要的记录和证明材料。</w:t>
      </w:r>
    </w:p>
    <w:p w14:paraId="42C42B34">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805" w:name="_Toc351203622"/>
      <w:bookmarkStart w:id="806" w:name="_Toc296503142"/>
      <w:bookmarkStart w:id="807" w:name="_Toc337558837"/>
      <w:bookmarkStart w:id="808" w:name="_Toc296346643"/>
      <w:r>
        <w:rPr>
          <w:rFonts w:hint="eastAsia" w:asciiTheme="minorEastAsia" w:hAnsiTheme="minorEastAsia" w:eastAsiaTheme="minorEastAsia" w:cstheme="minorEastAsia"/>
          <w:b w:val="0"/>
          <w:color w:val="000000"/>
          <w:sz w:val="24"/>
          <w:szCs w:val="24"/>
        </w:rPr>
        <w:t>19.2 对承包人索赔的处理</w:t>
      </w:r>
      <w:bookmarkEnd w:id="805"/>
    </w:p>
    <w:bookmarkEnd w:id="806"/>
    <w:bookmarkEnd w:id="807"/>
    <w:bookmarkEnd w:id="808"/>
    <w:p w14:paraId="73C1A07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对承包人索赔的处理如下：</w:t>
      </w:r>
    </w:p>
    <w:p w14:paraId="15772CD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（1）监理人应在收到索赔报告后14天内完成审查并报送发包人。监理人对索赔报告存在异议的，有权要求承包人提交全部原始记录副本；</w:t>
      </w:r>
    </w:p>
    <w:p w14:paraId="0788313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7DAAAEC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（3）承包人接受索赔处理结果的，索赔款项在当期进度款中进行支付；承包人不接受索赔处理结果的，按照第20条〔争议解决〕约定处理。</w:t>
      </w:r>
    </w:p>
    <w:p w14:paraId="60206ED8">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809" w:name="_Toc351203623"/>
      <w:bookmarkStart w:id="810" w:name="_Toc296346644"/>
      <w:bookmarkStart w:id="811" w:name="_Toc296503143"/>
      <w:bookmarkStart w:id="812" w:name="_Toc337558838"/>
      <w:r>
        <w:rPr>
          <w:rFonts w:hint="eastAsia" w:asciiTheme="minorEastAsia" w:hAnsiTheme="minorEastAsia" w:eastAsiaTheme="minorEastAsia" w:cstheme="minorEastAsia"/>
          <w:b w:val="0"/>
          <w:color w:val="000000"/>
          <w:sz w:val="24"/>
          <w:szCs w:val="24"/>
        </w:rPr>
        <w:t>19.3发包人的索赔</w:t>
      </w:r>
      <w:bookmarkEnd w:id="809"/>
    </w:p>
    <w:bookmarkEnd w:id="810"/>
    <w:bookmarkEnd w:id="811"/>
    <w:bookmarkEnd w:id="812"/>
    <w:p w14:paraId="783A7C5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根据合同约定，发包人认为有权得到赔付金额和（或）延长缺陷责任期的，监理人应向承包人发出通知并附有详细的证明。</w:t>
      </w:r>
    </w:p>
    <w:p w14:paraId="48369A5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6CEFAEDF">
      <w:pPr>
        <w:pStyle w:val="6"/>
        <w:numPr>
          <w:ilvl w:val="4"/>
          <w:numId w:val="0"/>
        </w:numPr>
        <w:spacing w:before="120" w:after="120" w:line="360" w:lineRule="auto"/>
        <w:rPr>
          <w:rFonts w:hint="eastAsia" w:asciiTheme="minorEastAsia" w:hAnsiTheme="minorEastAsia" w:eastAsiaTheme="minorEastAsia" w:cstheme="minorEastAsia"/>
          <w:b w:val="0"/>
          <w:color w:val="000000"/>
          <w:sz w:val="24"/>
          <w:szCs w:val="24"/>
        </w:rPr>
      </w:pPr>
      <w:bookmarkStart w:id="813" w:name="_Toc351203624"/>
      <w:bookmarkStart w:id="814" w:name="_Toc296346645"/>
      <w:bookmarkStart w:id="815" w:name="_Toc296503144"/>
      <w:bookmarkStart w:id="816" w:name="_Toc337558839"/>
      <w:r>
        <w:rPr>
          <w:rFonts w:hint="eastAsia" w:asciiTheme="minorEastAsia" w:hAnsiTheme="minorEastAsia" w:eastAsiaTheme="minorEastAsia" w:cstheme="minorEastAsia"/>
          <w:b w:val="0"/>
          <w:color w:val="000000"/>
          <w:sz w:val="24"/>
          <w:szCs w:val="24"/>
        </w:rPr>
        <w:t>19.4 对发包人索赔的处理</w:t>
      </w:r>
      <w:bookmarkEnd w:id="813"/>
    </w:p>
    <w:bookmarkEnd w:id="814"/>
    <w:bookmarkEnd w:id="815"/>
    <w:bookmarkEnd w:id="816"/>
    <w:p w14:paraId="2FB267E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对发包人索赔的处理如下：</w:t>
      </w:r>
    </w:p>
    <w:p w14:paraId="3F0BB65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（1）承包人收到发包人提交的索赔报告后，应及时审查索赔报告的内容、查验发包人证明材料；</w:t>
      </w:r>
    </w:p>
    <w:p w14:paraId="0AC25F1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（2）承包人应在收到索赔报告或有关索赔的进一步证明材料后28天内，将索赔处理结果答复发包人。如果承包人未在上述期限内作出答复的，则视为对发包人索赔要求的认可；</w:t>
      </w:r>
    </w:p>
    <w:p w14:paraId="247F04E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（3）承包人接受索赔处理结果的，发包人可从应支付给承包人的合同价款中扣除赔付的金额或延长缺陷责任期；发包人不接受索赔处理结果的，按第20条〔争议解决〕约定处理。</w:t>
      </w:r>
    </w:p>
    <w:p w14:paraId="6794AEF5">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817" w:name="_Toc351203625"/>
      <w:r>
        <w:rPr>
          <w:rFonts w:hint="eastAsia" w:asciiTheme="minorEastAsia" w:hAnsiTheme="minorEastAsia" w:eastAsiaTheme="minorEastAsia" w:cstheme="minorEastAsia"/>
          <w:b w:val="0"/>
          <w:color w:val="000000"/>
          <w:sz w:val="24"/>
          <w:szCs w:val="24"/>
        </w:rPr>
        <w:t>19.5 提出索赔的期限</w:t>
      </w:r>
      <w:bookmarkEnd w:id="817"/>
    </w:p>
    <w:p w14:paraId="4092B979">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（1）承包人按第14.2款〔竣工结算审核〕约定接收竣工付款证书后，应被视为已无权再提出在工程接收证书颁发前所发生的任何索赔。</w:t>
      </w:r>
    </w:p>
    <w:p w14:paraId="4B14288A">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（2）承包人按第14.4款〔最终结清〕提交的最终结清申请单中，只限于提出工程接收证书颁发后发生的索赔。提出索赔的期限自接受最终结清证书时终止。</w:t>
      </w:r>
    </w:p>
    <w:p w14:paraId="2F645838">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818" w:name="_Toc351203626"/>
      <w:r>
        <w:rPr>
          <w:rFonts w:hint="eastAsia" w:asciiTheme="minorEastAsia" w:hAnsiTheme="minorEastAsia" w:eastAsiaTheme="minorEastAsia" w:cstheme="minorEastAsia"/>
          <w:b w:val="0"/>
          <w:color w:val="000000"/>
          <w:sz w:val="24"/>
          <w:szCs w:val="24"/>
        </w:rPr>
        <w:t>20</w:t>
      </w:r>
      <w:bookmarkStart w:id="819" w:name="_Toc296346647"/>
      <w:bookmarkStart w:id="820" w:name="_Toc296503146"/>
      <w:bookmarkStart w:id="821" w:name="_Toc337558840"/>
      <w:r>
        <w:rPr>
          <w:rFonts w:hint="eastAsia" w:asciiTheme="minorEastAsia" w:hAnsiTheme="minorEastAsia" w:eastAsiaTheme="minorEastAsia" w:cstheme="minorEastAsia"/>
          <w:b w:val="0"/>
          <w:color w:val="000000"/>
          <w:sz w:val="24"/>
          <w:szCs w:val="24"/>
        </w:rPr>
        <w:t>. 争议解决</w:t>
      </w:r>
      <w:bookmarkEnd w:id="818"/>
    </w:p>
    <w:bookmarkEnd w:id="819"/>
    <w:bookmarkEnd w:id="820"/>
    <w:bookmarkEnd w:id="821"/>
    <w:p w14:paraId="052A212C">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822" w:name="_Toc351203627"/>
      <w:bookmarkStart w:id="823" w:name="_Toc337558841"/>
      <w:bookmarkStart w:id="824" w:name="_Toc296503147"/>
      <w:bookmarkStart w:id="825" w:name="_Toc296346648"/>
      <w:r>
        <w:rPr>
          <w:rFonts w:hint="eastAsia" w:asciiTheme="minorEastAsia" w:hAnsiTheme="minorEastAsia" w:eastAsiaTheme="minorEastAsia" w:cstheme="minorEastAsia"/>
          <w:b w:val="0"/>
          <w:color w:val="000000"/>
          <w:sz w:val="24"/>
          <w:szCs w:val="24"/>
        </w:rPr>
        <w:t>20.1和解</w:t>
      </w:r>
      <w:bookmarkEnd w:id="822"/>
    </w:p>
    <w:bookmarkEnd w:id="823"/>
    <w:bookmarkEnd w:id="824"/>
    <w:bookmarkEnd w:id="825"/>
    <w:p w14:paraId="1F39004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合同当事人可以就争议自行和解，自行和解达成协议的经双方签字并盖章后作为合同补充文件，双方均应遵照执行。</w:t>
      </w:r>
    </w:p>
    <w:p w14:paraId="2C440E17">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826" w:name="_Toc351203628"/>
      <w:r>
        <w:rPr>
          <w:rFonts w:hint="eastAsia" w:asciiTheme="minorEastAsia" w:hAnsiTheme="minorEastAsia" w:eastAsiaTheme="minorEastAsia" w:cstheme="minorEastAsia"/>
          <w:b w:val="0"/>
          <w:color w:val="000000"/>
          <w:sz w:val="24"/>
          <w:szCs w:val="24"/>
        </w:rPr>
        <w:t>20</w:t>
      </w:r>
      <w:bookmarkStart w:id="827" w:name="_Toc296346649"/>
      <w:bookmarkStart w:id="828" w:name="_Toc337558842"/>
      <w:bookmarkStart w:id="829" w:name="_Toc296503148"/>
      <w:r>
        <w:rPr>
          <w:rFonts w:hint="eastAsia" w:asciiTheme="minorEastAsia" w:hAnsiTheme="minorEastAsia" w:eastAsiaTheme="minorEastAsia" w:cstheme="minorEastAsia"/>
          <w:b w:val="0"/>
          <w:color w:val="000000"/>
          <w:sz w:val="24"/>
          <w:szCs w:val="24"/>
        </w:rPr>
        <w:t>.2调解</w:t>
      </w:r>
      <w:bookmarkEnd w:id="826"/>
    </w:p>
    <w:bookmarkEnd w:id="827"/>
    <w:bookmarkEnd w:id="828"/>
    <w:bookmarkEnd w:id="829"/>
    <w:p w14:paraId="0A28D7E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合同当事人可以就争议请求建设行政主管部门、行业协会或其他第三方进行调解，调解达成协议的，经双方签字并盖章后作为合同补充文件，双方均应遵照执行。</w:t>
      </w:r>
    </w:p>
    <w:p w14:paraId="3850C540">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830" w:name="_Toc351203629"/>
      <w:bookmarkStart w:id="831" w:name="_Toc337558843"/>
      <w:bookmarkStart w:id="832" w:name="_Toc296346650"/>
      <w:bookmarkStart w:id="833" w:name="_Toc296503149"/>
      <w:r>
        <w:rPr>
          <w:rFonts w:hint="eastAsia" w:asciiTheme="minorEastAsia" w:hAnsiTheme="minorEastAsia" w:eastAsiaTheme="minorEastAsia" w:cstheme="minorEastAsia"/>
          <w:b w:val="0"/>
          <w:color w:val="000000"/>
          <w:sz w:val="24"/>
          <w:szCs w:val="24"/>
        </w:rPr>
        <w:t>20.3争议评审</w:t>
      </w:r>
      <w:bookmarkEnd w:id="830"/>
    </w:p>
    <w:bookmarkEnd w:id="831"/>
    <w:bookmarkEnd w:id="832"/>
    <w:bookmarkEnd w:id="833"/>
    <w:p w14:paraId="54AA922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合同当事人在专用合同条款中约定采取争议评审方式解决争议以及评审规则，并按下列约定执行： </w:t>
      </w:r>
    </w:p>
    <w:p w14:paraId="56E2521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20.3.1 争议评审小组的确定</w:t>
      </w:r>
    </w:p>
    <w:p w14:paraId="649F01C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074137E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42FEB25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除专用合同条款另有约定外，评审员报酬由发包人和承包人各承担一半。</w:t>
      </w:r>
    </w:p>
    <w:p w14:paraId="63E5615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20.3.2 争议评审小组的决定</w:t>
      </w:r>
    </w:p>
    <w:p w14:paraId="03CED4A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6C9EF1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20.3.3 争议评审小组决定的效力</w:t>
      </w:r>
    </w:p>
    <w:p w14:paraId="4085F255">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争议评审小组作出的书面决定经合同当事人签字确认后，对双方具有约束力，双方应遵照执行。</w:t>
      </w:r>
    </w:p>
    <w:p w14:paraId="136A699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任何一方当事人不接受争议评审小组决定或不履行争议评审小组决定的，双方可选择采用其他争议解决方式。</w:t>
      </w:r>
    </w:p>
    <w:p w14:paraId="7CEB9935">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834" w:name="_Toc351203630"/>
      <w:bookmarkStart w:id="835" w:name="_Toc296503150"/>
      <w:bookmarkStart w:id="836" w:name="_Toc296346651"/>
      <w:bookmarkStart w:id="837" w:name="_Toc337558844"/>
      <w:r>
        <w:rPr>
          <w:rFonts w:hint="eastAsia" w:asciiTheme="minorEastAsia" w:hAnsiTheme="minorEastAsia" w:eastAsiaTheme="minorEastAsia" w:cstheme="minorEastAsia"/>
          <w:b w:val="0"/>
          <w:color w:val="000000"/>
          <w:sz w:val="24"/>
          <w:szCs w:val="24"/>
        </w:rPr>
        <w:t>20.4仲裁或诉讼</w:t>
      </w:r>
      <w:bookmarkEnd w:id="834"/>
    </w:p>
    <w:bookmarkEnd w:id="835"/>
    <w:bookmarkEnd w:id="836"/>
    <w:bookmarkEnd w:id="837"/>
    <w:p w14:paraId="0609006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因合同及合同有关事项产生的争议，合同当事人可以在专用合同条款中约定以下一种方式解决争议：</w:t>
      </w:r>
    </w:p>
    <w:p w14:paraId="7829348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（1）向约定的仲裁委员会申请仲裁；</w:t>
      </w:r>
    </w:p>
    <w:p w14:paraId="0DBCC43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（2）向有管辖权的人民法院起诉。</w:t>
      </w:r>
    </w:p>
    <w:p w14:paraId="6138BBB8">
      <w:pPr>
        <w:pStyle w:val="6"/>
        <w:numPr>
          <w:ilvl w:val="4"/>
          <w:numId w:val="0"/>
        </w:numPr>
        <w:spacing w:before="120" w:after="120" w:line="360" w:lineRule="auto"/>
        <w:ind w:leftChars="200"/>
        <w:rPr>
          <w:rFonts w:hint="eastAsia" w:asciiTheme="minorEastAsia" w:hAnsiTheme="minorEastAsia" w:eastAsiaTheme="minorEastAsia" w:cstheme="minorEastAsia"/>
          <w:b w:val="0"/>
          <w:color w:val="000000"/>
          <w:sz w:val="24"/>
          <w:szCs w:val="24"/>
        </w:rPr>
      </w:pPr>
      <w:bookmarkStart w:id="838" w:name="_Toc351203631"/>
      <w:bookmarkStart w:id="839" w:name="_Toc296346653"/>
      <w:bookmarkStart w:id="840" w:name="_Toc296503152"/>
      <w:bookmarkStart w:id="841" w:name="_Toc337558845"/>
      <w:r>
        <w:rPr>
          <w:rFonts w:hint="eastAsia" w:asciiTheme="minorEastAsia" w:hAnsiTheme="minorEastAsia" w:eastAsiaTheme="minorEastAsia" w:cstheme="minorEastAsia"/>
          <w:b w:val="0"/>
          <w:color w:val="000000"/>
          <w:sz w:val="24"/>
          <w:szCs w:val="24"/>
        </w:rPr>
        <w:t>20.5争议解决条款效力</w:t>
      </w:r>
      <w:bookmarkEnd w:id="838"/>
    </w:p>
    <w:bookmarkEnd w:id="839"/>
    <w:bookmarkEnd w:id="840"/>
    <w:bookmarkEnd w:id="841"/>
    <w:p w14:paraId="70B7CB5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合同有关争议解决的条款独立存在，合同的变更、解除、终止、无效或者被撤销均不影响其效力。 </w:t>
      </w:r>
    </w:p>
    <w:p w14:paraId="7261AF8A">
      <w:pPr>
        <w:pStyle w:val="4"/>
        <w:jc w:val="center"/>
        <w:rPr>
          <w:rFonts w:hint="eastAsia" w:asciiTheme="minorEastAsia" w:hAnsiTheme="minorEastAsia" w:eastAsiaTheme="minorEastAsia" w:cstheme="minorEastAsia"/>
          <w:sz w:val="24"/>
          <w:szCs w:val="24"/>
        </w:rPr>
      </w:pPr>
      <w:bookmarkStart w:id="842" w:name="_Toc351203632"/>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第三部分 专用合同条款</w:t>
      </w:r>
      <w:bookmarkEnd w:id="842"/>
    </w:p>
    <w:p w14:paraId="318698FC">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843" w:name="_Toc351203633"/>
      <w:r>
        <w:rPr>
          <w:rFonts w:hint="eastAsia" w:asciiTheme="minorEastAsia" w:hAnsiTheme="minorEastAsia" w:eastAsiaTheme="minorEastAsia" w:cstheme="minorEastAsia"/>
          <w:b w:val="0"/>
          <w:color w:val="000000"/>
          <w:sz w:val="24"/>
          <w:szCs w:val="24"/>
        </w:rPr>
        <w:t>1</w:t>
      </w:r>
      <w:bookmarkStart w:id="844" w:name="_Toc296346657"/>
      <w:bookmarkStart w:id="845" w:name="_Toc296503156"/>
      <w:bookmarkStart w:id="846" w:name="_Toc296891196"/>
      <w:bookmarkStart w:id="847" w:name="_Toc297120456"/>
      <w:bookmarkStart w:id="848" w:name="_Toc292559866"/>
      <w:bookmarkStart w:id="849" w:name="_Toc297048342"/>
      <w:bookmarkStart w:id="850" w:name="_Toc296890984"/>
      <w:bookmarkStart w:id="851" w:name="_Toc292559361"/>
      <w:bookmarkStart w:id="852" w:name="_Toc296944495"/>
      <w:bookmarkStart w:id="853" w:name="_Toc296347155"/>
      <w:r>
        <w:rPr>
          <w:rFonts w:hint="eastAsia" w:asciiTheme="minorEastAsia" w:hAnsiTheme="minorEastAsia" w:eastAsiaTheme="minorEastAsia" w:cstheme="minorEastAsia"/>
          <w:b w:val="0"/>
          <w:color w:val="000000"/>
          <w:sz w:val="24"/>
          <w:szCs w:val="24"/>
        </w:rPr>
        <w:t>. 一般约定</w:t>
      </w:r>
      <w:bookmarkEnd w:id="843"/>
    </w:p>
    <w:bookmarkEnd w:id="844"/>
    <w:bookmarkEnd w:id="845"/>
    <w:bookmarkEnd w:id="846"/>
    <w:bookmarkEnd w:id="847"/>
    <w:bookmarkEnd w:id="848"/>
    <w:bookmarkEnd w:id="849"/>
    <w:bookmarkEnd w:id="850"/>
    <w:bookmarkEnd w:id="851"/>
    <w:bookmarkEnd w:id="852"/>
    <w:bookmarkEnd w:id="853"/>
    <w:p w14:paraId="78299FC9">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 词语定义</w:t>
      </w:r>
    </w:p>
    <w:p w14:paraId="149CD569">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1.1.1合同</w:t>
      </w:r>
    </w:p>
    <w:p w14:paraId="1A5D4C78">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1.1.1.10其他合同文件包括：</w:t>
      </w:r>
      <w:r>
        <w:rPr>
          <w:rFonts w:hint="eastAsia" w:asciiTheme="minorEastAsia" w:hAnsiTheme="minorEastAsia" w:eastAsiaTheme="minorEastAsia" w:cstheme="minorEastAsia"/>
          <w:color w:val="000000"/>
          <w:sz w:val="24"/>
          <w:szCs w:val="24"/>
          <w:u w:val="single"/>
        </w:rPr>
        <w:t xml:space="preserve">                      </w:t>
      </w:r>
    </w:p>
    <w:p w14:paraId="1575854C">
      <w:pPr>
        <w:spacing w:line="360" w:lineRule="auto"/>
        <w:ind w:left="1650" w:hanging="1320" w:hangingChars="55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u w:val="single"/>
        </w:rPr>
        <w:t xml:space="preserve">                               </w:t>
      </w:r>
    </w:p>
    <w:p w14:paraId="1A3DB0B1">
      <w:pPr>
        <w:spacing w:line="360" w:lineRule="auto"/>
        <w:ind w:left="1650" w:hanging="1320" w:hangingChars="55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2E233556">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 合同当事人及其他相关方</w:t>
      </w:r>
    </w:p>
    <w:p w14:paraId="3DA097E8">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1.1.2.4监理人：</w:t>
      </w:r>
    </w:p>
    <w:p w14:paraId="31A401D3">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名    称：</w:t>
      </w:r>
      <w:r>
        <w:rPr>
          <w:rFonts w:hint="eastAsia" w:asciiTheme="minorEastAsia" w:hAnsiTheme="minorEastAsia" w:eastAsiaTheme="minorEastAsia" w:cstheme="minorEastAsia"/>
          <w:color w:val="000000"/>
          <w:sz w:val="24"/>
          <w:szCs w:val="24"/>
          <w:u w:val="single"/>
        </w:rPr>
        <w:t xml:space="preserve">                </w:t>
      </w:r>
      <w:r>
        <w:rPr>
          <w:rFonts w:hint="eastAsia" w:asciiTheme="minorEastAsia" w:hAnsiTheme="minorEastAsia" w:eastAsiaTheme="minorEastAsia" w:cstheme="minorEastAsia"/>
          <w:color w:val="000000"/>
          <w:sz w:val="24"/>
          <w:szCs w:val="24"/>
        </w:rPr>
        <w:t>；</w:t>
      </w:r>
    </w:p>
    <w:p w14:paraId="697425EE">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资质类别和等级：</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18F4363B">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465EB71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电子信箱：</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13120C53">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通信地址：</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7EAD8667">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1.1.2.5 设计人：</w:t>
      </w:r>
    </w:p>
    <w:p w14:paraId="1DC6E53D">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名    称：</w:t>
      </w:r>
      <w:r>
        <w:rPr>
          <w:rFonts w:hint="eastAsia" w:asciiTheme="minorEastAsia" w:hAnsiTheme="minorEastAsia" w:eastAsiaTheme="minorEastAsia" w:cstheme="minorEastAsia"/>
          <w:color w:val="000000"/>
          <w:sz w:val="24"/>
          <w:szCs w:val="24"/>
          <w:u w:val="single"/>
        </w:rPr>
        <w:t xml:space="preserve">                 </w:t>
      </w:r>
      <w:r>
        <w:rPr>
          <w:rFonts w:hint="eastAsia" w:asciiTheme="minorEastAsia" w:hAnsiTheme="minorEastAsia" w:eastAsiaTheme="minorEastAsia" w:cstheme="minorEastAsia"/>
          <w:color w:val="000000"/>
          <w:sz w:val="24"/>
          <w:szCs w:val="24"/>
        </w:rPr>
        <w:t>；</w:t>
      </w:r>
    </w:p>
    <w:p w14:paraId="75CE8D8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资质类别和等级：</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328C45C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11C6DC39">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电子信箱：</w:t>
      </w:r>
      <w:r>
        <w:rPr>
          <w:rFonts w:hint="eastAsia" w:asciiTheme="minorEastAsia" w:hAnsiTheme="minorEastAsia" w:eastAsiaTheme="minorEastAsia" w:cstheme="minorEastAsia"/>
          <w:color w:val="000000"/>
          <w:sz w:val="24"/>
          <w:szCs w:val="24"/>
          <w:u w:val="single"/>
        </w:rPr>
        <w:t xml:space="preserve">                    </w:t>
      </w:r>
      <w:r>
        <w:rPr>
          <w:rFonts w:hint="eastAsia" w:asciiTheme="minorEastAsia" w:hAnsiTheme="minorEastAsia" w:eastAsiaTheme="minorEastAsia" w:cstheme="minorEastAsia"/>
          <w:color w:val="000000"/>
          <w:sz w:val="24"/>
          <w:szCs w:val="24"/>
        </w:rPr>
        <w:t>；</w:t>
      </w:r>
    </w:p>
    <w:p w14:paraId="29D4789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通信地址：</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4FD3908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 工程和设备</w:t>
      </w:r>
    </w:p>
    <w:p w14:paraId="06E6EF0C">
      <w:pPr>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1.1.3.7 作为施工现场组成部分的其他场所包括：</w:t>
      </w:r>
      <w:r>
        <w:rPr>
          <w:rFonts w:hint="eastAsia" w:asciiTheme="minorEastAsia" w:hAnsiTheme="minorEastAsia" w:eastAsiaTheme="minorEastAsia" w:cstheme="minorEastAsia"/>
          <w:color w:val="000000"/>
          <w:sz w:val="24"/>
          <w:szCs w:val="24"/>
          <w:u w:val="single"/>
        </w:rPr>
        <w:t xml:space="preserve">           </w:t>
      </w:r>
    </w:p>
    <w:p w14:paraId="1A237FD0">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30146FE9">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1.1.3.9 永久占地包括：</w:t>
      </w:r>
      <w:r>
        <w:rPr>
          <w:rFonts w:hint="eastAsia" w:asciiTheme="minorEastAsia" w:hAnsiTheme="minorEastAsia" w:eastAsiaTheme="minorEastAsia" w:cstheme="minorEastAsia"/>
          <w:color w:val="000000"/>
          <w:sz w:val="24"/>
          <w:szCs w:val="24"/>
          <w:u w:val="single"/>
        </w:rPr>
        <w:t xml:space="preserve">                        </w:t>
      </w:r>
      <w:r>
        <w:rPr>
          <w:rFonts w:hint="eastAsia" w:asciiTheme="minorEastAsia" w:hAnsiTheme="minorEastAsia" w:eastAsiaTheme="minorEastAsia" w:cstheme="minorEastAsia"/>
          <w:color w:val="000000"/>
          <w:kern w:val="0"/>
          <w:sz w:val="24"/>
          <w:szCs w:val="24"/>
        </w:rPr>
        <w:t>。</w:t>
      </w:r>
    </w:p>
    <w:p w14:paraId="5F9C5D78">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1.1.3.10 临时占地包括：</w:t>
      </w:r>
      <w:r>
        <w:rPr>
          <w:rFonts w:hint="eastAsia" w:asciiTheme="minorEastAsia" w:hAnsiTheme="minorEastAsia" w:eastAsiaTheme="minorEastAsia" w:cstheme="minorEastAsia"/>
          <w:color w:val="000000"/>
          <w:sz w:val="24"/>
          <w:szCs w:val="24"/>
          <w:u w:val="single"/>
        </w:rPr>
        <w:t xml:space="preserve">                       </w:t>
      </w:r>
      <w:r>
        <w:rPr>
          <w:rFonts w:hint="eastAsia" w:asciiTheme="minorEastAsia" w:hAnsiTheme="minorEastAsia" w:eastAsiaTheme="minorEastAsia" w:cstheme="minorEastAsia"/>
          <w:color w:val="000000"/>
          <w:kern w:val="0"/>
          <w:sz w:val="24"/>
          <w:szCs w:val="24"/>
        </w:rPr>
        <w:t>。</w:t>
      </w:r>
    </w:p>
    <w:p w14:paraId="145A224E">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1.3法律 </w:t>
      </w:r>
    </w:p>
    <w:p w14:paraId="3BA9104A">
      <w:pPr>
        <w:autoSpaceDE w:val="0"/>
        <w:autoSpaceDN w:val="0"/>
        <w:adjustRightInd w:val="0"/>
        <w:spacing w:line="360" w:lineRule="auto"/>
        <w:ind w:left="596" w:leftChars="284"/>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适用于合同的其他规范性文件：</w:t>
      </w:r>
      <w:r>
        <w:rPr>
          <w:rFonts w:hint="eastAsia" w:asciiTheme="minorEastAsia" w:hAnsiTheme="minorEastAsia" w:eastAsiaTheme="minorEastAsia" w:cstheme="minorEastAsia"/>
          <w:color w:val="000000"/>
          <w:sz w:val="24"/>
          <w:szCs w:val="24"/>
          <w:u w:val="single"/>
        </w:rPr>
        <w:t xml:space="preserve">     </w:t>
      </w:r>
    </w:p>
    <w:p w14:paraId="6C00DA31">
      <w:pPr>
        <w:autoSpaceDE w:val="0"/>
        <w:autoSpaceDN w:val="0"/>
        <w:adjustRightInd w:val="0"/>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EAF97FD">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 标准和规范</w:t>
      </w:r>
    </w:p>
    <w:p w14:paraId="7E8E6084">
      <w:pPr>
        <w:spacing w:line="360" w:lineRule="auto"/>
        <w:ind w:left="596" w:leftChars="284"/>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1.4.1适用于工程的标准规范包括：</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 xml:space="preserve"> </w:t>
      </w:r>
    </w:p>
    <w:p w14:paraId="037AA628">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      </w:t>
      </w:r>
      <w:r>
        <w:rPr>
          <w:rFonts w:hint="eastAsia" w:asciiTheme="minorEastAsia" w:hAnsiTheme="minorEastAsia" w:eastAsiaTheme="minorEastAsia" w:cstheme="minorEastAsia"/>
          <w:color w:val="000000"/>
          <w:sz w:val="24"/>
          <w:szCs w:val="24"/>
        </w:rPr>
        <w:t>。</w:t>
      </w:r>
    </w:p>
    <w:p w14:paraId="73DAF8B2">
      <w:pPr>
        <w:spacing w:line="360" w:lineRule="auto"/>
        <w:ind w:firstLine="480" w:firstLineChars="200"/>
        <w:outlineLvl w:val="0"/>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1.4.2 发包人提供国外标准、规范的名称：</w:t>
      </w:r>
      <w:r>
        <w:rPr>
          <w:rFonts w:hint="eastAsia" w:asciiTheme="minorEastAsia" w:hAnsiTheme="minorEastAsia" w:eastAsiaTheme="minorEastAsia" w:cstheme="minorEastAsia"/>
          <w:color w:val="000000"/>
          <w:kern w:val="0"/>
          <w:sz w:val="24"/>
          <w:szCs w:val="24"/>
          <w:u w:val="single"/>
        </w:rPr>
        <w:t xml:space="preserve">                 </w:t>
      </w:r>
    </w:p>
    <w:p w14:paraId="558AF255">
      <w:pPr>
        <w:spacing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5473B35F">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发包人提供国外标准、规范的份数：</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1FA9B6A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发包人提供国外标准、规范的名称：</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2238635B">
      <w:pPr>
        <w:spacing w:line="360" w:lineRule="auto"/>
        <w:ind w:left="596" w:leftChars="284"/>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1.4.3发包人对工程的技术标准和功能要求的特殊要求：</w:t>
      </w:r>
    </w:p>
    <w:p w14:paraId="2ABAD951">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                                                               </w:t>
      </w:r>
      <w:r>
        <w:rPr>
          <w:rFonts w:hint="eastAsia" w:asciiTheme="minorEastAsia" w:hAnsiTheme="minorEastAsia" w:eastAsiaTheme="minorEastAsia" w:cstheme="minorEastAsia"/>
          <w:color w:val="000000"/>
          <w:sz w:val="24"/>
          <w:szCs w:val="24"/>
        </w:rPr>
        <w:t>。</w:t>
      </w:r>
    </w:p>
    <w:p w14:paraId="3A586687">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 合同文件的优先顺序</w:t>
      </w:r>
    </w:p>
    <w:p w14:paraId="0AFDAEF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合同文件组成及优先顺序为：</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                                                 </w:t>
      </w:r>
      <w:r>
        <w:rPr>
          <w:rFonts w:hint="eastAsia" w:asciiTheme="minorEastAsia" w:hAnsiTheme="minorEastAsia" w:eastAsiaTheme="minorEastAsia" w:cstheme="minorEastAsia"/>
          <w:color w:val="000000"/>
          <w:sz w:val="24"/>
          <w:szCs w:val="24"/>
        </w:rPr>
        <w:t>。</w:t>
      </w:r>
    </w:p>
    <w:p w14:paraId="346BE5FA">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 图纸和承包人文件</w:t>
      </w:r>
      <w:r>
        <w:rPr>
          <w:rFonts w:hint="eastAsia" w:asciiTheme="minorEastAsia" w:hAnsiTheme="minorEastAsia" w:eastAsiaTheme="minorEastAsia" w:cstheme="minorEastAsia"/>
          <w:color w:val="000000"/>
          <w:sz w:val="24"/>
          <w:szCs w:val="24"/>
        </w:rPr>
        <w:tab/>
      </w:r>
    </w:p>
    <w:p w14:paraId="4C5068C0">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1.6.1 图纸的提供</w:t>
      </w:r>
    </w:p>
    <w:p w14:paraId="42E03F50">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发包人向承包人提供图纸的期限：</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7CDE86E8">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发包人向承包人提供图纸的数量：</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05EB2502">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发包人向承包人提供图纸的内容：</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728A612E">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1.6.4 承包人文件</w:t>
      </w:r>
    </w:p>
    <w:p w14:paraId="4A05AFFD">
      <w:pPr>
        <w:spacing w:line="360" w:lineRule="auto"/>
        <w:ind w:left="596" w:leftChars="284"/>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需要由承包人提供的文件，包括：</w:t>
      </w:r>
      <w:r>
        <w:rPr>
          <w:rFonts w:hint="eastAsia" w:asciiTheme="minorEastAsia" w:hAnsiTheme="minorEastAsia" w:eastAsiaTheme="minorEastAsia" w:cstheme="minorEastAsia"/>
          <w:color w:val="000000"/>
          <w:sz w:val="24"/>
          <w:szCs w:val="24"/>
          <w:u w:val="single"/>
        </w:rPr>
        <w:t>          </w:t>
      </w:r>
    </w:p>
    <w:p w14:paraId="07C39BDC">
      <w:pPr>
        <w:spacing w:line="360" w:lineRule="auto"/>
        <w:ind w:left="596" w:leftChars="284"/>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w:t>
      </w:r>
    </w:p>
    <w:p w14:paraId="5DF1A690">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承包人提供的文件的期限为：</w:t>
      </w:r>
      <w:r>
        <w:rPr>
          <w:rFonts w:hint="eastAsia" w:asciiTheme="minorEastAsia" w:hAnsiTheme="minorEastAsia" w:eastAsiaTheme="minorEastAsia" w:cstheme="minorEastAsia"/>
          <w:color w:val="000000"/>
          <w:sz w:val="24"/>
          <w:szCs w:val="24"/>
          <w:u w:val="single"/>
        </w:rPr>
        <w:t>       </w:t>
      </w:r>
      <w:r>
        <w:rPr>
          <w:rFonts w:hint="eastAsia" w:asciiTheme="minorEastAsia" w:hAnsiTheme="minorEastAsia" w:eastAsiaTheme="minorEastAsia" w:cstheme="minorEastAsia"/>
          <w:color w:val="000000"/>
          <w:sz w:val="24"/>
          <w:szCs w:val="24"/>
        </w:rPr>
        <w:t>；</w:t>
      </w:r>
    </w:p>
    <w:p w14:paraId="59BF573E">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承包人提供的文件的数量为：</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34BB39A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承包人提供的文件的形式为：</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7993A71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发包人审批承包人文件的期限：</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36760E23">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1.6.5 现场图纸准备</w:t>
      </w:r>
    </w:p>
    <w:p w14:paraId="74BFF072">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关于现场图纸准备的约定：</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3BDB9F97">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 联络</w:t>
      </w:r>
    </w:p>
    <w:p w14:paraId="255F1BD8">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1.7.1发包人和承包人应当在</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kern w:val="0"/>
          <w:sz w:val="24"/>
          <w:szCs w:val="24"/>
        </w:rPr>
        <w:t>天内将与合同有关的通知、批准、证明、证书、指示、指令、要求、请求、同意、意见、确定和决定等书面函件送达对方当事人。</w:t>
      </w:r>
    </w:p>
    <w:p w14:paraId="65E6FFF0">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1.7.2 发包人接收文件的地点：</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kern w:val="0"/>
          <w:sz w:val="24"/>
          <w:szCs w:val="24"/>
        </w:rPr>
        <w:t>；</w:t>
      </w:r>
    </w:p>
    <w:p w14:paraId="267D6E4D">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发包人指定的接收人为：</w:t>
      </w:r>
      <w:r>
        <w:rPr>
          <w:rFonts w:hint="eastAsia" w:asciiTheme="minorEastAsia" w:hAnsiTheme="minorEastAsia" w:eastAsiaTheme="minorEastAsia" w:cstheme="minorEastAsia"/>
          <w:color w:val="000000"/>
          <w:sz w:val="24"/>
          <w:szCs w:val="24"/>
          <w:u w:val="single"/>
        </w:rPr>
        <w:t>               </w:t>
      </w:r>
      <w:r>
        <w:rPr>
          <w:rFonts w:hint="eastAsia" w:asciiTheme="minorEastAsia" w:hAnsiTheme="minorEastAsia" w:eastAsiaTheme="minorEastAsia" w:cstheme="minorEastAsia"/>
          <w:color w:val="000000"/>
          <w:kern w:val="0"/>
          <w:sz w:val="24"/>
          <w:szCs w:val="24"/>
        </w:rPr>
        <w:t>。</w:t>
      </w:r>
    </w:p>
    <w:p w14:paraId="522C24CD">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承包人接收文件的地点：</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kern w:val="0"/>
          <w:sz w:val="24"/>
          <w:szCs w:val="24"/>
        </w:rPr>
        <w:t>；</w:t>
      </w:r>
    </w:p>
    <w:p w14:paraId="1BCD4AB2">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承包人指定的接收人为：</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kern w:val="0"/>
          <w:sz w:val="24"/>
          <w:szCs w:val="24"/>
        </w:rPr>
        <w:t>。</w:t>
      </w:r>
    </w:p>
    <w:p w14:paraId="61CC63A3">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监理人接收文件的地点：</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kern w:val="0"/>
          <w:sz w:val="24"/>
          <w:szCs w:val="24"/>
        </w:rPr>
        <w:t>；</w:t>
      </w:r>
    </w:p>
    <w:p w14:paraId="4D5E2CE2">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监理人指定的接收人为：</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kern w:val="0"/>
          <w:sz w:val="24"/>
          <w:szCs w:val="24"/>
        </w:rPr>
        <w:t>。</w:t>
      </w:r>
    </w:p>
    <w:p w14:paraId="2D3A5AE4">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1.10 交通运输</w:t>
      </w:r>
    </w:p>
    <w:p w14:paraId="7308DBB0">
      <w:pPr>
        <w:spacing w:line="360" w:lineRule="auto"/>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854" w:name="_Toc312677986"/>
      <w:bookmarkStart w:id="855" w:name="_Toc303539100"/>
      <w:bookmarkStart w:id="856" w:name="_Toc300934943"/>
      <w:bookmarkStart w:id="857" w:name="_Toc318581155"/>
      <w:bookmarkStart w:id="858" w:name="_Toc304295521"/>
      <w:r>
        <w:rPr>
          <w:rFonts w:hint="eastAsia" w:asciiTheme="minorEastAsia" w:hAnsiTheme="minorEastAsia" w:eastAsiaTheme="minorEastAsia" w:cstheme="minorEastAsia"/>
          <w:sz w:val="24"/>
          <w:szCs w:val="24"/>
        </w:rPr>
        <w:t>.10.1 出入现场的权利</w:t>
      </w:r>
    </w:p>
    <w:p w14:paraId="1F53FE2C">
      <w:pPr>
        <w:spacing w:line="360" w:lineRule="auto"/>
        <w:ind w:left="596" w:leftChars="284"/>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sz w:val="24"/>
          <w:szCs w:val="24"/>
        </w:rPr>
        <w:t>关于出入现场的权利的约定：</w:t>
      </w:r>
      <w:r>
        <w:rPr>
          <w:rFonts w:hint="eastAsia" w:asciiTheme="minorEastAsia" w:hAnsiTheme="minorEastAsia" w:eastAsiaTheme="minorEastAsia" w:cstheme="minorEastAsia"/>
          <w:color w:val="000000"/>
          <w:sz w:val="24"/>
          <w:szCs w:val="24"/>
          <w:u w:val="single"/>
        </w:rPr>
        <w:t>  </w:t>
      </w:r>
    </w:p>
    <w:p w14:paraId="40997E26">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u w:val="single"/>
        </w:rPr>
        <w:t>                             </w:t>
      </w:r>
      <w:r>
        <w:rPr>
          <w:rFonts w:hint="eastAsia" w:asciiTheme="minorEastAsia" w:hAnsiTheme="minorEastAsia" w:eastAsiaTheme="minorEastAsia" w:cstheme="minorEastAsia"/>
          <w:sz w:val="24"/>
          <w:szCs w:val="24"/>
        </w:rPr>
        <w:t>。</w:t>
      </w:r>
    </w:p>
    <w:bookmarkEnd w:id="854"/>
    <w:bookmarkEnd w:id="855"/>
    <w:bookmarkEnd w:id="856"/>
    <w:bookmarkEnd w:id="857"/>
    <w:bookmarkEnd w:id="858"/>
    <w:p w14:paraId="16B1A244">
      <w:pPr>
        <w:spacing w:line="360" w:lineRule="auto"/>
        <w:ind w:firstLine="480" w:firstLineChars="200"/>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859" w:name="_Toc318581156"/>
      <w:bookmarkStart w:id="860" w:name="_Toc304295522"/>
      <w:bookmarkStart w:id="861" w:name="_Toc303539101"/>
      <w:bookmarkStart w:id="862" w:name="_Toc300934944"/>
      <w:bookmarkStart w:id="863" w:name="_Toc312677987"/>
      <w:r>
        <w:rPr>
          <w:rFonts w:hint="eastAsia" w:asciiTheme="minorEastAsia" w:hAnsiTheme="minorEastAsia" w:eastAsiaTheme="minorEastAsia" w:cstheme="minorEastAsia"/>
          <w:sz w:val="24"/>
          <w:szCs w:val="24"/>
        </w:rPr>
        <w:t>.10.3 场内交通</w:t>
      </w:r>
    </w:p>
    <w:p w14:paraId="36019389">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关于场外交通和场内交通的边界的约定：</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sz w:val="24"/>
          <w:szCs w:val="24"/>
        </w:rPr>
        <w:t>。</w:t>
      </w:r>
    </w:p>
    <w:p w14:paraId="0DF482F2">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关于发包人向承包人免费提供满足工程施工需要的场内道路和交通设施的约定：</w:t>
      </w:r>
      <w:r>
        <w:rPr>
          <w:rFonts w:hint="eastAsia" w:asciiTheme="minorEastAsia" w:hAnsiTheme="minorEastAsia" w:eastAsiaTheme="minorEastAsia" w:cstheme="minorEastAsia"/>
          <w:color w:val="000000"/>
          <w:sz w:val="24"/>
          <w:szCs w:val="24"/>
          <w:u w:val="single"/>
        </w:rPr>
        <w:t>                                        </w:t>
      </w:r>
      <w:r>
        <w:rPr>
          <w:rFonts w:hint="eastAsia" w:asciiTheme="minorEastAsia" w:hAnsiTheme="minorEastAsia" w:eastAsiaTheme="minorEastAsia" w:cstheme="minorEastAsia"/>
          <w:sz w:val="24"/>
          <w:szCs w:val="24"/>
        </w:rPr>
        <w:t>。</w:t>
      </w:r>
      <w:bookmarkEnd w:id="859"/>
      <w:bookmarkEnd w:id="860"/>
      <w:bookmarkEnd w:id="861"/>
      <w:bookmarkEnd w:id="862"/>
      <w:bookmarkEnd w:id="863"/>
      <w:r>
        <w:rPr>
          <w:rFonts w:hint="eastAsia" w:asciiTheme="minorEastAsia" w:hAnsiTheme="minorEastAsia" w:eastAsiaTheme="minorEastAsia" w:cstheme="minorEastAsia"/>
          <w:sz w:val="24"/>
          <w:szCs w:val="24"/>
        </w:rPr>
        <w:t xml:space="preserve">  </w:t>
      </w:r>
      <w:bookmarkStart w:id="864" w:name="_Toc318581157"/>
    </w:p>
    <w:p w14:paraId="018B5EFF">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1.10.4超大件和超重件的运输</w:t>
      </w:r>
    </w:p>
    <w:p w14:paraId="531535A4">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运输超大件或超重件所需的道路和桥梁临时加固改造费用和其他有关费用由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承担。</w:t>
      </w:r>
    </w:p>
    <w:bookmarkEnd w:id="864"/>
    <w:p w14:paraId="53A5C0BC">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 知识产权</w:t>
      </w:r>
    </w:p>
    <w:p w14:paraId="1770C6F9">
      <w:pPr>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000000"/>
          <w:sz w:val="24"/>
          <w:szCs w:val="24"/>
          <w:u w:val="single"/>
        </w:rPr>
        <w:t>                     </w:t>
      </w:r>
    </w:p>
    <w:p w14:paraId="37967697">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                            </w:t>
      </w:r>
      <w:r>
        <w:rPr>
          <w:rFonts w:hint="eastAsia" w:asciiTheme="minorEastAsia" w:hAnsiTheme="minorEastAsia" w:eastAsiaTheme="minorEastAsia" w:cstheme="minorEastAsia"/>
          <w:color w:val="000000"/>
          <w:sz w:val="24"/>
          <w:szCs w:val="24"/>
        </w:rPr>
        <w:t>。</w:t>
      </w:r>
    </w:p>
    <w:p w14:paraId="1F666D38">
      <w:pPr>
        <w:spacing w:line="360" w:lineRule="auto"/>
        <w:ind w:left="596" w:leftChars="284"/>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关于发包人提供的上述文件的使用限制的要求：</w:t>
      </w:r>
      <w:r>
        <w:rPr>
          <w:rFonts w:hint="eastAsia" w:asciiTheme="minorEastAsia" w:hAnsiTheme="minorEastAsia" w:eastAsiaTheme="minorEastAsia" w:cstheme="minorEastAsia"/>
          <w:color w:val="000000"/>
          <w:sz w:val="24"/>
          <w:szCs w:val="24"/>
          <w:u w:val="single"/>
        </w:rPr>
        <w:t xml:space="preserve">             </w:t>
      </w:r>
    </w:p>
    <w:p w14:paraId="36341CD2">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7B75C3D0">
      <w:pPr>
        <w:spacing w:line="360" w:lineRule="auto"/>
        <w:ind w:left="596" w:leftChars="284"/>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1.11.2 关于承包人为实施工程所编制文件的著作权的归属：</w:t>
      </w:r>
      <w:r>
        <w:rPr>
          <w:rFonts w:hint="eastAsia" w:asciiTheme="minorEastAsia" w:hAnsiTheme="minorEastAsia" w:eastAsiaTheme="minorEastAsia" w:cstheme="minorEastAsia"/>
          <w:color w:val="000000"/>
          <w:sz w:val="24"/>
          <w:szCs w:val="24"/>
          <w:u w:val="single"/>
        </w:rPr>
        <w:t xml:space="preserve">    </w:t>
      </w:r>
    </w:p>
    <w:p w14:paraId="21FE772E">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3F9A6697">
      <w:pPr>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关于承包人提供的上述文件的使用限制的要求：</w:t>
      </w:r>
      <w:r>
        <w:rPr>
          <w:rFonts w:hint="eastAsia" w:asciiTheme="minorEastAsia" w:hAnsiTheme="minorEastAsia" w:eastAsiaTheme="minorEastAsia" w:cstheme="minorEastAsia"/>
          <w:color w:val="000000"/>
          <w:sz w:val="24"/>
          <w:szCs w:val="24"/>
          <w:u w:val="single"/>
        </w:rPr>
        <w:t>   </w:t>
      </w:r>
    </w:p>
    <w:p w14:paraId="0C2B36B9">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                 </w:t>
      </w:r>
      <w:r>
        <w:rPr>
          <w:rFonts w:hint="eastAsia" w:asciiTheme="minorEastAsia" w:hAnsiTheme="minorEastAsia" w:eastAsiaTheme="minorEastAsia" w:cstheme="minorEastAsia"/>
          <w:color w:val="000000"/>
          <w:sz w:val="24"/>
          <w:szCs w:val="24"/>
        </w:rPr>
        <w:t>。</w:t>
      </w:r>
    </w:p>
    <w:p w14:paraId="01E242B9">
      <w:pPr>
        <w:spacing w:line="360" w:lineRule="auto"/>
        <w:ind w:firstLine="480" w:firstLineChars="200"/>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1.11.4 承包人在施工过程中所采用的专利、专有技术、技术秘密的使用费的承担方式：</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kern w:val="0"/>
          <w:sz w:val="24"/>
          <w:szCs w:val="24"/>
        </w:rPr>
        <w:t>。</w:t>
      </w:r>
    </w:p>
    <w:p w14:paraId="579F5203">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1.13工程量清单错误的修正</w:t>
      </w:r>
    </w:p>
    <w:p w14:paraId="40E75A3E">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出现工程量清单错误时，是否调整合同价格：</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kern w:val="0"/>
          <w:sz w:val="24"/>
          <w:szCs w:val="24"/>
        </w:rPr>
        <w:t>。</w:t>
      </w:r>
    </w:p>
    <w:p w14:paraId="12D0A3BF">
      <w:pPr>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允许调整合同价格的工程量偏差范围：</w:t>
      </w:r>
      <w:r>
        <w:rPr>
          <w:rFonts w:hint="eastAsia" w:asciiTheme="minorEastAsia" w:hAnsiTheme="minorEastAsia" w:eastAsiaTheme="minorEastAsia" w:cstheme="minorEastAsia"/>
          <w:color w:val="000000"/>
          <w:sz w:val="24"/>
          <w:szCs w:val="24"/>
          <w:u w:val="single"/>
        </w:rPr>
        <w:t xml:space="preserve">                  </w:t>
      </w:r>
    </w:p>
    <w:p w14:paraId="33840CEF">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kern w:val="0"/>
          <w:sz w:val="24"/>
          <w:szCs w:val="24"/>
        </w:rPr>
        <w:t>。</w:t>
      </w:r>
    </w:p>
    <w:p w14:paraId="048027DE">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865" w:name="_Toc351203634"/>
      <w:r>
        <w:rPr>
          <w:rFonts w:hint="eastAsia" w:asciiTheme="minorEastAsia" w:hAnsiTheme="minorEastAsia" w:eastAsiaTheme="minorEastAsia" w:cstheme="minorEastAsia"/>
          <w:b w:val="0"/>
          <w:color w:val="000000"/>
          <w:sz w:val="24"/>
          <w:szCs w:val="24"/>
        </w:rPr>
        <w:t>2</w:t>
      </w:r>
      <w:bookmarkStart w:id="866" w:name="_Toc296346658"/>
      <w:bookmarkStart w:id="867" w:name="_Toc292559867"/>
      <w:bookmarkStart w:id="868" w:name="_Toc296944496"/>
      <w:bookmarkStart w:id="869" w:name="_Toc296891197"/>
      <w:bookmarkStart w:id="870" w:name="_Toc296347156"/>
      <w:bookmarkStart w:id="871" w:name="_Toc292559362"/>
      <w:bookmarkStart w:id="872" w:name="_Toc297048343"/>
      <w:bookmarkStart w:id="873" w:name="_Toc296503157"/>
      <w:bookmarkStart w:id="874" w:name="_Toc297120457"/>
      <w:bookmarkStart w:id="875" w:name="_Toc296890985"/>
      <w:r>
        <w:rPr>
          <w:rFonts w:hint="eastAsia" w:asciiTheme="minorEastAsia" w:hAnsiTheme="minorEastAsia" w:eastAsiaTheme="minorEastAsia" w:cstheme="minorEastAsia"/>
          <w:b w:val="0"/>
          <w:color w:val="000000"/>
          <w:sz w:val="24"/>
          <w:szCs w:val="24"/>
        </w:rPr>
        <w:t>. 发包人</w:t>
      </w:r>
      <w:bookmarkEnd w:id="865"/>
    </w:p>
    <w:bookmarkEnd w:id="866"/>
    <w:bookmarkEnd w:id="867"/>
    <w:bookmarkEnd w:id="868"/>
    <w:bookmarkEnd w:id="869"/>
    <w:bookmarkEnd w:id="870"/>
    <w:bookmarkEnd w:id="871"/>
    <w:bookmarkEnd w:id="872"/>
    <w:bookmarkEnd w:id="873"/>
    <w:bookmarkEnd w:id="874"/>
    <w:bookmarkEnd w:id="875"/>
    <w:p w14:paraId="3F4FDB63">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 发包人代表</w:t>
      </w:r>
    </w:p>
    <w:p w14:paraId="08C8187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发包人代表：</w:t>
      </w:r>
    </w:p>
    <w:p w14:paraId="059556F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姓    名：</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3F8A45D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身份证号：</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2BF1DE16">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职    务：</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4AEFEF1E">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w:t>
      </w:r>
      <w:r>
        <w:rPr>
          <w:rFonts w:hint="eastAsia" w:asciiTheme="minorEastAsia" w:hAnsiTheme="minorEastAsia" w:eastAsiaTheme="minorEastAsia" w:cstheme="minorEastAsia"/>
          <w:color w:val="000000"/>
          <w:sz w:val="24"/>
          <w:szCs w:val="24"/>
          <w:u w:val="single"/>
        </w:rPr>
        <w:t>     </w:t>
      </w:r>
      <w:r>
        <w:rPr>
          <w:rFonts w:hint="eastAsia" w:asciiTheme="minorEastAsia" w:hAnsiTheme="minorEastAsia" w:eastAsiaTheme="minorEastAsia" w:cstheme="minorEastAsia"/>
          <w:color w:val="000000"/>
          <w:sz w:val="24"/>
          <w:szCs w:val="24"/>
        </w:rPr>
        <w:t>；</w:t>
      </w:r>
    </w:p>
    <w:p w14:paraId="45786D88">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电子信箱：</w:t>
      </w:r>
      <w:r>
        <w:rPr>
          <w:rFonts w:hint="eastAsia" w:asciiTheme="minorEastAsia" w:hAnsiTheme="minorEastAsia" w:eastAsiaTheme="minorEastAsia" w:cstheme="minorEastAsia"/>
          <w:color w:val="000000"/>
          <w:sz w:val="24"/>
          <w:szCs w:val="24"/>
          <w:u w:val="single"/>
        </w:rPr>
        <w:t>     </w:t>
      </w:r>
      <w:r>
        <w:rPr>
          <w:rFonts w:hint="eastAsia" w:asciiTheme="minorEastAsia" w:hAnsiTheme="minorEastAsia" w:eastAsiaTheme="minorEastAsia" w:cstheme="minorEastAsia"/>
          <w:color w:val="000000"/>
          <w:sz w:val="24"/>
          <w:szCs w:val="24"/>
        </w:rPr>
        <w:t>；</w:t>
      </w:r>
    </w:p>
    <w:p w14:paraId="6C88716E">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通信地址：</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56D67845">
      <w:pPr>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发包人对发包人代表的授权范围如下：</w:t>
      </w:r>
      <w:r>
        <w:rPr>
          <w:rFonts w:hint="eastAsia" w:asciiTheme="minorEastAsia" w:hAnsiTheme="minorEastAsia" w:eastAsiaTheme="minorEastAsia" w:cstheme="minorEastAsia"/>
          <w:color w:val="000000"/>
          <w:sz w:val="24"/>
          <w:szCs w:val="24"/>
          <w:u w:val="single"/>
        </w:rPr>
        <w:t>     </w:t>
      </w:r>
    </w:p>
    <w:p w14:paraId="4D12FA3B">
      <w:pPr>
        <w:spacing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w:t>
      </w:r>
    </w:p>
    <w:p w14:paraId="0A58BC40">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 施工现场、施工条件和基础资料的提供</w:t>
      </w:r>
    </w:p>
    <w:p w14:paraId="4C656A3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2.4.1 提供施工现场</w:t>
      </w:r>
    </w:p>
    <w:p w14:paraId="15FC711F">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关于发包人移交施工现场的期限要求：</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                         </w:t>
      </w:r>
      <w:r>
        <w:rPr>
          <w:rFonts w:hint="eastAsia" w:asciiTheme="minorEastAsia" w:hAnsiTheme="minorEastAsia" w:eastAsiaTheme="minorEastAsia" w:cstheme="minorEastAsia"/>
          <w:color w:val="000000"/>
          <w:sz w:val="24"/>
          <w:szCs w:val="24"/>
        </w:rPr>
        <w:t>。</w:t>
      </w:r>
    </w:p>
    <w:p w14:paraId="2F681B80">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2.4.2 提供施工条件</w:t>
      </w:r>
    </w:p>
    <w:p w14:paraId="0B57D547">
      <w:pPr>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关于发包人应负责提供施工所需要的条件，包括：</w:t>
      </w:r>
      <w:r>
        <w:rPr>
          <w:rFonts w:hint="eastAsia" w:asciiTheme="minorEastAsia" w:hAnsiTheme="minorEastAsia" w:eastAsiaTheme="minorEastAsia" w:cstheme="minorEastAsia"/>
          <w:color w:val="000000"/>
          <w:sz w:val="24"/>
          <w:szCs w:val="24"/>
          <w:u w:val="single"/>
        </w:rPr>
        <w:t xml:space="preserve">                                                            </w:t>
      </w:r>
      <w:r>
        <w:rPr>
          <w:rFonts w:hint="eastAsia" w:asciiTheme="minorEastAsia" w:hAnsiTheme="minorEastAsia" w:eastAsiaTheme="minorEastAsia" w:cstheme="minorEastAsia"/>
          <w:color w:val="000000"/>
          <w:sz w:val="24"/>
          <w:szCs w:val="24"/>
        </w:rPr>
        <w:t>。</w:t>
      </w:r>
    </w:p>
    <w:p w14:paraId="518E53D8">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 资金来源证明及支付担保</w:t>
      </w:r>
    </w:p>
    <w:p w14:paraId="59599663">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发包人提供资金来源证明的期限要求：</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E30AFE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发包人是否提供支付担保：</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w:t>
      </w:r>
    </w:p>
    <w:p w14:paraId="2BE31984">
      <w:pPr>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发包人提供支付担保的形式：</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4EBC0E74">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876" w:name="_Toc351203635"/>
      <w:r>
        <w:rPr>
          <w:rFonts w:hint="eastAsia" w:asciiTheme="minorEastAsia" w:hAnsiTheme="minorEastAsia" w:eastAsiaTheme="minorEastAsia" w:cstheme="minorEastAsia"/>
          <w:b w:val="0"/>
          <w:color w:val="000000"/>
          <w:sz w:val="24"/>
          <w:szCs w:val="24"/>
        </w:rPr>
        <w:t>3</w:t>
      </w:r>
      <w:bookmarkStart w:id="877" w:name="_Toc297048344"/>
      <w:bookmarkStart w:id="878" w:name="_Toc296891198"/>
      <w:bookmarkStart w:id="879" w:name="_Toc296347157"/>
      <w:bookmarkStart w:id="880" w:name="_Toc297120458"/>
      <w:bookmarkStart w:id="881" w:name="_Toc296346659"/>
      <w:bookmarkStart w:id="882" w:name="_Toc296890986"/>
      <w:bookmarkStart w:id="883" w:name="_Toc292559868"/>
      <w:bookmarkStart w:id="884" w:name="_Toc296503158"/>
      <w:bookmarkStart w:id="885" w:name="_Toc292559363"/>
      <w:bookmarkStart w:id="886" w:name="_Toc296944497"/>
      <w:r>
        <w:rPr>
          <w:rFonts w:hint="eastAsia" w:asciiTheme="minorEastAsia" w:hAnsiTheme="minorEastAsia" w:eastAsiaTheme="minorEastAsia" w:cstheme="minorEastAsia"/>
          <w:b w:val="0"/>
          <w:color w:val="000000"/>
          <w:sz w:val="24"/>
          <w:szCs w:val="24"/>
        </w:rPr>
        <w:t>. 承包人</w:t>
      </w:r>
      <w:bookmarkEnd w:id="876"/>
    </w:p>
    <w:bookmarkEnd w:id="877"/>
    <w:bookmarkEnd w:id="878"/>
    <w:bookmarkEnd w:id="879"/>
    <w:bookmarkEnd w:id="880"/>
    <w:bookmarkEnd w:id="881"/>
    <w:bookmarkEnd w:id="882"/>
    <w:bookmarkEnd w:id="883"/>
    <w:bookmarkEnd w:id="884"/>
    <w:bookmarkEnd w:id="885"/>
    <w:bookmarkEnd w:id="886"/>
    <w:p w14:paraId="35FF15B7">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承包人的一般义务</w:t>
      </w:r>
    </w:p>
    <w:p w14:paraId="6ECED0C5">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kern w:val="0"/>
          <w:sz w:val="24"/>
          <w:szCs w:val="24"/>
        </w:rPr>
        <w:t>（9）</w:t>
      </w:r>
      <w:r>
        <w:rPr>
          <w:rFonts w:hint="eastAsia" w:asciiTheme="minorEastAsia" w:hAnsiTheme="minorEastAsia" w:eastAsiaTheme="minorEastAsia" w:cstheme="minorEastAsia"/>
          <w:color w:val="000000"/>
          <w:sz w:val="24"/>
          <w:szCs w:val="24"/>
        </w:rPr>
        <w:t>承包人提交的竣工资料的内容：</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444C0C92">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40E6B3D9">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承包人需要提交的竣工资料套数：</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7CBD8458">
      <w:pPr>
        <w:spacing w:line="360" w:lineRule="auto"/>
        <w:ind w:left="638" w:leftChars="304"/>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承包人提交的竣工资料的费用承担：</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2C221536">
      <w:pPr>
        <w:spacing w:line="360" w:lineRule="auto"/>
        <w:ind w:left="638" w:leftChars="304"/>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承包人提交的竣工资料移交时间：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AC25A1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承包人提交的竣工资料形式要求：</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226854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（10）承包人应履行的其他义务：</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w:t>
      </w:r>
    </w:p>
    <w:p w14:paraId="6B8D3FCC">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项目经理</w:t>
      </w:r>
    </w:p>
    <w:p w14:paraId="72F7A9C8">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 xml:space="preserve">3.2.1 </w:t>
      </w:r>
      <w:r>
        <w:rPr>
          <w:rFonts w:hint="eastAsia" w:asciiTheme="minorEastAsia" w:hAnsiTheme="minorEastAsia" w:eastAsiaTheme="minorEastAsia" w:cstheme="minorEastAsia"/>
          <w:color w:val="000000"/>
          <w:sz w:val="24"/>
          <w:szCs w:val="24"/>
        </w:rPr>
        <w:t>项目经理：</w:t>
      </w:r>
    </w:p>
    <w:p w14:paraId="1FC5A1B8">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姓    名：</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3F947AE2">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身份证号：</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79E2C58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建造师执业资格等级：</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00EFBB5B">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建造师注册证书号：</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30A7353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建造师执业印章号：</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5ABC9B6E">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安全生产考核合格证书号：</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4CEBE87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w:t>
      </w:r>
      <w:r>
        <w:rPr>
          <w:rFonts w:hint="eastAsia" w:asciiTheme="minorEastAsia" w:hAnsiTheme="minorEastAsia" w:eastAsiaTheme="minorEastAsia" w:cstheme="minorEastAsia"/>
          <w:color w:val="000000"/>
          <w:sz w:val="24"/>
          <w:szCs w:val="24"/>
          <w:u w:val="single"/>
        </w:rPr>
        <w:t>         </w:t>
      </w:r>
      <w:r>
        <w:rPr>
          <w:rFonts w:hint="eastAsia" w:asciiTheme="minorEastAsia" w:hAnsiTheme="minorEastAsia" w:eastAsiaTheme="minorEastAsia" w:cstheme="minorEastAsia"/>
          <w:color w:val="000000"/>
          <w:sz w:val="24"/>
          <w:szCs w:val="24"/>
        </w:rPr>
        <w:t>；</w:t>
      </w:r>
    </w:p>
    <w:p w14:paraId="0785BB28">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电子信箱：</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009A05E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通信地址：</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112EB2A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承包人对项目经理的授权范围如下：</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w:t>
      </w:r>
    </w:p>
    <w:p w14:paraId="438F26DE">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关于项目经理每月在施工现场的时间要求：</w:t>
      </w:r>
      <w:r>
        <w:rPr>
          <w:rFonts w:hint="eastAsia" w:asciiTheme="minorEastAsia" w:hAnsiTheme="minorEastAsia" w:eastAsiaTheme="minorEastAsia" w:cstheme="minorEastAsia"/>
          <w:color w:val="000000"/>
          <w:sz w:val="24"/>
          <w:szCs w:val="24"/>
          <w:u w:val="single"/>
        </w:rPr>
        <w:t xml:space="preserve">                                                            </w:t>
      </w:r>
      <w:r>
        <w:rPr>
          <w:rFonts w:hint="eastAsia" w:asciiTheme="minorEastAsia" w:hAnsiTheme="minorEastAsia" w:eastAsiaTheme="minorEastAsia" w:cstheme="minorEastAsia"/>
          <w:color w:val="000000"/>
          <w:sz w:val="24"/>
          <w:szCs w:val="24"/>
        </w:rPr>
        <w:t>。</w:t>
      </w:r>
    </w:p>
    <w:p w14:paraId="32AB5839">
      <w:pPr>
        <w:spacing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承包人未提交劳动合同，以及没有为项目经理缴纳社会保险证明的违约责任：</w:t>
      </w:r>
      <w:r>
        <w:rPr>
          <w:rFonts w:hint="eastAsia" w:asciiTheme="minorEastAsia" w:hAnsiTheme="minorEastAsia" w:eastAsiaTheme="minorEastAsia" w:cstheme="minorEastAsia"/>
          <w:color w:val="000000"/>
          <w:sz w:val="24"/>
          <w:szCs w:val="24"/>
          <w:u w:val="single"/>
        </w:rPr>
        <w:t xml:space="preserve">                                                                                     </w:t>
      </w:r>
      <w:r>
        <w:rPr>
          <w:rFonts w:hint="eastAsia" w:asciiTheme="minorEastAsia" w:hAnsiTheme="minorEastAsia" w:eastAsiaTheme="minorEastAsia" w:cstheme="minorEastAsia"/>
          <w:color w:val="000000"/>
          <w:sz w:val="24"/>
          <w:szCs w:val="24"/>
        </w:rPr>
        <w:t>。</w:t>
      </w:r>
    </w:p>
    <w:p w14:paraId="6FCDF588">
      <w:pPr>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kern w:val="0"/>
          <w:sz w:val="24"/>
          <w:szCs w:val="24"/>
        </w:rPr>
        <w:t>项目经理未经批准，擅自离开施工现场的违约责任：</w:t>
      </w:r>
      <w:r>
        <w:rPr>
          <w:rFonts w:hint="eastAsia" w:asciiTheme="minorEastAsia" w:hAnsiTheme="minorEastAsia" w:eastAsiaTheme="minorEastAsia" w:cstheme="minorEastAsia"/>
          <w:color w:val="000000"/>
          <w:sz w:val="24"/>
          <w:szCs w:val="24"/>
          <w:u w:val="single"/>
        </w:rPr>
        <w:t xml:space="preserve">                                                        </w:t>
      </w:r>
      <w:r>
        <w:rPr>
          <w:rFonts w:hint="eastAsia" w:asciiTheme="minorEastAsia" w:hAnsiTheme="minorEastAsia" w:eastAsiaTheme="minorEastAsia" w:cstheme="minorEastAsia"/>
          <w:color w:val="000000"/>
          <w:sz w:val="24"/>
          <w:szCs w:val="24"/>
        </w:rPr>
        <w:t>。</w:t>
      </w:r>
    </w:p>
    <w:p w14:paraId="18C5C2DE">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3.2.3 承包人擅自更换项目经理的违约责任：</w:t>
      </w:r>
      <w:r>
        <w:rPr>
          <w:rFonts w:hint="eastAsia" w:asciiTheme="minorEastAsia" w:hAnsiTheme="minorEastAsia" w:eastAsiaTheme="minorEastAsia" w:cstheme="minorEastAsia"/>
          <w:color w:val="000000"/>
          <w:sz w:val="24"/>
          <w:szCs w:val="24"/>
          <w:u w:val="single"/>
        </w:rPr>
        <w:t xml:space="preserve">              </w:t>
      </w:r>
    </w:p>
    <w:p w14:paraId="57B3E8DC">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                                    </w:t>
      </w:r>
      <w:r>
        <w:rPr>
          <w:rFonts w:hint="eastAsia" w:asciiTheme="minorEastAsia" w:hAnsiTheme="minorEastAsia" w:eastAsiaTheme="minorEastAsia" w:cstheme="minorEastAsia"/>
          <w:color w:val="000000"/>
          <w:sz w:val="24"/>
          <w:szCs w:val="24"/>
        </w:rPr>
        <w:t>。</w:t>
      </w:r>
    </w:p>
    <w:p w14:paraId="31B0CED7">
      <w:pPr>
        <w:spacing w:line="360" w:lineRule="auto"/>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3.2.4 承包人无正当理由拒绝更换项目经理的违约责任：</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662A603B">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 承包人人员</w:t>
      </w:r>
    </w:p>
    <w:p w14:paraId="1E385729">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3.3.1 承包人提交项目管理机构及施工现场管理人员安排报告的期限：</w:t>
      </w:r>
      <w:r>
        <w:rPr>
          <w:rFonts w:hint="eastAsia" w:asciiTheme="minorEastAsia" w:hAnsiTheme="minorEastAsia" w:eastAsiaTheme="minorEastAsia" w:cstheme="minorEastAsia"/>
          <w:color w:val="000000"/>
          <w:sz w:val="24"/>
          <w:szCs w:val="24"/>
          <w:u w:val="single"/>
        </w:rPr>
        <w:t xml:space="preserve">                                          </w:t>
      </w:r>
      <w:r>
        <w:rPr>
          <w:rFonts w:hint="eastAsia" w:asciiTheme="minorEastAsia" w:hAnsiTheme="minorEastAsia" w:eastAsiaTheme="minorEastAsia" w:cstheme="minorEastAsia"/>
          <w:color w:val="000000"/>
          <w:sz w:val="24"/>
          <w:szCs w:val="24"/>
        </w:rPr>
        <w:t>。</w:t>
      </w:r>
    </w:p>
    <w:p w14:paraId="46860540">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3.3.3 承包人无正当理由拒绝撤换主要施工管理人员的违约责任：</w:t>
      </w:r>
      <w:r>
        <w:rPr>
          <w:rFonts w:hint="eastAsia" w:asciiTheme="minorEastAsia" w:hAnsiTheme="minorEastAsia" w:eastAsiaTheme="minorEastAsia" w:cstheme="minorEastAsia"/>
          <w:color w:val="000000"/>
          <w:sz w:val="24"/>
          <w:szCs w:val="24"/>
          <w:u w:val="single"/>
        </w:rPr>
        <w:t xml:space="preserve">                                              </w:t>
      </w:r>
      <w:r>
        <w:rPr>
          <w:rFonts w:hint="eastAsia" w:asciiTheme="minorEastAsia" w:hAnsiTheme="minorEastAsia" w:eastAsiaTheme="minorEastAsia" w:cstheme="minorEastAsia"/>
          <w:color w:val="000000"/>
          <w:sz w:val="24"/>
          <w:szCs w:val="24"/>
        </w:rPr>
        <w:t>。</w:t>
      </w:r>
    </w:p>
    <w:p w14:paraId="02175E99">
      <w:pPr>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 xml:space="preserve">3.3.4 承包人主要施工管理人员离开施工现场的批准要求：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1911BB20">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3.3.5承包人擅自更换主要施工管理人员的违约责任：</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26F6447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承包人主要施工管理人员擅自离开施工现场的违约责任：</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55615FB">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bookmarkStart w:id="887" w:name="_Toc297048345"/>
      <w:bookmarkStart w:id="888" w:name="_Toc296944498"/>
      <w:bookmarkStart w:id="889" w:name="_Toc292559869"/>
      <w:bookmarkStart w:id="890" w:name="_Toc296891199"/>
      <w:bookmarkStart w:id="891" w:name="_Toc296347158"/>
      <w:bookmarkStart w:id="892" w:name="_Toc296890987"/>
      <w:bookmarkStart w:id="893" w:name="_Toc312677988"/>
      <w:bookmarkStart w:id="894" w:name="_Toc303539102"/>
      <w:bookmarkStart w:id="895" w:name="_Toc300934945"/>
      <w:bookmarkStart w:id="896" w:name="_Toc297216151"/>
      <w:bookmarkStart w:id="897" w:name="_Toc292559364"/>
      <w:bookmarkStart w:id="898" w:name="_Toc304295523"/>
      <w:bookmarkStart w:id="899" w:name="_Toc297120459"/>
      <w:bookmarkStart w:id="900" w:name="_Toc296503159"/>
      <w:bookmarkStart w:id="901" w:name="_Toc296346660"/>
      <w:bookmarkStart w:id="902" w:name="_Toc297123492"/>
      <w:r>
        <w:rPr>
          <w:rFonts w:hint="eastAsia" w:asciiTheme="minorEastAsia" w:hAnsiTheme="minorEastAsia" w:eastAsiaTheme="minorEastAsia" w:cstheme="minorEastAsia"/>
          <w:color w:val="000000"/>
          <w:sz w:val="24"/>
          <w:szCs w:val="24"/>
        </w:rPr>
        <w:t>.5 分包</w:t>
      </w:r>
    </w:p>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14:paraId="3D8EF95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903" w:name="_Toc296503160"/>
      <w:bookmarkStart w:id="904" w:name="_Toc297123493"/>
      <w:bookmarkStart w:id="905" w:name="_Toc292559365"/>
      <w:bookmarkStart w:id="906" w:name="_Toc297048346"/>
      <w:bookmarkStart w:id="907" w:name="_Toc304295524"/>
      <w:bookmarkStart w:id="908" w:name="_Toc296944499"/>
      <w:bookmarkStart w:id="909" w:name="_Toc300934946"/>
      <w:bookmarkStart w:id="910" w:name="_Toc303539103"/>
      <w:bookmarkStart w:id="911" w:name="_Toc297120460"/>
      <w:bookmarkStart w:id="912" w:name="_Toc292559870"/>
      <w:bookmarkStart w:id="913" w:name="_Toc296346661"/>
      <w:bookmarkStart w:id="914" w:name="_Toc296890988"/>
      <w:bookmarkStart w:id="915" w:name="_Toc296891200"/>
      <w:bookmarkStart w:id="916" w:name="_Toc297216152"/>
      <w:bookmarkStart w:id="917" w:name="_Toc296347159"/>
      <w:bookmarkStart w:id="918" w:name="_Toc312677989"/>
      <w:bookmarkStart w:id="919" w:name="_Toc318581158"/>
      <w:r>
        <w:rPr>
          <w:rFonts w:hint="eastAsia" w:asciiTheme="minorEastAsia" w:hAnsiTheme="minorEastAsia" w:eastAsiaTheme="minorEastAsia" w:cstheme="minorEastAsia"/>
          <w:sz w:val="24"/>
          <w:szCs w:val="24"/>
        </w:rPr>
        <w:t>.5.1 分包的一般约定</w:t>
      </w:r>
    </w:p>
    <w:p w14:paraId="5031D156">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禁止分包的工程包括：</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47088888">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sz w:val="24"/>
          <w:szCs w:val="24"/>
        </w:rPr>
        <w:t>主体结构、关键性工作的范围：</w:t>
      </w:r>
      <w:r>
        <w:rPr>
          <w:rFonts w:hint="eastAsia" w:asciiTheme="minorEastAsia" w:hAnsiTheme="minorEastAsia" w:eastAsiaTheme="minorEastAsia" w:cstheme="minorEastAsia"/>
          <w:color w:val="000000"/>
          <w:sz w:val="24"/>
          <w:szCs w:val="24"/>
          <w:u w:val="single"/>
        </w:rPr>
        <w:t xml:space="preserve">                      </w:t>
      </w:r>
    </w:p>
    <w:p w14:paraId="12AB5906">
      <w:pPr>
        <w:spacing w:line="360" w:lineRule="auto"/>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Start w:id="920" w:name="_Toc303539104"/>
      <w:bookmarkStart w:id="921" w:name="_Toc304295525"/>
      <w:bookmarkStart w:id="922" w:name="_Toc300934947"/>
      <w:bookmarkStart w:id="923" w:name="_Toc297123494"/>
      <w:bookmarkStart w:id="924" w:name="_Toc297120461"/>
      <w:bookmarkStart w:id="925" w:name="_Toc296944500"/>
      <w:bookmarkStart w:id="926" w:name="_Toc296890989"/>
      <w:bookmarkStart w:id="927" w:name="_Toc297048347"/>
      <w:bookmarkStart w:id="928" w:name="_Toc296346662"/>
      <w:bookmarkStart w:id="929" w:name="_Toc296891201"/>
      <w:bookmarkStart w:id="930" w:name="_Toc297216153"/>
      <w:bookmarkStart w:id="931" w:name="_Toc296503161"/>
      <w:bookmarkStart w:id="932" w:name="_Toc296347160"/>
    </w:p>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14:paraId="1295BCA5">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w:t>
      </w:r>
      <w:bookmarkStart w:id="933" w:name="_Toc318581159"/>
      <w:bookmarkStart w:id="934" w:name="_Toc312677990"/>
      <w:r>
        <w:rPr>
          <w:rFonts w:hint="eastAsia" w:asciiTheme="minorEastAsia" w:hAnsiTheme="minorEastAsia" w:eastAsiaTheme="minorEastAsia" w:cstheme="minorEastAsia"/>
          <w:sz w:val="24"/>
          <w:szCs w:val="24"/>
        </w:rPr>
        <w:t>.5.2分包的确定</w:t>
      </w:r>
    </w:p>
    <w:p w14:paraId="7AFAAE08">
      <w:pPr>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sz w:val="24"/>
          <w:szCs w:val="24"/>
        </w:rPr>
        <w:t>允许分包的专业工程包括：</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20EE7702">
      <w:pPr>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其他关于分包的约定：</w:t>
      </w:r>
      <w:r>
        <w:rPr>
          <w:rFonts w:hint="eastAsia" w:asciiTheme="minorEastAsia" w:hAnsiTheme="minorEastAsia" w:eastAsiaTheme="minorEastAsia" w:cstheme="minorEastAsia"/>
          <w:color w:val="000000"/>
          <w:sz w:val="24"/>
          <w:szCs w:val="24"/>
          <w:u w:val="single"/>
        </w:rPr>
        <w:t xml:space="preserve">                                  </w:t>
      </w:r>
    </w:p>
    <w:p w14:paraId="08B497F2">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784B2D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3.5.4 分包合同价款</w:t>
      </w:r>
    </w:p>
    <w:p w14:paraId="5677903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关于分包合同价款支付的约定：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bookmarkEnd w:id="933"/>
    <w:bookmarkEnd w:id="934"/>
    <w:p w14:paraId="1EF2740B">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3.6 工程照管与成品、半成品保护</w:t>
      </w:r>
    </w:p>
    <w:p w14:paraId="2946364F">
      <w:pPr>
        <w:spacing w:before="120" w:after="120" w:line="360" w:lineRule="auto"/>
        <w:ind w:firstLine="480" w:firstLineChars="200"/>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承包人负责照管工程及工程相关的材料、工程设备的起始时间：</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593932B2">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3.7 履约担保</w:t>
      </w:r>
    </w:p>
    <w:p w14:paraId="63B378BA">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承包人是否提供履约担保：</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73E2EEC6">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承包人提供履约担保的形式、金额及期限的：</w:t>
      </w:r>
      <w:r>
        <w:rPr>
          <w:rFonts w:hint="eastAsia" w:asciiTheme="minorEastAsia" w:hAnsiTheme="minorEastAsia" w:eastAsiaTheme="minorEastAsia" w:cstheme="minorEastAsia"/>
          <w:color w:val="000000"/>
          <w:sz w:val="24"/>
          <w:szCs w:val="24"/>
          <w:u w:val="single"/>
        </w:rPr>
        <w:t xml:space="preserve">              </w:t>
      </w:r>
    </w:p>
    <w:p w14:paraId="2C1311F9">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1F7C80E8">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935" w:name="_Toc351203636"/>
      <w:r>
        <w:rPr>
          <w:rFonts w:hint="eastAsia" w:asciiTheme="minorEastAsia" w:hAnsiTheme="minorEastAsia" w:eastAsiaTheme="minorEastAsia" w:cstheme="minorEastAsia"/>
          <w:b w:val="0"/>
          <w:color w:val="000000"/>
          <w:sz w:val="24"/>
          <w:szCs w:val="24"/>
        </w:rPr>
        <w:t>4</w:t>
      </w:r>
      <w:bookmarkStart w:id="936" w:name="_Toc292559366"/>
      <w:bookmarkStart w:id="937" w:name="_Toc267251413"/>
      <w:bookmarkStart w:id="938" w:name="_Toc296346663"/>
      <w:bookmarkStart w:id="939" w:name="_Toc296891202"/>
      <w:bookmarkStart w:id="940" w:name="_Toc296347161"/>
      <w:bookmarkStart w:id="941" w:name="_Toc297120462"/>
      <w:bookmarkStart w:id="942" w:name="_Toc296503162"/>
      <w:bookmarkStart w:id="943" w:name="_Toc296890990"/>
      <w:bookmarkStart w:id="944" w:name="_Toc292559871"/>
      <w:bookmarkStart w:id="945" w:name="_Toc296944501"/>
      <w:bookmarkStart w:id="946" w:name="_Toc297048348"/>
      <w:r>
        <w:rPr>
          <w:rFonts w:hint="eastAsia" w:asciiTheme="minorEastAsia" w:hAnsiTheme="minorEastAsia" w:eastAsiaTheme="minorEastAsia" w:cstheme="minorEastAsia"/>
          <w:b w:val="0"/>
          <w:color w:val="000000"/>
          <w:sz w:val="24"/>
          <w:szCs w:val="24"/>
        </w:rPr>
        <w:t>. 监</w:t>
      </w:r>
      <w:bookmarkEnd w:id="936"/>
      <w:bookmarkEnd w:id="937"/>
      <w:bookmarkEnd w:id="938"/>
      <w:bookmarkEnd w:id="939"/>
      <w:bookmarkEnd w:id="940"/>
      <w:bookmarkEnd w:id="941"/>
      <w:bookmarkEnd w:id="942"/>
      <w:bookmarkEnd w:id="943"/>
      <w:bookmarkEnd w:id="944"/>
      <w:bookmarkEnd w:id="945"/>
      <w:bookmarkEnd w:id="946"/>
      <w:r>
        <w:rPr>
          <w:rFonts w:hint="eastAsia" w:asciiTheme="minorEastAsia" w:hAnsiTheme="minorEastAsia" w:eastAsiaTheme="minorEastAsia" w:cstheme="minorEastAsia"/>
          <w:b w:val="0"/>
          <w:color w:val="000000"/>
          <w:sz w:val="24"/>
          <w:szCs w:val="24"/>
        </w:rPr>
        <w:t>理人</w:t>
      </w:r>
      <w:bookmarkEnd w:id="935"/>
    </w:p>
    <w:p w14:paraId="593DC553">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4.1监理人的一般规定</w:t>
      </w:r>
    </w:p>
    <w:p w14:paraId="5B16E769">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关于监理人的监理内容：</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25EA79C">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关于监理人的监理权限：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55A00FA5">
      <w:pPr>
        <w:spacing w:line="360" w:lineRule="auto"/>
        <w:ind w:firstLine="480" w:firstLineChars="20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关于监理人在施工现场的办公场所、生活场所的提供和费用承担的约定：</w:t>
      </w:r>
      <w:r>
        <w:rPr>
          <w:rFonts w:hint="eastAsia" w:asciiTheme="minorEastAsia" w:hAnsiTheme="minorEastAsia" w:eastAsiaTheme="minorEastAsia" w:cstheme="minorEastAsia"/>
          <w:color w:val="000000"/>
          <w:sz w:val="24"/>
          <w:szCs w:val="24"/>
          <w:u w:val="single"/>
        </w:rPr>
        <w:t xml:space="preserve">                                                </w:t>
      </w:r>
    </w:p>
    <w:p w14:paraId="50408673">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1433C6B">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监理人员</w:t>
      </w:r>
    </w:p>
    <w:p w14:paraId="26A83E29">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总监理工程师：</w:t>
      </w:r>
    </w:p>
    <w:p w14:paraId="0DCDE58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姓    名：</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5A167E0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职    务：</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672F229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监理工程师执业资格证书号：</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w:t>
      </w:r>
    </w:p>
    <w:p w14:paraId="1A82B609">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3EB02CB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电子信箱：</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5C14577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通信地址：</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48B265A4">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关于监理人的其他约定：</w:t>
      </w:r>
      <w:r>
        <w:rPr>
          <w:rFonts w:hint="eastAsia" w:asciiTheme="minorEastAsia" w:hAnsiTheme="minorEastAsia" w:eastAsiaTheme="minorEastAsia" w:cstheme="minorEastAsia"/>
          <w:color w:val="000000"/>
          <w:sz w:val="24"/>
          <w:szCs w:val="24"/>
          <w:u w:val="single"/>
        </w:rPr>
        <w:t>   </w:t>
      </w:r>
      <w:r>
        <w:rPr>
          <w:rFonts w:hint="eastAsia" w:asciiTheme="minorEastAsia" w:hAnsiTheme="minorEastAsia" w:eastAsiaTheme="minorEastAsia" w:cstheme="minorEastAsia"/>
          <w:color w:val="000000"/>
          <w:sz w:val="24"/>
          <w:szCs w:val="24"/>
        </w:rPr>
        <w:t>。</w:t>
      </w:r>
    </w:p>
    <w:p w14:paraId="7F5597DB">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4.4 商定或确定</w:t>
      </w:r>
    </w:p>
    <w:p w14:paraId="3BAFA9E7">
      <w:pPr>
        <w:spacing w:line="360" w:lineRule="auto"/>
        <w:ind w:firstLine="480" w:firstLineChars="200"/>
        <w:rPr>
          <w:rFonts w:hint="eastAsia" w:asciiTheme="minorEastAsia" w:hAnsiTheme="minorEastAsia" w:eastAsiaTheme="minorEastAsia" w:cstheme="minorEastAsia"/>
          <w:color w:val="000000"/>
          <w:sz w:val="24"/>
          <w:szCs w:val="24"/>
        </w:rPr>
      </w:pPr>
      <w:bookmarkStart w:id="947" w:name="_Toc267251418"/>
      <w:r>
        <w:rPr>
          <w:rFonts w:hint="eastAsia" w:asciiTheme="minorEastAsia" w:hAnsiTheme="minorEastAsia" w:eastAsiaTheme="minorEastAsia" w:cstheme="minorEastAsia"/>
          <w:color w:val="000000"/>
          <w:sz w:val="24"/>
          <w:szCs w:val="24"/>
        </w:rPr>
        <w:t>在发包人和承包人不能通过协商达成一致意见时，发包人授权监理人对以下事项进行确定：</w:t>
      </w:r>
    </w:p>
    <w:p w14:paraId="367AAAF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01B919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589A7F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2E130843">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948" w:name="_Toc351203637"/>
      <w:r>
        <w:rPr>
          <w:rFonts w:hint="eastAsia" w:asciiTheme="minorEastAsia" w:hAnsiTheme="minorEastAsia" w:eastAsiaTheme="minorEastAsia" w:cstheme="minorEastAsia"/>
          <w:b w:val="0"/>
          <w:color w:val="000000"/>
          <w:sz w:val="24"/>
          <w:szCs w:val="24"/>
        </w:rPr>
        <w:t>5</w:t>
      </w:r>
      <w:bookmarkEnd w:id="947"/>
      <w:bookmarkStart w:id="949" w:name="_Toc296891203"/>
      <w:bookmarkStart w:id="950" w:name="_Toc296347162"/>
      <w:bookmarkStart w:id="951" w:name="_Toc296944502"/>
      <w:bookmarkStart w:id="952" w:name="_Toc297120463"/>
      <w:bookmarkStart w:id="953" w:name="_Toc296346664"/>
      <w:bookmarkStart w:id="954" w:name="_Toc292559367"/>
      <w:bookmarkStart w:id="955" w:name="_Toc296503163"/>
      <w:bookmarkStart w:id="956" w:name="_Toc296890991"/>
      <w:bookmarkStart w:id="957" w:name="_Toc292559872"/>
      <w:bookmarkStart w:id="958" w:name="_Toc297048349"/>
      <w:r>
        <w:rPr>
          <w:rFonts w:hint="eastAsia" w:asciiTheme="minorEastAsia" w:hAnsiTheme="minorEastAsia" w:eastAsiaTheme="minorEastAsia" w:cstheme="minorEastAsia"/>
          <w:b w:val="0"/>
          <w:color w:val="000000"/>
          <w:sz w:val="24"/>
          <w:szCs w:val="24"/>
        </w:rPr>
        <w:t>. 工程质量</w:t>
      </w:r>
      <w:bookmarkEnd w:id="948"/>
    </w:p>
    <w:p w14:paraId="1A3C7FAD">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 质量要求</w:t>
      </w:r>
    </w:p>
    <w:p w14:paraId="2EA2330B">
      <w:pPr>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5</w:t>
      </w:r>
      <w:bookmarkStart w:id="959" w:name="_Toc300934949"/>
      <w:bookmarkStart w:id="960" w:name="_Toc297216155"/>
      <w:bookmarkStart w:id="961" w:name="_Toc312677997"/>
      <w:bookmarkStart w:id="962" w:name="_Toc303539106"/>
      <w:bookmarkStart w:id="963" w:name="_Toc304295527"/>
      <w:bookmarkStart w:id="964" w:name="_Toc297123496"/>
      <w:bookmarkStart w:id="965" w:name="_Toc318581164"/>
      <w:r>
        <w:rPr>
          <w:rFonts w:hint="eastAsia" w:asciiTheme="minorEastAsia" w:hAnsiTheme="minorEastAsia" w:eastAsiaTheme="minorEastAsia" w:cstheme="minorEastAsia"/>
          <w:sz w:val="24"/>
          <w:szCs w:val="24"/>
        </w:rPr>
        <w:t>.1.1 特殊质量标准和要求：</w:t>
      </w:r>
      <w:r>
        <w:rPr>
          <w:rFonts w:hint="eastAsia" w:asciiTheme="minorEastAsia" w:hAnsiTheme="minorEastAsia" w:eastAsiaTheme="minorEastAsia" w:cstheme="minorEastAsia"/>
          <w:sz w:val="24"/>
          <w:szCs w:val="24"/>
          <w:u w:val="single"/>
        </w:rPr>
        <w:t xml:space="preserve">                             </w:t>
      </w:r>
    </w:p>
    <w:p w14:paraId="257A06CD">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2DC65385">
      <w:pPr>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关于工程奖项的约定：</w:t>
      </w:r>
      <w:r>
        <w:rPr>
          <w:rFonts w:hint="eastAsia" w:asciiTheme="minorEastAsia" w:hAnsiTheme="minorEastAsia" w:eastAsiaTheme="minorEastAsia" w:cstheme="minorEastAsia"/>
          <w:sz w:val="24"/>
          <w:szCs w:val="24"/>
          <w:u w:val="single"/>
        </w:rPr>
        <w:t xml:space="preserve">                                  </w:t>
      </w:r>
    </w:p>
    <w:p w14:paraId="63A3C5C7">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F3264F3">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 隐蔽工程检查</w:t>
      </w:r>
    </w:p>
    <w:p w14:paraId="6A10272E">
      <w:pPr>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5.3.2承包人提前通知监理人隐蔽工程检查的期限的约定：</w:t>
      </w:r>
      <w:r>
        <w:rPr>
          <w:rFonts w:hint="eastAsia" w:asciiTheme="minorEastAsia" w:hAnsiTheme="minorEastAsia" w:eastAsiaTheme="minorEastAsia" w:cstheme="minorEastAsia"/>
          <w:sz w:val="24"/>
          <w:szCs w:val="24"/>
          <w:u w:val="single"/>
        </w:rPr>
        <w:t xml:space="preserve">    </w:t>
      </w:r>
    </w:p>
    <w:p w14:paraId="237BA510">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8F674E6">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监理人不能按时进行检查时，应提前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小时提交书面延期要求。</w:t>
      </w:r>
    </w:p>
    <w:p w14:paraId="1A53A3FF">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小时。</w:t>
      </w:r>
    </w:p>
    <w:p w14:paraId="10CA1BBB">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966" w:name="_Toc351203638"/>
      <w:r>
        <w:rPr>
          <w:rFonts w:hint="eastAsia" w:asciiTheme="minorEastAsia" w:hAnsiTheme="minorEastAsia" w:eastAsiaTheme="minorEastAsia" w:cstheme="minorEastAsia"/>
          <w:b w:val="0"/>
          <w:color w:val="000000"/>
          <w:sz w:val="24"/>
          <w:szCs w:val="24"/>
        </w:rPr>
        <w:t>6. 安全文明施工与环境保护</w:t>
      </w:r>
      <w:bookmarkEnd w:id="966"/>
    </w:p>
    <w:p w14:paraId="1DA3E238">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6.1安全文明施工</w:t>
      </w:r>
    </w:p>
    <w:p w14:paraId="45D3BC91">
      <w:pPr>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6.1.1</w:t>
      </w:r>
      <w:r>
        <w:rPr>
          <w:rFonts w:hint="eastAsia" w:asciiTheme="minorEastAsia" w:hAnsiTheme="minorEastAsia" w:eastAsiaTheme="minorEastAsia" w:cstheme="minorEastAsia"/>
          <w:color w:val="000000"/>
          <w:sz w:val="24"/>
          <w:szCs w:val="24"/>
        </w:rPr>
        <w:t xml:space="preserve"> 项目安全生产的达标目标及相应事项的约定：</w:t>
      </w:r>
      <w:r>
        <w:rPr>
          <w:rFonts w:hint="eastAsia" w:asciiTheme="minorEastAsia" w:hAnsiTheme="minorEastAsia" w:eastAsiaTheme="minorEastAsia" w:cstheme="minorEastAsia"/>
          <w:sz w:val="24"/>
          <w:szCs w:val="24"/>
          <w:u w:val="single"/>
        </w:rPr>
        <w:t xml:space="preserve">         </w:t>
      </w:r>
    </w:p>
    <w:p w14:paraId="3A264F48">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70A34B5D">
      <w:pPr>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6.1.4 关于治安保卫的特别约定：</w:t>
      </w:r>
      <w:r>
        <w:rPr>
          <w:rFonts w:hint="eastAsia" w:asciiTheme="minorEastAsia" w:hAnsiTheme="minorEastAsia" w:eastAsiaTheme="minorEastAsia" w:cstheme="minorEastAsia"/>
          <w:sz w:val="24"/>
          <w:szCs w:val="24"/>
          <w:u w:val="single"/>
        </w:rPr>
        <w:t xml:space="preserve">                         </w:t>
      </w:r>
    </w:p>
    <w:p w14:paraId="617A8805">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53C15A88">
      <w:pPr>
        <w:spacing w:line="360" w:lineRule="auto"/>
        <w:ind w:firstLine="480" w:firstLineChars="200"/>
        <w:jc w:val="left"/>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关于编制施工场地治安管理计划的约定：</w:t>
      </w:r>
      <w:r>
        <w:rPr>
          <w:rFonts w:hint="eastAsia" w:asciiTheme="minorEastAsia" w:hAnsiTheme="minorEastAsia" w:eastAsiaTheme="minorEastAsia" w:cstheme="minorEastAsia"/>
          <w:sz w:val="24"/>
          <w:szCs w:val="24"/>
          <w:u w:val="single"/>
        </w:rPr>
        <w:t xml:space="preserve">                  </w:t>
      </w:r>
    </w:p>
    <w:p w14:paraId="17F06E0D">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43E4261">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6.1.5 文明施工</w:t>
      </w:r>
    </w:p>
    <w:p w14:paraId="6C7EE643">
      <w:pPr>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合同当事人对文明施工的要求：</w:t>
      </w:r>
      <w:r>
        <w:rPr>
          <w:rFonts w:hint="eastAsia" w:asciiTheme="minorEastAsia" w:hAnsiTheme="minorEastAsia" w:eastAsiaTheme="minorEastAsia" w:cstheme="minorEastAsia"/>
          <w:sz w:val="24"/>
          <w:szCs w:val="24"/>
          <w:u w:val="single"/>
        </w:rPr>
        <w:t xml:space="preserve">                          </w:t>
      </w:r>
    </w:p>
    <w:p w14:paraId="2ADF6D73">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3A6943D4">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6.1.6 关于安全文明施工费支付比例和支付期限的约定：</w:t>
      </w:r>
      <w:r>
        <w:rPr>
          <w:rFonts w:hint="eastAsia" w:asciiTheme="minorEastAsia" w:hAnsiTheme="minorEastAsia" w:eastAsiaTheme="minorEastAsia" w:cstheme="minorEastAsia"/>
          <w:sz w:val="24"/>
          <w:szCs w:val="24"/>
          <w:u w:val="single"/>
        </w:rPr>
        <w:t xml:space="preserve">     </w:t>
      </w:r>
    </w:p>
    <w:p w14:paraId="20D32FF1">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959"/>
    <w:bookmarkEnd w:id="960"/>
    <w:bookmarkEnd w:id="961"/>
    <w:bookmarkEnd w:id="962"/>
    <w:bookmarkEnd w:id="963"/>
    <w:bookmarkEnd w:id="964"/>
    <w:bookmarkEnd w:id="965"/>
    <w:p w14:paraId="6414043E">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967" w:name="_Toc351203639"/>
      <w:r>
        <w:rPr>
          <w:rFonts w:hint="eastAsia" w:asciiTheme="minorEastAsia" w:hAnsiTheme="minorEastAsia" w:eastAsiaTheme="minorEastAsia" w:cstheme="minorEastAsia"/>
          <w:b w:val="0"/>
          <w:color w:val="000000"/>
          <w:sz w:val="24"/>
          <w:szCs w:val="24"/>
        </w:rPr>
        <w:t>7. 工期和进度</w:t>
      </w:r>
      <w:bookmarkEnd w:id="967"/>
    </w:p>
    <w:p w14:paraId="66AAB6E2">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 施工组织设计</w:t>
      </w:r>
    </w:p>
    <w:p w14:paraId="6376F06F">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7.1.1 </w:t>
      </w:r>
      <w:r>
        <w:rPr>
          <w:rFonts w:hint="eastAsia" w:asciiTheme="minorEastAsia" w:hAnsiTheme="minorEastAsia" w:eastAsiaTheme="minorEastAsia" w:cstheme="minorEastAsia"/>
          <w:color w:val="000000"/>
          <w:sz w:val="24"/>
          <w:szCs w:val="24"/>
        </w:rPr>
        <w:t>合</w:t>
      </w:r>
      <w:r>
        <w:rPr>
          <w:rFonts w:hint="eastAsia" w:asciiTheme="minorEastAsia" w:hAnsiTheme="minorEastAsia" w:eastAsiaTheme="minorEastAsia" w:cstheme="minorEastAsia"/>
          <w:color w:val="000000"/>
          <w:kern w:val="0"/>
          <w:sz w:val="24"/>
          <w:szCs w:val="24"/>
        </w:rPr>
        <w:t>同当事人约定的施工组织设计应包括的其他内容：</w:t>
      </w:r>
      <w:r>
        <w:rPr>
          <w:rFonts w:hint="eastAsia" w:asciiTheme="minorEastAsia" w:hAnsiTheme="minorEastAsia" w:eastAsiaTheme="minorEastAsia" w:cstheme="minorEastAsia"/>
          <w:sz w:val="24"/>
          <w:szCs w:val="24"/>
          <w:u w:val="single"/>
        </w:rPr>
        <w:t xml:space="preserve">   </w:t>
      </w:r>
    </w:p>
    <w:p w14:paraId="6A9CEA5C">
      <w:pPr>
        <w:autoSpaceDE w:val="0"/>
        <w:autoSpaceDN w:val="0"/>
        <w:adjustRightInd w:val="0"/>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F74F4B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7.1.2</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kern w:val="0"/>
          <w:sz w:val="24"/>
          <w:szCs w:val="24"/>
        </w:rPr>
        <w:t>施工组织设计的提交和修改</w:t>
      </w:r>
    </w:p>
    <w:p w14:paraId="116CF287">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color w:val="000000"/>
          <w:kern w:val="0"/>
          <w:sz w:val="24"/>
          <w:szCs w:val="24"/>
        </w:rPr>
        <w:t>承包人提交详细施工组织设计的期限的约定：</w:t>
      </w:r>
      <w:r>
        <w:rPr>
          <w:rFonts w:hint="eastAsia" w:asciiTheme="minorEastAsia" w:hAnsiTheme="minorEastAsia" w:eastAsiaTheme="minorEastAsia" w:cstheme="minorEastAsia"/>
          <w:sz w:val="24"/>
          <w:szCs w:val="24"/>
          <w:u w:val="single"/>
        </w:rPr>
        <w:t xml:space="preserve">              </w:t>
      </w:r>
    </w:p>
    <w:p w14:paraId="6419FC12">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79E679D6">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发包人和监理人在收到详细的施工组织设计后确认或提出修改意见的期限：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51850AF4">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bookmarkStart w:id="968" w:name="_Toc304295541"/>
      <w:bookmarkStart w:id="969" w:name="_Toc303539123"/>
      <w:bookmarkStart w:id="970" w:name="_Toc297123514"/>
      <w:bookmarkStart w:id="971" w:name="_Toc297216173"/>
      <w:bookmarkStart w:id="972" w:name="_Toc312678005"/>
      <w:bookmarkStart w:id="973" w:name="_Toc312677479"/>
      <w:bookmarkStart w:id="974" w:name="_Toc300934966"/>
      <w:r>
        <w:rPr>
          <w:rFonts w:hint="eastAsia" w:asciiTheme="minorEastAsia" w:hAnsiTheme="minorEastAsia" w:eastAsiaTheme="minorEastAsia" w:cstheme="minorEastAsia"/>
          <w:color w:val="000000"/>
          <w:sz w:val="24"/>
          <w:szCs w:val="24"/>
        </w:rPr>
        <w:t>.2 施工进度计划</w:t>
      </w:r>
    </w:p>
    <w:p w14:paraId="351B6F7C">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7.2.2 施工进度计划的修订</w:t>
      </w:r>
    </w:p>
    <w:p w14:paraId="3B5FB04E">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发包人和监理人在收到修订的施工进度计划后确认或提出修改意见的期限：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411F2985">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7.3 开工</w:t>
      </w:r>
    </w:p>
    <w:p w14:paraId="083FBEB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7.3.1 开工准备</w:t>
      </w:r>
    </w:p>
    <w:p w14:paraId="35497817">
      <w:pPr>
        <w:spacing w:line="360" w:lineRule="auto"/>
        <w:ind w:firstLine="645"/>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color w:val="000000"/>
          <w:sz w:val="24"/>
          <w:szCs w:val="24"/>
        </w:rPr>
        <w:t>关于承包人提交</w:t>
      </w:r>
      <w:r>
        <w:rPr>
          <w:rFonts w:hint="eastAsia" w:asciiTheme="minorEastAsia" w:hAnsiTheme="minorEastAsia" w:eastAsiaTheme="minorEastAsia" w:cstheme="minorEastAsia"/>
          <w:color w:val="000000"/>
          <w:kern w:val="0"/>
          <w:sz w:val="24"/>
          <w:szCs w:val="24"/>
        </w:rPr>
        <w:t>工程开工报审表的期限：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43A7AC21">
      <w:pPr>
        <w:spacing w:line="360" w:lineRule="auto"/>
        <w:ind w:firstLine="645"/>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color w:val="000000"/>
          <w:sz w:val="24"/>
          <w:szCs w:val="24"/>
        </w:rPr>
        <w:t>关于发包人应完成的其他开工准备工作及期限：</w:t>
      </w:r>
      <w:r>
        <w:rPr>
          <w:rFonts w:hint="eastAsia" w:asciiTheme="minorEastAsia" w:hAnsiTheme="minorEastAsia" w:eastAsiaTheme="minorEastAsia" w:cstheme="minorEastAsia"/>
          <w:sz w:val="24"/>
          <w:szCs w:val="24"/>
          <w:u w:val="single"/>
        </w:rPr>
        <w:t xml:space="preserve">             </w:t>
      </w:r>
    </w:p>
    <w:p w14:paraId="37A7B38E">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713C3F15">
      <w:pPr>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color w:val="000000"/>
          <w:sz w:val="24"/>
          <w:szCs w:val="24"/>
        </w:rPr>
        <w:t>关于承包人应完成的其他开工准备工作及期限：</w:t>
      </w:r>
      <w:r>
        <w:rPr>
          <w:rFonts w:hint="eastAsia" w:asciiTheme="minorEastAsia" w:hAnsiTheme="minorEastAsia" w:eastAsiaTheme="minorEastAsia" w:cstheme="minorEastAsia"/>
          <w:sz w:val="24"/>
          <w:szCs w:val="24"/>
          <w:u w:val="single"/>
        </w:rPr>
        <w:t xml:space="preserve">            </w:t>
      </w:r>
    </w:p>
    <w:p w14:paraId="4EAD9945">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23D78746">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7.3.2开工通知</w:t>
      </w:r>
    </w:p>
    <w:p w14:paraId="721E6906">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因发包人原因造成监理人未能在计划开工日期之日起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color w:val="000000"/>
          <w:sz w:val="24"/>
          <w:szCs w:val="24"/>
        </w:rPr>
        <w:t>天内发出开工通知的，承包人有权提出价格调整要求，或者解除合同。</w:t>
      </w:r>
    </w:p>
    <w:bookmarkEnd w:id="968"/>
    <w:bookmarkEnd w:id="969"/>
    <w:bookmarkEnd w:id="970"/>
    <w:bookmarkEnd w:id="971"/>
    <w:bookmarkEnd w:id="972"/>
    <w:bookmarkEnd w:id="973"/>
    <w:bookmarkEnd w:id="974"/>
    <w:p w14:paraId="6D59FA82">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7.4 测量放线</w:t>
      </w:r>
    </w:p>
    <w:p w14:paraId="4BBED888">
      <w:pPr>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7.4.1发包人通过监理人向承包人提供测量基准点、基准线和水准点及其书面资料的期限：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78E95C0F">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bookmarkStart w:id="975" w:name="_Toc297216175"/>
      <w:bookmarkStart w:id="976" w:name="_Toc312677484"/>
      <w:bookmarkStart w:id="977" w:name="_Toc297123516"/>
      <w:bookmarkStart w:id="978" w:name="_Toc312678010"/>
      <w:bookmarkStart w:id="979" w:name="_Toc300934968"/>
      <w:bookmarkStart w:id="980" w:name="_Toc303539125"/>
      <w:bookmarkStart w:id="981" w:name="_Toc304295546"/>
      <w:r>
        <w:rPr>
          <w:rFonts w:hint="eastAsia" w:asciiTheme="minorEastAsia" w:hAnsiTheme="minorEastAsia" w:eastAsiaTheme="minorEastAsia" w:cstheme="minorEastAsia"/>
          <w:color w:val="000000"/>
          <w:sz w:val="24"/>
          <w:szCs w:val="24"/>
        </w:rPr>
        <w:t>.5 工期延误</w:t>
      </w:r>
    </w:p>
    <w:bookmarkEnd w:id="975"/>
    <w:bookmarkEnd w:id="976"/>
    <w:bookmarkEnd w:id="977"/>
    <w:bookmarkEnd w:id="978"/>
    <w:bookmarkEnd w:id="979"/>
    <w:bookmarkEnd w:id="980"/>
    <w:bookmarkEnd w:id="981"/>
    <w:p w14:paraId="60BDE4F3">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7.5.1 因发包人原因导致工期延误</w:t>
      </w:r>
    </w:p>
    <w:p w14:paraId="119AC064">
      <w:pPr>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（7）因发包人原因导致工期延误的其他情形：</w:t>
      </w:r>
      <w:r>
        <w:rPr>
          <w:rFonts w:hint="eastAsia" w:asciiTheme="minorEastAsia" w:hAnsiTheme="minorEastAsia" w:eastAsiaTheme="minorEastAsia" w:cstheme="minorEastAsia"/>
          <w:sz w:val="24"/>
          <w:szCs w:val="24"/>
          <w:u w:val="single"/>
        </w:rPr>
        <w:t xml:space="preserve">              </w:t>
      </w:r>
    </w:p>
    <w:p w14:paraId="484DAB8D">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33E4E75">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bookmarkStart w:id="982" w:name="_Toc312677486"/>
      <w:bookmarkStart w:id="983" w:name="_Toc318581169"/>
      <w:bookmarkStart w:id="984" w:name="_Toc312678012"/>
      <w:bookmarkStart w:id="985" w:name="_Toc300934970"/>
      <w:bookmarkStart w:id="986" w:name="_Toc297216177"/>
      <w:bookmarkStart w:id="987" w:name="_Toc303539127"/>
      <w:bookmarkStart w:id="988" w:name="_Toc304295548"/>
      <w:bookmarkStart w:id="989" w:name="_Toc297123518"/>
      <w:r>
        <w:rPr>
          <w:rFonts w:hint="eastAsia" w:asciiTheme="minorEastAsia" w:hAnsiTheme="minorEastAsia" w:eastAsiaTheme="minorEastAsia" w:cstheme="minorEastAsia"/>
          <w:sz w:val="24"/>
          <w:szCs w:val="24"/>
          <w:highlight w:val="none"/>
        </w:rPr>
        <w:t>.5.2 因承包人原因导致工期延误</w:t>
      </w:r>
    </w:p>
    <w:bookmarkEnd w:id="982"/>
    <w:bookmarkEnd w:id="983"/>
    <w:bookmarkEnd w:id="984"/>
    <w:p w14:paraId="5CE41E35">
      <w:pPr>
        <w:spacing w:line="360" w:lineRule="auto"/>
        <w:ind w:firstLine="480" w:firstLineChars="200"/>
        <w:jc w:val="lef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因</w:t>
      </w:r>
      <w:bookmarkStart w:id="990" w:name="_Toc312678013"/>
      <w:bookmarkStart w:id="991" w:name="_Toc312677487"/>
      <w:bookmarkStart w:id="992" w:name="_Toc318581170"/>
      <w:r>
        <w:rPr>
          <w:rFonts w:hint="eastAsia" w:asciiTheme="minorEastAsia" w:hAnsiTheme="minorEastAsia" w:eastAsiaTheme="minorEastAsia" w:cstheme="minorEastAsia"/>
          <w:sz w:val="24"/>
          <w:szCs w:val="24"/>
          <w:highlight w:val="none"/>
        </w:rPr>
        <w:t>承包人原因造成工期延误，逾期竣工违约金的计算方法为：</w:t>
      </w:r>
    </w:p>
    <w:p w14:paraId="3D04E7FA">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bookmarkEnd w:id="985"/>
      <w:bookmarkEnd w:id="986"/>
      <w:bookmarkEnd w:id="987"/>
      <w:bookmarkEnd w:id="988"/>
      <w:bookmarkEnd w:id="989"/>
      <w:bookmarkEnd w:id="990"/>
      <w:bookmarkEnd w:id="991"/>
    </w:p>
    <w:bookmarkEnd w:id="992"/>
    <w:p w14:paraId="43096DB2">
      <w:p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因承包人原因造成工期延误，逾</w:t>
      </w:r>
      <w:bookmarkStart w:id="993" w:name="_Toc312678014"/>
      <w:bookmarkStart w:id="994" w:name="_Toc318581171"/>
      <w:r>
        <w:rPr>
          <w:rFonts w:hint="eastAsia" w:asciiTheme="minorEastAsia" w:hAnsiTheme="minorEastAsia" w:eastAsiaTheme="minorEastAsia" w:cstheme="minorEastAsia"/>
          <w:sz w:val="24"/>
          <w:szCs w:val="24"/>
          <w:highlight w:val="none"/>
        </w:rPr>
        <w:t>期竣工违约金的上限：</w:t>
      </w:r>
      <w:r>
        <w:rPr>
          <w:rFonts w:hint="eastAsia" w:asciiTheme="minorEastAsia" w:hAnsiTheme="minorEastAsia" w:eastAsiaTheme="minorEastAsia" w:cstheme="minorEastAsia"/>
          <w:sz w:val="24"/>
          <w:szCs w:val="24"/>
          <w:highlight w:val="none"/>
          <w:u w:val="single"/>
        </w:rPr>
        <w:t xml:space="preserve">       </w:t>
      </w:r>
    </w:p>
    <w:p w14:paraId="4224BA6A">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bookmarkEnd w:id="993"/>
    <w:bookmarkEnd w:id="994"/>
    <w:p w14:paraId="3BF37ED6">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bookmarkStart w:id="995" w:name="_Toc297123519"/>
      <w:bookmarkStart w:id="996" w:name="_Toc303539128"/>
      <w:bookmarkStart w:id="997" w:name="_Toc304295549"/>
      <w:bookmarkStart w:id="998" w:name="_Toc300934971"/>
      <w:bookmarkStart w:id="999" w:name="_Toc312678015"/>
      <w:bookmarkStart w:id="1000" w:name="_Toc297216178"/>
      <w:r>
        <w:rPr>
          <w:rFonts w:hint="eastAsia" w:asciiTheme="minorEastAsia" w:hAnsiTheme="minorEastAsia" w:eastAsiaTheme="minorEastAsia" w:cstheme="minorEastAsia"/>
          <w:color w:val="000000"/>
          <w:sz w:val="24"/>
          <w:szCs w:val="24"/>
        </w:rPr>
        <w:t>.6 不</w:t>
      </w:r>
      <w:bookmarkEnd w:id="995"/>
      <w:bookmarkEnd w:id="996"/>
      <w:bookmarkEnd w:id="997"/>
      <w:bookmarkEnd w:id="998"/>
      <w:bookmarkEnd w:id="999"/>
      <w:bookmarkEnd w:id="1000"/>
      <w:r>
        <w:rPr>
          <w:rFonts w:hint="eastAsia" w:asciiTheme="minorEastAsia" w:hAnsiTheme="minorEastAsia" w:eastAsiaTheme="minorEastAsia" w:cstheme="minorEastAsia"/>
          <w:color w:val="000000"/>
          <w:sz w:val="24"/>
          <w:szCs w:val="24"/>
        </w:rPr>
        <w:t>利物质条件</w:t>
      </w:r>
    </w:p>
    <w:p w14:paraId="79F28083">
      <w:pPr>
        <w:spacing w:line="360" w:lineRule="auto"/>
        <w:ind w:firstLine="480" w:firstLineChars="200"/>
        <w:jc w:val="left"/>
        <w:rPr>
          <w:rFonts w:hint="eastAsia" w:asciiTheme="minorEastAsia" w:hAnsiTheme="minorEastAsia" w:eastAsiaTheme="minorEastAsia" w:cstheme="minorEastAsia"/>
          <w:sz w:val="24"/>
          <w:szCs w:val="24"/>
          <w:u w:val="single"/>
        </w:rPr>
      </w:pPr>
      <w:bookmarkStart w:id="1001" w:name="_Toc297216179"/>
      <w:bookmarkStart w:id="1002" w:name="_Toc303539129"/>
      <w:bookmarkStart w:id="1003" w:name="_Toc297123520"/>
      <w:bookmarkStart w:id="1004" w:name="_Toc318581172"/>
      <w:bookmarkStart w:id="1005" w:name="_Toc300934972"/>
      <w:bookmarkStart w:id="1006" w:name="_Toc304295550"/>
      <w:bookmarkStart w:id="1007" w:name="_Toc312678016"/>
      <w:r>
        <w:rPr>
          <w:rFonts w:hint="eastAsia" w:asciiTheme="minorEastAsia" w:hAnsiTheme="minorEastAsia" w:eastAsiaTheme="minorEastAsia" w:cstheme="minorEastAsia"/>
          <w:sz w:val="24"/>
          <w:szCs w:val="24"/>
        </w:rPr>
        <w:t>不利物质条件的其他情形和有关约定：</w:t>
      </w:r>
      <w:r>
        <w:rPr>
          <w:rFonts w:hint="eastAsia" w:asciiTheme="minorEastAsia" w:hAnsiTheme="minorEastAsia" w:eastAsiaTheme="minorEastAsia" w:cstheme="minorEastAsia"/>
          <w:sz w:val="24"/>
          <w:szCs w:val="24"/>
          <w:u w:val="single"/>
        </w:rPr>
        <w:t xml:space="preserve">                    </w:t>
      </w:r>
    </w:p>
    <w:p w14:paraId="5E1587D2">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1001"/>
    <w:bookmarkEnd w:id="1002"/>
    <w:bookmarkEnd w:id="1003"/>
    <w:bookmarkEnd w:id="1004"/>
    <w:bookmarkEnd w:id="1005"/>
    <w:bookmarkEnd w:id="1006"/>
    <w:bookmarkEnd w:id="1007"/>
    <w:p w14:paraId="73EB114C">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bookmarkStart w:id="1008" w:name="_Toc312678017"/>
      <w:bookmarkStart w:id="1009" w:name="_Toc297123521"/>
      <w:bookmarkStart w:id="1010" w:name="_Toc303539130"/>
      <w:bookmarkStart w:id="1011" w:name="_Toc297216180"/>
      <w:bookmarkStart w:id="1012" w:name="_Toc300934973"/>
      <w:bookmarkStart w:id="1013" w:name="_Toc304295551"/>
      <w:r>
        <w:rPr>
          <w:rFonts w:hint="eastAsia" w:asciiTheme="minorEastAsia" w:hAnsiTheme="minorEastAsia" w:eastAsiaTheme="minorEastAsia" w:cstheme="minorEastAsia"/>
          <w:color w:val="000000"/>
          <w:sz w:val="24"/>
          <w:szCs w:val="24"/>
        </w:rPr>
        <w:t>.7异常恶劣的气候条件</w:t>
      </w:r>
    </w:p>
    <w:bookmarkEnd w:id="1008"/>
    <w:bookmarkEnd w:id="1009"/>
    <w:bookmarkEnd w:id="1010"/>
    <w:bookmarkEnd w:id="1011"/>
    <w:bookmarkEnd w:id="1012"/>
    <w:bookmarkEnd w:id="1013"/>
    <w:p w14:paraId="030271DA">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发包人和承包人同意以下情形视为异常恶劣的气候条件：</w:t>
      </w:r>
    </w:p>
    <w:p w14:paraId="274F2CA5">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02697F57">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1A28468B">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5B9B0131">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7.9 提前竣工的奖励</w:t>
      </w:r>
    </w:p>
    <w:p w14:paraId="405469C5">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7.9.2提前竣工的奖励：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22CC11D7">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1014" w:name="_Toc351203640"/>
      <w:r>
        <w:rPr>
          <w:rFonts w:hint="eastAsia" w:asciiTheme="minorEastAsia" w:hAnsiTheme="minorEastAsia" w:eastAsiaTheme="minorEastAsia" w:cstheme="minorEastAsia"/>
          <w:b w:val="0"/>
          <w:color w:val="000000"/>
          <w:sz w:val="24"/>
          <w:szCs w:val="24"/>
        </w:rPr>
        <w:t>8. 材料与设备</w:t>
      </w:r>
      <w:bookmarkEnd w:id="1014"/>
    </w:p>
    <w:bookmarkEnd w:id="949"/>
    <w:bookmarkEnd w:id="950"/>
    <w:bookmarkEnd w:id="951"/>
    <w:bookmarkEnd w:id="952"/>
    <w:bookmarkEnd w:id="953"/>
    <w:bookmarkEnd w:id="954"/>
    <w:bookmarkEnd w:id="955"/>
    <w:bookmarkEnd w:id="956"/>
    <w:bookmarkEnd w:id="957"/>
    <w:bookmarkEnd w:id="958"/>
    <w:p w14:paraId="7EF94BCE">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w:t>
      </w:r>
      <w:bookmarkStart w:id="1015" w:name="_Toc297048353"/>
      <w:bookmarkStart w:id="1016" w:name="_Toc296346668"/>
      <w:bookmarkStart w:id="1017" w:name="_Toc297216186"/>
      <w:bookmarkStart w:id="1018" w:name="_Toc296347166"/>
      <w:bookmarkStart w:id="1019" w:name="_Toc300934979"/>
      <w:bookmarkStart w:id="1020" w:name="_Toc296503167"/>
      <w:bookmarkStart w:id="1021" w:name="_Toc304295556"/>
      <w:bookmarkStart w:id="1022" w:name="_Toc312678019"/>
      <w:bookmarkStart w:id="1023" w:name="_Toc312677493"/>
      <w:bookmarkStart w:id="1024" w:name="_Toc297120467"/>
      <w:bookmarkStart w:id="1025" w:name="_Toc292559877"/>
      <w:bookmarkStart w:id="1026" w:name="_Toc303539136"/>
      <w:bookmarkStart w:id="1027" w:name="_Toc296944506"/>
      <w:bookmarkStart w:id="1028" w:name="_Toc292559372"/>
      <w:bookmarkStart w:id="1029" w:name="_Toc296891207"/>
      <w:bookmarkStart w:id="1030" w:name="_Toc296890995"/>
      <w:bookmarkStart w:id="1031" w:name="_Toc297123527"/>
      <w:bookmarkStart w:id="1032" w:name="_Toc280868654"/>
      <w:bookmarkStart w:id="1033" w:name="_Toc280868656"/>
      <w:bookmarkStart w:id="1034" w:name="_Toc280868655"/>
      <w:bookmarkStart w:id="1035" w:name="_Toc267251424"/>
      <w:r>
        <w:rPr>
          <w:rFonts w:hint="eastAsia" w:asciiTheme="minorEastAsia" w:hAnsiTheme="minorEastAsia" w:eastAsiaTheme="minorEastAsia" w:cstheme="minorEastAsia"/>
          <w:color w:val="000000"/>
          <w:sz w:val="24"/>
          <w:szCs w:val="24"/>
        </w:rPr>
        <w:t>.4材料与工程设备的保管与使用</w:t>
      </w:r>
    </w:p>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14:paraId="5AC8F382">
      <w:pPr>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8</w:t>
      </w:r>
      <w:bookmarkStart w:id="1036" w:name="_Toc292559373"/>
      <w:bookmarkStart w:id="1037" w:name="_Toc292559878"/>
      <w:bookmarkStart w:id="1038" w:name="_Toc297123528"/>
      <w:bookmarkStart w:id="1039" w:name="_Toc300934980"/>
      <w:bookmarkStart w:id="1040" w:name="_Toc312677494"/>
      <w:bookmarkStart w:id="1041" w:name="_Toc318581173"/>
      <w:bookmarkStart w:id="1042" w:name="_Toc312678020"/>
      <w:bookmarkStart w:id="1043" w:name="_Toc296503168"/>
      <w:bookmarkStart w:id="1044" w:name="_Toc297048354"/>
      <w:bookmarkStart w:id="1045" w:name="_Toc296347167"/>
      <w:bookmarkStart w:id="1046" w:name="_Toc297120468"/>
      <w:bookmarkStart w:id="1047" w:name="_Toc297216187"/>
      <w:bookmarkStart w:id="1048" w:name="_Toc296890996"/>
      <w:bookmarkStart w:id="1049" w:name="_Toc296346669"/>
      <w:bookmarkStart w:id="1050" w:name="_Toc304295557"/>
      <w:bookmarkStart w:id="1051" w:name="_Toc296944507"/>
      <w:bookmarkStart w:id="1052" w:name="_Toc303539137"/>
      <w:bookmarkStart w:id="1053" w:name="_Toc296891208"/>
      <w:r>
        <w:rPr>
          <w:rFonts w:hint="eastAsia" w:asciiTheme="minorEastAsia" w:hAnsiTheme="minorEastAsia" w:eastAsiaTheme="minorEastAsia" w:cstheme="minorEastAsia"/>
          <w:sz w:val="24"/>
          <w:szCs w:val="24"/>
        </w:rPr>
        <w:t>.4.1发包人供应的材料设备的保管费用的承担：</w:t>
      </w:r>
      <w:r>
        <w:rPr>
          <w:rFonts w:hint="eastAsia" w:asciiTheme="minorEastAsia" w:hAnsiTheme="minorEastAsia" w:eastAsiaTheme="minorEastAsia" w:cstheme="minorEastAsia"/>
          <w:sz w:val="24"/>
          <w:szCs w:val="24"/>
          <w:u w:val="single"/>
        </w:rPr>
        <w:t xml:space="preserve">            </w:t>
      </w:r>
    </w:p>
    <w:p w14:paraId="116F1F5B">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bookmarkEnd w:id="1036"/>
      <w:bookmarkEnd w:id="1037"/>
    </w:p>
    <w:p w14:paraId="50A6BC38">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8.6 样品</w:t>
      </w:r>
    </w:p>
    <w:p w14:paraId="4D9D9B5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8.6.1</w:t>
      </w:r>
      <w:r>
        <w:rPr>
          <w:rFonts w:hint="eastAsia" w:asciiTheme="minorEastAsia" w:hAnsiTheme="minorEastAsia" w:eastAsiaTheme="minorEastAsia" w:cstheme="minorEastAsia"/>
          <w:color w:val="000000"/>
          <w:kern w:val="0"/>
          <w:sz w:val="24"/>
          <w:szCs w:val="24"/>
        </w:rPr>
        <w:tab/>
      </w:r>
      <w:r>
        <w:rPr>
          <w:rFonts w:hint="eastAsia" w:asciiTheme="minorEastAsia" w:hAnsiTheme="minorEastAsia" w:eastAsiaTheme="minorEastAsia" w:cstheme="minorEastAsia"/>
          <w:color w:val="000000"/>
          <w:kern w:val="0"/>
          <w:sz w:val="24"/>
          <w:szCs w:val="24"/>
        </w:rPr>
        <w:t>样品的报送与封存</w:t>
      </w:r>
    </w:p>
    <w:p w14:paraId="6225A683">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color w:val="000000"/>
          <w:kern w:val="0"/>
          <w:sz w:val="24"/>
          <w:szCs w:val="24"/>
        </w:rPr>
        <w:t>需要承包人报送样品的材料或工程设备，样品的种类、名称、规格、数量要求：</w:t>
      </w:r>
      <w:r>
        <w:rPr>
          <w:rFonts w:hint="eastAsia" w:asciiTheme="minorEastAsia" w:hAnsiTheme="minorEastAsia" w:eastAsiaTheme="minorEastAsia" w:cstheme="minorEastAsia"/>
          <w:sz w:val="24"/>
          <w:szCs w:val="24"/>
          <w:u w:val="single"/>
        </w:rPr>
        <w:t xml:space="preserve">                                          </w:t>
      </w:r>
    </w:p>
    <w:p w14:paraId="28173829">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7AA2F8F7">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8.8 施工设备和临时设施</w:t>
      </w:r>
    </w:p>
    <w:p w14:paraId="736AA46F">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8.8.1 承包人提供的施工设备和临时设施</w:t>
      </w:r>
    </w:p>
    <w:p w14:paraId="10B10D8D">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关于修建临时设施费用承担的约定：</w:t>
      </w:r>
      <w:r>
        <w:rPr>
          <w:rFonts w:hint="eastAsia" w:asciiTheme="minorEastAsia" w:hAnsiTheme="minorEastAsia" w:eastAsiaTheme="minorEastAsia" w:cstheme="minorEastAsia"/>
          <w:sz w:val="24"/>
          <w:szCs w:val="24"/>
          <w:u w:val="single"/>
        </w:rPr>
        <w:t xml:space="preserve">                     </w:t>
      </w:r>
    </w:p>
    <w:p w14:paraId="24584078">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14:paraId="3029128D">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1054" w:name="_Toc351203641"/>
      <w:r>
        <w:rPr>
          <w:rFonts w:hint="eastAsia" w:asciiTheme="minorEastAsia" w:hAnsiTheme="minorEastAsia" w:eastAsiaTheme="minorEastAsia" w:cstheme="minorEastAsia"/>
          <w:b w:val="0"/>
          <w:color w:val="000000"/>
          <w:sz w:val="24"/>
          <w:szCs w:val="24"/>
        </w:rPr>
        <w:t>9</w:t>
      </w:r>
      <w:bookmarkEnd w:id="1033"/>
      <w:bookmarkEnd w:id="1034"/>
      <w:bookmarkEnd w:id="1035"/>
      <w:bookmarkStart w:id="1055" w:name="_Toc297123533"/>
      <w:bookmarkStart w:id="1056" w:name="_Toc300934982"/>
      <w:bookmarkStart w:id="1057" w:name="_Toc297216192"/>
      <w:bookmarkStart w:id="1058" w:name="_Toc312678021"/>
      <w:bookmarkStart w:id="1059" w:name="_Toc312677495"/>
      <w:bookmarkStart w:id="1060" w:name="_Toc304295559"/>
      <w:bookmarkStart w:id="1061" w:name="_Toc303539139"/>
      <w:bookmarkStart w:id="1062" w:name="_Toc296891001"/>
      <w:bookmarkStart w:id="1063" w:name="_Toc296347172"/>
      <w:bookmarkStart w:id="1064" w:name="_Toc296944512"/>
      <w:bookmarkStart w:id="1065" w:name="_Toc297120473"/>
      <w:bookmarkStart w:id="1066" w:name="_Toc296503173"/>
      <w:bookmarkStart w:id="1067" w:name="_Toc296891213"/>
      <w:bookmarkStart w:id="1068" w:name="_Toc267251428"/>
      <w:bookmarkStart w:id="1069" w:name="_Toc292559883"/>
      <w:bookmarkStart w:id="1070" w:name="_Toc296346674"/>
      <w:bookmarkStart w:id="1071" w:name="_Toc292559378"/>
      <w:bookmarkStart w:id="1072" w:name="_Toc267251427"/>
      <w:bookmarkStart w:id="1073" w:name="_Toc297048359"/>
      <w:r>
        <w:rPr>
          <w:rFonts w:hint="eastAsia" w:asciiTheme="minorEastAsia" w:hAnsiTheme="minorEastAsia" w:eastAsiaTheme="minorEastAsia" w:cstheme="minorEastAsia"/>
          <w:b w:val="0"/>
          <w:color w:val="000000"/>
          <w:sz w:val="24"/>
          <w:szCs w:val="24"/>
        </w:rPr>
        <w:t>. 试验与检验</w:t>
      </w:r>
      <w:bookmarkEnd w:id="1054"/>
    </w:p>
    <w:bookmarkEnd w:id="1055"/>
    <w:bookmarkEnd w:id="1056"/>
    <w:bookmarkEnd w:id="1057"/>
    <w:bookmarkEnd w:id="1058"/>
    <w:bookmarkEnd w:id="1059"/>
    <w:bookmarkEnd w:id="1060"/>
    <w:bookmarkEnd w:id="1061"/>
    <w:p w14:paraId="20A1C5AF">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w:t>
      </w:r>
      <w:bookmarkStart w:id="1074" w:name="_Toc312677496"/>
      <w:bookmarkStart w:id="1075" w:name="_Toc300934983"/>
      <w:bookmarkStart w:id="1076" w:name="_Toc304295560"/>
      <w:bookmarkStart w:id="1077" w:name="_Toc297216193"/>
      <w:bookmarkStart w:id="1078" w:name="_Toc312678022"/>
      <w:bookmarkStart w:id="1079" w:name="_Toc297123534"/>
      <w:bookmarkStart w:id="1080" w:name="_Toc303539140"/>
      <w:r>
        <w:rPr>
          <w:rFonts w:hint="eastAsia" w:asciiTheme="minorEastAsia" w:hAnsiTheme="minorEastAsia" w:eastAsiaTheme="minorEastAsia" w:cstheme="minorEastAsia"/>
          <w:color w:val="000000"/>
          <w:sz w:val="24"/>
          <w:szCs w:val="24"/>
        </w:rPr>
        <w:t>.1试验设备与试验人员</w:t>
      </w:r>
    </w:p>
    <w:bookmarkEnd w:id="1074"/>
    <w:bookmarkEnd w:id="1075"/>
    <w:bookmarkEnd w:id="1076"/>
    <w:bookmarkEnd w:id="1077"/>
    <w:bookmarkEnd w:id="1078"/>
    <w:bookmarkEnd w:id="1079"/>
    <w:bookmarkEnd w:id="1080"/>
    <w:p w14:paraId="1598D4D4">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bookmarkStart w:id="1081" w:name="_Toc297216194"/>
      <w:bookmarkStart w:id="1082" w:name="_Toc300934984"/>
      <w:bookmarkStart w:id="1083" w:name="_Toc312678023"/>
      <w:bookmarkStart w:id="1084" w:name="_Toc303539141"/>
      <w:bookmarkStart w:id="1085" w:name="_Toc312677497"/>
      <w:bookmarkStart w:id="1086" w:name="_Toc304295561"/>
      <w:bookmarkStart w:id="1087" w:name="_Toc297123535"/>
      <w:bookmarkStart w:id="1088" w:name="_Toc318581174"/>
      <w:r>
        <w:rPr>
          <w:rFonts w:hint="eastAsia" w:asciiTheme="minorEastAsia" w:hAnsiTheme="minorEastAsia" w:eastAsiaTheme="minorEastAsia" w:cstheme="minorEastAsia"/>
          <w:sz w:val="24"/>
          <w:szCs w:val="24"/>
        </w:rPr>
        <w:t>.1.2 试验设备</w:t>
      </w:r>
    </w:p>
    <w:p w14:paraId="79B36C94">
      <w:pPr>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施工现场需要配置的试验场所：</w:t>
      </w:r>
      <w:bookmarkEnd w:id="1081"/>
      <w:bookmarkEnd w:id="1082"/>
      <w:bookmarkEnd w:id="1083"/>
      <w:bookmarkEnd w:id="1084"/>
      <w:bookmarkEnd w:id="1085"/>
      <w:bookmarkEnd w:id="1086"/>
      <w:bookmarkEnd w:id="1087"/>
      <w:bookmarkStart w:id="1089" w:name="_Toc297216195"/>
      <w:bookmarkStart w:id="1090" w:name="_Toc312678024"/>
      <w:bookmarkStart w:id="1091" w:name="_Toc297123536"/>
      <w:bookmarkStart w:id="1092" w:name="_Toc303539142"/>
      <w:bookmarkStart w:id="1093" w:name="_Toc304295562"/>
      <w:bookmarkStart w:id="1094" w:name="_Toc300934985"/>
      <w:bookmarkStart w:id="1095" w:name="_Toc312677498"/>
      <w:r>
        <w:rPr>
          <w:rFonts w:hint="eastAsia" w:asciiTheme="minorEastAsia" w:hAnsiTheme="minorEastAsia" w:eastAsiaTheme="minorEastAsia" w:cstheme="minorEastAsia"/>
          <w:sz w:val="24"/>
          <w:szCs w:val="24"/>
          <w:u w:val="single"/>
        </w:rPr>
        <w:t xml:space="preserve">                           </w:t>
      </w:r>
    </w:p>
    <w:p w14:paraId="1819A80B">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14:paraId="1860AF94">
      <w:pPr>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施工现场需要配备的试验设备：</w:t>
      </w:r>
      <w:r>
        <w:rPr>
          <w:rFonts w:hint="eastAsia" w:asciiTheme="minorEastAsia" w:hAnsiTheme="minorEastAsia" w:eastAsiaTheme="minorEastAsia" w:cstheme="minorEastAsia"/>
          <w:sz w:val="24"/>
          <w:szCs w:val="24"/>
          <w:u w:val="single"/>
        </w:rPr>
        <w:t xml:space="preserve">                           </w:t>
      </w:r>
    </w:p>
    <w:p w14:paraId="53FEE33A">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2E32BB60">
      <w:pPr>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施工现场需要具备的其他试验条件：</w:t>
      </w:r>
      <w:r>
        <w:rPr>
          <w:rFonts w:hint="eastAsia" w:asciiTheme="minorEastAsia" w:hAnsiTheme="minorEastAsia" w:eastAsiaTheme="minorEastAsia" w:cstheme="minorEastAsia"/>
          <w:sz w:val="24"/>
          <w:szCs w:val="24"/>
          <w:u w:val="single"/>
        </w:rPr>
        <w:t xml:space="preserve">                      </w:t>
      </w:r>
    </w:p>
    <w:p w14:paraId="0CDF260C">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683A072D">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9.4 现场工艺试验 </w:t>
      </w:r>
    </w:p>
    <w:p w14:paraId="32817933">
      <w:pPr>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现场工艺试验的有关约定：</w:t>
      </w:r>
      <w:r>
        <w:rPr>
          <w:rFonts w:hint="eastAsia" w:asciiTheme="minorEastAsia" w:hAnsiTheme="minorEastAsia" w:eastAsiaTheme="minorEastAsia" w:cstheme="minorEastAsia"/>
          <w:sz w:val="24"/>
          <w:szCs w:val="24"/>
          <w:u w:val="single"/>
        </w:rPr>
        <w:t xml:space="preserve">                              </w:t>
      </w:r>
    </w:p>
    <w:p w14:paraId="55CEA957">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1088"/>
    <w:bookmarkEnd w:id="1089"/>
    <w:bookmarkEnd w:id="1090"/>
    <w:bookmarkEnd w:id="1091"/>
    <w:bookmarkEnd w:id="1092"/>
    <w:bookmarkEnd w:id="1093"/>
    <w:bookmarkEnd w:id="1094"/>
    <w:bookmarkEnd w:id="1095"/>
    <w:p w14:paraId="2E77CF69">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1096" w:name="_Toc351203642"/>
      <w:r>
        <w:rPr>
          <w:rFonts w:hint="eastAsia" w:asciiTheme="minorEastAsia" w:hAnsiTheme="minorEastAsia" w:eastAsiaTheme="minorEastAsia" w:cstheme="minorEastAsia"/>
          <w:b w:val="0"/>
          <w:color w:val="000000"/>
          <w:sz w:val="24"/>
          <w:szCs w:val="24"/>
        </w:rPr>
        <w:t>1</w:t>
      </w:r>
      <w:bookmarkEnd w:id="1062"/>
      <w:bookmarkEnd w:id="1063"/>
      <w:bookmarkEnd w:id="1064"/>
      <w:bookmarkEnd w:id="1065"/>
      <w:bookmarkEnd w:id="1066"/>
      <w:bookmarkEnd w:id="1067"/>
      <w:bookmarkEnd w:id="1068"/>
      <w:bookmarkEnd w:id="1069"/>
      <w:bookmarkEnd w:id="1070"/>
      <w:bookmarkEnd w:id="1071"/>
      <w:bookmarkEnd w:id="1072"/>
      <w:bookmarkEnd w:id="1073"/>
      <w:bookmarkStart w:id="1097" w:name="_Toc297048379"/>
      <w:bookmarkStart w:id="1098" w:name="_Toc296891233"/>
      <w:bookmarkStart w:id="1099" w:name="_Toc304295566"/>
      <w:bookmarkStart w:id="1100" w:name="_Toc292559398"/>
      <w:bookmarkStart w:id="1101" w:name="_Toc297123540"/>
      <w:bookmarkStart w:id="1102" w:name="_Toc300934989"/>
      <w:bookmarkStart w:id="1103" w:name="_Toc296944532"/>
      <w:bookmarkStart w:id="1104" w:name="_Toc296891021"/>
      <w:bookmarkStart w:id="1105" w:name="_Toc296346694"/>
      <w:bookmarkStart w:id="1106" w:name="_Toc297120493"/>
      <w:bookmarkStart w:id="1107" w:name="_Toc296347192"/>
      <w:bookmarkStart w:id="1108" w:name="_Toc297216199"/>
      <w:bookmarkStart w:id="1109" w:name="_Toc303539146"/>
      <w:bookmarkStart w:id="1110" w:name="_Toc292559903"/>
      <w:bookmarkStart w:id="1111" w:name="_Toc296503193"/>
      <w:bookmarkStart w:id="1112" w:name="_Toc312677499"/>
      <w:bookmarkStart w:id="1113" w:name="_Toc312678025"/>
      <w:bookmarkStart w:id="1114" w:name="_Toc267251433"/>
      <w:bookmarkStart w:id="1115" w:name="_Toc267251440"/>
      <w:bookmarkStart w:id="1116" w:name="_Toc267251439"/>
      <w:bookmarkStart w:id="1117" w:name="_Toc267251437"/>
      <w:bookmarkStart w:id="1118" w:name="_Toc267251441"/>
      <w:bookmarkStart w:id="1119" w:name="_Toc267251435"/>
      <w:bookmarkStart w:id="1120" w:name="_Toc267251442"/>
      <w:r>
        <w:rPr>
          <w:rFonts w:hint="eastAsia" w:asciiTheme="minorEastAsia" w:hAnsiTheme="minorEastAsia" w:eastAsiaTheme="minorEastAsia" w:cstheme="minorEastAsia"/>
          <w:b w:val="0"/>
          <w:color w:val="000000"/>
          <w:sz w:val="24"/>
          <w:szCs w:val="24"/>
        </w:rPr>
        <w:t>0. 变更</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bookmarkEnd w:id="1112"/>
    <w:bookmarkEnd w:id="1113"/>
    <w:p w14:paraId="0C87A056">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bookmarkStart w:id="1121" w:name="_Toc292559904"/>
      <w:bookmarkStart w:id="1122" w:name="_Toc304295567"/>
      <w:bookmarkStart w:id="1123" w:name="_Toc300934990"/>
      <w:bookmarkStart w:id="1124" w:name="_Toc296891234"/>
      <w:bookmarkStart w:id="1125" w:name="_Toc296346695"/>
      <w:bookmarkStart w:id="1126" w:name="_Toc297216200"/>
      <w:bookmarkStart w:id="1127" w:name="_Toc303539147"/>
      <w:bookmarkStart w:id="1128" w:name="_Toc297120494"/>
      <w:bookmarkStart w:id="1129" w:name="_Toc296347193"/>
      <w:bookmarkStart w:id="1130" w:name="_Toc296503194"/>
      <w:bookmarkStart w:id="1131" w:name="_Toc296891022"/>
      <w:bookmarkStart w:id="1132" w:name="_Toc296944533"/>
      <w:bookmarkStart w:id="1133" w:name="_Toc312678026"/>
      <w:bookmarkStart w:id="1134" w:name="_Toc297048380"/>
      <w:bookmarkStart w:id="1135" w:name="_Toc297123541"/>
      <w:bookmarkStart w:id="1136" w:name="_Toc292559399"/>
      <w:bookmarkStart w:id="1137" w:name="_Toc312677500"/>
      <w:r>
        <w:rPr>
          <w:rFonts w:hint="eastAsia" w:asciiTheme="minorEastAsia" w:hAnsiTheme="minorEastAsia" w:eastAsiaTheme="minorEastAsia" w:cstheme="minorEastAsia"/>
          <w:color w:val="000000"/>
          <w:sz w:val="24"/>
          <w:szCs w:val="24"/>
        </w:rPr>
        <w:t>0.1变更的范围</w:t>
      </w:r>
    </w:p>
    <w:p w14:paraId="6A8D567E">
      <w:pPr>
        <w:spacing w:line="360" w:lineRule="auto"/>
        <w:ind w:firstLine="6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关于变更的范围的约定：</w:t>
      </w:r>
      <w:r>
        <w:rPr>
          <w:rFonts w:hint="eastAsia" w:asciiTheme="minorEastAsia" w:hAnsiTheme="minorEastAsia" w:eastAsiaTheme="minorEastAsia" w:cstheme="minorEastAsia"/>
          <w:color w:val="000000"/>
          <w:sz w:val="24"/>
          <w:szCs w:val="24"/>
          <w:u w:val="single"/>
        </w:rPr>
        <w:t xml:space="preserve">                                </w:t>
      </w:r>
    </w:p>
    <w:p w14:paraId="748C2C0C">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23CA3F8">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10.4 变更估价</w:t>
      </w:r>
    </w:p>
    <w:p w14:paraId="649FD369">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10.4.1 变更估价原则</w:t>
      </w:r>
    </w:p>
    <w:p w14:paraId="613CC065">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 xml:space="preserve">关于变更估价的约定: </w:t>
      </w:r>
      <w:r>
        <w:rPr>
          <w:rFonts w:hint="eastAsia" w:asciiTheme="minorEastAsia" w:hAnsiTheme="minorEastAsia" w:eastAsiaTheme="minorEastAsia" w:cstheme="minorEastAsia"/>
          <w:color w:val="000000"/>
          <w:sz w:val="24"/>
          <w:szCs w:val="24"/>
          <w:u w:val="single"/>
        </w:rPr>
        <w:t xml:space="preserve">                                   </w:t>
      </w:r>
    </w:p>
    <w:p w14:paraId="75DB30B7">
      <w:pPr>
        <w:spacing w:line="360" w:lineRule="auto"/>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3D6B76D">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Start w:id="1138" w:name="_Toc297123544"/>
      <w:bookmarkStart w:id="1139" w:name="_Toc296347196"/>
      <w:bookmarkStart w:id="1140" w:name="_Toc296891025"/>
      <w:bookmarkStart w:id="1141" w:name="_Toc297120497"/>
      <w:bookmarkStart w:id="1142" w:name="_Toc296891237"/>
      <w:bookmarkStart w:id="1143" w:name="_Toc296346698"/>
      <w:bookmarkStart w:id="1144" w:name="_Toc292559402"/>
      <w:bookmarkStart w:id="1145" w:name="_Toc296944536"/>
      <w:bookmarkStart w:id="1146" w:name="_Toc297216203"/>
      <w:bookmarkStart w:id="1147" w:name="_Toc296503197"/>
      <w:bookmarkStart w:id="1148" w:name="_Toc303539150"/>
      <w:bookmarkStart w:id="1149" w:name="_Toc292559907"/>
      <w:bookmarkStart w:id="1150" w:name="_Toc297048383"/>
      <w:bookmarkStart w:id="1151" w:name="_Toc300934993"/>
      <w:bookmarkStart w:id="1152" w:name="_Toc312678029"/>
      <w:bookmarkStart w:id="1153" w:name="_Toc304295570"/>
      <w:bookmarkStart w:id="1154" w:name="_Toc312677503"/>
      <w:r>
        <w:rPr>
          <w:rFonts w:hint="eastAsia" w:asciiTheme="minorEastAsia" w:hAnsiTheme="minorEastAsia" w:eastAsiaTheme="minorEastAsia" w:cstheme="minorEastAsia"/>
          <w:color w:val="000000"/>
          <w:sz w:val="24"/>
          <w:szCs w:val="24"/>
        </w:rPr>
        <w:t>0.5承</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Start w:id="1155" w:name="_Toc292559408"/>
      <w:bookmarkStart w:id="1156" w:name="_Toc297216204"/>
      <w:bookmarkStart w:id="1157" w:name="_Toc296891243"/>
      <w:bookmarkStart w:id="1158" w:name="_Toc296891031"/>
      <w:bookmarkStart w:id="1159" w:name="_Toc297120503"/>
      <w:bookmarkStart w:id="1160" w:name="_Toc296503203"/>
      <w:bookmarkStart w:id="1161" w:name="_Toc303539151"/>
      <w:bookmarkStart w:id="1162" w:name="_Toc292559913"/>
      <w:bookmarkStart w:id="1163" w:name="_Toc297048389"/>
      <w:bookmarkStart w:id="1164" w:name="_Toc300934994"/>
      <w:bookmarkStart w:id="1165" w:name="_Toc296347202"/>
      <w:bookmarkStart w:id="1166" w:name="_Toc296944542"/>
      <w:bookmarkStart w:id="1167" w:name="_Toc297123545"/>
      <w:bookmarkStart w:id="1168" w:name="_Toc296346704"/>
      <w:r>
        <w:rPr>
          <w:rFonts w:hint="eastAsia" w:asciiTheme="minorEastAsia" w:hAnsiTheme="minorEastAsia" w:eastAsiaTheme="minorEastAsia" w:cstheme="minorEastAsia"/>
          <w:color w:val="000000"/>
          <w:sz w:val="24"/>
          <w:szCs w:val="24"/>
        </w:rPr>
        <w:t>包人的合理化建议</w:t>
      </w:r>
    </w:p>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14:paraId="2D413AAA">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监理人审查承包人合理化建议的期限：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2336EE2E">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发包人审批承包人合理化建议的期限：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1F83488D">
      <w:pPr>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承</w:t>
      </w:r>
      <w:bookmarkStart w:id="1169" w:name="_Toc318581175"/>
      <w:bookmarkStart w:id="1170" w:name="_Toc296347203"/>
      <w:bookmarkStart w:id="1171" w:name="_Toc296944543"/>
      <w:bookmarkStart w:id="1172" w:name="_Toc297216205"/>
      <w:bookmarkStart w:id="1173" w:name="_Toc292559409"/>
      <w:bookmarkStart w:id="1174" w:name="_Toc297123546"/>
      <w:bookmarkStart w:id="1175" w:name="_Toc300934995"/>
      <w:bookmarkStart w:id="1176" w:name="_Toc303539152"/>
      <w:bookmarkStart w:id="1177" w:name="_Toc296891032"/>
      <w:bookmarkStart w:id="1178" w:name="_Toc312677504"/>
      <w:bookmarkStart w:id="1179" w:name="_Toc292559914"/>
      <w:bookmarkStart w:id="1180" w:name="_Toc312678030"/>
      <w:bookmarkStart w:id="1181" w:name="_Toc296346705"/>
      <w:bookmarkStart w:id="1182" w:name="_Toc296891244"/>
      <w:bookmarkStart w:id="1183" w:name="_Toc296503204"/>
      <w:bookmarkStart w:id="1184" w:name="_Toc304295571"/>
      <w:bookmarkStart w:id="1185" w:name="_Toc297048390"/>
      <w:bookmarkStart w:id="1186" w:name="_Toc297120504"/>
      <w:r>
        <w:rPr>
          <w:rFonts w:hint="eastAsia" w:asciiTheme="minorEastAsia" w:hAnsiTheme="minorEastAsia" w:eastAsiaTheme="minorEastAsia" w:cstheme="minorEastAsia"/>
          <w:sz w:val="24"/>
          <w:szCs w:val="24"/>
        </w:rPr>
        <w:t>包人提出的合理化建议降低了合同价格或者提高了工程经济效益的奖励的方法和金额为：</w:t>
      </w:r>
      <w:r>
        <w:rPr>
          <w:rFonts w:hint="eastAsia" w:asciiTheme="minorEastAsia" w:hAnsiTheme="minorEastAsia" w:eastAsiaTheme="minorEastAsia" w:cstheme="minorEastAsia"/>
          <w:sz w:val="24"/>
          <w:szCs w:val="24"/>
          <w:u w:val="single"/>
        </w:rPr>
        <w:t xml:space="preserve">                                </w:t>
      </w:r>
    </w:p>
    <w:p w14:paraId="5C81AA9F">
      <w:pPr>
        <w:spacing w:line="36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14:paraId="1848801F">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bookmarkStart w:id="1187" w:name="_Toc292559404"/>
      <w:bookmarkStart w:id="1188" w:name="_Toc312678033"/>
      <w:bookmarkStart w:id="1189" w:name="_Toc296347198"/>
      <w:bookmarkStart w:id="1190" w:name="_Toc296346700"/>
      <w:bookmarkStart w:id="1191" w:name="_Toc300934997"/>
      <w:bookmarkStart w:id="1192" w:name="_Toc292559909"/>
      <w:bookmarkStart w:id="1193" w:name="_Toc304295574"/>
      <w:bookmarkStart w:id="1194" w:name="_Toc297120499"/>
      <w:bookmarkStart w:id="1195" w:name="_Toc296944538"/>
      <w:bookmarkStart w:id="1196" w:name="_Toc312677507"/>
      <w:bookmarkStart w:id="1197" w:name="_Toc303539154"/>
      <w:bookmarkStart w:id="1198" w:name="_Toc296503199"/>
      <w:bookmarkStart w:id="1199" w:name="_Toc297216207"/>
      <w:bookmarkStart w:id="1200" w:name="_Toc297123548"/>
      <w:bookmarkStart w:id="1201" w:name="_Toc296891027"/>
      <w:bookmarkStart w:id="1202" w:name="_Toc297048385"/>
      <w:bookmarkStart w:id="1203" w:name="_Toc296891239"/>
      <w:r>
        <w:rPr>
          <w:rFonts w:hint="eastAsia" w:asciiTheme="minorEastAsia" w:hAnsiTheme="minorEastAsia" w:eastAsiaTheme="minorEastAsia" w:cstheme="minorEastAsia"/>
          <w:color w:val="000000"/>
          <w:sz w:val="24"/>
          <w:szCs w:val="24"/>
        </w:rPr>
        <w:t>0.7 暂估价</w:t>
      </w:r>
    </w:p>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14:paraId="4270E10F">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暂</w:t>
      </w:r>
      <w:bookmarkStart w:id="1204" w:name="_Toc312677508"/>
      <w:bookmarkStart w:id="1205" w:name="_Toc312678034"/>
      <w:bookmarkStart w:id="1206" w:name="_Toc318581176"/>
      <w:r>
        <w:rPr>
          <w:rFonts w:hint="eastAsia" w:asciiTheme="minorEastAsia" w:hAnsiTheme="minorEastAsia" w:eastAsiaTheme="minorEastAsia" w:cstheme="minorEastAsia"/>
          <w:kern w:val="0"/>
          <w:sz w:val="24"/>
          <w:szCs w:val="24"/>
        </w:rPr>
        <w:t>估价材料和工程设备的明细详见附件11：《</w:t>
      </w:r>
      <w:r>
        <w:rPr>
          <w:rFonts w:hint="eastAsia" w:asciiTheme="minorEastAsia" w:hAnsiTheme="minorEastAsia" w:eastAsiaTheme="minorEastAsia" w:cstheme="minorEastAsia"/>
          <w:color w:val="000000"/>
          <w:sz w:val="24"/>
          <w:szCs w:val="24"/>
        </w:rPr>
        <w:t>暂估价一览表》</w:t>
      </w:r>
      <w:r>
        <w:rPr>
          <w:rFonts w:hint="eastAsia" w:asciiTheme="minorEastAsia" w:hAnsiTheme="minorEastAsia" w:eastAsiaTheme="minorEastAsia" w:cstheme="minorEastAsia"/>
          <w:kern w:val="0"/>
          <w:sz w:val="24"/>
          <w:szCs w:val="24"/>
        </w:rPr>
        <w:t>。</w:t>
      </w:r>
    </w:p>
    <w:bookmarkEnd w:id="1204"/>
    <w:bookmarkEnd w:id="1205"/>
    <w:bookmarkEnd w:id="1206"/>
    <w:p w14:paraId="4F492DA1">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1207" w:name="_Toc312678035"/>
      <w:bookmarkStart w:id="1208" w:name="_Toc318581177"/>
      <w:bookmarkStart w:id="1209" w:name="_Toc312677509"/>
      <w:r>
        <w:rPr>
          <w:rFonts w:hint="eastAsia" w:asciiTheme="minorEastAsia" w:hAnsiTheme="minorEastAsia" w:eastAsiaTheme="minorEastAsia" w:cstheme="minorEastAsia"/>
          <w:sz w:val="24"/>
          <w:szCs w:val="24"/>
        </w:rPr>
        <w:t>0.7.1 依法必须招标的暂估价项目</w:t>
      </w:r>
    </w:p>
    <w:bookmarkEnd w:id="1207"/>
    <w:bookmarkEnd w:id="1208"/>
    <w:bookmarkEnd w:id="1209"/>
    <w:p w14:paraId="6FDB8D56">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对于依法必须招标的暂估价项目的确认和批准采取第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种方式确定。</w:t>
      </w:r>
    </w:p>
    <w:p w14:paraId="77687FC5">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10.7.2 不属于依法必须招标的暂估价项目</w:t>
      </w:r>
    </w:p>
    <w:p w14:paraId="757AE352">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对于不属于依法必须招标的暂估价项目的确认和批准采取第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种方式确定。</w:t>
      </w:r>
    </w:p>
    <w:p w14:paraId="7B10EBB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第3种方式：</w:t>
      </w:r>
      <w:r>
        <w:rPr>
          <w:rFonts w:hint="eastAsia" w:asciiTheme="minorEastAsia" w:hAnsiTheme="minorEastAsia" w:eastAsiaTheme="minorEastAsia" w:cstheme="minorEastAsia"/>
          <w:color w:val="000000"/>
          <w:kern w:val="0"/>
          <w:sz w:val="24"/>
          <w:szCs w:val="24"/>
        </w:rPr>
        <w:t>承包人直接实施的暂估价项目</w:t>
      </w:r>
    </w:p>
    <w:p w14:paraId="08C951F2">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承包人直接实施的暂估价项目的约定：</w:t>
      </w:r>
      <w:r>
        <w:rPr>
          <w:rFonts w:hint="eastAsia" w:asciiTheme="minorEastAsia" w:hAnsiTheme="minorEastAsia" w:eastAsiaTheme="minorEastAsia" w:cstheme="minorEastAsia"/>
          <w:sz w:val="24"/>
          <w:szCs w:val="24"/>
          <w:u w:val="single"/>
        </w:rPr>
        <w:t xml:space="preserve">                     </w:t>
      </w:r>
    </w:p>
    <w:p w14:paraId="042FAC57">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16D4B22D">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10.8 暂列金额</w:t>
      </w:r>
    </w:p>
    <w:p w14:paraId="18A4F2C9">
      <w:pPr>
        <w:autoSpaceDE w:val="0"/>
        <w:autoSpaceDN w:val="0"/>
        <w:adjustRightInd w:val="0"/>
        <w:spacing w:line="360" w:lineRule="auto"/>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color w:val="000000"/>
          <w:kern w:val="0"/>
          <w:sz w:val="24"/>
          <w:szCs w:val="24"/>
        </w:rPr>
        <w:t>合同当事人关于暂列金额使用的约定：</w:t>
      </w:r>
      <w:r>
        <w:rPr>
          <w:rFonts w:hint="eastAsia" w:asciiTheme="minorEastAsia" w:hAnsiTheme="minorEastAsia" w:eastAsiaTheme="minorEastAsia" w:cstheme="minorEastAsia"/>
          <w:sz w:val="24"/>
          <w:szCs w:val="24"/>
          <w:u w:val="single"/>
        </w:rPr>
        <w:t xml:space="preserve">                     </w:t>
      </w:r>
    </w:p>
    <w:p w14:paraId="2601D04E">
      <w:pPr>
        <w:autoSpaceDE w:val="0"/>
        <w:autoSpaceDN w:val="0"/>
        <w:adjustRightInd w:val="0"/>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6D21EE13">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1210" w:name="_Toc351203643"/>
      <w:r>
        <w:rPr>
          <w:rFonts w:hint="eastAsia" w:asciiTheme="minorEastAsia" w:hAnsiTheme="minorEastAsia" w:eastAsiaTheme="minorEastAsia" w:cstheme="minorEastAsia"/>
          <w:b w:val="0"/>
          <w:color w:val="000000"/>
          <w:sz w:val="24"/>
          <w:szCs w:val="24"/>
        </w:rPr>
        <w:t>11. 价格调整</w:t>
      </w:r>
      <w:bookmarkEnd w:id="1210"/>
    </w:p>
    <w:p w14:paraId="57F48929">
      <w:pPr>
        <w:spacing w:after="120" w:line="360" w:lineRule="auto"/>
        <w:ind w:firstLine="480" w:firstLineChars="200"/>
        <w:rPr>
          <w:rFonts w:hint="eastAsia" w:asciiTheme="minorEastAsia" w:hAnsiTheme="minorEastAsia" w:eastAsiaTheme="minorEastAsia" w:cstheme="minorEastAsia"/>
          <w:color w:val="000000"/>
          <w:sz w:val="24"/>
          <w:szCs w:val="24"/>
        </w:rPr>
      </w:pPr>
      <w:bookmarkStart w:id="1211" w:name="_Toc296346702"/>
      <w:bookmarkStart w:id="1212" w:name="_Toc292559406"/>
      <w:bookmarkStart w:id="1213" w:name="_Toc300935000"/>
      <w:bookmarkStart w:id="1214" w:name="_Toc296891029"/>
      <w:bookmarkStart w:id="1215" w:name="_Toc312678039"/>
      <w:bookmarkStart w:id="1216" w:name="_Toc297123550"/>
      <w:bookmarkStart w:id="1217" w:name="_Toc292559911"/>
      <w:bookmarkStart w:id="1218" w:name="_Toc296347200"/>
      <w:bookmarkStart w:id="1219" w:name="_Toc297048387"/>
      <w:bookmarkStart w:id="1220" w:name="_Toc304295577"/>
      <w:bookmarkStart w:id="1221" w:name="_Toc297216209"/>
      <w:bookmarkStart w:id="1222" w:name="_Toc296944540"/>
      <w:bookmarkStart w:id="1223" w:name="_Toc296891241"/>
      <w:bookmarkStart w:id="1224" w:name="_Toc297120501"/>
      <w:bookmarkStart w:id="1225" w:name="_Toc296503201"/>
      <w:bookmarkStart w:id="1226" w:name="_Toc303539157"/>
      <w:r>
        <w:rPr>
          <w:rFonts w:hint="eastAsia" w:asciiTheme="minorEastAsia" w:hAnsiTheme="minorEastAsia" w:eastAsiaTheme="minorEastAsia" w:cstheme="minorEastAsia"/>
          <w:color w:val="000000"/>
          <w:sz w:val="24"/>
          <w:szCs w:val="24"/>
        </w:rPr>
        <w:t>11.1 市场价格波动引起的调整</w:t>
      </w:r>
    </w:p>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14:paraId="6DCE2918">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市场价格波动是否调整合同价格的约定：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773F965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因市场价格波动调整合同价格，采用以下</w:t>
      </w: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color w:val="000000"/>
          <w:sz w:val="24"/>
          <w:szCs w:val="24"/>
        </w:rPr>
        <w:t>种方式对合同价格进行调整：</w:t>
      </w:r>
    </w:p>
    <w:p w14:paraId="080D37BD">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第1种方式：采用价格指数进行价格调整。</w:t>
      </w:r>
    </w:p>
    <w:p w14:paraId="554CBBCC">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关于各可调因子、定值和变值权重，以及基本价格指数及其来源的约定：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6040A51F">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第2种方式：采用造价信息进行价格调整。</w:t>
      </w:r>
    </w:p>
    <w:p w14:paraId="5ECFAEE9">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（2）关于基准价格的约定：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7E4F55F7">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%时，或材料单价跌幅以已标价工程量清单或预算书中载明材料单价为基础超过</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%时，其超过部分据实调整。</w:t>
      </w:r>
    </w:p>
    <w:p w14:paraId="1B8E467A">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%时，材料单价涨幅以已标价工程量清单或预算书中载明材料单价为基础超过</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%时，其超过部分据实调整。</w:t>
      </w:r>
    </w:p>
    <w:p w14:paraId="0904C2B6">
      <w:pPr>
        <w:spacing w:line="360" w:lineRule="auto"/>
        <w:ind w:firstLine="645"/>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%时，其超过部分据实调整。</w:t>
      </w:r>
    </w:p>
    <w:p w14:paraId="7173CE4E">
      <w:pPr>
        <w:spacing w:line="360" w:lineRule="auto"/>
        <w:ind w:firstLine="645"/>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第3种方式：其他价格调整方式：</w:t>
      </w:r>
      <w:r>
        <w:rPr>
          <w:rFonts w:hint="eastAsia" w:asciiTheme="minorEastAsia" w:hAnsiTheme="minorEastAsia" w:eastAsiaTheme="minorEastAsia" w:cstheme="minorEastAsia"/>
          <w:color w:val="000000"/>
          <w:sz w:val="24"/>
          <w:szCs w:val="24"/>
          <w:u w:val="single"/>
        </w:rPr>
        <w:t xml:space="preserve">                        </w:t>
      </w:r>
    </w:p>
    <w:p w14:paraId="4989B8C6">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bookmarkEnd w:id="1114"/>
    <w:bookmarkEnd w:id="1115"/>
    <w:bookmarkEnd w:id="1116"/>
    <w:bookmarkEnd w:id="1117"/>
    <w:bookmarkEnd w:id="1118"/>
    <w:bookmarkEnd w:id="1119"/>
    <w:p w14:paraId="02CE05D1">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1227" w:name="_Toc292559410"/>
      <w:bookmarkStart w:id="1228" w:name="_Toc296891033"/>
      <w:bookmarkStart w:id="1229" w:name="_Toc292559915"/>
      <w:bookmarkStart w:id="1230" w:name="_Toc297048391"/>
      <w:bookmarkStart w:id="1231" w:name="_Toc296347204"/>
      <w:bookmarkStart w:id="1232" w:name="_Toc296503205"/>
      <w:bookmarkStart w:id="1233" w:name="_Toc296891245"/>
      <w:bookmarkStart w:id="1234" w:name="_Toc296944544"/>
      <w:bookmarkStart w:id="1235" w:name="_Toc297120505"/>
      <w:bookmarkStart w:id="1236" w:name="_Toc296346706"/>
      <w:bookmarkStart w:id="1237" w:name="_Toc351203644"/>
      <w:bookmarkStart w:id="1238" w:name="_Toc297123552"/>
      <w:bookmarkStart w:id="1239" w:name="_Toc297216211"/>
      <w:bookmarkStart w:id="1240" w:name="_Toc304295579"/>
      <w:bookmarkStart w:id="1241" w:name="_Toc312678040"/>
      <w:bookmarkStart w:id="1242" w:name="_Toc300935002"/>
      <w:bookmarkStart w:id="1243" w:name="_Toc303539159"/>
      <w:r>
        <w:rPr>
          <w:rFonts w:hint="eastAsia" w:asciiTheme="minorEastAsia" w:hAnsiTheme="minorEastAsia" w:eastAsiaTheme="minorEastAsia" w:cstheme="minorEastAsia"/>
          <w:b w:val="0"/>
          <w:color w:val="000000"/>
          <w:sz w:val="24"/>
          <w:szCs w:val="24"/>
        </w:rPr>
        <w:t xml:space="preserve">12. </w:t>
      </w:r>
      <w:bookmarkEnd w:id="1227"/>
      <w:bookmarkEnd w:id="1228"/>
      <w:bookmarkEnd w:id="1229"/>
      <w:bookmarkEnd w:id="1230"/>
      <w:bookmarkEnd w:id="1231"/>
      <w:bookmarkEnd w:id="1232"/>
      <w:bookmarkEnd w:id="1233"/>
      <w:bookmarkEnd w:id="1234"/>
      <w:bookmarkEnd w:id="1235"/>
      <w:bookmarkEnd w:id="1236"/>
      <w:r>
        <w:rPr>
          <w:rFonts w:hint="eastAsia" w:asciiTheme="minorEastAsia" w:hAnsiTheme="minorEastAsia" w:eastAsiaTheme="minorEastAsia" w:cstheme="minorEastAsia"/>
          <w:b w:val="0"/>
          <w:color w:val="000000"/>
          <w:sz w:val="24"/>
          <w:szCs w:val="24"/>
        </w:rPr>
        <w:t>合同价格、计量与支付</w:t>
      </w:r>
      <w:bookmarkEnd w:id="1237"/>
    </w:p>
    <w:bookmarkEnd w:id="1238"/>
    <w:bookmarkEnd w:id="1239"/>
    <w:bookmarkEnd w:id="1240"/>
    <w:bookmarkEnd w:id="1241"/>
    <w:bookmarkEnd w:id="1242"/>
    <w:bookmarkEnd w:id="1243"/>
    <w:p w14:paraId="28BAB008">
      <w:pPr>
        <w:spacing w:after="120" w:line="360" w:lineRule="auto"/>
        <w:ind w:firstLine="480" w:firstLineChars="200"/>
        <w:rPr>
          <w:rFonts w:hint="eastAsia" w:asciiTheme="minorEastAsia" w:hAnsiTheme="minorEastAsia" w:eastAsiaTheme="minorEastAsia" w:cstheme="minorEastAsia"/>
          <w:color w:val="000000"/>
          <w:sz w:val="24"/>
          <w:szCs w:val="24"/>
        </w:rPr>
      </w:pPr>
      <w:bookmarkStart w:id="1244" w:name="_Toc292559916"/>
      <w:bookmarkStart w:id="1245" w:name="_Toc292559411"/>
      <w:bookmarkStart w:id="1246" w:name="_Toc267251461"/>
      <w:bookmarkStart w:id="1247" w:name="_Toc297120506"/>
      <w:bookmarkStart w:id="1248" w:name="_Toc296944545"/>
      <w:bookmarkStart w:id="1249" w:name="_Toc296891034"/>
      <w:bookmarkStart w:id="1250" w:name="_Toc296503206"/>
      <w:bookmarkStart w:id="1251" w:name="_Toc296891246"/>
      <w:bookmarkStart w:id="1252" w:name="_Toc296346707"/>
      <w:bookmarkStart w:id="1253" w:name="_Toc296347205"/>
      <w:bookmarkStart w:id="1254" w:name="_Toc297048392"/>
      <w:bookmarkStart w:id="1255" w:name="_Toc303539160"/>
      <w:bookmarkStart w:id="1256" w:name="_Toc297216212"/>
      <w:bookmarkStart w:id="1257" w:name="_Toc304295580"/>
      <w:bookmarkStart w:id="1258" w:name="_Toc300935003"/>
      <w:bookmarkStart w:id="1259" w:name="_Toc297123553"/>
      <w:bookmarkStart w:id="1260" w:name="_Toc312678041"/>
      <w:r>
        <w:rPr>
          <w:rFonts w:hint="eastAsia" w:asciiTheme="minorEastAsia" w:hAnsiTheme="minorEastAsia" w:eastAsiaTheme="minorEastAsia" w:cstheme="minorEastAsia"/>
          <w:color w:val="000000"/>
          <w:sz w:val="24"/>
          <w:szCs w:val="24"/>
        </w:rPr>
        <w:t>12.1 合</w:t>
      </w:r>
      <w:bookmarkEnd w:id="1244"/>
      <w:bookmarkEnd w:id="1245"/>
      <w:bookmarkEnd w:id="1246"/>
      <w:r>
        <w:rPr>
          <w:rFonts w:hint="eastAsia" w:asciiTheme="minorEastAsia" w:hAnsiTheme="minorEastAsia" w:eastAsiaTheme="minorEastAsia" w:cstheme="minorEastAsia"/>
          <w:color w:val="000000"/>
          <w:sz w:val="24"/>
          <w:szCs w:val="24"/>
        </w:rPr>
        <w:t>同价</w:t>
      </w:r>
      <w:bookmarkEnd w:id="1247"/>
      <w:bookmarkEnd w:id="1248"/>
      <w:bookmarkEnd w:id="1249"/>
      <w:bookmarkEnd w:id="1250"/>
      <w:bookmarkEnd w:id="1251"/>
      <w:bookmarkEnd w:id="1252"/>
      <w:bookmarkEnd w:id="1253"/>
      <w:bookmarkEnd w:id="1254"/>
      <w:r>
        <w:rPr>
          <w:rFonts w:hint="eastAsia" w:asciiTheme="minorEastAsia" w:hAnsiTheme="minorEastAsia" w:eastAsiaTheme="minorEastAsia" w:cstheme="minorEastAsia"/>
          <w:color w:val="000000"/>
          <w:sz w:val="24"/>
          <w:szCs w:val="24"/>
        </w:rPr>
        <w:t>格形式</w:t>
      </w:r>
    </w:p>
    <w:bookmarkEnd w:id="1255"/>
    <w:bookmarkEnd w:id="1256"/>
    <w:bookmarkEnd w:id="1257"/>
    <w:bookmarkEnd w:id="1258"/>
    <w:bookmarkEnd w:id="1259"/>
    <w:bookmarkEnd w:id="1260"/>
    <w:p w14:paraId="0B41007F">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1、单价合同。</w:t>
      </w:r>
    </w:p>
    <w:p w14:paraId="522C2E37">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综合单价包含的风险范围：</w:t>
      </w:r>
      <w:r>
        <w:rPr>
          <w:rFonts w:hint="eastAsia" w:asciiTheme="minorEastAsia" w:hAnsiTheme="minorEastAsia" w:eastAsiaTheme="minorEastAsia" w:cstheme="minorEastAsia"/>
          <w:color w:val="000000"/>
          <w:sz w:val="24"/>
          <w:szCs w:val="24"/>
          <w:u w:val="single"/>
        </w:rPr>
        <w:t xml:space="preserve">                               </w:t>
      </w:r>
    </w:p>
    <w:p w14:paraId="2F45E7A1">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8CDA78D">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风险费用的计算方法：</w:t>
      </w:r>
      <w:r>
        <w:rPr>
          <w:rFonts w:hint="eastAsia" w:asciiTheme="minorEastAsia" w:hAnsiTheme="minorEastAsia" w:eastAsiaTheme="minorEastAsia" w:cstheme="minorEastAsia"/>
          <w:color w:val="000000"/>
          <w:sz w:val="24"/>
          <w:szCs w:val="24"/>
          <w:u w:val="single"/>
        </w:rPr>
        <w:t xml:space="preserve">                                  </w:t>
      </w:r>
    </w:p>
    <w:p w14:paraId="2475B537">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422C491">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风险范围以外合同价格的调整方法：</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16FAFF59">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CDDF3F3">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2、总价合同。</w:t>
      </w:r>
    </w:p>
    <w:p w14:paraId="2B337D59">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总价包含的风险范围：</w:t>
      </w:r>
      <w:r>
        <w:rPr>
          <w:rFonts w:hint="eastAsia" w:asciiTheme="minorEastAsia" w:hAnsiTheme="minorEastAsia" w:eastAsiaTheme="minorEastAsia" w:cstheme="minorEastAsia"/>
          <w:color w:val="000000"/>
          <w:sz w:val="24"/>
          <w:szCs w:val="24"/>
          <w:u w:val="single"/>
        </w:rPr>
        <w:t xml:space="preserve">                                   </w:t>
      </w:r>
    </w:p>
    <w:p w14:paraId="216E1D00">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74259F5">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风险费用的计算方法：</w:t>
      </w:r>
      <w:r>
        <w:rPr>
          <w:rFonts w:hint="eastAsia" w:asciiTheme="minorEastAsia" w:hAnsiTheme="minorEastAsia" w:eastAsiaTheme="minorEastAsia" w:cstheme="minorEastAsia"/>
          <w:color w:val="000000"/>
          <w:sz w:val="24"/>
          <w:szCs w:val="24"/>
          <w:u w:val="single"/>
        </w:rPr>
        <w:t xml:space="preserve">                                   </w:t>
      </w:r>
    </w:p>
    <w:p w14:paraId="657D7354">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2DBBB5DA">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风险范围以外合同价格的调整方法：</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0041F4CD">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2169745">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3、其他价格方式：</w:t>
      </w:r>
      <w:r>
        <w:rPr>
          <w:rFonts w:hint="eastAsia" w:asciiTheme="minorEastAsia" w:hAnsiTheme="minorEastAsia" w:eastAsiaTheme="minorEastAsia" w:cstheme="minorEastAsia"/>
          <w:color w:val="000000"/>
          <w:sz w:val="24"/>
          <w:szCs w:val="24"/>
          <w:u w:val="single"/>
        </w:rPr>
        <w:t xml:space="preserve">                                     </w:t>
      </w:r>
    </w:p>
    <w:p w14:paraId="52873409">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96FE917">
      <w:pPr>
        <w:spacing w:after="120" w:line="360" w:lineRule="auto"/>
        <w:ind w:firstLine="480" w:firstLineChars="200"/>
        <w:rPr>
          <w:rFonts w:hint="eastAsia" w:asciiTheme="minorEastAsia" w:hAnsiTheme="minorEastAsia" w:eastAsiaTheme="minorEastAsia" w:cstheme="minorEastAsia"/>
          <w:color w:val="000000"/>
          <w:sz w:val="24"/>
          <w:szCs w:val="24"/>
        </w:rPr>
      </w:pPr>
      <w:bookmarkStart w:id="1261" w:name="_Toc300935004"/>
      <w:bookmarkStart w:id="1262" w:name="_Toc303539161"/>
      <w:bookmarkStart w:id="1263" w:name="_Toc312678042"/>
      <w:bookmarkStart w:id="1264" w:name="_Toc297123554"/>
      <w:bookmarkStart w:id="1265" w:name="_Toc304295581"/>
      <w:bookmarkStart w:id="1266" w:name="_Toc297216213"/>
      <w:bookmarkStart w:id="1267" w:name="_Toc292559412"/>
      <w:bookmarkStart w:id="1268" w:name="_Toc292559917"/>
      <w:bookmarkStart w:id="1269" w:name="_Toc296347206"/>
      <w:bookmarkStart w:id="1270" w:name="_Toc296891247"/>
      <w:bookmarkStart w:id="1271" w:name="_Toc296346708"/>
      <w:bookmarkStart w:id="1272" w:name="_Toc296891035"/>
      <w:bookmarkStart w:id="1273" w:name="_Toc296944546"/>
      <w:bookmarkStart w:id="1274" w:name="_Toc297048393"/>
      <w:bookmarkStart w:id="1275" w:name="_Toc297120507"/>
      <w:bookmarkStart w:id="1276" w:name="_Toc296503207"/>
      <w:r>
        <w:rPr>
          <w:rFonts w:hint="eastAsia" w:asciiTheme="minorEastAsia" w:hAnsiTheme="minorEastAsia" w:eastAsiaTheme="minorEastAsia" w:cstheme="minorEastAsia"/>
          <w:color w:val="000000"/>
          <w:sz w:val="24"/>
          <w:szCs w:val="24"/>
        </w:rPr>
        <w:t>12.2 预付款</w:t>
      </w:r>
    </w:p>
    <w:bookmarkEnd w:id="1261"/>
    <w:bookmarkEnd w:id="1262"/>
    <w:bookmarkEnd w:id="1263"/>
    <w:bookmarkEnd w:id="1264"/>
    <w:bookmarkEnd w:id="1265"/>
    <w:bookmarkEnd w:id="1266"/>
    <w:p w14:paraId="5BC74003">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12.2.1 预付款的支付</w:t>
      </w:r>
    </w:p>
    <w:p w14:paraId="7A824D0C">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预付款支付比例或金额：</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D0C0E83">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预付款支付期限：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24C1D82">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预付款扣回的方式：</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4A55F32A">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12.2.2 预付款担保</w:t>
      </w:r>
    </w:p>
    <w:p w14:paraId="5B8E157A">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承包人提交预付款担保的期限：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878795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预付款担保的形式为：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bookmarkEnd w:id="1267"/>
    <w:bookmarkEnd w:id="1268"/>
    <w:bookmarkEnd w:id="1269"/>
    <w:bookmarkEnd w:id="1270"/>
    <w:bookmarkEnd w:id="1271"/>
    <w:bookmarkEnd w:id="1272"/>
    <w:bookmarkEnd w:id="1273"/>
    <w:bookmarkEnd w:id="1274"/>
    <w:bookmarkEnd w:id="1275"/>
    <w:bookmarkEnd w:id="1276"/>
    <w:p w14:paraId="1C2001FB">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 计量</w:t>
      </w:r>
    </w:p>
    <w:p w14:paraId="0486B9C3">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12.3.1 计量原则</w:t>
      </w:r>
    </w:p>
    <w:p w14:paraId="639ADA61">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工程量计算规则：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6A98082">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12.3.2 计量周期</w:t>
      </w:r>
    </w:p>
    <w:p w14:paraId="4E638A41">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关于计量周期的约定：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1464BBA7">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12.3.3 单价合同的计量</w:t>
      </w:r>
    </w:p>
    <w:p w14:paraId="788E16F9">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关于单价合同计量的约定：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C883580">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12.3.4 总价合同的计量</w:t>
      </w:r>
    </w:p>
    <w:p w14:paraId="4A44E3DD">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关于总价合同计量的约定：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5C3C97B">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12.3.5总价合同采用支付分解表计量支付的，是否适用第</w:t>
      </w:r>
      <w:r>
        <w:rPr>
          <w:rFonts w:hint="eastAsia" w:asciiTheme="minorEastAsia" w:hAnsiTheme="minorEastAsia" w:eastAsiaTheme="minorEastAsia" w:cstheme="minorEastAsia"/>
          <w:color w:val="000000"/>
          <w:kern w:val="0"/>
          <w:sz w:val="24"/>
          <w:szCs w:val="24"/>
        </w:rPr>
        <w:t xml:space="preserve">12.3.4 </w:t>
      </w:r>
      <w:r>
        <w:rPr>
          <w:rFonts w:hint="eastAsia" w:asciiTheme="minorEastAsia" w:hAnsiTheme="minorEastAsia" w:eastAsiaTheme="minorEastAsia" w:cstheme="minorEastAsia"/>
          <w:color w:val="000000"/>
          <w:sz w:val="24"/>
          <w:szCs w:val="24"/>
        </w:rPr>
        <w:t>项</w:t>
      </w:r>
      <w:r>
        <w:rPr>
          <w:rFonts w:hint="eastAsia" w:asciiTheme="minorEastAsia" w:hAnsiTheme="minorEastAsia" w:eastAsiaTheme="minorEastAsia" w:cstheme="minorEastAsia"/>
          <w:color w:val="000000"/>
          <w:kern w:val="0"/>
          <w:sz w:val="24"/>
          <w:szCs w:val="24"/>
        </w:rPr>
        <w:t>〔总价合同的计量〕</w:t>
      </w:r>
      <w:r>
        <w:rPr>
          <w:rFonts w:hint="eastAsia" w:asciiTheme="minorEastAsia" w:hAnsiTheme="minorEastAsia" w:eastAsiaTheme="minorEastAsia" w:cstheme="minorEastAsia"/>
          <w:color w:val="000000"/>
          <w:sz w:val="24"/>
          <w:szCs w:val="24"/>
        </w:rPr>
        <w:t>约定进行计量：</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74F1282E">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12.3.6 其他价格形式合同的计量</w:t>
      </w:r>
    </w:p>
    <w:p w14:paraId="38E3F491">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其他价格形式的计量方式和程序：</w:t>
      </w:r>
      <w:r>
        <w:rPr>
          <w:rFonts w:hint="eastAsia" w:asciiTheme="minorEastAsia" w:hAnsiTheme="minorEastAsia" w:eastAsiaTheme="minorEastAsia" w:cstheme="minorEastAsia"/>
          <w:color w:val="000000"/>
          <w:sz w:val="24"/>
          <w:szCs w:val="24"/>
          <w:u w:val="single"/>
        </w:rPr>
        <w:t xml:space="preserve">                         </w:t>
      </w:r>
    </w:p>
    <w:p w14:paraId="0B4BF7FE">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2A01D95D">
      <w:pPr>
        <w:spacing w:after="120"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12.4 工程进度款支付</w:t>
      </w:r>
    </w:p>
    <w:p w14:paraId="539AF8BF">
      <w:pPr>
        <w:spacing w:line="360" w:lineRule="auto"/>
        <w:ind w:firstLine="480" w:firstLineChars="200"/>
        <w:jc w:val="left"/>
        <w:rPr>
          <w:rFonts w:hint="eastAsia" w:asciiTheme="minorEastAsia" w:hAnsiTheme="minorEastAsia" w:eastAsiaTheme="minorEastAsia" w:cstheme="minorEastAsia"/>
          <w:color w:val="000000"/>
          <w:sz w:val="24"/>
          <w:szCs w:val="24"/>
          <w:highlight w:val="none"/>
        </w:rPr>
      </w:pPr>
      <w:bookmarkStart w:id="1277" w:name="_Toc292559416"/>
      <w:bookmarkStart w:id="1278" w:name="_Toc297216215"/>
      <w:bookmarkStart w:id="1279" w:name="_Toc296891039"/>
      <w:bookmarkStart w:id="1280" w:name="_Toc303539163"/>
      <w:bookmarkStart w:id="1281" w:name="_Toc296891251"/>
      <w:bookmarkStart w:id="1282" w:name="_Toc296346712"/>
      <w:bookmarkStart w:id="1283" w:name="_Toc297120511"/>
      <w:bookmarkStart w:id="1284" w:name="_Toc300935006"/>
      <w:bookmarkStart w:id="1285" w:name="_Toc296944550"/>
      <w:bookmarkStart w:id="1286" w:name="_Toc292559921"/>
      <w:bookmarkStart w:id="1287" w:name="_Toc296347210"/>
      <w:bookmarkStart w:id="1288" w:name="_Toc296503211"/>
      <w:bookmarkStart w:id="1289" w:name="_Toc297048397"/>
      <w:bookmarkStart w:id="1290" w:name="_Toc297123556"/>
      <w:r>
        <w:rPr>
          <w:rFonts w:hint="eastAsia" w:asciiTheme="minorEastAsia" w:hAnsiTheme="minorEastAsia" w:eastAsiaTheme="minorEastAsia" w:cstheme="minorEastAsia"/>
          <w:color w:val="000000"/>
          <w:sz w:val="24"/>
          <w:szCs w:val="24"/>
          <w:highlight w:val="none"/>
        </w:rPr>
        <w:t>12.4.1 付款周期</w:t>
      </w:r>
    </w:p>
    <w:p w14:paraId="5E569808">
      <w:pPr>
        <w:spacing w:line="360" w:lineRule="auto"/>
        <w:ind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关于付款周期的约定：</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lang w:val="en-US" w:eastAsia="zh-CN"/>
        </w:rPr>
        <w:t>合同签订后付合同签订价款的30%为预付款，根据进度付款，工程验收合格后付至合同签订价款的95%，竣工结算审计后付至合同签订价款的97%，剩余合同签订价款的3%为质保金，待缺陷责任期届满后，采购人向成交人一次性无息支付（具体以签订合同为准）。</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w:t>
      </w:r>
    </w:p>
    <w:p w14:paraId="52CB8633">
      <w:pPr>
        <w:spacing w:line="360" w:lineRule="auto"/>
        <w:ind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12.4.2 进度付款申请单的编制</w:t>
      </w:r>
    </w:p>
    <w:p w14:paraId="2A0F7EA5">
      <w:pPr>
        <w:spacing w:line="360" w:lineRule="auto"/>
        <w:ind w:firstLine="480" w:firstLineChars="200"/>
        <w:jc w:val="left"/>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关于进度付款申请单编制的约定：</w:t>
      </w:r>
      <w:r>
        <w:rPr>
          <w:rFonts w:hint="eastAsia" w:asciiTheme="minorEastAsia" w:hAnsiTheme="minorEastAsia" w:eastAsiaTheme="minorEastAsia" w:cstheme="minorEastAsia"/>
          <w:color w:val="000000"/>
          <w:sz w:val="24"/>
          <w:szCs w:val="24"/>
          <w:highlight w:val="none"/>
          <w:u w:val="single"/>
        </w:rPr>
        <w:t xml:space="preserve">                       </w:t>
      </w:r>
    </w:p>
    <w:p w14:paraId="14C833FA">
      <w:pPr>
        <w:spacing w:line="360" w:lineRule="auto"/>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w:t>
      </w:r>
    </w:p>
    <w:p w14:paraId="3392D6E4">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r>
        <w:rPr>
          <w:rFonts w:hint="eastAsia" w:asciiTheme="minorEastAsia" w:hAnsiTheme="minorEastAsia" w:eastAsiaTheme="minorEastAsia" w:cstheme="minorEastAsia"/>
          <w:color w:val="000000"/>
          <w:sz w:val="24"/>
          <w:szCs w:val="24"/>
        </w:rPr>
        <w:t>2.4.3 进度付款申请单的提交</w:t>
      </w:r>
    </w:p>
    <w:p w14:paraId="372CDE43">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（1）单价合同进度付款申请单提交的约定：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56C3E16">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（2）总价合同进度付款申请单提交的约定：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1A07832E">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（3）其他价格形式合同进度付款申请单提交的约定：</w:t>
      </w:r>
      <w:r>
        <w:rPr>
          <w:rFonts w:hint="eastAsia" w:asciiTheme="minorEastAsia" w:hAnsiTheme="minorEastAsia" w:eastAsiaTheme="minorEastAsia" w:cstheme="minorEastAsia"/>
          <w:color w:val="000000"/>
          <w:sz w:val="24"/>
          <w:szCs w:val="24"/>
          <w:u w:val="single"/>
        </w:rPr>
        <w:t xml:space="preserve">       </w:t>
      </w:r>
    </w:p>
    <w:p w14:paraId="5C41DD41">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88F7F77">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12.4.4 进度款审核和支付</w:t>
      </w:r>
    </w:p>
    <w:p w14:paraId="4C84F926">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（1）监理人审查并报送发包人的期限：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7A5C328B">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发包人完成审批并签发进度款支付证书的期限：</w:t>
      </w:r>
      <w:r>
        <w:rPr>
          <w:rFonts w:hint="eastAsia" w:asciiTheme="minorEastAsia" w:hAnsiTheme="minorEastAsia" w:eastAsiaTheme="minorEastAsia" w:cstheme="minorEastAsia"/>
          <w:color w:val="000000"/>
          <w:sz w:val="24"/>
          <w:szCs w:val="24"/>
          <w:u w:val="single"/>
        </w:rPr>
        <w:t xml:space="preserve">           </w:t>
      </w:r>
    </w:p>
    <w:p w14:paraId="2F1B936D">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30EB6F3">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（2）发包人支付进度款的期限：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02FC4A3">
      <w:pPr>
        <w:spacing w:line="360" w:lineRule="auto"/>
        <w:ind w:firstLine="600" w:firstLineChars="25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发包人逾期支付进度款的违约金的计算方式：</w:t>
      </w:r>
      <w:r>
        <w:rPr>
          <w:rFonts w:hint="eastAsia" w:asciiTheme="minorEastAsia" w:hAnsiTheme="minorEastAsia" w:eastAsiaTheme="minorEastAsia" w:cstheme="minorEastAsia"/>
          <w:color w:val="000000"/>
          <w:sz w:val="24"/>
          <w:szCs w:val="24"/>
          <w:u w:val="single"/>
        </w:rPr>
        <w:t xml:space="preserve">            </w:t>
      </w:r>
    </w:p>
    <w:p w14:paraId="0576787B">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32D7A5D">
      <w:pPr>
        <w:spacing w:line="360" w:lineRule="auto"/>
        <w:ind w:firstLine="600" w:firstLineChars="25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12.4.6 支付分解表的编制</w:t>
      </w:r>
    </w:p>
    <w:p w14:paraId="739EB2AE">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2、总价合同支付分解表的编制与审批：</w:t>
      </w:r>
      <w:r>
        <w:rPr>
          <w:rFonts w:hint="eastAsia" w:asciiTheme="minorEastAsia" w:hAnsiTheme="minorEastAsia" w:eastAsiaTheme="minorEastAsia" w:cstheme="minorEastAsia"/>
          <w:color w:val="000000"/>
          <w:sz w:val="24"/>
          <w:szCs w:val="24"/>
          <w:u w:val="single"/>
        </w:rPr>
        <w:t xml:space="preserve">                  </w:t>
      </w:r>
    </w:p>
    <w:p w14:paraId="6E2690B2">
      <w:pPr>
        <w:spacing w:line="360" w:lineRule="auto"/>
        <w:ind w:left="6000" w:hanging="4800" w:hangingChars="20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BCD537A">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3、单价合同的总价项目支付分解表的编制与审批：</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79A065A8">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bookmarkEnd w:id="1120"/>
    <w:p w14:paraId="018A1DE2">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1291" w:name="_Toc351203645"/>
      <w:bookmarkStart w:id="1292" w:name="_Toc304295593"/>
      <w:bookmarkStart w:id="1293" w:name="_Toc296891047"/>
      <w:bookmarkStart w:id="1294" w:name="_Toc303539172"/>
      <w:bookmarkStart w:id="1295" w:name="_Toc312678053"/>
      <w:bookmarkStart w:id="1296" w:name="_Toc296944558"/>
      <w:bookmarkStart w:id="1297" w:name="_Toc297120519"/>
      <w:bookmarkStart w:id="1298" w:name="_Toc292559424"/>
      <w:bookmarkStart w:id="1299" w:name="_Toc292559929"/>
      <w:bookmarkStart w:id="1300" w:name="_Toc297123564"/>
      <w:bookmarkStart w:id="1301" w:name="_Toc296346720"/>
      <w:bookmarkStart w:id="1302" w:name="_Toc297048405"/>
      <w:bookmarkStart w:id="1303" w:name="_Toc297216223"/>
      <w:bookmarkStart w:id="1304" w:name="_Toc300935015"/>
      <w:bookmarkStart w:id="1305" w:name="_Toc296891259"/>
      <w:bookmarkStart w:id="1306" w:name="_Toc296503219"/>
      <w:bookmarkStart w:id="1307" w:name="_Toc296347218"/>
      <w:r>
        <w:rPr>
          <w:rFonts w:hint="eastAsia" w:asciiTheme="minorEastAsia" w:hAnsiTheme="minorEastAsia" w:eastAsiaTheme="minorEastAsia" w:cstheme="minorEastAsia"/>
          <w:b w:val="0"/>
          <w:color w:val="000000"/>
          <w:sz w:val="24"/>
          <w:szCs w:val="24"/>
        </w:rPr>
        <w:t>13. 验收和工程试车</w:t>
      </w:r>
      <w:bookmarkEnd w:id="1291"/>
    </w:p>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14:paraId="58752FD6">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13.1 分部分项工程验收</w:t>
      </w:r>
    </w:p>
    <w:p w14:paraId="48D6524E">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13.1.2监理人不能按时进行验收时，应提前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小时提交书面延期要求。</w:t>
      </w:r>
    </w:p>
    <w:p w14:paraId="4CE7C6A2">
      <w:pPr>
        <w:spacing w:line="360" w:lineRule="auto"/>
        <w:ind w:firstLine="480" w:firstLineChars="200"/>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小时。</w:t>
      </w:r>
    </w:p>
    <w:p w14:paraId="0042BAAA">
      <w:pPr>
        <w:spacing w:after="120" w:line="360" w:lineRule="auto"/>
        <w:ind w:firstLine="480" w:firstLineChars="200"/>
        <w:rPr>
          <w:rFonts w:hint="eastAsia" w:asciiTheme="minorEastAsia" w:hAnsiTheme="minorEastAsia" w:eastAsiaTheme="minorEastAsia" w:cstheme="minorEastAsia"/>
          <w:color w:val="000000"/>
          <w:sz w:val="24"/>
          <w:szCs w:val="24"/>
        </w:rPr>
      </w:pPr>
      <w:bookmarkStart w:id="1308" w:name="_Toc297120523"/>
      <w:bookmarkStart w:id="1309" w:name="_Toc297123565"/>
      <w:bookmarkStart w:id="1310" w:name="_Toc297216224"/>
      <w:bookmarkStart w:id="1311" w:name="_Toc296347222"/>
      <w:bookmarkStart w:id="1312" w:name="_Toc292559933"/>
      <w:bookmarkStart w:id="1313" w:name="_Toc304295596"/>
      <w:bookmarkStart w:id="1314" w:name="_Toc296346724"/>
      <w:bookmarkStart w:id="1315" w:name="_Toc312678056"/>
      <w:bookmarkStart w:id="1316" w:name="_Toc303539173"/>
      <w:bookmarkStart w:id="1317" w:name="_Toc297048409"/>
      <w:bookmarkStart w:id="1318" w:name="_Toc296891051"/>
      <w:bookmarkStart w:id="1319" w:name="_Toc296944562"/>
      <w:bookmarkStart w:id="1320" w:name="_Toc296503223"/>
      <w:bookmarkStart w:id="1321" w:name="_Toc292559428"/>
      <w:bookmarkStart w:id="1322" w:name="_Toc300935016"/>
      <w:bookmarkStart w:id="1323" w:name="_Toc296891263"/>
      <w:bookmarkStart w:id="1324" w:name="_Toc267251471"/>
      <w:bookmarkStart w:id="1325" w:name="_Toc267251470"/>
      <w:bookmarkStart w:id="1326" w:name="_Toc267251473"/>
      <w:bookmarkStart w:id="1327" w:name="_Toc267251472"/>
      <w:bookmarkStart w:id="1328" w:name="_Toc267251475"/>
      <w:bookmarkStart w:id="1329" w:name="_Toc267251476"/>
      <w:bookmarkStart w:id="1330" w:name="_Toc267251474"/>
      <w:r>
        <w:rPr>
          <w:rFonts w:hint="eastAsia" w:asciiTheme="minorEastAsia" w:hAnsiTheme="minorEastAsia" w:eastAsiaTheme="minorEastAsia" w:cstheme="minorEastAsia"/>
          <w:color w:val="000000"/>
          <w:sz w:val="24"/>
          <w:szCs w:val="24"/>
        </w:rPr>
        <w:t>13.2 竣工验收</w:t>
      </w:r>
    </w:p>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14:paraId="0D0C57A6">
      <w:pPr>
        <w:spacing w:line="360" w:lineRule="auto"/>
        <w:ind w:firstLine="480" w:firstLineChars="200"/>
        <w:jc w:val="left"/>
        <w:rPr>
          <w:rFonts w:hint="eastAsia" w:asciiTheme="minorEastAsia" w:hAnsiTheme="minorEastAsia" w:eastAsiaTheme="minorEastAsia" w:cstheme="minorEastAsia"/>
          <w:color w:val="000000"/>
          <w:sz w:val="24"/>
          <w:szCs w:val="24"/>
        </w:rPr>
      </w:pPr>
      <w:bookmarkStart w:id="1331" w:name="_Toc280868704"/>
      <w:bookmarkStart w:id="1332" w:name="_Toc280868705"/>
      <w:bookmarkStart w:id="1333" w:name="_Toc280868706"/>
      <w:bookmarkStart w:id="1334" w:name="_Toc280868707"/>
      <w:bookmarkStart w:id="1335" w:name="_Toc280868708"/>
      <w:bookmarkStart w:id="1336" w:name="_Toc280868709"/>
      <w:r>
        <w:rPr>
          <w:rFonts w:hint="eastAsia" w:asciiTheme="minorEastAsia" w:hAnsiTheme="minorEastAsia" w:eastAsiaTheme="minorEastAsia" w:cstheme="minorEastAsia"/>
          <w:color w:val="000000"/>
          <w:sz w:val="24"/>
          <w:szCs w:val="24"/>
        </w:rPr>
        <w:t>13.2.2竣工验收程序</w:t>
      </w:r>
    </w:p>
    <w:bookmarkEnd w:id="1331"/>
    <w:p w14:paraId="4FED94B0">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kern w:val="0"/>
          <w:sz w:val="24"/>
          <w:szCs w:val="24"/>
        </w:rPr>
        <w:t>关于竣工验收程序的约定：</w:t>
      </w:r>
      <w:r>
        <w:rPr>
          <w:rFonts w:hint="eastAsia" w:asciiTheme="minorEastAsia" w:hAnsiTheme="minorEastAsia" w:eastAsiaTheme="minorEastAsia" w:cstheme="minorEastAsia"/>
          <w:color w:val="000000"/>
          <w:sz w:val="24"/>
          <w:szCs w:val="24"/>
          <w:u w:val="single"/>
        </w:rPr>
        <w:t xml:space="preserve">                              </w:t>
      </w:r>
    </w:p>
    <w:p w14:paraId="0F07C77A">
      <w:pPr>
        <w:spacing w:line="360" w:lineRule="auto"/>
        <w:ind w:left="6000" w:hanging="4800" w:hangingChars="20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B706841">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kern w:val="0"/>
          <w:sz w:val="24"/>
          <w:szCs w:val="24"/>
        </w:rPr>
        <w:t>发包人不按照本项约定组织竣工验收、颁发工程接收证书的违约金的计算方法：</w:t>
      </w:r>
      <w:r>
        <w:rPr>
          <w:rFonts w:hint="eastAsia" w:asciiTheme="minorEastAsia" w:hAnsiTheme="minorEastAsia" w:eastAsiaTheme="minorEastAsia" w:cstheme="minorEastAsia"/>
          <w:color w:val="000000"/>
          <w:sz w:val="24"/>
          <w:szCs w:val="24"/>
          <w:u w:val="single"/>
        </w:rPr>
        <w:t xml:space="preserve">                                         </w:t>
      </w:r>
    </w:p>
    <w:p w14:paraId="715A422E">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bookmarkEnd w:id="1332"/>
    <w:p w14:paraId="6F999B53">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13.2.5移交、接收全部与部分工程</w:t>
      </w:r>
    </w:p>
    <w:bookmarkEnd w:id="1333"/>
    <w:p w14:paraId="5CDE8A5C">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承包人向发包人移交工程的期限：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1F086505">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kern w:val="0"/>
          <w:sz w:val="24"/>
          <w:szCs w:val="24"/>
        </w:rPr>
        <w:t>发包人未按本合同约定接收全部或部分工程的，违约金的计算方法为：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bookmarkEnd w:id="1334"/>
    <w:p w14:paraId="169AC467">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承包人未按时移交工程的，违约金的计算方法为：</w:t>
      </w:r>
      <w:r>
        <w:rPr>
          <w:rFonts w:hint="eastAsia" w:asciiTheme="minorEastAsia" w:hAnsiTheme="minorEastAsia" w:eastAsiaTheme="minorEastAsia" w:cstheme="minorEastAsia"/>
          <w:color w:val="000000"/>
          <w:sz w:val="24"/>
          <w:szCs w:val="24"/>
          <w:u w:val="single"/>
        </w:rPr>
        <w:t xml:space="preserve">          </w:t>
      </w:r>
    </w:p>
    <w:p w14:paraId="4F45B91F">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470D860B">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13.3 工程试车</w:t>
      </w:r>
    </w:p>
    <w:bookmarkEnd w:id="1335"/>
    <w:p w14:paraId="557A53DD">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13.3.1 试车程序</w:t>
      </w:r>
    </w:p>
    <w:p w14:paraId="27510E34">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kern w:val="0"/>
          <w:sz w:val="24"/>
          <w:szCs w:val="24"/>
        </w:rPr>
        <w:t>工程试车内容：</w:t>
      </w:r>
      <w:r>
        <w:rPr>
          <w:rFonts w:hint="eastAsia" w:asciiTheme="minorEastAsia" w:hAnsiTheme="minorEastAsia" w:eastAsiaTheme="minorEastAsia" w:cstheme="minorEastAsia"/>
          <w:color w:val="000000"/>
          <w:sz w:val="24"/>
          <w:szCs w:val="24"/>
          <w:u w:val="single"/>
        </w:rPr>
        <w:t xml:space="preserve">                                        </w:t>
      </w:r>
    </w:p>
    <w:p w14:paraId="3A043320">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79B7ABB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（1）单机无负荷试车费用由</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kern w:val="0"/>
          <w:sz w:val="24"/>
          <w:szCs w:val="24"/>
        </w:rPr>
        <w:t>承担；</w:t>
      </w:r>
    </w:p>
    <w:p w14:paraId="1D96B55D">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（2）无负荷联动试车费用由</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kern w:val="0"/>
          <w:sz w:val="24"/>
          <w:szCs w:val="24"/>
        </w:rPr>
        <w:t>承担。</w:t>
      </w:r>
    </w:p>
    <w:p w14:paraId="5C75FFD3">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13.3.3 投料试车</w:t>
      </w:r>
    </w:p>
    <w:p w14:paraId="75BB5CD1">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kern w:val="0"/>
          <w:sz w:val="24"/>
          <w:szCs w:val="24"/>
        </w:rPr>
        <w:t>关于投料试车相关事项的约定：</w:t>
      </w:r>
      <w:r>
        <w:rPr>
          <w:rFonts w:hint="eastAsia" w:asciiTheme="minorEastAsia" w:hAnsiTheme="minorEastAsia" w:eastAsiaTheme="minorEastAsia" w:cstheme="minorEastAsia"/>
          <w:color w:val="000000"/>
          <w:sz w:val="24"/>
          <w:szCs w:val="24"/>
          <w:u w:val="single"/>
        </w:rPr>
        <w:t xml:space="preserve">                           </w:t>
      </w:r>
    </w:p>
    <w:p w14:paraId="656DE5FF">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13E476D">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13.6 竣工退场</w:t>
      </w:r>
    </w:p>
    <w:p w14:paraId="27A77802">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13.6.1 竣工退场</w:t>
      </w:r>
    </w:p>
    <w:p w14:paraId="552ACA5D">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承包人完成竣工退场的期限：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6A00BFBC">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1337" w:name="_Toc351203646"/>
      <w:r>
        <w:rPr>
          <w:rFonts w:hint="eastAsia" w:asciiTheme="minorEastAsia" w:hAnsiTheme="minorEastAsia" w:eastAsiaTheme="minorEastAsia" w:cstheme="minorEastAsia"/>
          <w:b w:val="0"/>
          <w:color w:val="000000"/>
          <w:sz w:val="24"/>
          <w:szCs w:val="24"/>
        </w:rPr>
        <w:t>14. 竣工结算</w:t>
      </w:r>
      <w:bookmarkEnd w:id="1337"/>
    </w:p>
    <w:p w14:paraId="0B7AE150">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14.1 竣工结算申请</w:t>
      </w:r>
    </w:p>
    <w:p w14:paraId="3EE3176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承包人提交竣工结算申请单的期限：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78503CC">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竣工结算申请单应包括的内容：</w:t>
      </w:r>
      <w:r>
        <w:rPr>
          <w:rFonts w:hint="eastAsia" w:asciiTheme="minorEastAsia" w:hAnsiTheme="minorEastAsia" w:eastAsiaTheme="minorEastAsia" w:cstheme="minorEastAsia"/>
          <w:color w:val="000000"/>
          <w:sz w:val="24"/>
          <w:szCs w:val="24"/>
          <w:u w:val="single"/>
        </w:rPr>
        <w:t xml:space="preserve">                        </w:t>
      </w:r>
    </w:p>
    <w:p w14:paraId="67500D47">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633CD76">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 竣工结算审核</w:t>
      </w:r>
    </w:p>
    <w:p w14:paraId="0EA374C2">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发包人审批竣工付款申请单的期限：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7AC5208">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发包人完成竣工付款的期限：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DE7E28E">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关于竣工付款证书异议部分复核的方式和程序：</w:t>
      </w:r>
      <w:r>
        <w:rPr>
          <w:rFonts w:hint="eastAsia" w:asciiTheme="minorEastAsia" w:hAnsiTheme="minorEastAsia" w:eastAsiaTheme="minorEastAsia" w:cstheme="minorEastAsia"/>
          <w:color w:val="000000"/>
          <w:sz w:val="24"/>
          <w:szCs w:val="24"/>
          <w:u w:val="single"/>
        </w:rPr>
        <w:t xml:space="preserve">          </w:t>
      </w:r>
    </w:p>
    <w:p w14:paraId="26A60E44">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DCC64E6">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14.4 最终结清</w:t>
      </w:r>
    </w:p>
    <w:p w14:paraId="72D34466">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14.4.1 最终结清申请单</w:t>
      </w:r>
    </w:p>
    <w:p w14:paraId="5FD2FF6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承包人提交最终结清申请单的份数：</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2974C72F">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承包人提交最终结算申请单的期限：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 xml:space="preserve"> </w:t>
      </w:r>
    </w:p>
    <w:p w14:paraId="261448DC">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14.4.2 最终结清证书和支付</w:t>
      </w:r>
    </w:p>
    <w:p w14:paraId="45559F7A">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（1）发包人完成最终结清申请单的审批并颁发最终结清证书的期限：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1B62E078">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（2）发包人完成支付的期限：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bookmarkEnd w:id="1324"/>
    <w:bookmarkEnd w:id="1325"/>
    <w:bookmarkEnd w:id="1326"/>
    <w:bookmarkEnd w:id="1327"/>
    <w:bookmarkEnd w:id="1328"/>
    <w:bookmarkEnd w:id="1329"/>
    <w:bookmarkEnd w:id="1330"/>
    <w:bookmarkEnd w:id="1336"/>
    <w:p w14:paraId="752AA495">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1338" w:name="_Toc351203647"/>
      <w:bookmarkStart w:id="1339" w:name="_Toc267251483"/>
      <w:bookmarkStart w:id="1340" w:name="_Toc267251482"/>
      <w:bookmarkStart w:id="1341" w:name="_Toc267251484"/>
      <w:bookmarkStart w:id="1342" w:name="_Toc267251485"/>
      <w:bookmarkStart w:id="1343" w:name="_Toc267251490"/>
      <w:bookmarkStart w:id="1344" w:name="_Toc267251488"/>
      <w:bookmarkStart w:id="1345" w:name="_Toc267251486"/>
      <w:bookmarkStart w:id="1346" w:name="_Toc267251489"/>
      <w:bookmarkStart w:id="1347" w:name="_Toc267251495"/>
      <w:bookmarkStart w:id="1348" w:name="_Toc267251502"/>
      <w:bookmarkStart w:id="1349" w:name="_Toc267251503"/>
      <w:bookmarkStart w:id="1350" w:name="_Toc267251496"/>
      <w:bookmarkStart w:id="1351" w:name="_Toc267251498"/>
      <w:bookmarkStart w:id="1352" w:name="_Toc267251501"/>
      <w:bookmarkStart w:id="1353" w:name="_Toc267251493"/>
      <w:bookmarkStart w:id="1354" w:name="_Toc267251494"/>
      <w:bookmarkStart w:id="1355" w:name="_Toc267251492"/>
      <w:bookmarkStart w:id="1356" w:name="_Toc267251491"/>
      <w:bookmarkStart w:id="1357" w:name="_Toc267251499"/>
      <w:bookmarkStart w:id="1358" w:name="_Toc267251497"/>
      <w:bookmarkStart w:id="1359" w:name="_Toc267251506"/>
      <w:bookmarkStart w:id="1360" w:name="_Toc267251504"/>
      <w:bookmarkStart w:id="1361" w:name="_Toc267251507"/>
      <w:bookmarkStart w:id="1362" w:name="_Toc267251508"/>
      <w:bookmarkStart w:id="1363" w:name="_Toc267251509"/>
      <w:bookmarkStart w:id="1364" w:name="_Toc267251511"/>
      <w:bookmarkStart w:id="1365" w:name="_Toc267251515"/>
      <w:bookmarkStart w:id="1366" w:name="_Toc267251510"/>
      <w:bookmarkStart w:id="1367" w:name="_Toc267251514"/>
      <w:bookmarkStart w:id="1368" w:name="_Toc267251513"/>
      <w:r>
        <w:rPr>
          <w:rFonts w:hint="eastAsia" w:asciiTheme="minorEastAsia" w:hAnsiTheme="minorEastAsia" w:eastAsiaTheme="minorEastAsia" w:cstheme="minorEastAsia"/>
          <w:b w:val="0"/>
          <w:color w:val="000000"/>
          <w:sz w:val="24"/>
          <w:szCs w:val="24"/>
        </w:rPr>
        <w:t>15. 缺陷责任期与保修</w:t>
      </w:r>
      <w:bookmarkEnd w:id="1338"/>
    </w:p>
    <w:p w14:paraId="41CBB0C1">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15.2缺陷责任期</w:t>
      </w:r>
      <w:bookmarkEnd w:id="1339"/>
    </w:p>
    <w:p w14:paraId="4BFD62DA">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缺陷责任期的具体期限：</w:t>
      </w:r>
      <w:r>
        <w:rPr>
          <w:rFonts w:hint="eastAsia" w:asciiTheme="minorEastAsia" w:hAnsiTheme="minorEastAsia" w:eastAsiaTheme="minorEastAsia" w:cstheme="minorEastAsia"/>
          <w:color w:val="000000"/>
          <w:sz w:val="24"/>
          <w:szCs w:val="24"/>
          <w:u w:val="single"/>
        </w:rPr>
        <w:t xml:space="preserve">                                </w:t>
      </w:r>
    </w:p>
    <w:p w14:paraId="038161B5">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75D22887">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15.3 质量保证金</w:t>
      </w:r>
    </w:p>
    <w:p w14:paraId="7BEFE4D6">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关于是否扣留质量保证金的约定：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。在工程项目竣工前，承包人按专用合同条款第3.7条提供履约担保的，发包人不得同时预留工程质量保证金。</w:t>
      </w:r>
    </w:p>
    <w:p w14:paraId="200A33AB">
      <w:pPr>
        <w:spacing w:line="360" w:lineRule="auto"/>
        <w:ind w:firstLine="480" w:firstLineChars="200"/>
        <w:jc w:val="left"/>
        <w:rPr>
          <w:rFonts w:hint="eastAsia" w:asciiTheme="minorEastAsia" w:hAnsiTheme="minorEastAsia" w:eastAsiaTheme="minorEastAsia" w:cstheme="minorEastAsia"/>
          <w:color w:val="000000"/>
          <w:sz w:val="24"/>
          <w:szCs w:val="24"/>
        </w:rPr>
      </w:pPr>
    </w:p>
    <w:p w14:paraId="4BA2AA32">
      <w:pPr>
        <w:spacing w:line="360" w:lineRule="auto"/>
        <w:ind w:firstLine="480" w:firstLineChars="200"/>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15.3.1 承包人提供质量保证金的方式</w:t>
      </w:r>
    </w:p>
    <w:p w14:paraId="4CCF93FB">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质量保证金采用以下第</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种方式：</w:t>
      </w:r>
    </w:p>
    <w:p w14:paraId="2BB2F3C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（1）质量保证金保函，保证金额为：</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 xml:space="preserve">； </w:t>
      </w:r>
    </w:p>
    <w:p w14:paraId="32A1F92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3</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%的工程款；</w:t>
      </w:r>
    </w:p>
    <w:p w14:paraId="65942D7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（3）其他方式:</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12FC40DE">
      <w:pPr>
        <w:spacing w:line="360" w:lineRule="auto"/>
        <w:ind w:firstLine="480" w:firstLineChars="200"/>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15.3.2 质量保证金的扣留 </w:t>
      </w:r>
    </w:p>
    <w:p w14:paraId="62397ABA">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质量保证金的扣留采取以下第</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种方式：</w:t>
      </w:r>
    </w:p>
    <w:p w14:paraId="10FEEC13">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（1）在支付工程进度款时逐次扣留，在此情形下，质量保证金的计算基数不包括预付款的支付、扣回以及价格调整的金额；</w:t>
      </w:r>
    </w:p>
    <w:p w14:paraId="2F0B2BC6">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（2）工程竣工结算时一次性扣留质量保证金；</w:t>
      </w:r>
    </w:p>
    <w:p w14:paraId="15192FF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（3）其他扣留方式:</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0E399C6B">
      <w:pPr>
        <w:spacing w:line="360" w:lineRule="auto"/>
        <w:ind w:firstLine="480" w:firstLineChars="200"/>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sz w:val="24"/>
          <w:szCs w:val="24"/>
        </w:rPr>
        <w:t>关于质量保证金的补充约定：</w:t>
      </w:r>
      <w:r>
        <w:rPr>
          <w:rFonts w:hint="eastAsia" w:asciiTheme="minorEastAsia" w:hAnsiTheme="minorEastAsia" w:eastAsiaTheme="minorEastAsia" w:cstheme="minorEastAsia"/>
          <w:color w:val="000000"/>
          <w:kern w:val="0"/>
          <w:sz w:val="24"/>
          <w:szCs w:val="24"/>
          <w:u w:val="single"/>
        </w:rPr>
        <w:t xml:space="preserve">                            </w:t>
      </w:r>
    </w:p>
    <w:p w14:paraId="261B9BA6">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bookmarkEnd w:id="1340"/>
    <w:bookmarkEnd w:id="1341"/>
    <w:p w14:paraId="23F58D0C">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15.4保修</w:t>
      </w:r>
    </w:p>
    <w:bookmarkEnd w:id="1342"/>
    <w:p w14:paraId="6D637A6D">
      <w:pPr>
        <w:spacing w:line="360" w:lineRule="auto"/>
        <w:ind w:firstLine="468" w:firstLineChars="195"/>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15.4.1 保修责任</w:t>
      </w:r>
    </w:p>
    <w:p w14:paraId="6BCA0390">
      <w:pPr>
        <w:spacing w:line="360" w:lineRule="auto"/>
        <w:ind w:firstLine="468" w:firstLineChars="195"/>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sz w:val="24"/>
          <w:szCs w:val="24"/>
        </w:rPr>
        <w:t>工程保修期为：</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2年</w:t>
      </w:r>
      <w:r>
        <w:rPr>
          <w:rFonts w:hint="eastAsia" w:asciiTheme="minorEastAsia" w:hAnsiTheme="minorEastAsia" w:eastAsiaTheme="minorEastAsia" w:cstheme="minorEastAsia"/>
          <w:color w:val="000000"/>
          <w:kern w:val="0"/>
          <w:sz w:val="24"/>
          <w:szCs w:val="24"/>
          <w:u w:val="single"/>
        </w:rPr>
        <w:t xml:space="preserve">                                  </w:t>
      </w:r>
    </w:p>
    <w:p w14:paraId="77577C76">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0E10AE14">
      <w:pPr>
        <w:spacing w:line="360" w:lineRule="auto"/>
        <w:ind w:firstLine="468" w:firstLineChars="195"/>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15.4.3 修复通知</w:t>
      </w:r>
    </w:p>
    <w:p w14:paraId="69BBE3D9">
      <w:pPr>
        <w:spacing w:line="360" w:lineRule="auto"/>
        <w:ind w:firstLine="468" w:firstLineChars="195"/>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承包人收到保修通知并到达工程现场的合理时间：</w:t>
      </w:r>
      <w:r>
        <w:rPr>
          <w:rFonts w:hint="eastAsia" w:asciiTheme="minorEastAsia" w:hAnsiTheme="minorEastAsia" w:eastAsiaTheme="minorEastAsia" w:cstheme="minorEastAsia"/>
          <w:color w:val="000000"/>
          <w:kern w:val="0"/>
          <w:sz w:val="24"/>
          <w:szCs w:val="24"/>
          <w:u w:val="single"/>
        </w:rPr>
        <w:t xml:space="preserve">          </w:t>
      </w:r>
    </w:p>
    <w:p w14:paraId="19D2ED92">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bookmarkEnd w:id="1343"/>
    <w:bookmarkEnd w:id="1344"/>
    <w:bookmarkEnd w:id="1345"/>
    <w:bookmarkEnd w:id="1346"/>
    <w:p w14:paraId="7319B708">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1369" w:name="_Toc351203648"/>
      <w:bookmarkStart w:id="1370" w:name="_Toc280868717"/>
      <w:bookmarkStart w:id="1371" w:name="_Toc280868718"/>
      <w:r>
        <w:rPr>
          <w:rFonts w:hint="eastAsia" w:asciiTheme="minorEastAsia" w:hAnsiTheme="minorEastAsia" w:eastAsiaTheme="minorEastAsia" w:cstheme="minorEastAsia"/>
          <w:b w:val="0"/>
          <w:color w:val="000000"/>
          <w:sz w:val="24"/>
          <w:szCs w:val="24"/>
        </w:rPr>
        <w:t>16. 违约</w:t>
      </w:r>
      <w:bookmarkEnd w:id="1369"/>
    </w:p>
    <w:p w14:paraId="70723588">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16.1 发包人违约</w:t>
      </w:r>
    </w:p>
    <w:p w14:paraId="7F425AD9">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16.1.1发包人违约的情形</w:t>
      </w:r>
    </w:p>
    <w:p w14:paraId="1DEC3062">
      <w:pPr>
        <w:spacing w:line="360" w:lineRule="auto"/>
        <w:ind w:firstLine="480" w:firstLineChars="200"/>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发包人违约的其他情形：</w:t>
      </w:r>
      <w:r>
        <w:rPr>
          <w:rFonts w:hint="eastAsia" w:asciiTheme="minorEastAsia" w:hAnsiTheme="minorEastAsia" w:eastAsiaTheme="minorEastAsia" w:cstheme="minorEastAsia"/>
          <w:color w:val="000000"/>
          <w:kern w:val="0"/>
          <w:sz w:val="24"/>
          <w:szCs w:val="24"/>
          <w:u w:val="single"/>
        </w:rPr>
        <w:t xml:space="preserve">                                </w:t>
      </w:r>
    </w:p>
    <w:p w14:paraId="62908B0B">
      <w:pPr>
        <w:spacing w:line="360" w:lineRule="auto"/>
        <w:ind w:left="1500" w:hanging="1200" w:hangingChars="5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67B20B54">
      <w:pPr>
        <w:spacing w:line="360" w:lineRule="auto"/>
        <w:ind w:left="1500" w:hanging="1200" w:hangingChars="5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16.1.2 发包人违约的责任</w:t>
      </w:r>
    </w:p>
    <w:p w14:paraId="1B6DC220">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发包人违约责任的承担方式和计算方法：</w:t>
      </w:r>
    </w:p>
    <w:p w14:paraId="0C25B549">
      <w:pPr>
        <w:spacing w:line="360" w:lineRule="auto"/>
        <w:ind w:firstLine="480" w:firstLineChars="200"/>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（1）因发包人原因未能在计划开工日期前7天内下达开工通知的违约责任：</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7FB6187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（2）因发包人原因未能按合同约定支付合同价款的违约责任：</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23CACE5D">
      <w:pPr>
        <w:spacing w:line="360" w:lineRule="auto"/>
        <w:ind w:firstLine="480" w:firstLineChars="200"/>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（3）发包人违反第10.1款〔变更的范围〕第（2）项约定，自行实施被取消的工作或转由他人实施的违约责任：</w:t>
      </w:r>
      <w:r>
        <w:rPr>
          <w:rFonts w:hint="eastAsia" w:asciiTheme="minorEastAsia" w:hAnsiTheme="minorEastAsia" w:eastAsiaTheme="minorEastAsia" w:cstheme="minorEastAsia"/>
          <w:color w:val="000000"/>
          <w:kern w:val="0"/>
          <w:sz w:val="24"/>
          <w:szCs w:val="24"/>
          <w:u w:val="single"/>
        </w:rPr>
        <w:t xml:space="preserve">              </w:t>
      </w:r>
    </w:p>
    <w:p w14:paraId="05DEB1FB">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563A8875">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4B0EABAD">
      <w:pPr>
        <w:spacing w:line="360" w:lineRule="auto"/>
        <w:ind w:firstLine="480" w:firstLineChars="200"/>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（5）因发包人违反合同约定造成暂停施工的违约责任：</w:t>
      </w:r>
      <w:r>
        <w:rPr>
          <w:rFonts w:hint="eastAsia" w:asciiTheme="minorEastAsia" w:hAnsiTheme="minorEastAsia" w:eastAsiaTheme="minorEastAsia" w:cstheme="minorEastAsia"/>
          <w:color w:val="000000"/>
          <w:kern w:val="0"/>
          <w:sz w:val="24"/>
          <w:szCs w:val="24"/>
          <w:u w:val="single"/>
        </w:rPr>
        <w:t xml:space="preserve">     </w:t>
      </w:r>
    </w:p>
    <w:p w14:paraId="4733BDD6">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1DA14649">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（6）发包人无正当理由没有在约定期限内发出复工指示，导致承包人无法复工的违约责任：</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163B6CB7">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（7）其他：</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604254FA">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16.1.3 因发包人违约解除合同</w:t>
      </w:r>
    </w:p>
    <w:p w14:paraId="5C11D83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承包人按16.1.1项〔发包人违约的情形〕约定暂停施工满</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天后发包人仍不纠正其违约行为并致使合同目的不能实现的，承包人有权解除合同。</w:t>
      </w:r>
    </w:p>
    <w:p w14:paraId="5F7CCD1B">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16.2 承包人违约</w:t>
      </w:r>
    </w:p>
    <w:p w14:paraId="0967A1B0">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16.2.1 承包人违约的情形</w:t>
      </w:r>
    </w:p>
    <w:p w14:paraId="43112D9E">
      <w:pPr>
        <w:spacing w:line="360" w:lineRule="auto"/>
        <w:ind w:firstLine="480" w:firstLineChars="200"/>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承包人违约的其他情形：</w:t>
      </w:r>
      <w:r>
        <w:rPr>
          <w:rFonts w:hint="eastAsia" w:asciiTheme="minorEastAsia" w:hAnsiTheme="minorEastAsia" w:eastAsiaTheme="minorEastAsia" w:cstheme="minorEastAsia"/>
          <w:color w:val="000000"/>
          <w:kern w:val="0"/>
          <w:sz w:val="24"/>
          <w:szCs w:val="24"/>
          <w:u w:val="single"/>
        </w:rPr>
        <w:t xml:space="preserve">                                </w:t>
      </w:r>
    </w:p>
    <w:p w14:paraId="5CC4A44E">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55D843F4">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16.2.2承包人违约的责任</w:t>
      </w:r>
    </w:p>
    <w:p w14:paraId="6714A9DE">
      <w:pPr>
        <w:spacing w:line="360" w:lineRule="auto"/>
        <w:ind w:firstLine="480" w:firstLineChars="200"/>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承包人违约责任的承担方式和计算方法：</w:t>
      </w:r>
      <w:r>
        <w:rPr>
          <w:rFonts w:hint="eastAsia" w:asciiTheme="minorEastAsia" w:hAnsiTheme="minorEastAsia" w:eastAsiaTheme="minorEastAsia" w:cstheme="minorEastAsia"/>
          <w:color w:val="000000"/>
          <w:kern w:val="0"/>
          <w:sz w:val="24"/>
          <w:szCs w:val="24"/>
          <w:u w:val="single"/>
        </w:rPr>
        <w:t xml:space="preserve">                  </w:t>
      </w:r>
    </w:p>
    <w:p w14:paraId="1801342B">
      <w:pPr>
        <w:spacing w:line="360" w:lineRule="auto"/>
        <w:ind w:left="1500" w:hanging="1200" w:hangingChars="500"/>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sz w:val="24"/>
          <w:szCs w:val="24"/>
        </w:rPr>
        <w:t xml:space="preserve">    </w:t>
      </w:r>
    </w:p>
    <w:p w14:paraId="005D0DCE">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16.2.3 因承包人违约解除合同</w:t>
      </w:r>
    </w:p>
    <w:p w14:paraId="22C091E3">
      <w:pPr>
        <w:spacing w:before="120" w:after="120" w:line="360" w:lineRule="auto"/>
        <w:ind w:firstLine="480" w:firstLineChars="200"/>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关于承包人违约解除合同的特别约定：</w:t>
      </w:r>
      <w:r>
        <w:rPr>
          <w:rFonts w:hint="eastAsia" w:asciiTheme="minorEastAsia" w:hAnsiTheme="minorEastAsia" w:eastAsiaTheme="minorEastAsia" w:cstheme="minorEastAsia"/>
          <w:color w:val="000000"/>
          <w:kern w:val="0"/>
          <w:sz w:val="24"/>
          <w:szCs w:val="24"/>
          <w:u w:val="single"/>
        </w:rPr>
        <w:t xml:space="preserve">                    </w:t>
      </w:r>
    </w:p>
    <w:p w14:paraId="637D96E7">
      <w:pPr>
        <w:spacing w:before="120" w:after="120" w:line="360" w:lineRule="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22CD70FA">
      <w:pPr>
        <w:spacing w:before="120" w:after="120" w:line="360" w:lineRule="auto"/>
        <w:ind w:firstLine="480"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7D98BEDB">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1372" w:name="_Toc351203649"/>
      <w:r>
        <w:rPr>
          <w:rFonts w:hint="eastAsia" w:asciiTheme="minorEastAsia" w:hAnsiTheme="minorEastAsia" w:eastAsiaTheme="minorEastAsia" w:cstheme="minorEastAsia"/>
          <w:b w:val="0"/>
          <w:color w:val="000000"/>
          <w:sz w:val="24"/>
          <w:szCs w:val="24"/>
        </w:rPr>
        <w:t>17. 不可抗力</w:t>
      </w:r>
      <w:bookmarkEnd w:id="1372"/>
      <w:r>
        <w:rPr>
          <w:rFonts w:hint="eastAsia" w:asciiTheme="minorEastAsia" w:hAnsiTheme="minorEastAsia" w:eastAsiaTheme="minorEastAsia" w:cstheme="minorEastAsia"/>
          <w:b w:val="0"/>
          <w:color w:val="000000"/>
          <w:sz w:val="24"/>
          <w:szCs w:val="24"/>
        </w:rPr>
        <w:t xml:space="preserve"> </w:t>
      </w:r>
      <w:bookmarkEnd w:id="1370"/>
    </w:p>
    <w:p w14:paraId="3949B823">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17.1 不可抗力的确认</w:t>
      </w:r>
    </w:p>
    <w:p w14:paraId="59B61AFD">
      <w:pPr>
        <w:spacing w:line="360" w:lineRule="auto"/>
        <w:ind w:firstLine="480" w:firstLineChars="200"/>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sz w:val="24"/>
          <w:szCs w:val="24"/>
        </w:rPr>
        <w:t xml:space="preserve">除通用合同条款约定的不可抗力事件之外，视为不可抗力的其他情形： </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06054DA6">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17.4 因不可抗力解除合同</w:t>
      </w:r>
    </w:p>
    <w:p w14:paraId="584F125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合同解除后，发包人应在商定或确定发包人应支付款项后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天内完成款项的支付。</w:t>
      </w:r>
    </w:p>
    <w:p w14:paraId="078D4A24">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1373" w:name="_Toc351203650"/>
      <w:r>
        <w:rPr>
          <w:rFonts w:hint="eastAsia" w:asciiTheme="minorEastAsia" w:hAnsiTheme="minorEastAsia" w:eastAsiaTheme="minorEastAsia" w:cstheme="minorEastAsia"/>
          <w:b w:val="0"/>
          <w:color w:val="000000"/>
          <w:sz w:val="24"/>
          <w:szCs w:val="24"/>
        </w:rPr>
        <w:t>18. 保险</w:t>
      </w:r>
      <w:bookmarkEnd w:id="1373"/>
    </w:p>
    <w:bookmarkEnd w:id="1371"/>
    <w:p w14:paraId="05245F81">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18.1 工程保险</w:t>
      </w:r>
    </w:p>
    <w:p w14:paraId="75BA037A">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关于工程保险的特别约定：</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06147294">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18.3 其他保险</w:t>
      </w:r>
    </w:p>
    <w:p w14:paraId="5A21513E">
      <w:pPr>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rPr>
        <w:t>关于其他保险的约定：</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14:paraId="28058E99">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承包人是否应为其施工设备等办理财产保险：</w:t>
      </w:r>
      <w:r>
        <w:rPr>
          <w:rFonts w:hint="eastAsia" w:asciiTheme="minorEastAsia" w:hAnsiTheme="minorEastAsia" w:eastAsiaTheme="minorEastAsia" w:cstheme="minorEastAsia"/>
          <w:color w:val="000000"/>
          <w:sz w:val="24"/>
          <w:szCs w:val="24"/>
          <w:u w:val="single"/>
        </w:rPr>
        <w:t xml:space="preserve">              </w:t>
      </w:r>
    </w:p>
    <w:p w14:paraId="1CA2E429">
      <w:pPr>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6C9E7BFD">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18.7 通知义务</w:t>
      </w:r>
    </w:p>
    <w:p w14:paraId="2B8CA060">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kern w:val="0"/>
          <w:sz w:val="24"/>
          <w:szCs w:val="24"/>
        </w:rPr>
        <w:t>关于变更保险合同时的通知义务的约定：</w:t>
      </w:r>
      <w:r>
        <w:rPr>
          <w:rFonts w:hint="eastAsia" w:asciiTheme="minorEastAsia" w:hAnsiTheme="minorEastAsia" w:eastAsiaTheme="minorEastAsia" w:cstheme="minorEastAsia"/>
          <w:color w:val="000000"/>
          <w:sz w:val="24"/>
          <w:szCs w:val="24"/>
          <w:u w:val="single"/>
        </w:rPr>
        <w:t xml:space="preserve">                  </w:t>
      </w:r>
    </w:p>
    <w:p w14:paraId="53011038">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bookmarkEnd w:id="1347"/>
    <w:bookmarkEnd w:id="1348"/>
    <w:bookmarkEnd w:id="1349"/>
    <w:bookmarkEnd w:id="1350"/>
    <w:bookmarkEnd w:id="1351"/>
    <w:bookmarkEnd w:id="1352"/>
    <w:bookmarkEnd w:id="1353"/>
    <w:bookmarkEnd w:id="1354"/>
    <w:bookmarkEnd w:id="1355"/>
    <w:bookmarkEnd w:id="1356"/>
    <w:bookmarkEnd w:id="1357"/>
    <w:bookmarkEnd w:id="1358"/>
    <w:p w14:paraId="71D128C6">
      <w:pPr>
        <w:pStyle w:val="5"/>
        <w:numPr>
          <w:ilvl w:val="3"/>
          <w:numId w:val="0"/>
        </w:numPr>
        <w:spacing w:before="120" w:after="120" w:line="360" w:lineRule="auto"/>
        <w:ind w:leftChars="0"/>
        <w:rPr>
          <w:rFonts w:hint="eastAsia" w:asciiTheme="minorEastAsia" w:hAnsiTheme="minorEastAsia" w:eastAsiaTheme="minorEastAsia" w:cstheme="minorEastAsia"/>
          <w:b w:val="0"/>
          <w:color w:val="000000"/>
          <w:sz w:val="24"/>
          <w:szCs w:val="24"/>
        </w:rPr>
      </w:pPr>
      <w:bookmarkStart w:id="1374" w:name="_Toc351203651"/>
      <w:r>
        <w:rPr>
          <w:rFonts w:hint="eastAsia" w:asciiTheme="minorEastAsia" w:hAnsiTheme="minorEastAsia" w:eastAsiaTheme="minorEastAsia" w:cstheme="minorEastAsia"/>
          <w:b w:val="0"/>
          <w:color w:val="000000"/>
          <w:sz w:val="24"/>
          <w:szCs w:val="24"/>
        </w:rPr>
        <w:t>20. 争议解决</w:t>
      </w:r>
      <w:bookmarkEnd w:id="1374"/>
    </w:p>
    <w:bookmarkEnd w:id="1359"/>
    <w:bookmarkEnd w:id="1360"/>
    <w:p w14:paraId="0A96256A">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20.3 争</w:t>
      </w:r>
      <w:bookmarkEnd w:id="1361"/>
      <w:r>
        <w:rPr>
          <w:rFonts w:hint="eastAsia" w:asciiTheme="minorEastAsia" w:hAnsiTheme="minorEastAsia" w:eastAsiaTheme="minorEastAsia" w:cstheme="minorEastAsia"/>
          <w:color w:val="000000"/>
          <w:sz w:val="24"/>
          <w:szCs w:val="24"/>
        </w:rPr>
        <w:t>议评审</w:t>
      </w:r>
    </w:p>
    <w:p w14:paraId="13088370">
      <w:pPr>
        <w:spacing w:line="360" w:lineRule="auto"/>
        <w:ind w:left="149" w:leftChars="71" w:firstLine="360" w:firstLineChars="15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合同当事人是否同意将工程争议提交争议评审小组决定：</w:t>
      </w:r>
      <w:r>
        <w:rPr>
          <w:rFonts w:hint="eastAsia" w:asciiTheme="minorEastAsia" w:hAnsiTheme="minorEastAsia" w:eastAsiaTheme="minorEastAsia" w:cstheme="minorEastAsia"/>
          <w:color w:val="000000"/>
          <w:sz w:val="24"/>
          <w:szCs w:val="24"/>
          <w:u w:val="single"/>
        </w:rPr>
        <w:t xml:space="preserve">    </w:t>
      </w:r>
    </w:p>
    <w:p w14:paraId="11737623">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70D80820">
      <w:pPr>
        <w:spacing w:line="360" w:lineRule="auto"/>
        <w:ind w:firstLine="480" w:firstLineChars="200"/>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20.3.1 争议评审小组的确定</w:t>
      </w:r>
    </w:p>
    <w:p w14:paraId="50A91849">
      <w:pPr>
        <w:spacing w:line="360" w:lineRule="auto"/>
        <w:ind w:firstLine="480" w:firstLineChars="200"/>
        <w:jc w:val="lef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争议评审小组成员的确定：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46BD3CF8">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选定争议评审员的期限：</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46A34DF">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争议评审小组成员的报酬承担方式：</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F718A74">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其他事项的约定：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43BE6859">
      <w:pPr>
        <w:autoSpaceDE w:val="0"/>
        <w:autoSpaceDN w:val="0"/>
        <w:adjustRightInd w:val="0"/>
        <w:spacing w:line="360" w:lineRule="auto"/>
        <w:ind w:firstLine="480" w:firstLineChars="200"/>
        <w:jc w:val="left"/>
        <w:outlineLvl w:val="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20.3.2 争议评审小组的决定</w:t>
      </w:r>
    </w:p>
    <w:p w14:paraId="03573CB0">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合同当事人关于本项的约定：</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F2036E0">
      <w:pPr>
        <w:spacing w:after="120"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20.4仲裁或诉讼</w:t>
      </w:r>
      <w:bookmarkEnd w:id="1362"/>
    </w:p>
    <w:p w14:paraId="71985004">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因合同及合同有关事项发生的争议，按下列第</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种方式解决：</w:t>
      </w:r>
    </w:p>
    <w:p w14:paraId="5C868489">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（1）向</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仲裁委员会申请仲裁；</w:t>
      </w:r>
    </w:p>
    <w:p w14:paraId="28310078">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（2）向</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人民法院起诉。</w:t>
      </w:r>
      <w:bookmarkEnd w:id="1363"/>
      <w:bookmarkEnd w:id="1364"/>
      <w:bookmarkEnd w:id="1365"/>
      <w:bookmarkEnd w:id="1366"/>
      <w:bookmarkEnd w:id="1367"/>
      <w:bookmarkEnd w:id="1368"/>
    </w:p>
    <w:p w14:paraId="1EC083D7">
      <w:pPr>
        <w:spacing w:line="360" w:lineRule="auto"/>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br w:type="page"/>
      </w:r>
      <w:bookmarkStart w:id="1375" w:name="_Toc351203652"/>
      <w:r>
        <w:rPr>
          <w:rFonts w:hint="eastAsia" w:asciiTheme="minorEastAsia" w:hAnsiTheme="minorEastAsia" w:eastAsiaTheme="minorEastAsia" w:cstheme="minorEastAsia"/>
          <w:b/>
          <w:color w:val="000000"/>
          <w:sz w:val="24"/>
          <w:szCs w:val="24"/>
        </w:rPr>
        <w:t>附件</w:t>
      </w:r>
      <w:bookmarkEnd w:id="1375"/>
    </w:p>
    <w:p w14:paraId="20D4A8BB">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协议书附件：</w:t>
      </w:r>
    </w:p>
    <w:p w14:paraId="2CB77369">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附件1：承包人承揽工程项目一览表</w:t>
      </w:r>
    </w:p>
    <w:p w14:paraId="7569A616">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专用合同条款附件：</w:t>
      </w:r>
    </w:p>
    <w:p w14:paraId="6AB72231">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附件2：发包人供应材料设备一览表</w:t>
      </w:r>
    </w:p>
    <w:p w14:paraId="69E8290F">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附件3：工程质量保修书</w:t>
      </w:r>
    </w:p>
    <w:p w14:paraId="21AEAF46">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附件4：主要建设工程文件目录</w:t>
      </w:r>
    </w:p>
    <w:p w14:paraId="20F2CA87">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附件5：承包人用于本工程施工的机械设备表</w:t>
      </w:r>
    </w:p>
    <w:p w14:paraId="267B170B">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附件6：承包人主要施工管理人员表</w:t>
      </w:r>
    </w:p>
    <w:p w14:paraId="4349C48E">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附件7：分包人主要施工管理人员表</w:t>
      </w:r>
    </w:p>
    <w:p w14:paraId="5F1064ED">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附件8：履约担保格式</w:t>
      </w:r>
    </w:p>
    <w:p w14:paraId="04CB6504">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附件9：预付款担保格式</w:t>
      </w:r>
    </w:p>
    <w:p w14:paraId="67DFF25F">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附件10：支付担保格式</w:t>
      </w:r>
    </w:p>
    <w:p w14:paraId="5176EC9F">
      <w:pPr>
        <w:spacing w:line="360" w:lineRule="auto"/>
        <w:jc w:val="left"/>
        <w:rPr>
          <w:rFonts w:hint="eastAsia" w:asciiTheme="minorEastAsia" w:hAnsiTheme="minorEastAsia" w:eastAsiaTheme="minorEastAsia" w:cstheme="minorEastAsia"/>
          <w:color w:val="000000"/>
          <w:sz w:val="24"/>
          <w:szCs w:val="24"/>
        </w:rPr>
        <w:sectPr>
          <w:pgSz w:w="11906" w:h="16838"/>
          <w:pgMar w:top="1418" w:right="1555" w:bottom="1418" w:left="1531" w:header="851" w:footer="992" w:gutter="0"/>
          <w:pgNumType w:fmt="decimal"/>
          <w:cols w:space="720" w:num="1"/>
          <w:titlePg/>
          <w:docGrid w:type="lines" w:linePitch="312" w:charSpace="0"/>
        </w:sectPr>
      </w:pPr>
      <w:r>
        <w:rPr>
          <w:rFonts w:hint="eastAsia" w:asciiTheme="minorEastAsia" w:hAnsiTheme="minorEastAsia" w:eastAsiaTheme="minorEastAsia" w:cstheme="minorEastAsia"/>
          <w:color w:val="000000"/>
          <w:sz w:val="24"/>
          <w:szCs w:val="24"/>
        </w:rPr>
        <w:t>附件11：暂估价一览表</w:t>
      </w:r>
    </w:p>
    <w:p w14:paraId="570F4F6C">
      <w:pPr>
        <w:spacing w:before="156" w:beforeLines="50" w:after="156" w:afterLines="50" w:line="4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附件1：</w:t>
      </w:r>
    </w:p>
    <w:p w14:paraId="5048893B">
      <w:pPr>
        <w:spacing w:before="156" w:beforeLines="50" w:after="156" w:afterLines="50" w:line="4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承包人承揽工程项目一览表</w:t>
      </w:r>
    </w:p>
    <w:tbl>
      <w:tblPr>
        <w:tblStyle w:val="37"/>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BFED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37D6FB0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单位工程名称</w:t>
            </w:r>
          </w:p>
        </w:tc>
        <w:tc>
          <w:tcPr>
            <w:tcW w:w="1843" w:type="dxa"/>
            <w:tcBorders>
              <w:top w:val="single" w:color="auto" w:sz="12" w:space="0"/>
              <w:bottom w:val="double" w:color="auto" w:sz="6" w:space="0"/>
            </w:tcBorders>
            <w:noWrap w:val="0"/>
            <w:vAlign w:val="center"/>
          </w:tcPr>
          <w:p w14:paraId="55CEB74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建设规模</w:t>
            </w:r>
          </w:p>
        </w:tc>
        <w:tc>
          <w:tcPr>
            <w:tcW w:w="1417" w:type="dxa"/>
            <w:tcBorders>
              <w:top w:val="single" w:color="auto" w:sz="12" w:space="0"/>
              <w:bottom w:val="double" w:color="auto" w:sz="6" w:space="0"/>
            </w:tcBorders>
            <w:noWrap w:val="0"/>
            <w:vAlign w:val="center"/>
          </w:tcPr>
          <w:p w14:paraId="2DBB5CB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建筑面积(平方米)</w:t>
            </w:r>
          </w:p>
        </w:tc>
        <w:tc>
          <w:tcPr>
            <w:tcW w:w="2410" w:type="dxa"/>
            <w:tcBorders>
              <w:top w:val="single" w:color="auto" w:sz="12" w:space="0"/>
              <w:bottom w:val="double" w:color="auto" w:sz="6" w:space="0"/>
            </w:tcBorders>
            <w:noWrap w:val="0"/>
            <w:vAlign w:val="center"/>
          </w:tcPr>
          <w:p w14:paraId="62F9DCD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结构形式</w:t>
            </w:r>
          </w:p>
        </w:tc>
        <w:tc>
          <w:tcPr>
            <w:tcW w:w="850" w:type="dxa"/>
            <w:tcBorders>
              <w:top w:val="single" w:color="auto" w:sz="12" w:space="0"/>
              <w:bottom w:val="double" w:color="auto" w:sz="6" w:space="0"/>
            </w:tcBorders>
            <w:noWrap w:val="0"/>
            <w:vAlign w:val="center"/>
          </w:tcPr>
          <w:p w14:paraId="6CD50D8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层数</w:t>
            </w:r>
          </w:p>
        </w:tc>
        <w:tc>
          <w:tcPr>
            <w:tcW w:w="1560" w:type="dxa"/>
            <w:tcBorders>
              <w:top w:val="single" w:color="auto" w:sz="12" w:space="0"/>
              <w:bottom w:val="double" w:color="auto" w:sz="6" w:space="0"/>
            </w:tcBorders>
            <w:noWrap w:val="0"/>
            <w:vAlign w:val="center"/>
          </w:tcPr>
          <w:p w14:paraId="1F1E9A1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生产能力</w:t>
            </w:r>
          </w:p>
        </w:tc>
        <w:tc>
          <w:tcPr>
            <w:tcW w:w="2126" w:type="dxa"/>
            <w:tcBorders>
              <w:top w:val="single" w:color="auto" w:sz="12" w:space="0"/>
              <w:bottom w:val="double" w:color="auto" w:sz="6" w:space="0"/>
            </w:tcBorders>
            <w:noWrap w:val="0"/>
            <w:vAlign w:val="center"/>
          </w:tcPr>
          <w:p w14:paraId="0744FA8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设备安装内容</w:t>
            </w:r>
          </w:p>
        </w:tc>
        <w:tc>
          <w:tcPr>
            <w:tcW w:w="1417" w:type="dxa"/>
            <w:tcBorders>
              <w:top w:val="single" w:color="auto" w:sz="12" w:space="0"/>
              <w:bottom w:val="double" w:color="auto" w:sz="6" w:space="0"/>
            </w:tcBorders>
            <w:noWrap w:val="0"/>
            <w:vAlign w:val="center"/>
          </w:tcPr>
          <w:p w14:paraId="5D20E43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合同价格（元）</w:t>
            </w:r>
          </w:p>
        </w:tc>
        <w:tc>
          <w:tcPr>
            <w:tcW w:w="851" w:type="dxa"/>
            <w:tcBorders>
              <w:top w:val="single" w:color="auto" w:sz="12" w:space="0"/>
              <w:bottom w:val="double" w:color="auto" w:sz="6" w:space="0"/>
            </w:tcBorders>
            <w:noWrap w:val="0"/>
            <w:vAlign w:val="center"/>
          </w:tcPr>
          <w:p w14:paraId="1E0BE9B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开工日期</w:t>
            </w:r>
          </w:p>
        </w:tc>
        <w:tc>
          <w:tcPr>
            <w:tcW w:w="850" w:type="dxa"/>
            <w:tcBorders>
              <w:top w:val="single" w:color="auto" w:sz="12" w:space="0"/>
              <w:bottom w:val="double" w:color="auto" w:sz="6" w:space="0"/>
            </w:tcBorders>
            <w:noWrap w:val="0"/>
            <w:vAlign w:val="center"/>
          </w:tcPr>
          <w:p w14:paraId="08EF7D9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竣工日期</w:t>
            </w:r>
          </w:p>
        </w:tc>
      </w:tr>
      <w:tr w14:paraId="642B3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3FBBB98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843" w:type="dxa"/>
            <w:tcBorders>
              <w:top w:val="double" w:color="auto" w:sz="6" w:space="0"/>
              <w:bottom w:val="single" w:color="auto" w:sz="6" w:space="0"/>
            </w:tcBorders>
            <w:noWrap w:val="0"/>
            <w:vAlign w:val="center"/>
          </w:tcPr>
          <w:p w14:paraId="1105198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7" w:type="dxa"/>
            <w:tcBorders>
              <w:top w:val="double" w:color="auto" w:sz="6" w:space="0"/>
              <w:bottom w:val="single" w:color="auto" w:sz="6" w:space="0"/>
            </w:tcBorders>
            <w:noWrap w:val="0"/>
            <w:vAlign w:val="center"/>
          </w:tcPr>
          <w:p w14:paraId="55A3EF0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2410" w:type="dxa"/>
            <w:tcBorders>
              <w:top w:val="double" w:color="auto" w:sz="6" w:space="0"/>
              <w:bottom w:val="single" w:color="auto" w:sz="6" w:space="0"/>
            </w:tcBorders>
            <w:noWrap w:val="0"/>
            <w:vAlign w:val="center"/>
          </w:tcPr>
          <w:p w14:paraId="62489A1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tcBorders>
              <w:top w:val="double" w:color="auto" w:sz="6" w:space="0"/>
              <w:bottom w:val="single" w:color="auto" w:sz="6" w:space="0"/>
            </w:tcBorders>
            <w:noWrap w:val="0"/>
            <w:vAlign w:val="center"/>
          </w:tcPr>
          <w:p w14:paraId="29F3AA2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560" w:type="dxa"/>
            <w:tcBorders>
              <w:top w:val="double" w:color="auto" w:sz="6" w:space="0"/>
              <w:bottom w:val="single" w:color="auto" w:sz="6" w:space="0"/>
            </w:tcBorders>
            <w:noWrap w:val="0"/>
            <w:vAlign w:val="center"/>
          </w:tcPr>
          <w:p w14:paraId="6E1F79D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2126" w:type="dxa"/>
            <w:tcBorders>
              <w:top w:val="double" w:color="auto" w:sz="6" w:space="0"/>
              <w:bottom w:val="single" w:color="auto" w:sz="6" w:space="0"/>
            </w:tcBorders>
            <w:noWrap w:val="0"/>
            <w:vAlign w:val="center"/>
          </w:tcPr>
          <w:p w14:paraId="4F42B17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7" w:type="dxa"/>
            <w:tcBorders>
              <w:top w:val="double" w:color="auto" w:sz="6" w:space="0"/>
              <w:bottom w:val="single" w:color="auto" w:sz="6" w:space="0"/>
            </w:tcBorders>
            <w:noWrap w:val="0"/>
            <w:vAlign w:val="center"/>
          </w:tcPr>
          <w:p w14:paraId="5C9BA64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tcBorders>
              <w:top w:val="double" w:color="auto" w:sz="6" w:space="0"/>
              <w:bottom w:val="single" w:color="auto" w:sz="6" w:space="0"/>
            </w:tcBorders>
            <w:noWrap w:val="0"/>
            <w:vAlign w:val="center"/>
          </w:tcPr>
          <w:p w14:paraId="77636D5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tcBorders>
              <w:top w:val="double" w:color="auto" w:sz="6" w:space="0"/>
              <w:bottom w:val="single" w:color="auto" w:sz="6" w:space="0"/>
            </w:tcBorders>
            <w:noWrap w:val="0"/>
            <w:vAlign w:val="center"/>
          </w:tcPr>
          <w:p w14:paraId="706957C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2C60F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3872C7F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843" w:type="dxa"/>
            <w:noWrap w:val="0"/>
            <w:vAlign w:val="center"/>
          </w:tcPr>
          <w:p w14:paraId="381935D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7" w:type="dxa"/>
            <w:noWrap w:val="0"/>
            <w:vAlign w:val="center"/>
          </w:tcPr>
          <w:p w14:paraId="651D394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2410" w:type="dxa"/>
            <w:noWrap w:val="0"/>
            <w:vAlign w:val="center"/>
          </w:tcPr>
          <w:p w14:paraId="0CA239B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noWrap w:val="0"/>
            <w:vAlign w:val="center"/>
          </w:tcPr>
          <w:p w14:paraId="1E5B256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560" w:type="dxa"/>
            <w:noWrap w:val="0"/>
            <w:vAlign w:val="center"/>
          </w:tcPr>
          <w:p w14:paraId="74A847D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2126" w:type="dxa"/>
            <w:noWrap w:val="0"/>
            <w:vAlign w:val="center"/>
          </w:tcPr>
          <w:p w14:paraId="6DA9D5D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7" w:type="dxa"/>
            <w:noWrap w:val="0"/>
            <w:vAlign w:val="center"/>
          </w:tcPr>
          <w:p w14:paraId="25DCFE9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center"/>
          </w:tcPr>
          <w:p w14:paraId="1346355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noWrap w:val="0"/>
            <w:vAlign w:val="center"/>
          </w:tcPr>
          <w:p w14:paraId="42408AA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CD85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F721C3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843" w:type="dxa"/>
            <w:tcBorders>
              <w:top w:val="nil"/>
            </w:tcBorders>
            <w:noWrap w:val="0"/>
            <w:vAlign w:val="center"/>
          </w:tcPr>
          <w:p w14:paraId="31190A3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7" w:type="dxa"/>
            <w:tcBorders>
              <w:top w:val="nil"/>
            </w:tcBorders>
            <w:noWrap w:val="0"/>
            <w:vAlign w:val="center"/>
          </w:tcPr>
          <w:p w14:paraId="60E6F1D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2410" w:type="dxa"/>
            <w:tcBorders>
              <w:top w:val="nil"/>
            </w:tcBorders>
            <w:noWrap w:val="0"/>
            <w:vAlign w:val="center"/>
          </w:tcPr>
          <w:p w14:paraId="587062A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tcBorders>
              <w:top w:val="nil"/>
            </w:tcBorders>
            <w:noWrap w:val="0"/>
            <w:vAlign w:val="center"/>
          </w:tcPr>
          <w:p w14:paraId="49EBB1E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560" w:type="dxa"/>
            <w:tcBorders>
              <w:top w:val="nil"/>
            </w:tcBorders>
            <w:noWrap w:val="0"/>
            <w:vAlign w:val="center"/>
          </w:tcPr>
          <w:p w14:paraId="0769897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2126" w:type="dxa"/>
            <w:tcBorders>
              <w:top w:val="nil"/>
            </w:tcBorders>
            <w:noWrap w:val="0"/>
            <w:vAlign w:val="center"/>
          </w:tcPr>
          <w:p w14:paraId="55B4C5A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7" w:type="dxa"/>
            <w:tcBorders>
              <w:top w:val="nil"/>
            </w:tcBorders>
            <w:noWrap w:val="0"/>
            <w:vAlign w:val="center"/>
          </w:tcPr>
          <w:p w14:paraId="37419DE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tcBorders>
              <w:top w:val="nil"/>
            </w:tcBorders>
            <w:noWrap w:val="0"/>
            <w:vAlign w:val="center"/>
          </w:tcPr>
          <w:p w14:paraId="5593D68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tcBorders>
              <w:top w:val="nil"/>
            </w:tcBorders>
            <w:noWrap w:val="0"/>
            <w:vAlign w:val="center"/>
          </w:tcPr>
          <w:p w14:paraId="2ED2849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F1CE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188AB6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843" w:type="dxa"/>
            <w:noWrap w:val="0"/>
            <w:vAlign w:val="center"/>
          </w:tcPr>
          <w:p w14:paraId="2CDF3AA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7" w:type="dxa"/>
            <w:noWrap w:val="0"/>
            <w:vAlign w:val="center"/>
          </w:tcPr>
          <w:p w14:paraId="098D644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2410" w:type="dxa"/>
            <w:noWrap w:val="0"/>
            <w:vAlign w:val="center"/>
          </w:tcPr>
          <w:p w14:paraId="6FDF981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noWrap w:val="0"/>
            <w:vAlign w:val="center"/>
          </w:tcPr>
          <w:p w14:paraId="763E82E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560" w:type="dxa"/>
            <w:noWrap w:val="0"/>
            <w:vAlign w:val="center"/>
          </w:tcPr>
          <w:p w14:paraId="6A78291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2126" w:type="dxa"/>
            <w:noWrap w:val="0"/>
            <w:vAlign w:val="center"/>
          </w:tcPr>
          <w:p w14:paraId="2B66CDD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7" w:type="dxa"/>
            <w:noWrap w:val="0"/>
            <w:vAlign w:val="center"/>
          </w:tcPr>
          <w:p w14:paraId="2067539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center"/>
          </w:tcPr>
          <w:p w14:paraId="2ACDF69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noWrap w:val="0"/>
            <w:vAlign w:val="center"/>
          </w:tcPr>
          <w:p w14:paraId="779EE12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99FC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41F0B9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843" w:type="dxa"/>
            <w:tcBorders>
              <w:top w:val="nil"/>
            </w:tcBorders>
            <w:noWrap w:val="0"/>
            <w:vAlign w:val="center"/>
          </w:tcPr>
          <w:p w14:paraId="4B7E777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7" w:type="dxa"/>
            <w:tcBorders>
              <w:top w:val="nil"/>
            </w:tcBorders>
            <w:noWrap w:val="0"/>
            <w:vAlign w:val="center"/>
          </w:tcPr>
          <w:p w14:paraId="28B6FE2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2410" w:type="dxa"/>
            <w:tcBorders>
              <w:top w:val="nil"/>
            </w:tcBorders>
            <w:noWrap w:val="0"/>
            <w:vAlign w:val="center"/>
          </w:tcPr>
          <w:p w14:paraId="65880D9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tcBorders>
              <w:top w:val="nil"/>
            </w:tcBorders>
            <w:noWrap w:val="0"/>
            <w:vAlign w:val="center"/>
          </w:tcPr>
          <w:p w14:paraId="4C0E5AD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560" w:type="dxa"/>
            <w:tcBorders>
              <w:top w:val="nil"/>
            </w:tcBorders>
            <w:noWrap w:val="0"/>
            <w:vAlign w:val="center"/>
          </w:tcPr>
          <w:p w14:paraId="63CD734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2126" w:type="dxa"/>
            <w:tcBorders>
              <w:top w:val="nil"/>
            </w:tcBorders>
            <w:noWrap w:val="0"/>
            <w:vAlign w:val="center"/>
          </w:tcPr>
          <w:p w14:paraId="73EDF88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7" w:type="dxa"/>
            <w:tcBorders>
              <w:top w:val="nil"/>
            </w:tcBorders>
            <w:noWrap w:val="0"/>
            <w:vAlign w:val="center"/>
          </w:tcPr>
          <w:p w14:paraId="5A98421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tcBorders>
              <w:top w:val="nil"/>
            </w:tcBorders>
            <w:noWrap w:val="0"/>
            <w:vAlign w:val="center"/>
          </w:tcPr>
          <w:p w14:paraId="5EA0576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tcBorders>
              <w:top w:val="nil"/>
            </w:tcBorders>
            <w:noWrap w:val="0"/>
            <w:vAlign w:val="center"/>
          </w:tcPr>
          <w:p w14:paraId="0C81699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288D3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895322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843" w:type="dxa"/>
            <w:tcBorders>
              <w:top w:val="nil"/>
            </w:tcBorders>
            <w:noWrap w:val="0"/>
            <w:vAlign w:val="center"/>
          </w:tcPr>
          <w:p w14:paraId="637FF99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7" w:type="dxa"/>
            <w:tcBorders>
              <w:top w:val="nil"/>
            </w:tcBorders>
            <w:noWrap w:val="0"/>
            <w:vAlign w:val="center"/>
          </w:tcPr>
          <w:p w14:paraId="6B9C34B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2410" w:type="dxa"/>
            <w:tcBorders>
              <w:top w:val="nil"/>
            </w:tcBorders>
            <w:noWrap w:val="0"/>
            <w:vAlign w:val="center"/>
          </w:tcPr>
          <w:p w14:paraId="476C32E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tcBorders>
              <w:top w:val="nil"/>
            </w:tcBorders>
            <w:noWrap w:val="0"/>
            <w:vAlign w:val="center"/>
          </w:tcPr>
          <w:p w14:paraId="1207DC1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560" w:type="dxa"/>
            <w:tcBorders>
              <w:top w:val="nil"/>
            </w:tcBorders>
            <w:noWrap w:val="0"/>
            <w:vAlign w:val="center"/>
          </w:tcPr>
          <w:p w14:paraId="75B15BB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2126" w:type="dxa"/>
            <w:tcBorders>
              <w:top w:val="nil"/>
            </w:tcBorders>
            <w:noWrap w:val="0"/>
            <w:vAlign w:val="center"/>
          </w:tcPr>
          <w:p w14:paraId="6118AF7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7" w:type="dxa"/>
            <w:tcBorders>
              <w:top w:val="nil"/>
            </w:tcBorders>
            <w:noWrap w:val="0"/>
            <w:vAlign w:val="center"/>
          </w:tcPr>
          <w:p w14:paraId="7DAA489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tcBorders>
              <w:top w:val="nil"/>
            </w:tcBorders>
            <w:noWrap w:val="0"/>
            <w:vAlign w:val="center"/>
          </w:tcPr>
          <w:p w14:paraId="649542C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tcBorders>
              <w:top w:val="nil"/>
            </w:tcBorders>
            <w:noWrap w:val="0"/>
            <w:vAlign w:val="center"/>
          </w:tcPr>
          <w:p w14:paraId="5E3CF80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14A8C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7C88B45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843" w:type="dxa"/>
            <w:noWrap w:val="0"/>
            <w:vAlign w:val="center"/>
          </w:tcPr>
          <w:p w14:paraId="13F218B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7" w:type="dxa"/>
            <w:noWrap w:val="0"/>
            <w:vAlign w:val="center"/>
          </w:tcPr>
          <w:p w14:paraId="7E95250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2410" w:type="dxa"/>
            <w:noWrap w:val="0"/>
            <w:vAlign w:val="center"/>
          </w:tcPr>
          <w:p w14:paraId="68E044A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noWrap w:val="0"/>
            <w:vAlign w:val="center"/>
          </w:tcPr>
          <w:p w14:paraId="623F37A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560" w:type="dxa"/>
            <w:noWrap w:val="0"/>
            <w:vAlign w:val="center"/>
          </w:tcPr>
          <w:p w14:paraId="5F5FD7F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2126" w:type="dxa"/>
            <w:noWrap w:val="0"/>
            <w:vAlign w:val="center"/>
          </w:tcPr>
          <w:p w14:paraId="0115BA0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7" w:type="dxa"/>
            <w:noWrap w:val="0"/>
            <w:vAlign w:val="center"/>
          </w:tcPr>
          <w:p w14:paraId="31133DA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center"/>
          </w:tcPr>
          <w:p w14:paraId="324BF56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noWrap w:val="0"/>
            <w:vAlign w:val="center"/>
          </w:tcPr>
          <w:p w14:paraId="727845B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3BA7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5ACBBDE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843" w:type="dxa"/>
            <w:tcBorders>
              <w:top w:val="nil"/>
            </w:tcBorders>
            <w:noWrap w:val="0"/>
            <w:vAlign w:val="center"/>
          </w:tcPr>
          <w:p w14:paraId="676302A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7" w:type="dxa"/>
            <w:tcBorders>
              <w:top w:val="nil"/>
            </w:tcBorders>
            <w:noWrap w:val="0"/>
            <w:vAlign w:val="center"/>
          </w:tcPr>
          <w:p w14:paraId="7590F1C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2410" w:type="dxa"/>
            <w:tcBorders>
              <w:top w:val="nil"/>
            </w:tcBorders>
            <w:noWrap w:val="0"/>
            <w:vAlign w:val="center"/>
          </w:tcPr>
          <w:p w14:paraId="24A3BA4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tcBorders>
              <w:top w:val="nil"/>
            </w:tcBorders>
            <w:noWrap w:val="0"/>
            <w:vAlign w:val="center"/>
          </w:tcPr>
          <w:p w14:paraId="43B43A4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560" w:type="dxa"/>
            <w:tcBorders>
              <w:top w:val="nil"/>
            </w:tcBorders>
            <w:noWrap w:val="0"/>
            <w:vAlign w:val="center"/>
          </w:tcPr>
          <w:p w14:paraId="5F8AAA1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2126" w:type="dxa"/>
            <w:tcBorders>
              <w:top w:val="nil"/>
            </w:tcBorders>
            <w:noWrap w:val="0"/>
            <w:vAlign w:val="center"/>
          </w:tcPr>
          <w:p w14:paraId="6263B25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7" w:type="dxa"/>
            <w:tcBorders>
              <w:top w:val="nil"/>
            </w:tcBorders>
            <w:noWrap w:val="0"/>
            <w:vAlign w:val="center"/>
          </w:tcPr>
          <w:p w14:paraId="6CB66A8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tcBorders>
              <w:top w:val="nil"/>
            </w:tcBorders>
            <w:noWrap w:val="0"/>
            <w:vAlign w:val="center"/>
          </w:tcPr>
          <w:p w14:paraId="508ACB8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tcBorders>
              <w:top w:val="nil"/>
            </w:tcBorders>
            <w:noWrap w:val="0"/>
            <w:vAlign w:val="center"/>
          </w:tcPr>
          <w:p w14:paraId="5502965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67EB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0BDF843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843" w:type="dxa"/>
            <w:noWrap w:val="0"/>
            <w:vAlign w:val="center"/>
          </w:tcPr>
          <w:p w14:paraId="5A1B384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7" w:type="dxa"/>
            <w:noWrap w:val="0"/>
            <w:vAlign w:val="center"/>
          </w:tcPr>
          <w:p w14:paraId="75D4ADC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2410" w:type="dxa"/>
            <w:noWrap w:val="0"/>
            <w:vAlign w:val="center"/>
          </w:tcPr>
          <w:p w14:paraId="34408BE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noWrap w:val="0"/>
            <w:vAlign w:val="center"/>
          </w:tcPr>
          <w:p w14:paraId="29E55B2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560" w:type="dxa"/>
            <w:noWrap w:val="0"/>
            <w:vAlign w:val="center"/>
          </w:tcPr>
          <w:p w14:paraId="52CA075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2126" w:type="dxa"/>
            <w:noWrap w:val="0"/>
            <w:vAlign w:val="center"/>
          </w:tcPr>
          <w:p w14:paraId="219733C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7" w:type="dxa"/>
            <w:noWrap w:val="0"/>
            <w:vAlign w:val="center"/>
          </w:tcPr>
          <w:p w14:paraId="4A1A73C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center"/>
          </w:tcPr>
          <w:p w14:paraId="1CF5D34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noWrap w:val="0"/>
            <w:vAlign w:val="center"/>
          </w:tcPr>
          <w:p w14:paraId="56ACF7B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bl>
    <w:p w14:paraId="5063B206">
      <w:pPr>
        <w:spacing w:line="440" w:lineRule="exact"/>
        <w:rPr>
          <w:rFonts w:hint="eastAsia" w:asciiTheme="minorEastAsia" w:hAnsiTheme="minorEastAsia" w:eastAsiaTheme="minorEastAsia" w:cstheme="minorEastAsia"/>
          <w:b/>
          <w:color w:val="000000"/>
          <w:sz w:val="24"/>
          <w:szCs w:val="24"/>
        </w:rPr>
        <w:sectPr>
          <w:pgSz w:w="16838" w:h="11906" w:orient="landscape"/>
          <w:pgMar w:top="1554" w:right="1418" w:bottom="1531" w:left="1418" w:header="851" w:footer="992" w:gutter="0"/>
          <w:pgNumType w:fmt="decimal"/>
          <w:cols w:space="720" w:num="1"/>
          <w:titlePg/>
          <w:docGrid w:type="linesAndChars" w:linePitch="312" w:charSpace="0"/>
        </w:sectPr>
      </w:pPr>
    </w:p>
    <w:p w14:paraId="37A5AE02">
      <w:pPr>
        <w:spacing w:line="44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w:t>
      </w:r>
      <w:bookmarkStart w:id="1376" w:name="_Toc296891053"/>
      <w:bookmarkStart w:id="1377" w:name="_Toc296346726"/>
      <w:bookmarkStart w:id="1378" w:name="_Toc296503225"/>
      <w:bookmarkStart w:id="1379" w:name="_Toc267261692"/>
      <w:bookmarkStart w:id="1380" w:name="_Toc296944564"/>
      <w:bookmarkStart w:id="1381" w:name="_Toc296347224"/>
      <w:bookmarkStart w:id="1382" w:name="_Toc296891265"/>
      <w:r>
        <w:rPr>
          <w:rFonts w:hint="eastAsia" w:asciiTheme="minorEastAsia" w:hAnsiTheme="minorEastAsia" w:eastAsiaTheme="minorEastAsia" w:cstheme="minorEastAsia"/>
          <w:color w:val="000000"/>
          <w:sz w:val="24"/>
          <w:szCs w:val="24"/>
        </w:rPr>
        <w:t>件2：</w:t>
      </w:r>
    </w:p>
    <w:bookmarkEnd w:id="1376"/>
    <w:bookmarkEnd w:id="1377"/>
    <w:bookmarkEnd w:id="1378"/>
    <w:bookmarkEnd w:id="1379"/>
    <w:bookmarkEnd w:id="1380"/>
    <w:bookmarkEnd w:id="1381"/>
    <w:bookmarkEnd w:id="1382"/>
    <w:p w14:paraId="6855B0E2">
      <w:pPr>
        <w:spacing w:before="156" w:beforeLines="50" w:after="156" w:afterLines="50" w:line="4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发包人供应材料设备一览表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2EC941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40EF92C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序号</w:t>
            </w:r>
          </w:p>
        </w:tc>
        <w:tc>
          <w:tcPr>
            <w:tcW w:w="1276" w:type="dxa"/>
            <w:tcBorders>
              <w:top w:val="single" w:color="auto" w:sz="12" w:space="0"/>
              <w:bottom w:val="double" w:color="auto" w:sz="6" w:space="0"/>
            </w:tcBorders>
            <w:noWrap w:val="0"/>
            <w:vAlign w:val="center"/>
          </w:tcPr>
          <w:p w14:paraId="26A9227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 xml:space="preserve">  材料、</w:t>
            </w:r>
          </w:p>
          <w:p w14:paraId="7F4061A0">
            <w:pPr>
              <w:pStyle w:val="11"/>
              <w:keepNext/>
              <w:spacing w:after="0" w:line="440" w:lineRule="exact"/>
              <w:ind w:left="0" w:leftChars="0" w:right="63"/>
              <w:jc w:val="both"/>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设备品种</w:t>
            </w:r>
          </w:p>
        </w:tc>
        <w:tc>
          <w:tcPr>
            <w:tcW w:w="1418" w:type="dxa"/>
            <w:tcBorders>
              <w:top w:val="single" w:color="auto" w:sz="12" w:space="0"/>
              <w:bottom w:val="double" w:color="auto" w:sz="6" w:space="0"/>
            </w:tcBorders>
            <w:noWrap w:val="0"/>
            <w:vAlign w:val="center"/>
          </w:tcPr>
          <w:p w14:paraId="053518A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规格型号</w:t>
            </w:r>
          </w:p>
        </w:tc>
        <w:tc>
          <w:tcPr>
            <w:tcW w:w="940" w:type="dxa"/>
            <w:tcBorders>
              <w:top w:val="single" w:color="auto" w:sz="12" w:space="0"/>
              <w:bottom w:val="double" w:color="auto" w:sz="6" w:space="0"/>
            </w:tcBorders>
            <w:noWrap w:val="0"/>
            <w:vAlign w:val="center"/>
          </w:tcPr>
          <w:p w14:paraId="78E9C71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单位</w:t>
            </w:r>
          </w:p>
        </w:tc>
        <w:tc>
          <w:tcPr>
            <w:tcW w:w="851" w:type="dxa"/>
            <w:tcBorders>
              <w:top w:val="single" w:color="auto" w:sz="12" w:space="0"/>
              <w:bottom w:val="double" w:color="auto" w:sz="6" w:space="0"/>
            </w:tcBorders>
            <w:noWrap w:val="0"/>
            <w:vAlign w:val="center"/>
          </w:tcPr>
          <w:p w14:paraId="33B911C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数量</w:t>
            </w:r>
          </w:p>
        </w:tc>
        <w:tc>
          <w:tcPr>
            <w:tcW w:w="1044" w:type="dxa"/>
            <w:tcBorders>
              <w:top w:val="single" w:color="auto" w:sz="12" w:space="0"/>
              <w:bottom w:val="double" w:color="auto" w:sz="6" w:space="0"/>
            </w:tcBorders>
            <w:noWrap w:val="0"/>
            <w:vAlign w:val="center"/>
          </w:tcPr>
          <w:p w14:paraId="2C351AF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单价（元）</w:t>
            </w:r>
          </w:p>
        </w:tc>
        <w:tc>
          <w:tcPr>
            <w:tcW w:w="992" w:type="dxa"/>
            <w:tcBorders>
              <w:top w:val="single" w:color="auto" w:sz="12" w:space="0"/>
              <w:bottom w:val="double" w:color="auto" w:sz="6" w:space="0"/>
            </w:tcBorders>
            <w:noWrap w:val="0"/>
            <w:vAlign w:val="center"/>
          </w:tcPr>
          <w:p w14:paraId="1F5BCFA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质量等级</w:t>
            </w:r>
          </w:p>
        </w:tc>
        <w:tc>
          <w:tcPr>
            <w:tcW w:w="851" w:type="dxa"/>
            <w:tcBorders>
              <w:top w:val="single" w:color="auto" w:sz="12" w:space="0"/>
              <w:bottom w:val="double" w:color="auto" w:sz="6" w:space="0"/>
            </w:tcBorders>
            <w:noWrap w:val="0"/>
            <w:vAlign w:val="center"/>
          </w:tcPr>
          <w:p w14:paraId="5F0395A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供应时间</w:t>
            </w:r>
          </w:p>
        </w:tc>
        <w:tc>
          <w:tcPr>
            <w:tcW w:w="1487" w:type="dxa"/>
            <w:tcBorders>
              <w:top w:val="single" w:color="auto" w:sz="12" w:space="0"/>
              <w:bottom w:val="double" w:color="auto" w:sz="6" w:space="0"/>
            </w:tcBorders>
            <w:noWrap w:val="0"/>
            <w:vAlign w:val="center"/>
          </w:tcPr>
          <w:p w14:paraId="0F44A20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送达地点</w:t>
            </w:r>
          </w:p>
        </w:tc>
        <w:tc>
          <w:tcPr>
            <w:tcW w:w="992" w:type="dxa"/>
            <w:tcBorders>
              <w:top w:val="single" w:color="auto" w:sz="12" w:space="0"/>
              <w:bottom w:val="double" w:color="auto" w:sz="6" w:space="0"/>
            </w:tcBorders>
            <w:noWrap w:val="0"/>
            <w:vAlign w:val="center"/>
          </w:tcPr>
          <w:p w14:paraId="615C50A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备注</w:t>
            </w:r>
          </w:p>
        </w:tc>
      </w:tr>
      <w:tr w14:paraId="1DE48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3172EA0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tcBorders>
              <w:top w:val="double" w:color="auto" w:sz="6" w:space="0"/>
              <w:bottom w:val="single" w:color="auto" w:sz="6" w:space="0"/>
            </w:tcBorders>
            <w:noWrap w:val="0"/>
            <w:vAlign w:val="center"/>
          </w:tcPr>
          <w:p w14:paraId="2FE5955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tcBorders>
              <w:top w:val="double" w:color="auto" w:sz="6" w:space="0"/>
              <w:bottom w:val="single" w:color="auto" w:sz="6" w:space="0"/>
            </w:tcBorders>
            <w:noWrap w:val="0"/>
            <w:vAlign w:val="center"/>
          </w:tcPr>
          <w:p w14:paraId="19F040F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40" w:type="dxa"/>
            <w:tcBorders>
              <w:top w:val="double" w:color="auto" w:sz="6" w:space="0"/>
              <w:bottom w:val="single" w:color="auto" w:sz="6" w:space="0"/>
            </w:tcBorders>
            <w:noWrap w:val="0"/>
            <w:vAlign w:val="center"/>
          </w:tcPr>
          <w:p w14:paraId="0178BAB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tcBorders>
              <w:top w:val="double" w:color="auto" w:sz="6" w:space="0"/>
              <w:bottom w:val="single" w:color="auto" w:sz="6" w:space="0"/>
            </w:tcBorders>
            <w:noWrap w:val="0"/>
            <w:vAlign w:val="center"/>
          </w:tcPr>
          <w:p w14:paraId="179F6D6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44" w:type="dxa"/>
            <w:tcBorders>
              <w:top w:val="double" w:color="auto" w:sz="6" w:space="0"/>
              <w:bottom w:val="single" w:color="auto" w:sz="6" w:space="0"/>
            </w:tcBorders>
            <w:noWrap w:val="0"/>
            <w:vAlign w:val="center"/>
          </w:tcPr>
          <w:p w14:paraId="7C7E8C0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92" w:type="dxa"/>
            <w:tcBorders>
              <w:top w:val="double" w:color="auto" w:sz="6" w:space="0"/>
              <w:bottom w:val="single" w:color="auto" w:sz="6" w:space="0"/>
            </w:tcBorders>
            <w:noWrap w:val="0"/>
            <w:vAlign w:val="center"/>
          </w:tcPr>
          <w:p w14:paraId="73E9CE3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tcBorders>
              <w:top w:val="double" w:color="auto" w:sz="6" w:space="0"/>
              <w:bottom w:val="single" w:color="auto" w:sz="6" w:space="0"/>
            </w:tcBorders>
            <w:noWrap w:val="0"/>
            <w:vAlign w:val="center"/>
          </w:tcPr>
          <w:p w14:paraId="16AA47D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87" w:type="dxa"/>
            <w:tcBorders>
              <w:top w:val="double" w:color="auto" w:sz="6" w:space="0"/>
              <w:bottom w:val="single" w:color="auto" w:sz="6" w:space="0"/>
            </w:tcBorders>
            <w:noWrap w:val="0"/>
            <w:vAlign w:val="center"/>
          </w:tcPr>
          <w:p w14:paraId="12F97B9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92" w:type="dxa"/>
            <w:tcBorders>
              <w:top w:val="double" w:color="auto" w:sz="6" w:space="0"/>
              <w:bottom w:val="single" w:color="auto" w:sz="6" w:space="0"/>
            </w:tcBorders>
            <w:noWrap w:val="0"/>
            <w:vAlign w:val="center"/>
          </w:tcPr>
          <w:p w14:paraId="615CC1E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4D599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7BBBAAD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tcBorders>
              <w:top w:val="nil"/>
            </w:tcBorders>
            <w:noWrap w:val="0"/>
            <w:vAlign w:val="center"/>
          </w:tcPr>
          <w:p w14:paraId="1F3113A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tcBorders>
              <w:top w:val="nil"/>
            </w:tcBorders>
            <w:noWrap w:val="0"/>
            <w:vAlign w:val="center"/>
          </w:tcPr>
          <w:p w14:paraId="2CFAC14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40" w:type="dxa"/>
            <w:tcBorders>
              <w:top w:val="nil"/>
            </w:tcBorders>
            <w:noWrap w:val="0"/>
            <w:vAlign w:val="center"/>
          </w:tcPr>
          <w:p w14:paraId="2AADC6A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tcBorders>
              <w:top w:val="nil"/>
            </w:tcBorders>
            <w:noWrap w:val="0"/>
            <w:vAlign w:val="center"/>
          </w:tcPr>
          <w:p w14:paraId="5AB1E27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44" w:type="dxa"/>
            <w:tcBorders>
              <w:top w:val="nil"/>
            </w:tcBorders>
            <w:noWrap w:val="0"/>
            <w:vAlign w:val="center"/>
          </w:tcPr>
          <w:p w14:paraId="1F3E033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92" w:type="dxa"/>
            <w:tcBorders>
              <w:top w:val="nil"/>
            </w:tcBorders>
            <w:noWrap w:val="0"/>
            <w:vAlign w:val="center"/>
          </w:tcPr>
          <w:p w14:paraId="743DA77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tcBorders>
              <w:top w:val="nil"/>
            </w:tcBorders>
            <w:noWrap w:val="0"/>
            <w:vAlign w:val="center"/>
          </w:tcPr>
          <w:p w14:paraId="1230C91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87" w:type="dxa"/>
            <w:tcBorders>
              <w:top w:val="nil"/>
            </w:tcBorders>
            <w:noWrap w:val="0"/>
            <w:vAlign w:val="center"/>
          </w:tcPr>
          <w:p w14:paraId="1D28392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92" w:type="dxa"/>
            <w:tcBorders>
              <w:top w:val="nil"/>
            </w:tcBorders>
            <w:noWrap w:val="0"/>
            <w:vAlign w:val="center"/>
          </w:tcPr>
          <w:p w14:paraId="764022E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957F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A6D3C7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center"/>
          </w:tcPr>
          <w:p w14:paraId="36804EE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678EFF4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40" w:type="dxa"/>
            <w:noWrap w:val="0"/>
            <w:vAlign w:val="center"/>
          </w:tcPr>
          <w:p w14:paraId="1DE83E6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center"/>
          </w:tcPr>
          <w:p w14:paraId="43DE596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44" w:type="dxa"/>
            <w:noWrap w:val="0"/>
            <w:vAlign w:val="center"/>
          </w:tcPr>
          <w:p w14:paraId="0598627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92" w:type="dxa"/>
            <w:noWrap w:val="0"/>
            <w:vAlign w:val="center"/>
          </w:tcPr>
          <w:p w14:paraId="3D02DE2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center"/>
          </w:tcPr>
          <w:p w14:paraId="38FBC28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87" w:type="dxa"/>
            <w:noWrap w:val="0"/>
            <w:vAlign w:val="center"/>
          </w:tcPr>
          <w:p w14:paraId="4C26C37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92" w:type="dxa"/>
            <w:noWrap w:val="0"/>
            <w:vAlign w:val="center"/>
          </w:tcPr>
          <w:p w14:paraId="7DC0CF7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C9DF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334C86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center"/>
          </w:tcPr>
          <w:p w14:paraId="65C3E86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3AEAD28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40" w:type="dxa"/>
            <w:noWrap w:val="0"/>
            <w:vAlign w:val="center"/>
          </w:tcPr>
          <w:p w14:paraId="1BC2174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center"/>
          </w:tcPr>
          <w:p w14:paraId="1DA4554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44" w:type="dxa"/>
            <w:noWrap w:val="0"/>
            <w:vAlign w:val="center"/>
          </w:tcPr>
          <w:p w14:paraId="7CD1386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92" w:type="dxa"/>
            <w:noWrap w:val="0"/>
            <w:vAlign w:val="center"/>
          </w:tcPr>
          <w:p w14:paraId="342B478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center"/>
          </w:tcPr>
          <w:p w14:paraId="0256A72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87" w:type="dxa"/>
            <w:noWrap w:val="0"/>
            <w:vAlign w:val="center"/>
          </w:tcPr>
          <w:p w14:paraId="72E9397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92" w:type="dxa"/>
            <w:noWrap w:val="0"/>
            <w:vAlign w:val="center"/>
          </w:tcPr>
          <w:p w14:paraId="52933D7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93E0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0C0493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center"/>
          </w:tcPr>
          <w:p w14:paraId="35EDD64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1EE3DBF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40" w:type="dxa"/>
            <w:noWrap w:val="0"/>
            <w:vAlign w:val="center"/>
          </w:tcPr>
          <w:p w14:paraId="6E6DDF0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center"/>
          </w:tcPr>
          <w:p w14:paraId="39CDACB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44" w:type="dxa"/>
            <w:noWrap w:val="0"/>
            <w:vAlign w:val="center"/>
          </w:tcPr>
          <w:p w14:paraId="3C52C75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92" w:type="dxa"/>
            <w:noWrap w:val="0"/>
            <w:vAlign w:val="center"/>
          </w:tcPr>
          <w:p w14:paraId="5B1C92F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center"/>
          </w:tcPr>
          <w:p w14:paraId="5078E1A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87" w:type="dxa"/>
            <w:noWrap w:val="0"/>
            <w:vAlign w:val="center"/>
          </w:tcPr>
          <w:p w14:paraId="29AFE15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92" w:type="dxa"/>
            <w:noWrap w:val="0"/>
            <w:vAlign w:val="center"/>
          </w:tcPr>
          <w:p w14:paraId="2DD1BD1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92A8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0E7586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center"/>
          </w:tcPr>
          <w:p w14:paraId="637730A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49B97A0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40" w:type="dxa"/>
            <w:noWrap w:val="0"/>
            <w:vAlign w:val="center"/>
          </w:tcPr>
          <w:p w14:paraId="6073F0E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center"/>
          </w:tcPr>
          <w:p w14:paraId="7CDD4F8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44" w:type="dxa"/>
            <w:noWrap w:val="0"/>
            <w:vAlign w:val="center"/>
          </w:tcPr>
          <w:p w14:paraId="3DFF9C4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92" w:type="dxa"/>
            <w:noWrap w:val="0"/>
            <w:vAlign w:val="center"/>
          </w:tcPr>
          <w:p w14:paraId="3EB5152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center"/>
          </w:tcPr>
          <w:p w14:paraId="17590E3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87" w:type="dxa"/>
            <w:noWrap w:val="0"/>
            <w:vAlign w:val="center"/>
          </w:tcPr>
          <w:p w14:paraId="30DE2AC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92" w:type="dxa"/>
            <w:noWrap w:val="0"/>
            <w:vAlign w:val="center"/>
          </w:tcPr>
          <w:p w14:paraId="43958AD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7CA8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13CF18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center"/>
          </w:tcPr>
          <w:p w14:paraId="4099005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58F8796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40" w:type="dxa"/>
            <w:noWrap w:val="0"/>
            <w:vAlign w:val="center"/>
          </w:tcPr>
          <w:p w14:paraId="2534CDB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center"/>
          </w:tcPr>
          <w:p w14:paraId="0406304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44" w:type="dxa"/>
            <w:noWrap w:val="0"/>
            <w:vAlign w:val="center"/>
          </w:tcPr>
          <w:p w14:paraId="05E5B09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92" w:type="dxa"/>
            <w:noWrap w:val="0"/>
            <w:vAlign w:val="center"/>
          </w:tcPr>
          <w:p w14:paraId="4079C50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center"/>
          </w:tcPr>
          <w:p w14:paraId="46FE0BD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87" w:type="dxa"/>
            <w:noWrap w:val="0"/>
            <w:vAlign w:val="center"/>
          </w:tcPr>
          <w:p w14:paraId="5C7BE1F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92" w:type="dxa"/>
            <w:noWrap w:val="0"/>
            <w:vAlign w:val="center"/>
          </w:tcPr>
          <w:p w14:paraId="7A25231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4834C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noWrap w:val="0"/>
            <w:vAlign w:val="center"/>
          </w:tcPr>
          <w:p w14:paraId="54F8713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center"/>
          </w:tcPr>
          <w:p w14:paraId="26C5DB3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449BCBB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40" w:type="dxa"/>
            <w:noWrap w:val="0"/>
            <w:vAlign w:val="center"/>
          </w:tcPr>
          <w:p w14:paraId="3C086B0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center"/>
          </w:tcPr>
          <w:p w14:paraId="60BAA68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44" w:type="dxa"/>
            <w:noWrap w:val="0"/>
            <w:vAlign w:val="center"/>
          </w:tcPr>
          <w:p w14:paraId="4D3225D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92" w:type="dxa"/>
            <w:noWrap w:val="0"/>
            <w:vAlign w:val="center"/>
          </w:tcPr>
          <w:p w14:paraId="1C9AC59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center"/>
          </w:tcPr>
          <w:p w14:paraId="09BDA4F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87" w:type="dxa"/>
            <w:noWrap w:val="0"/>
            <w:vAlign w:val="center"/>
          </w:tcPr>
          <w:p w14:paraId="0D76D23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92" w:type="dxa"/>
            <w:noWrap w:val="0"/>
            <w:vAlign w:val="center"/>
          </w:tcPr>
          <w:p w14:paraId="084D43A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40335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CB7CA6D">
            <w:pPr>
              <w:jc w:val="center"/>
              <w:rPr>
                <w:rFonts w:hint="eastAsia" w:asciiTheme="minorEastAsia" w:hAnsiTheme="minorEastAsia" w:eastAsiaTheme="minorEastAsia" w:cstheme="minorEastAsia"/>
                <w:color w:val="000000"/>
                <w:sz w:val="24"/>
                <w:szCs w:val="24"/>
              </w:rPr>
            </w:pPr>
          </w:p>
        </w:tc>
        <w:tc>
          <w:tcPr>
            <w:tcW w:w="1276" w:type="dxa"/>
            <w:noWrap w:val="0"/>
            <w:vAlign w:val="center"/>
          </w:tcPr>
          <w:p w14:paraId="6FB6A2F0">
            <w:pPr>
              <w:jc w:val="center"/>
              <w:rPr>
                <w:rFonts w:hint="eastAsia" w:asciiTheme="minorEastAsia" w:hAnsiTheme="minorEastAsia" w:eastAsiaTheme="minorEastAsia" w:cstheme="minorEastAsia"/>
                <w:color w:val="000000"/>
                <w:sz w:val="24"/>
                <w:szCs w:val="24"/>
              </w:rPr>
            </w:pPr>
          </w:p>
        </w:tc>
        <w:tc>
          <w:tcPr>
            <w:tcW w:w="1418" w:type="dxa"/>
            <w:noWrap w:val="0"/>
            <w:vAlign w:val="center"/>
          </w:tcPr>
          <w:p w14:paraId="413371B3">
            <w:pPr>
              <w:jc w:val="center"/>
              <w:rPr>
                <w:rFonts w:hint="eastAsia" w:asciiTheme="minorEastAsia" w:hAnsiTheme="minorEastAsia" w:eastAsiaTheme="minorEastAsia" w:cstheme="minorEastAsia"/>
                <w:color w:val="000000"/>
                <w:sz w:val="24"/>
                <w:szCs w:val="24"/>
              </w:rPr>
            </w:pPr>
          </w:p>
        </w:tc>
        <w:tc>
          <w:tcPr>
            <w:tcW w:w="940" w:type="dxa"/>
            <w:noWrap w:val="0"/>
            <w:vAlign w:val="center"/>
          </w:tcPr>
          <w:p w14:paraId="4D63B1F9">
            <w:pPr>
              <w:jc w:val="center"/>
              <w:rPr>
                <w:rFonts w:hint="eastAsia" w:asciiTheme="minorEastAsia" w:hAnsiTheme="minorEastAsia" w:eastAsiaTheme="minorEastAsia" w:cstheme="minorEastAsia"/>
                <w:color w:val="000000"/>
                <w:sz w:val="24"/>
                <w:szCs w:val="24"/>
              </w:rPr>
            </w:pPr>
          </w:p>
        </w:tc>
        <w:tc>
          <w:tcPr>
            <w:tcW w:w="851" w:type="dxa"/>
            <w:noWrap w:val="0"/>
            <w:vAlign w:val="center"/>
          </w:tcPr>
          <w:p w14:paraId="1C1F7FC8">
            <w:pPr>
              <w:jc w:val="center"/>
              <w:rPr>
                <w:rFonts w:hint="eastAsia" w:asciiTheme="minorEastAsia" w:hAnsiTheme="minorEastAsia" w:eastAsiaTheme="minorEastAsia" w:cstheme="minorEastAsia"/>
                <w:color w:val="000000"/>
                <w:sz w:val="24"/>
                <w:szCs w:val="24"/>
              </w:rPr>
            </w:pPr>
          </w:p>
        </w:tc>
        <w:tc>
          <w:tcPr>
            <w:tcW w:w="1044" w:type="dxa"/>
            <w:noWrap w:val="0"/>
            <w:vAlign w:val="center"/>
          </w:tcPr>
          <w:p w14:paraId="6A2F955F">
            <w:pPr>
              <w:jc w:val="center"/>
              <w:rPr>
                <w:rFonts w:hint="eastAsia" w:asciiTheme="minorEastAsia" w:hAnsiTheme="minorEastAsia" w:eastAsiaTheme="minorEastAsia" w:cstheme="minorEastAsia"/>
                <w:color w:val="000000"/>
                <w:sz w:val="24"/>
                <w:szCs w:val="24"/>
              </w:rPr>
            </w:pPr>
          </w:p>
        </w:tc>
        <w:tc>
          <w:tcPr>
            <w:tcW w:w="992" w:type="dxa"/>
            <w:noWrap w:val="0"/>
            <w:vAlign w:val="center"/>
          </w:tcPr>
          <w:p w14:paraId="01779D0B">
            <w:pPr>
              <w:jc w:val="center"/>
              <w:rPr>
                <w:rFonts w:hint="eastAsia" w:asciiTheme="minorEastAsia" w:hAnsiTheme="minorEastAsia" w:eastAsiaTheme="minorEastAsia" w:cstheme="minorEastAsia"/>
                <w:color w:val="000000"/>
                <w:sz w:val="24"/>
                <w:szCs w:val="24"/>
              </w:rPr>
            </w:pPr>
          </w:p>
        </w:tc>
        <w:tc>
          <w:tcPr>
            <w:tcW w:w="851" w:type="dxa"/>
            <w:noWrap w:val="0"/>
            <w:vAlign w:val="center"/>
          </w:tcPr>
          <w:p w14:paraId="0700131E">
            <w:pPr>
              <w:jc w:val="center"/>
              <w:rPr>
                <w:rFonts w:hint="eastAsia" w:asciiTheme="minorEastAsia" w:hAnsiTheme="minorEastAsia" w:eastAsiaTheme="minorEastAsia" w:cstheme="minorEastAsia"/>
                <w:color w:val="000000"/>
                <w:sz w:val="24"/>
                <w:szCs w:val="24"/>
              </w:rPr>
            </w:pPr>
          </w:p>
        </w:tc>
        <w:tc>
          <w:tcPr>
            <w:tcW w:w="1487" w:type="dxa"/>
            <w:noWrap w:val="0"/>
            <w:vAlign w:val="center"/>
          </w:tcPr>
          <w:p w14:paraId="49CA6A27">
            <w:pPr>
              <w:jc w:val="center"/>
              <w:rPr>
                <w:rFonts w:hint="eastAsia" w:asciiTheme="minorEastAsia" w:hAnsiTheme="minorEastAsia" w:eastAsiaTheme="minorEastAsia" w:cstheme="minorEastAsia"/>
                <w:color w:val="000000"/>
                <w:sz w:val="24"/>
                <w:szCs w:val="24"/>
              </w:rPr>
            </w:pPr>
          </w:p>
        </w:tc>
        <w:tc>
          <w:tcPr>
            <w:tcW w:w="992" w:type="dxa"/>
            <w:noWrap w:val="0"/>
            <w:vAlign w:val="center"/>
          </w:tcPr>
          <w:p w14:paraId="49C0CFE6">
            <w:pPr>
              <w:jc w:val="center"/>
              <w:rPr>
                <w:rFonts w:hint="eastAsia" w:asciiTheme="minorEastAsia" w:hAnsiTheme="minorEastAsia" w:eastAsiaTheme="minorEastAsia" w:cstheme="minorEastAsia"/>
                <w:color w:val="000000"/>
                <w:sz w:val="24"/>
                <w:szCs w:val="24"/>
              </w:rPr>
            </w:pPr>
          </w:p>
        </w:tc>
      </w:tr>
      <w:tr w14:paraId="394D8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FD722D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center"/>
          </w:tcPr>
          <w:p w14:paraId="54CFBCC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1CD60F9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40" w:type="dxa"/>
            <w:noWrap w:val="0"/>
            <w:vAlign w:val="center"/>
          </w:tcPr>
          <w:p w14:paraId="1A59523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center"/>
          </w:tcPr>
          <w:p w14:paraId="38FA47B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44" w:type="dxa"/>
            <w:noWrap w:val="0"/>
            <w:vAlign w:val="center"/>
          </w:tcPr>
          <w:p w14:paraId="44BEB07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92" w:type="dxa"/>
            <w:noWrap w:val="0"/>
            <w:vAlign w:val="center"/>
          </w:tcPr>
          <w:p w14:paraId="05FF0A8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center"/>
          </w:tcPr>
          <w:p w14:paraId="18FF786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87" w:type="dxa"/>
            <w:noWrap w:val="0"/>
            <w:vAlign w:val="center"/>
          </w:tcPr>
          <w:p w14:paraId="58DFE6D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92" w:type="dxa"/>
            <w:noWrap w:val="0"/>
            <w:vAlign w:val="center"/>
          </w:tcPr>
          <w:p w14:paraId="6099A6D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825C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7DE1B68">
            <w:pPr>
              <w:jc w:val="center"/>
              <w:rPr>
                <w:rFonts w:hint="eastAsia" w:asciiTheme="minorEastAsia" w:hAnsiTheme="minorEastAsia" w:eastAsiaTheme="minorEastAsia" w:cstheme="minorEastAsia"/>
                <w:color w:val="000000"/>
                <w:sz w:val="24"/>
                <w:szCs w:val="24"/>
              </w:rPr>
            </w:pPr>
          </w:p>
        </w:tc>
        <w:tc>
          <w:tcPr>
            <w:tcW w:w="1276" w:type="dxa"/>
            <w:noWrap w:val="0"/>
            <w:vAlign w:val="center"/>
          </w:tcPr>
          <w:p w14:paraId="164A1DE9">
            <w:pPr>
              <w:jc w:val="center"/>
              <w:rPr>
                <w:rFonts w:hint="eastAsia" w:asciiTheme="minorEastAsia" w:hAnsiTheme="minorEastAsia" w:eastAsiaTheme="minorEastAsia" w:cstheme="minorEastAsia"/>
                <w:color w:val="000000"/>
                <w:sz w:val="24"/>
                <w:szCs w:val="24"/>
              </w:rPr>
            </w:pPr>
          </w:p>
        </w:tc>
        <w:tc>
          <w:tcPr>
            <w:tcW w:w="1418" w:type="dxa"/>
            <w:noWrap w:val="0"/>
            <w:vAlign w:val="center"/>
          </w:tcPr>
          <w:p w14:paraId="7C14FABE">
            <w:pPr>
              <w:jc w:val="center"/>
              <w:rPr>
                <w:rFonts w:hint="eastAsia" w:asciiTheme="minorEastAsia" w:hAnsiTheme="minorEastAsia" w:eastAsiaTheme="minorEastAsia" w:cstheme="minorEastAsia"/>
                <w:color w:val="000000"/>
                <w:sz w:val="24"/>
                <w:szCs w:val="24"/>
              </w:rPr>
            </w:pPr>
          </w:p>
        </w:tc>
        <w:tc>
          <w:tcPr>
            <w:tcW w:w="940" w:type="dxa"/>
            <w:noWrap w:val="0"/>
            <w:vAlign w:val="center"/>
          </w:tcPr>
          <w:p w14:paraId="0D837CF0">
            <w:pPr>
              <w:jc w:val="center"/>
              <w:rPr>
                <w:rFonts w:hint="eastAsia" w:asciiTheme="minorEastAsia" w:hAnsiTheme="minorEastAsia" w:eastAsiaTheme="minorEastAsia" w:cstheme="minorEastAsia"/>
                <w:color w:val="000000"/>
                <w:sz w:val="24"/>
                <w:szCs w:val="24"/>
              </w:rPr>
            </w:pPr>
          </w:p>
        </w:tc>
        <w:tc>
          <w:tcPr>
            <w:tcW w:w="851" w:type="dxa"/>
            <w:noWrap w:val="0"/>
            <w:vAlign w:val="center"/>
          </w:tcPr>
          <w:p w14:paraId="634B3F91">
            <w:pPr>
              <w:jc w:val="center"/>
              <w:rPr>
                <w:rFonts w:hint="eastAsia" w:asciiTheme="minorEastAsia" w:hAnsiTheme="minorEastAsia" w:eastAsiaTheme="minorEastAsia" w:cstheme="minorEastAsia"/>
                <w:color w:val="000000"/>
                <w:sz w:val="24"/>
                <w:szCs w:val="24"/>
              </w:rPr>
            </w:pPr>
          </w:p>
        </w:tc>
        <w:tc>
          <w:tcPr>
            <w:tcW w:w="1044" w:type="dxa"/>
            <w:noWrap w:val="0"/>
            <w:vAlign w:val="center"/>
          </w:tcPr>
          <w:p w14:paraId="2CF80C31">
            <w:pPr>
              <w:jc w:val="center"/>
              <w:rPr>
                <w:rFonts w:hint="eastAsia" w:asciiTheme="minorEastAsia" w:hAnsiTheme="minorEastAsia" w:eastAsiaTheme="minorEastAsia" w:cstheme="minorEastAsia"/>
                <w:color w:val="000000"/>
                <w:sz w:val="24"/>
                <w:szCs w:val="24"/>
              </w:rPr>
            </w:pPr>
          </w:p>
        </w:tc>
        <w:tc>
          <w:tcPr>
            <w:tcW w:w="992" w:type="dxa"/>
            <w:noWrap w:val="0"/>
            <w:vAlign w:val="center"/>
          </w:tcPr>
          <w:p w14:paraId="58BF20EA">
            <w:pPr>
              <w:jc w:val="center"/>
              <w:rPr>
                <w:rFonts w:hint="eastAsia" w:asciiTheme="minorEastAsia" w:hAnsiTheme="minorEastAsia" w:eastAsiaTheme="minorEastAsia" w:cstheme="minorEastAsia"/>
                <w:color w:val="000000"/>
                <w:sz w:val="24"/>
                <w:szCs w:val="24"/>
              </w:rPr>
            </w:pPr>
          </w:p>
        </w:tc>
        <w:tc>
          <w:tcPr>
            <w:tcW w:w="851" w:type="dxa"/>
            <w:noWrap w:val="0"/>
            <w:vAlign w:val="center"/>
          </w:tcPr>
          <w:p w14:paraId="3F05DE2E">
            <w:pPr>
              <w:jc w:val="center"/>
              <w:rPr>
                <w:rFonts w:hint="eastAsia" w:asciiTheme="minorEastAsia" w:hAnsiTheme="minorEastAsia" w:eastAsiaTheme="minorEastAsia" w:cstheme="minorEastAsia"/>
                <w:color w:val="000000"/>
                <w:sz w:val="24"/>
                <w:szCs w:val="24"/>
              </w:rPr>
            </w:pPr>
          </w:p>
        </w:tc>
        <w:tc>
          <w:tcPr>
            <w:tcW w:w="1487" w:type="dxa"/>
            <w:noWrap w:val="0"/>
            <w:vAlign w:val="center"/>
          </w:tcPr>
          <w:p w14:paraId="59E997E0">
            <w:pPr>
              <w:jc w:val="center"/>
              <w:rPr>
                <w:rFonts w:hint="eastAsia" w:asciiTheme="minorEastAsia" w:hAnsiTheme="minorEastAsia" w:eastAsiaTheme="minorEastAsia" w:cstheme="minorEastAsia"/>
                <w:color w:val="000000"/>
                <w:sz w:val="24"/>
                <w:szCs w:val="24"/>
              </w:rPr>
            </w:pPr>
          </w:p>
        </w:tc>
        <w:tc>
          <w:tcPr>
            <w:tcW w:w="992" w:type="dxa"/>
            <w:noWrap w:val="0"/>
            <w:vAlign w:val="center"/>
          </w:tcPr>
          <w:p w14:paraId="2B59F1C2">
            <w:pPr>
              <w:jc w:val="center"/>
              <w:rPr>
                <w:rFonts w:hint="eastAsia" w:asciiTheme="minorEastAsia" w:hAnsiTheme="minorEastAsia" w:eastAsiaTheme="minorEastAsia" w:cstheme="minorEastAsia"/>
                <w:color w:val="000000"/>
                <w:sz w:val="24"/>
                <w:szCs w:val="24"/>
              </w:rPr>
            </w:pPr>
          </w:p>
        </w:tc>
      </w:tr>
      <w:tr w14:paraId="0D870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87FDE9F">
            <w:pPr>
              <w:jc w:val="center"/>
              <w:rPr>
                <w:rFonts w:hint="eastAsia" w:asciiTheme="minorEastAsia" w:hAnsiTheme="minorEastAsia" w:eastAsiaTheme="minorEastAsia" w:cstheme="minorEastAsia"/>
                <w:color w:val="000000"/>
                <w:sz w:val="24"/>
                <w:szCs w:val="24"/>
              </w:rPr>
            </w:pPr>
          </w:p>
        </w:tc>
        <w:tc>
          <w:tcPr>
            <w:tcW w:w="1276" w:type="dxa"/>
            <w:noWrap w:val="0"/>
            <w:vAlign w:val="center"/>
          </w:tcPr>
          <w:p w14:paraId="38070C3C">
            <w:pPr>
              <w:jc w:val="center"/>
              <w:rPr>
                <w:rFonts w:hint="eastAsia" w:asciiTheme="minorEastAsia" w:hAnsiTheme="minorEastAsia" w:eastAsiaTheme="minorEastAsia" w:cstheme="minorEastAsia"/>
                <w:color w:val="000000"/>
                <w:sz w:val="24"/>
                <w:szCs w:val="24"/>
              </w:rPr>
            </w:pPr>
          </w:p>
        </w:tc>
        <w:tc>
          <w:tcPr>
            <w:tcW w:w="1418" w:type="dxa"/>
            <w:noWrap w:val="0"/>
            <w:vAlign w:val="center"/>
          </w:tcPr>
          <w:p w14:paraId="1EE60F52">
            <w:pPr>
              <w:jc w:val="center"/>
              <w:rPr>
                <w:rFonts w:hint="eastAsia" w:asciiTheme="minorEastAsia" w:hAnsiTheme="minorEastAsia" w:eastAsiaTheme="minorEastAsia" w:cstheme="minorEastAsia"/>
                <w:color w:val="000000"/>
                <w:sz w:val="24"/>
                <w:szCs w:val="24"/>
              </w:rPr>
            </w:pPr>
          </w:p>
        </w:tc>
        <w:tc>
          <w:tcPr>
            <w:tcW w:w="940" w:type="dxa"/>
            <w:noWrap w:val="0"/>
            <w:vAlign w:val="center"/>
          </w:tcPr>
          <w:p w14:paraId="48539E2F">
            <w:pPr>
              <w:jc w:val="center"/>
              <w:rPr>
                <w:rFonts w:hint="eastAsia" w:asciiTheme="minorEastAsia" w:hAnsiTheme="minorEastAsia" w:eastAsiaTheme="minorEastAsia" w:cstheme="minorEastAsia"/>
                <w:color w:val="000000"/>
                <w:sz w:val="24"/>
                <w:szCs w:val="24"/>
              </w:rPr>
            </w:pPr>
          </w:p>
        </w:tc>
        <w:tc>
          <w:tcPr>
            <w:tcW w:w="851" w:type="dxa"/>
            <w:noWrap w:val="0"/>
            <w:vAlign w:val="center"/>
          </w:tcPr>
          <w:p w14:paraId="31FB84DA">
            <w:pPr>
              <w:jc w:val="center"/>
              <w:rPr>
                <w:rFonts w:hint="eastAsia" w:asciiTheme="minorEastAsia" w:hAnsiTheme="minorEastAsia" w:eastAsiaTheme="minorEastAsia" w:cstheme="minorEastAsia"/>
                <w:color w:val="000000"/>
                <w:sz w:val="24"/>
                <w:szCs w:val="24"/>
              </w:rPr>
            </w:pPr>
          </w:p>
        </w:tc>
        <w:tc>
          <w:tcPr>
            <w:tcW w:w="1044" w:type="dxa"/>
            <w:noWrap w:val="0"/>
            <w:vAlign w:val="center"/>
          </w:tcPr>
          <w:p w14:paraId="7A7EE85F">
            <w:pPr>
              <w:jc w:val="center"/>
              <w:rPr>
                <w:rFonts w:hint="eastAsia" w:asciiTheme="minorEastAsia" w:hAnsiTheme="minorEastAsia" w:eastAsiaTheme="minorEastAsia" w:cstheme="minorEastAsia"/>
                <w:color w:val="000000"/>
                <w:sz w:val="24"/>
                <w:szCs w:val="24"/>
              </w:rPr>
            </w:pPr>
          </w:p>
        </w:tc>
        <w:tc>
          <w:tcPr>
            <w:tcW w:w="992" w:type="dxa"/>
            <w:noWrap w:val="0"/>
            <w:vAlign w:val="center"/>
          </w:tcPr>
          <w:p w14:paraId="51FAFA37">
            <w:pPr>
              <w:jc w:val="center"/>
              <w:rPr>
                <w:rFonts w:hint="eastAsia" w:asciiTheme="minorEastAsia" w:hAnsiTheme="minorEastAsia" w:eastAsiaTheme="minorEastAsia" w:cstheme="minorEastAsia"/>
                <w:color w:val="000000"/>
                <w:sz w:val="24"/>
                <w:szCs w:val="24"/>
              </w:rPr>
            </w:pPr>
          </w:p>
        </w:tc>
        <w:tc>
          <w:tcPr>
            <w:tcW w:w="851" w:type="dxa"/>
            <w:noWrap w:val="0"/>
            <w:vAlign w:val="center"/>
          </w:tcPr>
          <w:p w14:paraId="3C9DCFC7">
            <w:pPr>
              <w:jc w:val="center"/>
              <w:rPr>
                <w:rFonts w:hint="eastAsia" w:asciiTheme="minorEastAsia" w:hAnsiTheme="minorEastAsia" w:eastAsiaTheme="minorEastAsia" w:cstheme="minorEastAsia"/>
                <w:color w:val="000000"/>
                <w:sz w:val="24"/>
                <w:szCs w:val="24"/>
              </w:rPr>
            </w:pPr>
          </w:p>
        </w:tc>
        <w:tc>
          <w:tcPr>
            <w:tcW w:w="1487" w:type="dxa"/>
            <w:noWrap w:val="0"/>
            <w:vAlign w:val="center"/>
          </w:tcPr>
          <w:p w14:paraId="561F044C">
            <w:pPr>
              <w:jc w:val="center"/>
              <w:rPr>
                <w:rFonts w:hint="eastAsia" w:asciiTheme="minorEastAsia" w:hAnsiTheme="minorEastAsia" w:eastAsiaTheme="minorEastAsia" w:cstheme="minorEastAsia"/>
                <w:color w:val="000000"/>
                <w:sz w:val="24"/>
                <w:szCs w:val="24"/>
              </w:rPr>
            </w:pPr>
          </w:p>
        </w:tc>
        <w:tc>
          <w:tcPr>
            <w:tcW w:w="992" w:type="dxa"/>
            <w:noWrap w:val="0"/>
            <w:vAlign w:val="center"/>
          </w:tcPr>
          <w:p w14:paraId="7DC119C7">
            <w:pPr>
              <w:jc w:val="center"/>
              <w:rPr>
                <w:rFonts w:hint="eastAsia" w:asciiTheme="minorEastAsia" w:hAnsiTheme="minorEastAsia" w:eastAsiaTheme="minorEastAsia" w:cstheme="minorEastAsia"/>
                <w:color w:val="000000"/>
                <w:sz w:val="24"/>
                <w:szCs w:val="24"/>
              </w:rPr>
            </w:pPr>
          </w:p>
        </w:tc>
      </w:tr>
      <w:tr w14:paraId="0B16A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A209871">
            <w:pPr>
              <w:jc w:val="center"/>
              <w:rPr>
                <w:rFonts w:hint="eastAsia" w:asciiTheme="minorEastAsia" w:hAnsiTheme="minorEastAsia" w:eastAsiaTheme="minorEastAsia" w:cstheme="minorEastAsia"/>
                <w:color w:val="000000"/>
                <w:sz w:val="24"/>
                <w:szCs w:val="24"/>
              </w:rPr>
            </w:pPr>
          </w:p>
        </w:tc>
        <w:tc>
          <w:tcPr>
            <w:tcW w:w="1276" w:type="dxa"/>
            <w:noWrap w:val="0"/>
            <w:vAlign w:val="center"/>
          </w:tcPr>
          <w:p w14:paraId="2B4DC68B">
            <w:pPr>
              <w:jc w:val="center"/>
              <w:rPr>
                <w:rFonts w:hint="eastAsia" w:asciiTheme="minorEastAsia" w:hAnsiTheme="minorEastAsia" w:eastAsiaTheme="minorEastAsia" w:cstheme="minorEastAsia"/>
                <w:color w:val="000000"/>
                <w:sz w:val="24"/>
                <w:szCs w:val="24"/>
              </w:rPr>
            </w:pPr>
          </w:p>
        </w:tc>
        <w:tc>
          <w:tcPr>
            <w:tcW w:w="1418" w:type="dxa"/>
            <w:noWrap w:val="0"/>
            <w:vAlign w:val="center"/>
          </w:tcPr>
          <w:p w14:paraId="0B09CFEB">
            <w:pPr>
              <w:jc w:val="center"/>
              <w:rPr>
                <w:rFonts w:hint="eastAsia" w:asciiTheme="minorEastAsia" w:hAnsiTheme="minorEastAsia" w:eastAsiaTheme="minorEastAsia" w:cstheme="minorEastAsia"/>
                <w:color w:val="000000"/>
                <w:sz w:val="24"/>
                <w:szCs w:val="24"/>
              </w:rPr>
            </w:pPr>
          </w:p>
        </w:tc>
        <w:tc>
          <w:tcPr>
            <w:tcW w:w="940" w:type="dxa"/>
            <w:noWrap w:val="0"/>
            <w:vAlign w:val="center"/>
          </w:tcPr>
          <w:p w14:paraId="6A51E2F9">
            <w:pPr>
              <w:jc w:val="center"/>
              <w:rPr>
                <w:rFonts w:hint="eastAsia" w:asciiTheme="minorEastAsia" w:hAnsiTheme="minorEastAsia" w:eastAsiaTheme="minorEastAsia" w:cstheme="minorEastAsia"/>
                <w:color w:val="000000"/>
                <w:sz w:val="24"/>
                <w:szCs w:val="24"/>
              </w:rPr>
            </w:pPr>
          </w:p>
        </w:tc>
        <w:tc>
          <w:tcPr>
            <w:tcW w:w="851" w:type="dxa"/>
            <w:noWrap w:val="0"/>
            <w:vAlign w:val="center"/>
          </w:tcPr>
          <w:p w14:paraId="2200EE93">
            <w:pPr>
              <w:jc w:val="center"/>
              <w:rPr>
                <w:rFonts w:hint="eastAsia" w:asciiTheme="minorEastAsia" w:hAnsiTheme="minorEastAsia" w:eastAsiaTheme="minorEastAsia" w:cstheme="minorEastAsia"/>
                <w:color w:val="000000"/>
                <w:sz w:val="24"/>
                <w:szCs w:val="24"/>
              </w:rPr>
            </w:pPr>
          </w:p>
        </w:tc>
        <w:tc>
          <w:tcPr>
            <w:tcW w:w="1044" w:type="dxa"/>
            <w:noWrap w:val="0"/>
            <w:vAlign w:val="center"/>
          </w:tcPr>
          <w:p w14:paraId="5567FD72">
            <w:pPr>
              <w:jc w:val="center"/>
              <w:rPr>
                <w:rFonts w:hint="eastAsia" w:asciiTheme="minorEastAsia" w:hAnsiTheme="minorEastAsia" w:eastAsiaTheme="minorEastAsia" w:cstheme="minorEastAsia"/>
                <w:color w:val="000000"/>
                <w:sz w:val="24"/>
                <w:szCs w:val="24"/>
              </w:rPr>
            </w:pPr>
          </w:p>
        </w:tc>
        <w:tc>
          <w:tcPr>
            <w:tcW w:w="992" w:type="dxa"/>
            <w:noWrap w:val="0"/>
            <w:vAlign w:val="center"/>
          </w:tcPr>
          <w:p w14:paraId="60A72147">
            <w:pPr>
              <w:jc w:val="center"/>
              <w:rPr>
                <w:rFonts w:hint="eastAsia" w:asciiTheme="minorEastAsia" w:hAnsiTheme="minorEastAsia" w:eastAsiaTheme="minorEastAsia" w:cstheme="minorEastAsia"/>
                <w:color w:val="000000"/>
                <w:sz w:val="24"/>
                <w:szCs w:val="24"/>
              </w:rPr>
            </w:pPr>
          </w:p>
        </w:tc>
        <w:tc>
          <w:tcPr>
            <w:tcW w:w="851" w:type="dxa"/>
            <w:noWrap w:val="0"/>
            <w:vAlign w:val="center"/>
          </w:tcPr>
          <w:p w14:paraId="55313253">
            <w:pPr>
              <w:jc w:val="center"/>
              <w:rPr>
                <w:rFonts w:hint="eastAsia" w:asciiTheme="minorEastAsia" w:hAnsiTheme="minorEastAsia" w:eastAsiaTheme="minorEastAsia" w:cstheme="minorEastAsia"/>
                <w:color w:val="000000"/>
                <w:sz w:val="24"/>
                <w:szCs w:val="24"/>
              </w:rPr>
            </w:pPr>
          </w:p>
        </w:tc>
        <w:tc>
          <w:tcPr>
            <w:tcW w:w="1487" w:type="dxa"/>
            <w:noWrap w:val="0"/>
            <w:vAlign w:val="center"/>
          </w:tcPr>
          <w:p w14:paraId="656CCDEA">
            <w:pPr>
              <w:jc w:val="center"/>
              <w:rPr>
                <w:rFonts w:hint="eastAsia" w:asciiTheme="minorEastAsia" w:hAnsiTheme="minorEastAsia" w:eastAsiaTheme="minorEastAsia" w:cstheme="minorEastAsia"/>
                <w:color w:val="000000"/>
                <w:sz w:val="24"/>
                <w:szCs w:val="24"/>
              </w:rPr>
            </w:pPr>
          </w:p>
        </w:tc>
        <w:tc>
          <w:tcPr>
            <w:tcW w:w="992" w:type="dxa"/>
            <w:noWrap w:val="0"/>
            <w:vAlign w:val="center"/>
          </w:tcPr>
          <w:p w14:paraId="5E624534">
            <w:pPr>
              <w:jc w:val="center"/>
              <w:rPr>
                <w:rFonts w:hint="eastAsia" w:asciiTheme="minorEastAsia" w:hAnsiTheme="minorEastAsia" w:eastAsiaTheme="minorEastAsia" w:cstheme="minorEastAsia"/>
                <w:color w:val="000000"/>
                <w:sz w:val="24"/>
                <w:szCs w:val="24"/>
              </w:rPr>
            </w:pPr>
          </w:p>
        </w:tc>
      </w:tr>
      <w:tr w14:paraId="23B60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851" w:type="dxa"/>
            <w:noWrap w:val="0"/>
            <w:vAlign w:val="center"/>
          </w:tcPr>
          <w:p w14:paraId="0571CF5E">
            <w:pPr>
              <w:jc w:val="center"/>
              <w:rPr>
                <w:rFonts w:hint="eastAsia" w:asciiTheme="minorEastAsia" w:hAnsiTheme="minorEastAsia" w:eastAsiaTheme="minorEastAsia" w:cstheme="minorEastAsia"/>
                <w:color w:val="000000"/>
                <w:sz w:val="24"/>
                <w:szCs w:val="24"/>
              </w:rPr>
            </w:pPr>
          </w:p>
        </w:tc>
        <w:tc>
          <w:tcPr>
            <w:tcW w:w="1276" w:type="dxa"/>
            <w:noWrap w:val="0"/>
            <w:vAlign w:val="center"/>
          </w:tcPr>
          <w:p w14:paraId="6CA1F730">
            <w:pPr>
              <w:jc w:val="center"/>
              <w:rPr>
                <w:rFonts w:hint="eastAsia" w:asciiTheme="minorEastAsia" w:hAnsiTheme="minorEastAsia" w:eastAsiaTheme="minorEastAsia" w:cstheme="minorEastAsia"/>
                <w:color w:val="000000"/>
                <w:sz w:val="24"/>
                <w:szCs w:val="24"/>
              </w:rPr>
            </w:pPr>
          </w:p>
        </w:tc>
        <w:tc>
          <w:tcPr>
            <w:tcW w:w="1418" w:type="dxa"/>
            <w:noWrap w:val="0"/>
            <w:vAlign w:val="center"/>
          </w:tcPr>
          <w:p w14:paraId="41FF9101">
            <w:pPr>
              <w:jc w:val="center"/>
              <w:rPr>
                <w:rFonts w:hint="eastAsia" w:asciiTheme="minorEastAsia" w:hAnsiTheme="minorEastAsia" w:eastAsiaTheme="minorEastAsia" w:cstheme="minorEastAsia"/>
                <w:color w:val="000000"/>
                <w:sz w:val="24"/>
                <w:szCs w:val="24"/>
              </w:rPr>
            </w:pPr>
          </w:p>
        </w:tc>
        <w:tc>
          <w:tcPr>
            <w:tcW w:w="940" w:type="dxa"/>
            <w:noWrap w:val="0"/>
            <w:vAlign w:val="center"/>
          </w:tcPr>
          <w:p w14:paraId="0B7AB4A2">
            <w:pPr>
              <w:jc w:val="center"/>
              <w:rPr>
                <w:rFonts w:hint="eastAsia" w:asciiTheme="minorEastAsia" w:hAnsiTheme="minorEastAsia" w:eastAsiaTheme="minorEastAsia" w:cstheme="minorEastAsia"/>
                <w:color w:val="000000"/>
                <w:sz w:val="24"/>
                <w:szCs w:val="24"/>
              </w:rPr>
            </w:pPr>
          </w:p>
        </w:tc>
        <w:tc>
          <w:tcPr>
            <w:tcW w:w="851" w:type="dxa"/>
            <w:noWrap w:val="0"/>
            <w:vAlign w:val="center"/>
          </w:tcPr>
          <w:p w14:paraId="638785F0">
            <w:pPr>
              <w:jc w:val="center"/>
              <w:rPr>
                <w:rFonts w:hint="eastAsia" w:asciiTheme="minorEastAsia" w:hAnsiTheme="minorEastAsia" w:eastAsiaTheme="minorEastAsia" w:cstheme="minorEastAsia"/>
                <w:color w:val="000000"/>
                <w:sz w:val="24"/>
                <w:szCs w:val="24"/>
              </w:rPr>
            </w:pPr>
          </w:p>
        </w:tc>
        <w:tc>
          <w:tcPr>
            <w:tcW w:w="1044" w:type="dxa"/>
            <w:noWrap w:val="0"/>
            <w:vAlign w:val="center"/>
          </w:tcPr>
          <w:p w14:paraId="24DDBA6C">
            <w:pPr>
              <w:jc w:val="center"/>
              <w:rPr>
                <w:rFonts w:hint="eastAsia" w:asciiTheme="minorEastAsia" w:hAnsiTheme="minorEastAsia" w:eastAsiaTheme="minorEastAsia" w:cstheme="minorEastAsia"/>
                <w:color w:val="000000"/>
                <w:sz w:val="24"/>
                <w:szCs w:val="24"/>
              </w:rPr>
            </w:pPr>
          </w:p>
        </w:tc>
        <w:tc>
          <w:tcPr>
            <w:tcW w:w="992" w:type="dxa"/>
            <w:noWrap w:val="0"/>
            <w:vAlign w:val="center"/>
          </w:tcPr>
          <w:p w14:paraId="694EA7D9">
            <w:pPr>
              <w:jc w:val="center"/>
              <w:rPr>
                <w:rFonts w:hint="eastAsia" w:asciiTheme="minorEastAsia" w:hAnsiTheme="minorEastAsia" w:eastAsiaTheme="minorEastAsia" w:cstheme="minorEastAsia"/>
                <w:color w:val="000000"/>
                <w:sz w:val="24"/>
                <w:szCs w:val="24"/>
              </w:rPr>
            </w:pPr>
          </w:p>
        </w:tc>
        <w:tc>
          <w:tcPr>
            <w:tcW w:w="851" w:type="dxa"/>
            <w:noWrap w:val="0"/>
            <w:vAlign w:val="center"/>
          </w:tcPr>
          <w:p w14:paraId="5998A6B0">
            <w:pPr>
              <w:jc w:val="center"/>
              <w:rPr>
                <w:rFonts w:hint="eastAsia" w:asciiTheme="minorEastAsia" w:hAnsiTheme="minorEastAsia" w:eastAsiaTheme="minorEastAsia" w:cstheme="minorEastAsia"/>
                <w:color w:val="000000"/>
                <w:sz w:val="24"/>
                <w:szCs w:val="24"/>
              </w:rPr>
            </w:pPr>
          </w:p>
        </w:tc>
        <w:tc>
          <w:tcPr>
            <w:tcW w:w="1487" w:type="dxa"/>
            <w:noWrap w:val="0"/>
            <w:vAlign w:val="center"/>
          </w:tcPr>
          <w:p w14:paraId="1C7712A9">
            <w:pPr>
              <w:jc w:val="center"/>
              <w:rPr>
                <w:rFonts w:hint="eastAsia" w:asciiTheme="minorEastAsia" w:hAnsiTheme="minorEastAsia" w:eastAsiaTheme="minorEastAsia" w:cstheme="minorEastAsia"/>
                <w:color w:val="000000"/>
                <w:sz w:val="24"/>
                <w:szCs w:val="24"/>
              </w:rPr>
            </w:pPr>
          </w:p>
        </w:tc>
        <w:tc>
          <w:tcPr>
            <w:tcW w:w="992" w:type="dxa"/>
            <w:noWrap w:val="0"/>
            <w:vAlign w:val="center"/>
          </w:tcPr>
          <w:p w14:paraId="08E09F80">
            <w:pPr>
              <w:jc w:val="center"/>
              <w:rPr>
                <w:rFonts w:hint="eastAsia" w:asciiTheme="minorEastAsia" w:hAnsiTheme="minorEastAsia" w:eastAsiaTheme="minorEastAsia" w:cstheme="minorEastAsia"/>
                <w:color w:val="000000"/>
                <w:sz w:val="24"/>
                <w:szCs w:val="24"/>
              </w:rPr>
            </w:pPr>
          </w:p>
        </w:tc>
      </w:tr>
      <w:tr w14:paraId="6976E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A9EAC88">
            <w:pPr>
              <w:jc w:val="center"/>
              <w:rPr>
                <w:rFonts w:hint="eastAsia" w:asciiTheme="minorEastAsia" w:hAnsiTheme="minorEastAsia" w:eastAsiaTheme="minorEastAsia" w:cstheme="minorEastAsia"/>
                <w:color w:val="000000"/>
                <w:sz w:val="24"/>
                <w:szCs w:val="24"/>
              </w:rPr>
            </w:pPr>
          </w:p>
        </w:tc>
        <w:tc>
          <w:tcPr>
            <w:tcW w:w="1276" w:type="dxa"/>
            <w:noWrap w:val="0"/>
            <w:vAlign w:val="center"/>
          </w:tcPr>
          <w:p w14:paraId="1591C345">
            <w:pPr>
              <w:jc w:val="center"/>
              <w:rPr>
                <w:rFonts w:hint="eastAsia" w:asciiTheme="minorEastAsia" w:hAnsiTheme="minorEastAsia" w:eastAsiaTheme="minorEastAsia" w:cstheme="minorEastAsia"/>
                <w:color w:val="000000"/>
                <w:sz w:val="24"/>
                <w:szCs w:val="24"/>
              </w:rPr>
            </w:pPr>
          </w:p>
        </w:tc>
        <w:tc>
          <w:tcPr>
            <w:tcW w:w="1418" w:type="dxa"/>
            <w:noWrap w:val="0"/>
            <w:vAlign w:val="center"/>
          </w:tcPr>
          <w:p w14:paraId="0641C38C">
            <w:pPr>
              <w:jc w:val="center"/>
              <w:rPr>
                <w:rFonts w:hint="eastAsia" w:asciiTheme="minorEastAsia" w:hAnsiTheme="minorEastAsia" w:eastAsiaTheme="minorEastAsia" w:cstheme="minorEastAsia"/>
                <w:color w:val="000000"/>
                <w:sz w:val="24"/>
                <w:szCs w:val="24"/>
              </w:rPr>
            </w:pPr>
          </w:p>
        </w:tc>
        <w:tc>
          <w:tcPr>
            <w:tcW w:w="940" w:type="dxa"/>
            <w:noWrap w:val="0"/>
            <w:vAlign w:val="center"/>
          </w:tcPr>
          <w:p w14:paraId="5287CF47">
            <w:pPr>
              <w:jc w:val="center"/>
              <w:rPr>
                <w:rFonts w:hint="eastAsia" w:asciiTheme="minorEastAsia" w:hAnsiTheme="minorEastAsia" w:eastAsiaTheme="minorEastAsia" w:cstheme="minorEastAsia"/>
                <w:color w:val="000000"/>
                <w:sz w:val="24"/>
                <w:szCs w:val="24"/>
              </w:rPr>
            </w:pPr>
          </w:p>
        </w:tc>
        <w:tc>
          <w:tcPr>
            <w:tcW w:w="851" w:type="dxa"/>
            <w:noWrap w:val="0"/>
            <w:vAlign w:val="center"/>
          </w:tcPr>
          <w:p w14:paraId="5C19B608">
            <w:pPr>
              <w:jc w:val="center"/>
              <w:rPr>
                <w:rFonts w:hint="eastAsia" w:asciiTheme="minorEastAsia" w:hAnsiTheme="minorEastAsia" w:eastAsiaTheme="minorEastAsia" w:cstheme="minorEastAsia"/>
                <w:color w:val="000000"/>
                <w:sz w:val="24"/>
                <w:szCs w:val="24"/>
              </w:rPr>
            </w:pPr>
          </w:p>
        </w:tc>
        <w:tc>
          <w:tcPr>
            <w:tcW w:w="1044" w:type="dxa"/>
            <w:noWrap w:val="0"/>
            <w:vAlign w:val="center"/>
          </w:tcPr>
          <w:p w14:paraId="4C2CFEE0">
            <w:pPr>
              <w:jc w:val="center"/>
              <w:rPr>
                <w:rFonts w:hint="eastAsia" w:asciiTheme="minorEastAsia" w:hAnsiTheme="minorEastAsia" w:eastAsiaTheme="minorEastAsia" w:cstheme="minorEastAsia"/>
                <w:color w:val="000000"/>
                <w:sz w:val="24"/>
                <w:szCs w:val="24"/>
              </w:rPr>
            </w:pPr>
          </w:p>
        </w:tc>
        <w:tc>
          <w:tcPr>
            <w:tcW w:w="992" w:type="dxa"/>
            <w:noWrap w:val="0"/>
            <w:vAlign w:val="center"/>
          </w:tcPr>
          <w:p w14:paraId="75B49ED5">
            <w:pPr>
              <w:jc w:val="center"/>
              <w:rPr>
                <w:rFonts w:hint="eastAsia" w:asciiTheme="minorEastAsia" w:hAnsiTheme="minorEastAsia" w:eastAsiaTheme="minorEastAsia" w:cstheme="minorEastAsia"/>
                <w:color w:val="000000"/>
                <w:sz w:val="24"/>
                <w:szCs w:val="24"/>
              </w:rPr>
            </w:pPr>
          </w:p>
        </w:tc>
        <w:tc>
          <w:tcPr>
            <w:tcW w:w="851" w:type="dxa"/>
            <w:noWrap w:val="0"/>
            <w:vAlign w:val="center"/>
          </w:tcPr>
          <w:p w14:paraId="03A608AB">
            <w:pPr>
              <w:jc w:val="center"/>
              <w:rPr>
                <w:rFonts w:hint="eastAsia" w:asciiTheme="minorEastAsia" w:hAnsiTheme="minorEastAsia" w:eastAsiaTheme="minorEastAsia" w:cstheme="minorEastAsia"/>
                <w:color w:val="000000"/>
                <w:sz w:val="24"/>
                <w:szCs w:val="24"/>
              </w:rPr>
            </w:pPr>
          </w:p>
        </w:tc>
        <w:tc>
          <w:tcPr>
            <w:tcW w:w="1487" w:type="dxa"/>
            <w:noWrap w:val="0"/>
            <w:vAlign w:val="center"/>
          </w:tcPr>
          <w:p w14:paraId="04128678">
            <w:pPr>
              <w:jc w:val="center"/>
              <w:rPr>
                <w:rFonts w:hint="eastAsia" w:asciiTheme="minorEastAsia" w:hAnsiTheme="minorEastAsia" w:eastAsiaTheme="minorEastAsia" w:cstheme="minorEastAsia"/>
                <w:color w:val="000000"/>
                <w:sz w:val="24"/>
                <w:szCs w:val="24"/>
              </w:rPr>
            </w:pPr>
          </w:p>
        </w:tc>
        <w:tc>
          <w:tcPr>
            <w:tcW w:w="992" w:type="dxa"/>
            <w:noWrap w:val="0"/>
            <w:vAlign w:val="center"/>
          </w:tcPr>
          <w:p w14:paraId="63589C0C">
            <w:pPr>
              <w:jc w:val="center"/>
              <w:rPr>
                <w:rFonts w:hint="eastAsia" w:asciiTheme="minorEastAsia" w:hAnsiTheme="minorEastAsia" w:eastAsiaTheme="minorEastAsia" w:cstheme="minorEastAsia"/>
                <w:color w:val="000000"/>
                <w:sz w:val="24"/>
                <w:szCs w:val="24"/>
              </w:rPr>
            </w:pPr>
          </w:p>
        </w:tc>
      </w:tr>
      <w:tr w14:paraId="2690F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1AC7C74F">
            <w:pPr>
              <w:jc w:val="center"/>
              <w:rPr>
                <w:rFonts w:hint="eastAsia" w:asciiTheme="minorEastAsia" w:hAnsiTheme="minorEastAsia" w:eastAsiaTheme="minorEastAsia" w:cstheme="minorEastAsia"/>
                <w:color w:val="000000"/>
                <w:sz w:val="24"/>
                <w:szCs w:val="24"/>
              </w:rPr>
            </w:pPr>
          </w:p>
        </w:tc>
        <w:tc>
          <w:tcPr>
            <w:tcW w:w="1276" w:type="dxa"/>
            <w:noWrap w:val="0"/>
            <w:vAlign w:val="center"/>
          </w:tcPr>
          <w:p w14:paraId="073CAF97">
            <w:pPr>
              <w:jc w:val="center"/>
              <w:rPr>
                <w:rFonts w:hint="eastAsia" w:asciiTheme="minorEastAsia" w:hAnsiTheme="minorEastAsia" w:eastAsiaTheme="minorEastAsia" w:cstheme="minorEastAsia"/>
                <w:color w:val="000000"/>
                <w:sz w:val="24"/>
                <w:szCs w:val="24"/>
              </w:rPr>
            </w:pPr>
          </w:p>
        </w:tc>
        <w:tc>
          <w:tcPr>
            <w:tcW w:w="1418" w:type="dxa"/>
            <w:noWrap w:val="0"/>
            <w:vAlign w:val="center"/>
          </w:tcPr>
          <w:p w14:paraId="01A58704">
            <w:pPr>
              <w:jc w:val="center"/>
              <w:rPr>
                <w:rFonts w:hint="eastAsia" w:asciiTheme="minorEastAsia" w:hAnsiTheme="minorEastAsia" w:eastAsiaTheme="minorEastAsia" w:cstheme="minorEastAsia"/>
                <w:color w:val="000000"/>
                <w:sz w:val="24"/>
                <w:szCs w:val="24"/>
              </w:rPr>
            </w:pPr>
          </w:p>
        </w:tc>
        <w:tc>
          <w:tcPr>
            <w:tcW w:w="940" w:type="dxa"/>
            <w:noWrap w:val="0"/>
            <w:vAlign w:val="center"/>
          </w:tcPr>
          <w:p w14:paraId="3E8FAE07">
            <w:pPr>
              <w:jc w:val="center"/>
              <w:rPr>
                <w:rFonts w:hint="eastAsia" w:asciiTheme="minorEastAsia" w:hAnsiTheme="minorEastAsia" w:eastAsiaTheme="minorEastAsia" w:cstheme="minorEastAsia"/>
                <w:color w:val="000000"/>
                <w:sz w:val="24"/>
                <w:szCs w:val="24"/>
              </w:rPr>
            </w:pPr>
          </w:p>
        </w:tc>
        <w:tc>
          <w:tcPr>
            <w:tcW w:w="851" w:type="dxa"/>
            <w:noWrap w:val="0"/>
            <w:vAlign w:val="center"/>
          </w:tcPr>
          <w:p w14:paraId="0BA58010">
            <w:pPr>
              <w:jc w:val="center"/>
              <w:rPr>
                <w:rFonts w:hint="eastAsia" w:asciiTheme="minorEastAsia" w:hAnsiTheme="minorEastAsia" w:eastAsiaTheme="minorEastAsia" w:cstheme="minorEastAsia"/>
                <w:color w:val="000000"/>
                <w:sz w:val="24"/>
                <w:szCs w:val="24"/>
              </w:rPr>
            </w:pPr>
          </w:p>
        </w:tc>
        <w:tc>
          <w:tcPr>
            <w:tcW w:w="1044" w:type="dxa"/>
            <w:noWrap w:val="0"/>
            <w:vAlign w:val="center"/>
          </w:tcPr>
          <w:p w14:paraId="35593EB7">
            <w:pPr>
              <w:jc w:val="center"/>
              <w:rPr>
                <w:rFonts w:hint="eastAsia" w:asciiTheme="minorEastAsia" w:hAnsiTheme="minorEastAsia" w:eastAsiaTheme="minorEastAsia" w:cstheme="minorEastAsia"/>
                <w:color w:val="000000"/>
                <w:sz w:val="24"/>
                <w:szCs w:val="24"/>
              </w:rPr>
            </w:pPr>
          </w:p>
        </w:tc>
        <w:tc>
          <w:tcPr>
            <w:tcW w:w="992" w:type="dxa"/>
            <w:noWrap w:val="0"/>
            <w:vAlign w:val="center"/>
          </w:tcPr>
          <w:p w14:paraId="2579CD33">
            <w:pPr>
              <w:jc w:val="center"/>
              <w:rPr>
                <w:rFonts w:hint="eastAsia" w:asciiTheme="minorEastAsia" w:hAnsiTheme="minorEastAsia" w:eastAsiaTheme="minorEastAsia" w:cstheme="minorEastAsia"/>
                <w:color w:val="000000"/>
                <w:sz w:val="24"/>
                <w:szCs w:val="24"/>
              </w:rPr>
            </w:pPr>
          </w:p>
        </w:tc>
        <w:tc>
          <w:tcPr>
            <w:tcW w:w="851" w:type="dxa"/>
            <w:noWrap w:val="0"/>
            <w:vAlign w:val="center"/>
          </w:tcPr>
          <w:p w14:paraId="46D206B3">
            <w:pPr>
              <w:jc w:val="center"/>
              <w:rPr>
                <w:rFonts w:hint="eastAsia" w:asciiTheme="minorEastAsia" w:hAnsiTheme="minorEastAsia" w:eastAsiaTheme="minorEastAsia" w:cstheme="minorEastAsia"/>
                <w:color w:val="000000"/>
                <w:sz w:val="24"/>
                <w:szCs w:val="24"/>
              </w:rPr>
            </w:pPr>
          </w:p>
        </w:tc>
        <w:tc>
          <w:tcPr>
            <w:tcW w:w="1487" w:type="dxa"/>
            <w:noWrap w:val="0"/>
            <w:vAlign w:val="center"/>
          </w:tcPr>
          <w:p w14:paraId="4BEF3781">
            <w:pPr>
              <w:jc w:val="center"/>
              <w:rPr>
                <w:rFonts w:hint="eastAsia" w:asciiTheme="minorEastAsia" w:hAnsiTheme="minorEastAsia" w:eastAsiaTheme="minorEastAsia" w:cstheme="minorEastAsia"/>
                <w:color w:val="000000"/>
                <w:sz w:val="24"/>
                <w:szCs w:val="24"/>
              </w:rPr>
            </w:pPr>
          </w:p>
        </w:tc>
        <w:tc>
          <w:tcPr>
            <w:tcW w:w="992" w:type="dxa"/>
            <w:noWrap w:val="0"/>
            <w:vAlign w:val="center"/>
          </w:tcPr>
          <w:p w14:paraId="034D6B82">
            <w:pPr>
              <w:jc w:val="center"/>
              <w:rPr>
                <w:rFonts w:hint="eastAsia" w:asciiTheme="minorEastAsia" w:hAnsiTheme="minorEastAsia" w:eastAsiaTheme="minorEastAsia" w:cstheme="minorEastAsia"/>
                <w:color w:val="000000"/>
                <w:sz w:val="24"/>
                <w:szCs w:val="24"/>
              </w:rPr>
            </w:pPr>
          </w:p>
        </w:tc>
      </w:tr>
      <w:tr w14:paraId="5B4AB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A171F0F">
            <w:pPr>
              <w:jc w:val="center"/>
              <w:rPr>
                <w:rFonts w:hint="eastAsia" w:asciiTheme="minorEastAsia" w:hAnsiTheme="minorEastAsia" w:eastAsiaTheme="minorEastAsia" w:cstheme="minorEastAsia"/>
                <w:color w:val="000000"/>
                <w:sz w:val="24"/>
                <w:szCs w:val="24"/>
              </w:rPr>
            </w:pPr>
          </w:p>
        </w:tc>
        <w:tc>
          <w:tcPr>
            <w:tcW w:w="1276" w:type="dxa"/>
            <w:noWrap w:val="0"/>
            <w:vAlign w:val="center"/>
          </w:tcPr>
          <w:p w14:paraId="4C86DD14">
            <w:pPr>
              <w:jc w:val="center"/>
              <w:rPr>
                <w:rFonts w:hint="eastAsia" w:asciiTheme="minorEastAsia" w:hAnsiTheme="minorEastAsia" w:eastAsiaTheme="minorEastAsia" w:cstheme="minorEastAsia"/>
                <w:color w:val="000000"/>
                <w:sz w:val="24"/>
                <w:szCs w:val="24"/>
              </w:rPr>
            </w:pPr>
          </w:p>
        </w:tc>
        <w:tc>
          <w:tcPr>
            <w:tcW w:w="1418" w:type="dxa"/>
            <w:noWrap w:val="0"/>
            <w:vAlign w:val="center"/>
          </w:tcPr>
          <w:p w14:paraId="796C3450">
            <w:pPr>
              <w:jc w:val="center"/>
              <w:rPr>
                <w:rFonts w:hint="eastAsia" w:asciiTheme="minorEastAsia" w:hAnsiTheme="minorEastAsia" w:eastAsiaTheme="minorEastAsia" w:cstheme="minorEastAsia"/>
                <w:color w:val="000000"/>
                <w:sz w:val="24"/>
                <w:szCs w:val="24"/>
              </w:rPr>
            </w:pPr>
          </w:p>
        </w:tc>
        <w:tc>
          <w:tcPr>
            <w:tcW w:w="940" w:type="dxa"/>
            <w:noWrap w:val="0"/>
            <w:vAlign w:val="center"/>
          </w:tcPr>
          <w:p w14:paraId="07F0ED47">
            <w:pPr>
              <w:jc w:val="center"/>
              <w:rPr>
                <w:rFonts w:hint="eastAsia" w:asciiTheme="minorEastAsia" w:hAnsiTheme="minorEastAsia" w:eastAsiaTheme="minorEastAsia" w:cstheme="minorEastAsia"/>
                <w:color w:val="000000"/>
                <w:sz w:val="24"/>
                <w:szCs w:val="24"/>
              </w:rPr>
            </w:pPr>
          </w:p>
        </w:tc>
        <w:tc>
          <w:tcPr>
            <w:tcW w:w="851" w:type="dxa"/>
            <w:noWrap w:val="0"/>
            <w:vAlign w:val="center"/>
          </w:tcPr>
          <w:p w14:paraId="6F433C8E">
            <w:pPr>
              <w:jc w:val="center"/>
              <w:rPr>
                <w:rFonts w:hint="eastAsia" w:asciiTheme="minorEastAsia" w:hAnsiTheme="minorEastAsia" w:eastAsiaTheme="minorEastAsia" w:cstheme="minorEastAsia"/>
                <w:color w:val="000000"/>
                <w:sz w:val="24"/>
                <w:szCs w:val="24"/>
              </w:rPr>
            </w:pPr>
          </w:p>
        </w:tc>
        <w:tc>
          <w:tcPr>
            <w:tcW w:w="1044" w:type="dxa"/>
            <w:noWrap w:val="0"/>
            <w:vAlign w:val="center"/>
          </w:tcPr>
          <w:p w14:paraId="0C7D6B13">
            <w:pPr>
              <w:jc w:val="center"/>
              <w:rPr>
                <w:rFonts w:hint="eastAsia" w:asciiTheme="minorEastAsia" w:hAnsiTheme="minorEastAsia" w:eastAsiaTheme="minorEastAsia" w:cstheme="minorEastAsia"/>
                <w:color w:val="000000"/>
                <w:sz w:val="24"/>
                <w:szCs w:val="24"/>
              </w:rPr>
            </w:pPr>
          </w:p>
        </w:tc>
        <w:tc>
          <w:tcPr>
            <w:tcW w:w="992" w:type="dxa"/>
            <w:noWrap w:val="0"/>
            <w:vAlign w:val="center"/>
          </w:tcPr>
          <w:p w14:paraId="3F827B17">
            <w:pPr>
              <w:jc w:val="center"/>
              <w:rPr>
                <w:rFonts w:hint="eastAsia" w:asciiTheme="minorEastAsia" w:hAnsiTheme="minorEastAsia" w:eastAsiaTheme="minorEastAsia" w:cstheme="minorEastAsia"/>
                <w:color w:val="000000"/>
                <w:sz w:val="24"/>
                <w:szCs w:val="24"/>
              </w:rPr>
            </w:pPr>
          </w:p>
        </w:tc>
        <w:tc>
          <w:tcPr>
            <w:tcW w:w="851" w:type="dxa"/>
            <w:noWrap w:val="0"/>
            <w:vAlign w:val="center"/>
          </w:tcPr>
          <w:p w14:paraId="5E87A772">
            <w:pPr>
              <w:jc w:val="center"/>
              <w:rPr>
                <w:rFonts w:hint="eastAsia" w:asciiTheme="minorEastAsia" w:hAnsiTheme="minorEastAsia" w:eastAsiaTheme="minorEastAsia" w:cstheme="minorEastAsia"/>
                <w:color w:val="000000"/>
                <w:sz w:val="24"/>
                <w:szCs w:val="24"/>
              </w:rPr>
            </w:pPr>
          </w:p>
        </w:tc>
        <w:tc>
          <w:tcPr>
            <w:tcW w:w="1487" w:type="dxa"/>
            <w:noWrap w:val="0"/>
            <w:vAlign w:val="center"/>
          </w:tcPr>
          <w:p w14:paraId="1831634B">
            <w:pPr>
              <w:jc w:val="center"/>
              <w:rPr>
                <w:rFonts w:hint="eastAsia" w:asciiTheme="minorEastAsia" w:hAnsiTheme="minorEastAsia" w:eastAsiaTheme="minorEastAsia" w:cstheme="minorEastAsia"/>
                <w:color w:val="000000"/>
                <w:sz w:val="24"/>
                <w:szCs w:val="24"/>
              </w:rPr>
            </w:pPr>
          </w:p>
        </w:tc>
        <w:tc>
          <w:tcPr>
            <w:tcW w:w="992" w:type="dxa"/>
            <w:noWrap w:val="0"/>
            <w:vAlign w:val="center"/>
          </w:tcPr>
          <w:p w14:paraId="08332C9F">
            <w:pPr>
              <w:jc w:val="center"/>
              <w:rPr>
                <w:rFonts w:hint="eastAsia" w:asciiTheme="minorEastAsia" w:hAnsiTheme="minorEastAsia" w:eastAsiaTheme="minorEastAsia" w:cstheme="minorEastAsia"/>
                <w:color w:val="000000"/>
                <w:sz w:val="24"/>
                <w:szCs w:val="24"/>
              </w:rPr>
            </w:pPr>
          </w:p>
        </w:tc>
      </w:tr>
      <w:tr w14:paraId="2AEA6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A5B108D">
            <w:pPr>
              <w:jc w:val="center"/>
              <w:rPr>
                <w:rFonts w:hint="eastAsia" w:asciiTheme="minorEastAsia" w:hAnsiTheme="minorEastAsia" w:eastAsiaTheme="minorEastAsia" w:cstheme="minorEastAsia"/>
                <w:color w:val="000000"/>
                <w:sz w:val="24"/>
                <w:szCs w:val="24"/>
              </w:rPr>
            </w:pPr>
          </w:p>
        </w:tc>
        <w:tc>
          <w:tcPr>
            <w:tcW w:w="1276" w:type="dxa"/>
            <w:noWrap w:val="0"/>
            <w:vAlign w:val="center"/>
          </w:tcPr>
          <w:p w14:paraId="082F21AE">
            <w:pPr>
              <w:jc w:val="center"/>
              <w:rPr>
                <w:rFonts w:hint="eastAsia" w:asciiTheme="minorEastAsia" w:hAnsiTheme="minorEastAsia" w:eastAsiaTheme="minorEastAsia" w:cstheme="minorEastAsia"/>
                <w:color w:val="000000"/>
                <w:sz w:val="24"/>
                <w:szCs w:val="24"/>
              </w:rPr>
            </w:pPr>
          </w:p>
        </w:tc>
        <w:tc>
          <w:tcPr>
            <w:tcW w:w="1418" w:type="dxa"/>
            <w:noWrap w:val="0"/>
            <w:vAlign w:val="center"/>
          </w:tcPr>
          <w:p w14:paraId="7C05B6C2">
            <w:pPr>
              <w:jc w:val="center"/>
              <w:rPr>
                <w:rFonts w:hint="eastAsia" w:asciiTheme="minorEastAsia" w:hAnsiTheme="minorEastAsia" w:eastAsiaTheme="minorEastAsia" w:cstheme="minorEastAsia"/>
                <w:color w:val="000000"/>
                <w:sz w:val="24"/>
                <w:szCs w:val="24"/>
              </w:rPr>
            </w:pPr>
          </w:p>
        </w:tc>
        <w:tc>
          <w:tcPr>
            <w:tcW w:w="940" w:type="dxa"/>
            <w:noWrap w:val="0"/>
            <w:vAlign w:val="center"/>
          </w:tcPr>
          <w:p w14:paraId="228D2D3F">
            <w:pPr>
              <w:jc w:val="center"/>
              <w:rPr>
                <w:rFonts w:hint="eastAsia" w:asciiTheme="minorEastAsia" w:hAnsiTheme="minorEastAsia" w:eastAsiaTheme="minorEastAsia" w:cstheme="minorEastAsia"/>
                <w:color w:val="000000"/>
                <w:sz w:val="24"/>
                <w:szCs w:val="24"/>
              </w:rPr>
            </w:pPr>
          </w:p>
        </w:tc>
        <w:tc>
          <w:tcPr>
            <w:tcW w:w="851" w:type="dxa"/>
            <w:noWrap w:val="0"/>
            <w:vAlign w:val="center"/>
          </w:tcPr>
          <w:p w14:paraId="2C0169FA">
            <w:pPr>
              <w:jc w:val="center"/>
              <w:rPr>
                <w:rFonts w:hint="eastAsia" w:asciiTheme="minorEastAsia" w:hAnsiTheme="minorEastAsia" w:eastAsiaTheme="minorEastAsia" w:cstheme="minorEastAsia"/>
                <w:color w:val="000000"/>
                <w:sz w:val="24"/>
                <w:szCs w:val="24"/>
              </w:rPr>
            </w:pPr>
          </w:p>
        </w:tc>
        <w:tc>
          <w:tcPr>
            <w:tcW w:w="1044" w:type="dxa"/>
            <w:noWrap w:val="0"/>
            <w:vAlign w:val="center"/>
          </w:tcPr>
          <w:p w14:paraId="20B4DC3D">
            <w:pPr>
              <w:jc w:val="center"/>
              <w:rPr>
                <w:rFonts w:hint="eastAsia" w:asciiTheme="minorEastAsia" w:hAnsiTheme="minorEastAsia" w:eastAsiaTheme="minorEastAsia" w:cstheme="minorEastAsia"/>
                <w:color w:val="000000"/>
                <w:sz w:val="24"/>
                <w:szCs w:val="24"/>
              </w:rPr>
            </w:pPr>
          </w:p>
        </w:tc>
        <w:tc>
          <w:tcPr>
            <w:tcW w:w="992" w:type="dxa"/>
            <w:noWrap w:val="0"/>
            <w:vAlign w:val="center"/>
          </w:tcPr>
          <w:p w14:paraId="40C82CFA">
            <w:pPr>
              <w:jc w:val="center"/>
              <w:rPr>
                <w:rFonts w:hint="eastAsia" w:asciiTheme="minorEastAsia" w:hAnsiTheme="minorEastAsia" w:eastAsiaTheme="minorEastAsia" w:cstheme="minorEastAsia"/>
                <w:color w:val="000000"/>
                <w:sz w:val="24"/>
                <w:szCs w:val="24"/>
              </w:rPr>
            </w:pPr>
          </w:p>
        </w:tc>
        <w:tc>
          <w:tcPr>
            <w:tcW w:w="851" w:type="dxa"/>
            <w:noWrap w:val="0"/>
            <w:vAlign w:val="center"/>
          </w:tcPr>
          <w:p w14:paraId="06825146">
            <w:pPr>
              <w:jc w:val="center"/>
              <w:rPr>
                <w:rFonts w:hint="eastAsia" w:asciiTheme="minorEastAsia" w:hAnsiTheme="minorEastAsia" w:eastAsiaTheme="minorEastAsia" w:cstheme="minorEastAsia"/>
                <w:color w:val="000000"/>
                <w:sz w:val="24"/>
                <w:szCs w:val="24"/>
              </w:rPr>
            </w:pPr>
          </w:p>
        </w:tc>
        <w:tc>
          <w:tcPr>
            <w:tcW w:w="1487" w:type="dxa"/>
            <w:noWrap w:val="0"/>
            <w:vAlign w:val="center"/>
          </w:tcPr>
          <w:p w14:paraId="60FD16AB">
            <w:pPr>
              <w:jc w:val="center"/>
              <w:rPr>
                <w:rFonts w:hint="eastAsia" w:asciiTheme="minorEastAsia" w:hAnsiTheme="minorEastAsia" w:eastAsiaTheme="minorEastAsia" w:cstheme="minorEastAsia"/>
                <w:color w:val="000000"/>
                <w:sz w:val="24"/>
                <w:szCs w:val="24"/>
              </w:rPr>
            </w:pPr>
          </w:p>
        </w:tc>
        <w:tc>
          <w:tcPr>
            <w:tcW w:w="992" w:type="dxa"/>
            <w:noWrap w:val="0"/>
            <w:vAlign w:val="center"/>
          </w:tcPr>
          <w:p w14:paraId="475968C5">
            <w:pPr>
              <w:jc w:val="center"/>
              <w:rPr>
                <w:rFonts w:hint="eastAsia" w:asciiTheme="minorEastAsia" w:hAnsiTheme="minorEastAsia" w:eastAsiaTheme="minorEastAsia" w:cstheme="minorEastAsia"/>
                <w:color w:val="000000"/>
                <w:sz w:val="24"/>
                <w:szCs w:val="24"/>
              </w:rPr>
            </w:pPr>
          </w:p>
        </w:tc>
      </w:tr>
    </w:tbl>
    <w:p w14:paraId="704D59B7">
      <w:pPr>
        <w:spacing w:line="440" w:lineRule="exact"/>
        <w:rPr>
          <w:rFonts w:hint="eastAsia" w:asciiTheme="minorEastAsia" w:hAnsiTheme="minorEastAsia" w:eastAsiaTheme="minorEastAsia" w:cstheme="minorEastAsia"/>
          <w:color w:val="000000"/>
          <w:sz w:val="24"/>
          <w:szCs w:val="24"/>
        </w:rPr>
      </w:pPr>
    </w:p>
    <w:p w14:paraId="5DE965F7">
      <w:pPr>
        <w:spacing w:line="440" w:lineRule="exact"/>
        <w:rPr>
          <w:rFonts w:hint="eastAsia" w:asciiTheme="minorEastAsia" w:hAnsiTheme="minorEastAsia" w:eastAsiaTheme="minorEastAsia" w:cstheme="minorEastAsia"/>
          <w:color w:val="000000"/>
          <w:sz w:val="24"/>
          <w:szCs w:val="24"/>
        </w:rPr>
      </w:pPr>
    </w:p>
    <w:p w14:paraId="451C1928">
      <w:pPr>
        <w:spacing w:line="44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w:t>
      </w:r>
      <w:bookmarkStart w:id="1383" w:name="_Toc296891266"/>
      <w:bookmarkStart w:id="1384" w:name="_Toc296891054"/>
      <w:bookmarkStart w:id="1385" w:name="_Toc296347225"/>
      <w:bookmarkStart w:id="1386" w:name="_Toc267261693"/>
      <w:bookmarkStart w:id="1387" w:name="_Toc296944565"/>
      <w:bookmarkStart w:id="1388" w:name="_Toc296346727"/>
      <w:bookmarkStart w:id="1389" w:name="_Toc296503226"/>
      <w:r>
        <w:rPr>
          <w:rFonts w:hint="eastAsia" w:asciiTheme="minorEastAsia" w:hAnsiTheme="minorEastAsia" w:eastAsiaTheme="minorEastAsia" w:cstheme="minorEastAsia"/>
          <w:color w:val="000000"/>
          <w:sz w:val="24"/>
          <w:szCs w:val="24"/>
        </w:rPr>
        <w:t>件3：</w:t>
      </w:r>
      <w:bookmarkEnd w:id="1383"/>
      <w:bookmarkEnd w:id="1384"/>
      <w:bookmarkEnd w:id="1385"/>
      <w:bookmarkEnd w:id="1386"/>
      <w:bookmarkEnd w:id="1387"/>
      <w:bookmarkEnd w:id="1388"/>
      <w:bookmarkEnd w:id="1389"/>
      <w:r>
        <w:rPr>
          <w:rFonts w:hint="eastAsia" w:asciiTheme="minorEastAsia" w:hAnsiTheme="minorEastAsia" w:eastAsiaTheme="minorEastAsia" w:cstheme="minorEastAsia"/>
          <w:color w:val="000000"/>
          <w:sz w:val="24"/>
          <w:szCs w:val="24"/>
        </w:rPr>
        <w:t xml:space="preserve">    </w:t>
      </w:r>
    </w:p>
    <w:p w14:paraId="7946D6B7">
      <w:pPr>
        <w:spacing w:before="156" w:beforeLines="50" w:after="156" w:afterLines="50" w:line="4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工程质量保修书</w:t>
      </w:r>
    </w:p>
    <w:p w14:paraId="58D0101B">
      <w:pPr>
        <w:spacing w:line="44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发包人（全称）：</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25FDDF35">
      <w:pPr>
        <w:spacing w:line="44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承包人（全称）：</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w:t>
      </w:r>
    </w:p>
    <w:p w14:paraId="2F371639">
      <w:pPr>
        <w:spacing w:line="440" w:lineRule="exact"/>
        <w:rPr>
          <w:rFonts w:hint="eastAsia" w:asciiTheme="minorEastAsia" w:hAnsiTheme="minorEastAsia" w:eastAsiaTheme="minorEastAsia" w:cstheme="minorEastAsia"/>
          <w:color w:val="000000"/>
          <w:sz w:val="24"/>
          <w:szCs w:val="24"/>
        </w:rPr>
      </w:pPr>
    </w:p>
    <w:p w14:paraId="31795A73">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发包人和承包人根据《中华人民共和国建筑法》和《建设工程质量管理条例》，经协商一致就</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（工程全称）签订工程质量保修书。</w:t>
      </w:r>
    </w:p>
    <w:p w14:paraId="4FC7CC83">
      <w:pPr>
        <w:spacing w:line="360" w:lineRule="auto"/>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一、工程质量保修范围和内容</w:t>
      </w:r>
    </w:p>
    <w:p w14:paraId="21C28F36">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承包人在质量保修期内，按照有关法律规定和合同约定，承担工程质量保修责任。</w:t>
      </w:r>
    </w:p>
    <w:p w14:paraId="59F2B219">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D2267F5">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7C079451">
      <w:pPr>
        <w:spacing w:line="360" w:lineRule="auto"/>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w:t>
      </w:r>
      <w:r>
        <w:rPr>
          <w:rFonts w:hint="eastAsia" w:asciiTheme="minorEastAsia" w:hAnsiTheme="minorEastAsia" w:eastAsiaTheme="minorEastAsia" w:cstheme="minorEastAsia"/>
          <w:color w:val="000000"/>
          <w:sz w:val="24"/>
          <w:szCs w:val="24"/>
        </w:rPr>
        <w:t>二、质量保修期</w:t>
      </w:r>
    </w:p>
    <w:p w14:paraId="707B422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根据《建设工程质量管理条例》及有关规定，工程的质量保修期如下：</w:t>
      </w:r>
    </w:p>
    <w:p w14:paraId="713DB041">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地基基础工程和主体结构工程为设计文件规定的工程合理使用年限；</w:t>
      </w:r>
    </w:p>
    <w:p w14:paraId="1C599E8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屋面防水工程、有防水要求的卫生间、房间和外墙面的防渗     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p>
    <w:p w14:paraId="3C83D753">
      <w:pPr>
        <w:spacing w:line="360" w:lineRule="auto"/>
        <w:ind w:left="420" w:leftChars="200"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装修工程为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p>
    <w:p w14:paraId="36DBA829">
      <w:pPr>
        <w:spacing w:line="360" w:lineRule="auto"/>
        <w:ind w:left="420" w:leftChars="200"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电气管线、给排水管道、设备安装工程为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p>
    <w:p w14:paraId="3BB86936">
      <w:pPr>
        <w:spacing w:line="360" w:lineRule="auto"/>
        <w:ind w:left="420" w:leftChars="200"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供热与供冷系统为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个采暖期、供冷期；</w:t>
      </w:r>
    </w:p>
    <w:p w14:paraId="39E19641">
      <w:pPr>
        <w:spacing w:line="360" w:lineRule="auto"/>
        <w:ind w:left="420" w:leftChars="200"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住宅小区内的给排水设施、道路等配套工程为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p>
    <w:p w14:paraId="1F488620">
      <w:pPr>
        <w:spacing w:line="360" w:lineRule="auto"/>
        <w:ind w:left="420" w:leftChars="200"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其他项目保修期限约定如下：</w:t>
      </w:r>
    </w:p>
    <w:p w14:paraId="6EC4A7E6">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5C7D0E5E">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质量保修期自工程竣工验收合格之日起计算。</w:t>
      </w:r>
    </w:p>
    <w:p w14:paraId="62D60367">
      <w:pPr>
        <w:spacing w:line="360" w:lineRule="auto"/>
        <w:ind w:firstLine="480" w:firstLineChars="200"/>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三、缺陷责任期</w:t>
      </w:r>
    </w:p>
    <w:p w14:paraId="3BFFC5FE">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工程缺陷责任期为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个月，缺陷责任期自工程通过竣工验收之日起计算。单位工程先于全部工程进行验收，单位工程缺陷责任期自单位工程验收合格之日起算。</w:t>
      </w:r>
    </w:p>
    <w:p w14:paraId="3D8946E1">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缺陷责任期终止后，发包人应退还剩余的质量保证金。</w:t>
      </w:r>
    </w:p>
    <w:p w14:paraId="504F097E">
      <w:pPr>
        <w:spacing w:line="360" w:lineRule="auto"/>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四、质量保修责任</w:t>
      </w:r>
    </w:p>
    <w:p w14:paraId="6DB87F51">
      <w:pPr>
        <w:spacing w:line="360" w:lineRule="auto"/>
        <w:ind w:left="105" w:leftChars="50" w:firstLine="491" w:firstLineChars="20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属于保修范围、内容的项目，承包人应当在接到保修通知之日起7天内派人保修。承包人不在约定期限内派人保修的，发包人可以委托他人修理。</w:t>
      </w:r>
    </w:p>
    <w:p w14:paraId="5BF3B01E">
      <w:pPr>
        <w:spacing w:line="360" w:lineRule="auto"/>
        <w:ind w:left="105" w:leftChars="50" w:firstLine="491" w:firstLineChars="20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发生紧急事故需抢修的，承包人在接到事故通知后，应当立即到达事故现场抢修。</w:t>
      </w:r>
    </w:p>
    <w:p w14:paraId="77B70E79">
      <w:pPr>
        <w:spacing w:line="360" w:lineRule="auto"/>
        <w:ind w:left="105" w:leftChars="50" w:firstLine="491" w:firstLineChars="205"/>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89EE0BC">
      <w:pPr>
        <w:spacing w:line="360" w:lineRule="auto"/>
        <w:ind w:left="420" w:leftChars="200" w:firstLine="120" w:firstLine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质量保修完成后，由发包人组织验收。</w:t>
      </w:r>
    </w:p>
    <w:p w14:paraId="05AE4BFC">
      <w:pPr>
        <w:spacing w:line="360" w:lineRule="auto"/>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五、保修费用</w:t>
      </w:r>
    </w:p>
    <w:p w14:paraId="76962F6B">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保修费用由造成质量缺陷的责任方承担。</w:t>
      </w:r>
    </w:p>
    <w:p w14:paraId="1C01060D">
      <w:pPr>
        <w:spacing w:line="360" w:lineRule="auto"/>
        <w:ind w:firstLine="600"/>
        <w:jc w:val="left"/>
        <w:outlineLvl w:val="0"/>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b/>
          <w:color w:val="000000"/>
          <w:sz w:val="24"/>
          <w:szCs w:val="24"/>
        </w:rPr>
        <w:t>六</w:t>
      </w:r>
      <w:r>
        <w:rPr>
          <w:rFonts w:hint="eastAsia" w:asciiTheme="minorEastAsia" w:hAnsiTheme="minorEastAsia" w:eastAsiaTheme="minorEastAsia" w:cstheme="minorEastAsia"/>
          <w:color w:val="000000"/>
          <w:sz w:val="24"/>
          <w:szCs w:val="24"/>
        </w:rPr>
        <w:t>、双方约定的其他工程质量保修事项：</w:t>
      </w:r>
      <w:r>
        <w:rPr>
          <w:rFonts w:hint="eastAsia" w:asciiTheme="minorEastAsia" w:hAnsiTheme="minorEastAsia" w:eastAsiaTheme="minorEastAsia" w:cstheme="minorEastAsia"/>
          <w:color w:val="000000"/>
          <w:sz w:val="24"/>
          <w:szCs w:val="24"/>
          <w:u w:val="single"/>
        </w:rPr>
        <w:t xml:space="preserve">                  </w:t>
      </w:r>
    </w:p>
    <w:p w14:paraId="049E84BC">
      <w:pPr>
        <w:spacing w:line="36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09CE8E1">
      <w:pPr>
        <w:spacing w:line="360" w:lineRule="auto"/>
        <w:ind w:firstLine="456" w:firstLineChars="19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工程质量保修书由发包人、承包人在工程竣工验收前共同签署，作为施工合同附件，其有效期限至保修期满。</w:t>
      </w:r>
    </w:p>
    <w:p w14:paraId="46481C92">
      <w:pPr>
        <w:spacing w:line="360" w:lineRule="auto"/>
        <w:ind w:firstLine="420"/>
        <w:rPr>
          <w:rFonts w:hint="eastAsia" w:asciiTheme="minorEastAsia" w:hAnsiTheme="minorEastAsia" w:eastAsiaTheme="minorEastAsia" w:cstheme="minorEastAsia"/>
          <w:color w:val="000000"/>
          <w:sz w:val="24"/>
          <w:szCs w:val="24"/>
        </w:rPr>
      </w:pPr>
    </w:p>
    <w:p w14:paraId="42DAE924">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发包人(公章)：</w:t>
      </w:r>
      <w:r>
        <w:rPr>
          <w:rFonts w:hint="eastAsia" w:asciiTheme="minorEastAsia" w:hAnsiTheme="minorEastAsia" w:eastAsiaTheme="minorEastAsia" w:cstheme="minorEastAsia"/>
          <w:color w:val="000000"/>
          <w:sz w:val="24"/>
          <w:szCs w:val="24"/>
          <w:u w:val="single"/>
        </w:rPr>
        <w:t xml:space="preserve">        </w:t>
      </w:r>
      <w:r>
        <w:rPr>
          <w:rFonts w:hint="eastAsia" w:asciiTheme="minorEastAsia" w:hAnsiTheme="minorEastAsia" w:eastAsiaTheme="minorEastAsia" w:cstheme="minorEastAsia"/>
          <w:color w:val="000000"/>
          <w:sz w:val="24"/>
          <w:szCs w:val="24"/>
        </w:rPr>
        <w:t xml:space="preserve"> 承包人(公章)：</w:t>
      </w:r>
      <w:r>
        <w:rPr>
          <w:rFonts w:hint="eastAsia" w:asciiTheme="minorEastAsia" w:hAnsiTheme="minorEastAsia" w:eastAsiaTheme="minorEastAsia" w:cstheme="minorEastAsia"/>
          <w:color w:val="000000"/>
          <w:sz w:val="24"/>
          <w:szCs w:val="24"/>
          <w:u w:val="single"/>
        </w:rPr>
        <w:t xml:space="preserve">           </w:t>
      </w:r>
    </w:p>
    <w:p w14:paraId="77229750">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地  址：</w:t>
      </w:r>
      <w:r>
        <w:rPr>
          <w:rFonts w:hint="eastAsia" w:asciiTheme="minorEastAsia" w:hAnsiTheme="minorEastAsia" w:eastAsiaTheme="minorEastAsia" w:cstheme="minorEastAsia"/>
          <w:color w:val="000000"/>
          <w:sz w:val="24"/>
          <w:szCs w:val="24"/>
          <w:u w:val="single"/>
        </w:rPr>
        <w:t xml:space="preserve">       </w:t>
      </w:r>
    </w:p>
    <w:p w14:paraId="66CC9B16">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法定代表人(签字)：</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法定代表人(签字)：</w:t>
      </w:r>
      <w:r>
        <w:rPr>
          <w:rFonts w:hint="eastAsia" w:asciiTheme="minorEastAsia" w:hAnsiTheme="minorEastAsia" w:eastAsiaTheme="minorEastAsia" w:cstheme="minorEastAsia"/>
          <w:color w:val="000000"/>
          <w:sz w:val="24"/>
          <w:szCs w:val="24"/>
          <w:u w:val="single"/>
        </w:rPr>
        <w:t xml:space="preserve">       </w:t>
      </w:r>
    </w:p>
    <w:p w14:paraId="7331A94E">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委托代理人(签字)：</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委托代理人(签字)：</w:t>
      </w:r>
      <w:r>
        <w:rPr>
          <w:rFonts w:hint="eastAsia" w:asciiTheme="minorEastAsia" w:hAnsiTheme="minorEastAsia" w:eastAsiaTheme="minorEastAsia" w:cstheme="minorEastAsia"/>
          <w:color w:val="000000"/>
          <w:sz w:val="24"/>
          <w:szCs w:val="24"/>
          <w:u w:val="single"/>
        </w:rPr>
        <w:t xml:space="preserve">       </w:t>
      </w:r>
    </w:p>
    <w:p w14:paraId="0DCB25E3">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  话：</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电  话：</w:t>
      </w:r>
      <w:r>
        <w:rPr>
          <w:rFonts w:hint="eastAsia" w:asciiTheme="minorEastAsia" w:hAnsiTheme="minorEastAsia" w:eastAsiaTheme="minorEastAsia" w:cstheme="minorEastAsia"/>
          <w:color w:val="000000"/>
          <w:sz w:val="24"/>
          <w:szCs w:val="24"/>
          <w:u w:val="single"/>
        </w:rPr>
        <w:t xml:space="preserve">     </w:t>
      </w:r>
    </w:p>
    <w:p w14:paraId="7AAED2F4">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传  真：</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传  真：</w:t>
      </w:r>
      <w:r>
        <w:rPr>
          <w:rFonts w:hint="eastAsia" w:asciiTheme="minorEastAsia" w:hAnsiTheme="minorEastAsia" w:eastAsiaTheme="minorEastAsia" w:cstheme="minorEastAsia"/>
          <w:color w:val="000000"/>
          <w:sz w:val="24"/>
          <w:szCs w:val="24"/>
          <w:u w:val="single"/>
        </w:rPr>
        <w:t xml:space="preserve">     </w:t>
      </w:r>
    </w:p>
    <w:p w14:paraId="7FBE786E">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开户银行：</w:t>
      </w:r>
      <w:r>
        <w:rPr>
          <w:rFonts w:hint="eastAsia" w:asciiTheme="minorEastAsia" w:hAnsiTheme="minorEastAsia" w:eastAsiaTheme="minorEastAsia" w:cstheme="minorEastAsia"/>
          <w:color w:val="000000"/>
          <w:sz w:val="24"/>
          <w:szCs w:val="24"/>
          <w:u w:val="single"/>
        </w:rPr>
        <w:t xml:space="preserve">   </w:t>
      </w:r>
    </w:p>
    <w:p w14:paraId="7223A4F4">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账  号：</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账  号：</w:t>
      </w:r>
      <w:r>
        <w:rPr>
          <w:rFonts w:hint="eastAsia" w:asciiTheme="minorEastAsia" w:hAnsiTheme="minorEastAsia" w:eastAsiaTheme="minorEastAsia" w:cstheme="minorEastAsia"/>
          <w:color w:val="000000"/>
          <w:sz w:val="24"/>
          <w:szCs w:val="24"/>
          <w:u w:val="single"/>
        </w:rPr>
        <w:t xml:space="preserve">     </w:t>
      </w:r>
    </w:p>
    <w:p w14:paraId="3A41068D">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邮政编码：</w:t>
      </w:r>
      <w:r>
        <w:rPr>
          <w:rFonts w:hint="eastAsia" w:asciiTheme="minorEastAsia" w:hAnsiTheme="minorEastAsia" w:eastAsiaTheme="minorEastAsia" w:cstheme="minorEastAsia"/>
          <w:color w:val="000000"/>
          <w:sz w:val="24"/>
          <w:szCs w:val="24"/>
          <w:u w:val="single"/>
        </w:rPr>
        <w:t xml:space="preserve">     </w:t>
      </w:r>
      <w:r>
        <w:rPr>
          <w:rFonts w:hint="eastAsia" w:asciiTheme="minorEastAsia" w:hAnsiTheme="minorEastAsia" w:eastAsiaTheme="minorEastAsia" w:cstheme="minorEastAsia"/>
          <w:color w:val="000000"/>
          <w:sz w:val="24"/>
          <w:szCs w:val="24"/>
        </w:rPr>
        <w:t xml:space="preserve"> 邮政编码：</w:t>
      </w:r>
      <w:r>
        <w:rPr>
          <w:rFonts w:hint="eastAsia" w:asciiTheme="minorEastAsia" w:hAnsiTheme="minorEastAsia" w:eastAsiaTheme="minorEastAsia" w:cstheme="minorEastAsia"/>
          <w:color w:val="000000"/>
          <w:sz w:val="24"/>
          <w:szCs w:val="24"/>
          <w:u w:val="single"/>
        </w:rPr>
        <w:t xml:space="preserve">   </w:t>
      </w:r>
    </w:p>
    <w:p w14:paraId="15375D9C">
      <w:pPr>
        <w:spacing w:line="44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附件4：</w:t>
      </w:r>
    </w:p>
    <w:p w14:paraId="680CFBFE">
      <w:pPr>
        <w:spacing w:before="156" w:beforeLines="50" w:after="156" w:afterLines="50" w:line="4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主要建设工程文件目录</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73803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5831387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文件名称</w:t>
            </w:r>
          </w:p>
        </w:tc>
        <w:tc>
          <w:tcPr>
            <w:tcW w:w="1276" w:type="dxa"/>
            <w:tcBorders>
              <w:top w:val="single" w:color="auto" w:sz="12" w:space="0"/>
              <w:bottom w:val="double" w:color="auto" w:sz="6" w:space="0"/>
            </w:tcBorders>
            <w:noWrap w:val="0"/>
            <w:vAlign w:val="center"/>
          </w:tcPr>
          <w:p w14:paraId="179FB9B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套数</w:t>
            </w:r>
          </w:p>
        </w:tc>
        <w:tc>
          <w:tcPr>
            <w:tcW w:w="1450" w:type="dxa"/>
            <w:tcBorders>
              <w:top w:val="single" w:color="auto" w:sz="12" w:space="0"/>
              <w:bottom w:val="double" w:color="auto" w:sz="6" w:space="0"/>
            </w:tcBorders>
            <w:noWrap w:val="0"/>
            <w:vAlign w:val="center"/>
          </w:tcPr>
          <w:p w14:paraId="2A1F442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费用（元）</w:t>
            </w:r>
          </w:p>
        </w:tc>
        <w:tc>
          <w:tcPr>
            <w:tcW w:w="1243" w:type="dxa"/>
            <w:tcBorders>
              <w:top w:val="single" w:color="auto" w:sz="12" w:space="0"/>
              <w:bottom w:val="double" w:color="auto" w:sz="6" w:space="0"/>
            </w:tcBorders>
            <w:noWrap w:val="0"/>
            <w:vAlign w:val="center"/>
          </w:tcPr>
          <w:p w14:paraId="21B9F85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质量</w:t>
            </w:r>
          </w:p>
        </w:tc>
        <w:tc>
          <w:tcPr>
            <w:tcW w:w="1450" w:type="dxa"/>
            <w:tcBorders>
              <w:top w:val="single" w:color="auto" w:sz="12" w:space="0"/>
              <w:bottom w:val="double" w:color="auto" w:sz="6" w:space="0"/>
            </w:tcBorders>
            <w:noWrap w:val="0"/>
            <w:vAlign w:val="top"/>
          </w:tcPr>
          <w:p w14:paraId="0AEEC451">
            <w:pPr>
              <w:spacing w:line="4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移交时间</w:t>
            </w:r>
          </w:p>
        </w:tc>
        <w:tc>
          <w:tcPr>
            <w:tcW w:w="1667" w:type="dxa"/>
            <w:tcBorders>
              <w:top w:val="single" w:color="auto" w:sz="12" w:space="0"/>
              <w:bottom w:val="double" w:color="auto" w:sz="6" w:space="0"/>
            </w:tcBorders>
            <w:noWrap w:val="0"/>
            <w:vAlign w:val="top"/>
          </w:tcPr>
          <w:p w14:paraId="5F72D0B7">
            <w:pPr>
              <w:spacing w:line="4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责任人</w:t>
            </w:r>
          </w:p>
        </w:tc>
      </w:tr>
      <w:tr w14:paraId="6C8E7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3313C36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tcBorders>
              <w:top w:val="double" w:color="auto" w:sz="6" w:space="0"/>
              <w:bottom w:val="single" w:color="auto" w:sz="6" w:space="0"/>
            </w:tcBorders>
            <w:noWrap w:val="0"/>
            <w:vAlign w:val="center"/>
          </w:tcPr>
          <w:p w14:paraId="682C694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50" w:type="dxa"/>
            <w:tcBorders>
              <w:top w:val="double" w:color="auto" w:sz="6" w:space="0"/>
              <w:bottom w:val="single" w:color="auto" w:sz="6" w:space="0"/>
            </w:tcBorders>
            <w:noWrap w:val="0"/>
            <w:vAlign w:val="center"/>
          </w:tcPr>
          <w:p w14:paraId="7F4F9CA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43" w:type="dxa"/>
            <w:tcBorders>
              <w:top w:val="double" w:color="auto" w:sz="6" w:space="0"/>
              <w:bottom w:val="single" w:color="auto" w:sz="6" w:space="0"/>
            </w:tcBorders>
            <w:noWrap w:val="0"/>
            <w:vAlign w:val="center"/>
          </w:tcPr>
          <w:p w14:paraId="4E272DC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50" w:type="dxa"/>
            <w:tcBorders>
              <w:top w:val="double" w:color="auto" w:sz="6" w:space="0"/>
              <w:bottom w:val="single" w:color="auto" w:sz="6" w:space="0"/>
            </w:tcBorders>
            <w:noWrap w:val="0"/>
            <w:vAlign w:val="center"/>
          </w:tcPr>
          <w:p w14:paraId="53398E4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667" w:type="dxa"/>
            <w:tcBorders>
              <w:top w:val="double" w:color="auto" w:sz="6" w:space="0"/>
              <w:bottom w:val="single" w:color="auto" w:sz="6" w:space="0"/>
            </w:tcBorders>
            <w:noWrap w:val="0"/>
            <w:vAlign w:val="center"/>
          </w:tcPr>
          <w:p w14:paraId="3DE4F5F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23FBC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4B4DD16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tcBorders>
              <w:top w:val="nil"/>
            </w:tcBorders>
            <w:noWrap w:val="0"/>
            <w:vAlign w:val="center"/>
          </w:tcPr>
          <w:p w14:paraId="0CB9010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50" w:type="dxa"/>
            <w:tcBorders>
              <w:top w:val="nil"/>
            </w:tcBorders>
            <w:noWrap w:val="0"/>
            <w:vAlign w:val="center"/>
          </w:tcPr>
          <w:p w14:paraId="56FEF57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43" w:type="dxa"/>
            <w:tcBorders>
              <w:top w:val="nil"/>
            </w:tcBorders>
            <w:noWrap w:val="0"/>
            <w:vAlign w:val="center"/>
          </w:tcPr>
          <w:p w14:paraId="6D8BE7F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50" w:type="dxa"/>
            <w:tcBorders>
              <w:top w:val="nil"/>
            </w:tcBorders>
            <w:noWrap w:val="0"/>
            <w:vAlign w:val="center"/>
          </w:tcPr>
          <w:p w14:paraId="21A5B4E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667" w:type="dxa"/>
            <w:tcBorders>
              <w:top w:val="nil"/>
            </w:tcBorders>
            <w:noWrap w:val="0"/>
            <w:vAlign w:val="center"/>
          </w:tcPr>
          <w:p w14:paraId="5D6B5C8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322E2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BC48EA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center"/>
          </w:tcPr>
          <w:p w14:paraId="1EA7994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50" w:type="dxa"/>
            <w:noWrap w:val="0"/>
            <w:vAlign w:val="center"/>
          </w:tcPr>
          <w:p w14:paraId="6768BBE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43" w:type="dxa"/>
            <w:noWrap w:val="0"/>
            <w:vAlign w:val="center"/>
          </w:tcPr>
          <w:p w14:paraId="3788165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50" w:type="dxa"/>
            <w:noWrap w:val="0"/>
            <w:vAlign w:val="center"/>
          </w:tcPr>
          <w:p w14:paraId="323463D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667" w:type="dxa"/>
            <w:noWrap w:val="0"/>
            <w:vAlign w:val="center"/>
          </w:tcPr>
          <w:p w14:paraId="2278EFE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CE39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18F320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center"/>
          </w:tcPr>
          <w:p w14:paraId="43CB7C2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50" w:type="dxa"/>
            <w:noWrap w:val="0"/>
            <w:vAlign w:val="center"/>
          </w:tcPr>
          <w:p w14:paraId="4B8DE28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43" w:type="dxa"/>
            <w:noWrap w:val="0"/>
            <w:vAlign w:val="center"/>
          </w:tcPr>
          <w:p w14:paraId="5DE0F88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50" w:type="dxa"/>
            <w:noWrap w:val="0"/>
            <w:vAlign w:val="center"/>
          </w:tcPr>
          <w:p w14:paraId="7AF2609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667" w:type="dxa"/>
            <w:noWrap w:val="0"/>
            <w:vAlign w:val="center"/>
          </w:tcPr>
          <w:p w14:paraId="0AC29B2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4E790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EC4A68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center"/>
          </w:tcPr>
          <w:p w14:paraId="6F4A843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50" w:type="dxa"/>
            <w:noWrap w:val="0"/>
            <w:vAlign w:val="center"/>
          </w:tcPr>
          <w:p w14:paraId="2183674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43" w:type="dxa"/>
            <w:noWrap w:val="0"/>
            <w:vAlign w:val="center"/>
          </w:tcPr>
          <w:p w14:paraId="5127D3A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50" w:type="dxa"/>
            <w:noWrap w:val="0"/>
            <w:vAlign w:val="center"/>
          </w:tcPr>
          <w:p w14:paraId="499D2C0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667" w:type="dxa"/>
            <w:noWrap w:val="0"/>
            <w:vAlign w:val="center"/>
          </w:tcPr>
          <w:p w14:paraId="64404D5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450F3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6F0788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center"/>
          </w:tcPr>
          <w:p w14:paraId="6F2CEC9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50" w:type="dxa"/>
            <w:noWrap w:val="0"/>
            <w:vAlign w:val="center"/>
          </w:tcPr>
          <w:p w14:paraId="7AC2FB7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43" w:type="dxa"/>
            <w:noWrap w:val="0"/>
            <w:vAlign w:val="center"/>
          </w:tcPr>
          <w:p w14:paraId="584795F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50" w:type="dxa"/>
            <w:noWrap w:val="0"/>
            <w:vAlign w:val="center"/>
          </w:tcPr>
          <w:p w14:paraId="050D54E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667" w:type="dxa"/>
            <w:noWrap w:val="0"/>
            <w:vAlign w:val="center"/>
          </w:tcPr>
          <w:p w14:paraId="78EFC30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D8E4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9530AD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center"/>
          </w:tcPr>
          <w:p w14:paraId="7BD5924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50" w:type="dxa"/>
            <w:noWrap w:val="0"/>
            <w:vAlign w:val="center"/>
          </w:tcPr>
          <w:p w14:paraId="6582336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43" w:type="dxa"/>
            <w:noWrap w:val="0"/>
            <w:vAlign w:val="center"/>
          </w:tcPr>
          <w:p w14:paraId="21F45D6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50" w:type="dxa"/>
            <w:noWrap w:val="0"/>
            <w:vAlign w:val="center"/>
          </w:tcPr>
          <w:p w14:paraId="10D8DB6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667" w:type="dxa"/>
            <w:noWrap w:val="0"/>
            <w:vAlign w:val="center"/>
          </w:tcPr>
          <w:p w14:paraId="7E5DF6E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1858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BA9AC8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center"/>
          </w:tcPr>
          <w:p w14:paraId="47C70C0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50" w:type="dxa"/>
            <w:noWrap w:val="0"/>
            <w:vAlign w:val="center"/>
          </w:tcPr>
          <w:p w14:paraId="6336C92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43" w:type="dxa"/>
            <w:noWrap w:val="0"/>
            <w:vAlign w:val="center"/>
          </w:tcPr>
          <w:p w14:paraId="61B5CAD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50" w:type="dxa"/>
            <w:noWrap w:val="0"/>
            <w:vAlign w:val="center"/>
          </w:tcPr>
          <w:p w14:paraId="59CCCE2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667" w:type="dxa"/>
            <w:noWrap w:val="0"/>
            <w:vAlign w:val="center"/>
          </w:tcPr>
          <w:p w14:paraId="3672ECB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8AB8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C5DCC4D">
            <w:pPr>
              <w:rPr>
                <w:rFonts w:hint="eastAsia" w:asciiTheme="minorEastAsia" w:hAnsiTheme="minorEastAsia" w:eastAsiaTheme="minorEastAsia" w:cstheme="minorEastAsia"/>
                <w:color w:val="000000"/>
                <w:sz w:val="24"/>
                <w:szCs w:val="24"/>
              </w:rPr>
            </w:pPr>
          </w:p>
        </w:tc>
        <w:tc>
          <w:tcPr>
            <w:tcW w:w="1276" w:type="dxa"/>
            <w:noWrap w:val="0"/>
            <w:vAlign w:val="top"/>
          </w:tcPr>
          <w:p w14:paraId="30A18B14">
            <w:pPr>
              <w:rPr>
                <w:rFonts w:hint="eastAsia" w:asciiTheme="minorEastAsia" w:hAnsiTheme="minorEastAsia" w:eastAsiaTheme="minorEastAsia" w:cstheme="minorEastAsia"/>
                <w:color w:val="000000"/>
                <w:sz w:val="24"/>
                <w:szCs w:val="24"/>
              </w:rPr>
            </w:pPr>
          </w:p>
        </w:tc>
        <w:tc>
          <w:tcPr>
            <w:tcW w:w="1450" w:type="dxa"/>
            <w:noWrap w:val="0"/>
            <w:vAlign w:val="top"/>
          </w:tcPr>
          <w:p w14:paraId="709E2532">
            <w:pPr>
              <w:rPr>
                <w:rFonts w:hint="eastAsia" w:asciiTheme="minorEastAsia" w:hAnsiTheme="minorEastAsia" w:eastAsiaTheme="minorEastAsia" w:cstheme="minorEastAsia"/>
                <w:color w:val="000000"/>
                <w:sz w:val="24"/>
                <w:szCs w:val="24"/>
              </w:rPr>
            </w:pPr>
          </w:p>
        </w:tc>
        <w:tc>
          <w:tcPr>
            <w:tcW w:w="1243" w:type="dxa"/>
            <w:noWrap w:val="0"/>
            <w:vAlign w:val="top"/>
          </w:tcPr>
          <w:p w14:paraId="4B6704FD">
            <w:pPr>
              <w:rPr>
                <w:rFonts w:hint="eastAsia" w:asciiTheme="minorEastAsia" w:hAnsiTheme="minorEastAsia" w:eastAsiaTheme="minorEastAsia" w:cstheme="minorEastAsia"/>
                <w:color w:val="000000"/>
                <w:sz w:val="24"/>
                <w:szCs w:val="24"/>
              </w:rPr>
            </w:pPr>
          </w:p>
        </w:tc>
        <w:tc>
          <w:tcPr>
            <w:tcW w:w="1450" w:type="dxa"/>
            <w:noWrap w:val="0"/>
            <w:vAlign w:val="top"/>
          </w:tcPr>
          <w:p w14:paraId="6C34B749">
            <w:pPr>
              <w:rPr>
                <w:rFonts w:hint="eastAsia" w:asciiTheme="minorEastAsia" w:hAnsiTheme="minorEastAsia" w:eastAsiaTheme="minorEastAsia" w:cstheme="minorEastAsia"/>
                <w:color w:val="000000"/>
                <w:sz w:val="24"/>
                <w:szCs w:val="24"/>
              </w:rPr>
            </w:pPr>
          </w:p>
        </w:tc>
        <w:tc>
          <w:tcPr>
            <w:tcW w:w="1667" w:type="dxa"/>
            <w:noWrap w:val="0"/>
            <w:vAlign w:val="top"/>
          </w:tcPr>
          <w:p w14:paraId="5E9017D9">
            <w:pPr>
              <w:rPr>
                <w:rFonts w:hint="eastAsia" w:asciiTheme="minorEastAsia" w:hAnsiTheme="minorEastAsia" w:eastAsiaTheme="minorEastAsia" w:cstheme="minorEastAsia"/>
                <w:color w:val="000000"/>
                <w:sz w:val="24"/>
                <w:szCs w:val="24"/>
              </w:rPr>
            </w:pPr>
          </w:p>
        </w:tc>
      </w:tr>
      <w:tr w14:paraId="31FBE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CA6A94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center"/>
          </w:tcPr>
          <w:p w14:paraId="3AEEF1D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50" w:type="dxa"/>
            <w:noWrap w:val="0"/>
            <w:vAlign w:val="center"/>
          </w:tcPr>
          <w:p w14:paraId="7B0B074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43" w:type="dxa"/>
            <w:noWrap w:val="0"/>
            <w:vAlign w:val="center"/>
          </w:tcPr>
          <w:p w14:paraId="447C251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50" w:type="dxa"/>
            <w:noWrap w:val="0"/>
            <w:vAlign w:val="center"/>
          </w:tcPr>
          <w:p w14:paraId="557BACE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667" w:type="dxa"/>
            <w:noWrap w:val="0"/>
            <w:vAlign w:val="center"/>
          </w:tcPr>
          <w:p w14:paraId="31B8805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2372B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A9A474C">
            <w:pPr>
              <w:rPr>
                <w:rFonts w:hint="eastAsia" w:asciiTheme="minorEastAsia" w:hAnsiTheme="minorEastAsia" w:eastAsiaTheme="minorEastAsia" w:cstheme="minorEastAsia"/>
                <w:color w:val="000000"/>
                <w:sz w:val="24"/>
                <w:szCs w:val="24"/>
              </w:rPr>
            </w:pPr>
          </w:p>
        </w:tc>
        <w:tc>
          <w:tcPr>
            <w:tcW w:w="1276" w:type="dxa"/>
            <w:noWrap w:val="0"/>
            <w:vAlign w:val="top"/>
          </w:tcPr>
          <w:p w14:paraId="52A72933">
            <w:pPr>
              <w:rPr>
                <w:rFonts w:hint="eastAsia" w:asciiTheme="minorEastAsia" w:hAnsiTheme="minorEastAsia" w:eastAsiaTheme="minorEastAsia" w:cstheme="minorEastAsia"/>
                <w:color w:val="000000"/>
                <w:sz w:val="24"/>
                <w:szCs w:val="24"/>
              </w:rPr>
            </w:pPr>
          </w:p>
        </w:tc>
        <w:tc>
          <w:tcPr>
            <w:tcW w:w="1450" w:type="dxa"/>
            <w:noWrap w:val="0"/>
            <w:vAlign w:val="top"/>
          </w:tcPr>
          <w:p w14:paraId="3E21747B">
            <w:pPr>
              <w:rPr>
                <w:rFonts w:hint="eastAsia" w:asciiTheme="minorEastAsia" w:hAnsiTheme="minorEastAsia" w:eastAsiaTheme="minorEastAsia" w:cstheme="minorEastAsia"/>
                <w:color w:val="000000"/>
                <w:sz w:val="24"/>
                <w:szCs w:val="24"/>
              </w:rPr>
            </w:pPr>
          </w:p>
        </w:tc>
        <w:tc>
          <w:tcPr>
            <w:tcW w:w="1243" w:type="dxa"/>
            <w:noWrap w:val="0"/>
            <w:vAlign w:val="top"/>
          </w:tcPr>
          <w:p w14:paraId="10AE9E68">
            <w:pPr>
              <w:rPr>
                <w:rFonts w:hint="eastAsia" w:asciiTheme="minorEastAsia" w:hAnsiTheme="minorEastAsia" w:eastAsiaTheme="minorEastAsia" w:cstheme="minorEastAsia"/>
                <w:color w:val="000000"/>
                <w:sz w:val="24"/>
                <w:szCs w:val="24"/>
              </w:rPr>
            </w:pPr>
          </w:p>
        </w:tc>
        <w:tc>
          <w:tcPr>
            <w:tcW w:w="1450" w:type="dxa"/>
            <w:noWrap w:val="0"/>
            <w:vAlign w:val="top"/>
          </w:tcPr>
          <w:p w14:paraId="070666D1">
            <w:pPr>
              <w:rPr>
                <w:rFonts w:hint="eastAsia" w:asciiTheme="minorEastAsia" w:hAnsiTheme="minorEastAsia" w:eastAsiaTheme="minorEastAsia" w:cstheme="minorEastAsia"/>
                <w:color w:val="000000"/>
                <w:sz w:val="24"/>
                <w:szCs w:val="24"/>
              </w:rPr>
            </w:pPr>
          </w:p>
        </w:tc>
        <w:tc>
          <w:tcPr>
            <w:tcW w:w="1667" w:type="dxa"/>
            <w:noWrap w:val="0"/>
            <w:vAlign w:val="top"/>
          </w:tcPr>
          <w:p w14:paraId="23C5A006">
            <w:pPr>
              <w:rPr>
                <w:rFonts w:hint="eastAsia" w:asciiTheme="minorEastAsia" w:hAnsiTheme="minorEastAsia" w:eastAsiaTheme="minorEastAsia" w:cstheme="minorEastAsia"/>
                <w:color w:val="000000"/>
                <w:sz w:val="24"/>
                <w:szCs w:val="24"/>
              </w:rPr>
            </w:pPr>
          </w:p>
        </w:tc>
      </w:tr>
      <w:tr w14:paraId="47B2C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3E1D858">
            <w:pPr>
              <w:rPr>
                <w:rFonts w:hint="eastAsia" w:asciiTheme="minorEastAsia" w:hAnsiTheme="minorEastAsia" w:eastAsiaTheme="minorEastAsia" w:cstheme="minorEastAsia"/>
                <w:color w:val="000000"/>
                <w:sz w:val="24"/>
                <w:szCs w:val="24"/>
              </w:rPr>
            </w:pPr>
          </w:p>
        </w:tc>
        <w:tc>
          <w:tcPr>
            <w:tcW w:w="1276" w:type="dxa"/>
            <w:noWrap w:val="0"/>
            <w:vAlign w:val="top"/>
          </w:tcPr>
          <w:p w14:paraId="0D1F71BA">
            <w:pPr>
              <w:rPr>
                <w:rFonts w:hint="eastAsia" w:asciiTheme="minorEastAsia" w:hAnsiTheme="minorEastAsia" w:eastAsiaTheme="minorEastAsia" w:cstheme="minorEastAsia"/>
                <w:color w:val="000000"/>
                <w:sz w:val="24"/>
                <w:szCs w:val="24"/>
              </w:rPr>
            </w:pPr>
          </w:p>
        </w:tc>
        <w:tc>
          <w:tcPr>
            <w:tcW w:w="1450" w:type="dxa"/>
            <w:noWrap w:val="0"/>
            <w:vAlign w:val="top"/>
          </w:tcPr>
          <w:p w14:paraId="2B6A5319">
            <w:pPr>
              <w:rPr>
                <w:rFonts w:hint="eastAsia" w:asciiTheme="minorEastAsia" w:hAnsiTheme="minorEastAsia" w:eastAsiaTheme="minorEastAsia" w:cstheme="minorEastAsia"/>
                <w:color w:val="000000"/>
                <w:sz w:val="24"/>
                <w:szCs w:val="24"/>
              </w:rPr>
            </w:pPr>
          </w:p>
        </w:tc>
        <w:tc>
          <w:tcPr>
            <w:tcW w:w="1243" w:type="dxa"/>
            <w:noWrap w:val="0"/>
            <w:vAlign w:val="top"/>
          </w:tcPr>
          <w:p w14:paraId="53EBFA4F">
            <w:pPr>
              <w:rPr>
                <w:rFonts w:hint="eastAsia" w:asciiTheme="minorEastAsia" w:hAnsiTheme="minorEastAsia" w:eastAsiaTheme="minorEastAsia" w:cstheme="minorEastAsia"/>
                <w:color w:val="000000"/>
                <w:sz w:val="24"/>
                <w:szCs w:val="24"/>
              </w:rPr>
            </w:pPr>
          </w:p>
        </w:tc>
        <w:tc>
          <w:tcPr>
            <w:tcW w:w="1450" w:type="dxa"/>
            <w:noWrap w:val="0"/>
            <w:vAlign w:val="top"/>
          </w:tcPr>
          <w:p w14:paraId="0C483BB8">
            <w:pPr>
              <w:rPr>
                <w:rFonts w:hint="eastAsia" w:asciiTheme="minorEastAsia" w:hAnsiTheme="minorEastAsia" w:eastAsiaTheme="minorEastAsia" w:cstheme="minorEastAsia"/>
                <w:color w:val="000000"/>
                <w:sz w:val="24"/>
                <w:szCs w:val="24"/>
              </w:rPr>
            </w:pPr>
          </w:p>
        </w:tc>
        <w:tc>
          <w:tcPr>
            <w:tcW w:w="1667" w:type="dxa"/>
            <w:noWrap w:val="0"/>
            <w:vAlign w:val="top"/>
          </w:tcPr>
          <w:p w14:paraId="335D1DF0">
            <w:pPr>
              <w:rPr>
                <w:rFonts w:hint="eastAsia" w:asciiTheme="minorEastAsia" w:hAnsiTheme="minorEastAsia" w:eastAsiaTheme="minorEastAsia" w:cstheme="minorEastAsia"/>
                <w:color w:val="000000"/>
                <w:sz w:val="24"/>
                <w:szCs w:val="24"/>
              </w:rPr>
            </w:pPr>
          </w:p>
        </w:tc>
      </w:tr>
      <w:tr w14:paraId="2646C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B26B413">
            <w:pPr>
              <w:rPr>
                <w:rFonts w:hint="eastAsia" w:asciiTheme="minorEastAsia" w:hAnsiTheme="minorEastAsia" w:eastAsiaTheme="minorEastAsia" w:cstheme="minorEastAsia"/>
                <w:color w:val="000000"/>
                <w:sz w:val="24"/>
                <w:szCs w:val="24"/>
              </w:rPr>
            </w:pPr>
          </w:p>
        </w:tc>
        <w:tc>
          <w:tcPr>
            <w:tcW w:w="1276" w:type="dxa"/>
            <w:noWrap w:val="0"/>
            <w:vAlign w:val="top"/>
          </w:tcPr>
          <w:p w14:paraId="3331396E">
            <w:pPr>
              <w:rPr>
                <w:rFonts w:hint="eastAsia" w:asciiTheme="minorEastAsia" w:hAnsiTheme="minorEastAsia" w:eastAsiaTheme="minorEastAsia" w:cstheme="minorEastAsia"/>
                <w:color w:val="000000"/>
                <w:sz w:val="24"/>
                <w:szCs w:val="24"/>
              </w:rPr>
            </w:pPr>
          </w:p>
        </w:tc>
        <w:tc>
          <w:tcPr>
            <w:tcW w:w="1450" w:type="dxa"/>
            <w:noWrap w:val="0"/>
            <w:vAlign w:val="top"/>
          </w:tcPr>
          <w:p w14:paraId="1353E087">
            <w:pPr>
              <w:rPr>
                <w:rFonts w:hint="eastAsia" w:asciiTheme="minorEastAsia" w:hAnsiTheme="minorEastAsia" w:eastAsiaTheme="minorEastAsia" w:cstheme="minorEastAsia"/>
                <w:color w:val="000000"/>
                <w:sz w:val="24"/>
                <w:szCs w:val="24"/>
              </w:rPr>
            </w:pPr>
          </w:p>
        </w:tc>
        <w:tc>
          <w:tcPr>
            <w:tcW w:w="1243" w:type="dxa"/>
            <w:noWrap w:val="0"/>
            <w:vAlign w:val="top"/>
          </w:tcPr>
          <w:p w14:paraId="1E5649E2">
            <w:pPr>
              <w:rPr>
                <w:rFonts w:hint="eastAsia" w:asciiTheme="minorEastAsia" w:hAnsiTheme="minorEastAsia" w:eastAsiaTheme="minorEastAsia" w:cstheme="minorEastAsia"/>
                <w:color w:val="000000"/>
                <w:sz w:val="24"/>
                <w:szCs w:val="24"/>
              </w:rPr>
            </w:pPr>
          </w:p>
        </w:tc>
        <w:tc>
          <w:tcPr>
            <w:tcW w:w="1450" w:type="dxa"/>
            <w:noWrap w:val="0"/>
            <w:vAlign w:val="top"/>
          </w:tcPr>
          <w:p w14:paraId="3F8DFC81">
            <w:pPr>
              <w:rPr>
                <w:rFonts w:hint="eastAsia" w:asciiTheme="minorEastAsia" w:hAnsiTheme="minorEastAsia" w:eastAsiaTheme="minorEastAsia" w:cstheme="minorEastAsia"/>
                <w:color w:val="000000"/>
                <w:sz w:val="24"/>
                <w:szCs w:val="24"/>
              </w:rPr>
            </w:pPr>
          </w:p>
        </w:tc>
        <w:tc>
          <w:tcPr>
            <w:tcW w:w="1667" w:type="dxa"/>
            <w:noWrap w:val="0"/>
            <w:vAlign w:val="top"/>
          </w:tcPr>
          <w:p w14:paraId="0357B913">
            <w:pPr>
              <w:rPr>
                <w:rFonts w:hint="eastAsia" w:asciiTheme="minorEastAsia" w:hAnsiTheme="minorEastAsia" w:eastAsiaTheme="minorEastAsia" w:cstheme="minorEastAsia"/>
                <w:color w:val="000000"/>
                <w:sz w:val="24"/>
                <w:szCs w:val="24"/>
              </w:rPr>
            </w:pPr>
          </w:p>
        </w:tc>
      </w:tr>
      <w:tr w14:paraId="656C32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20F5258">
            <w:pPr>
              <w:rPr>
                <w:rFonts w:hint="eastAsia" w:asciiTheme="minorEastAsia" w:hAnsiTheme="minorEastAsia" w:eastAsiaTheme="minorEastAsia" w:cstheme="minorEastAsia"/>
                <w:color w:val="000000"/>
                <w:sz w:val="24"/>
                <w:szCs w:val="24"/>
              </w:rPr>
            </w:pPr>
          </w:p>
        </w:tc>
        <w:tc>
          <w:tcPr>
            <w:tcW w:w="1276" w:type="dxa"/>
            <w:noWrap w:val="0"/>
            <w:vAlign w:val="top"/>
          </w:tcPr>
          <w:p w14:paraId="3CC625FE">
            <w:pPr>
              <w:rPr>
                <w:rFonts w:hint="eastAsia" w:asciiTheme="minorEastAsia" w:hAnsiTheme="minorEastAsia" w:eastAsiaTheme="minorEastAsia" w:cstheme="minorEastAsia"/>
                <w:color w:val="000000"/>
                <w:sz w:val="24"/>
                <w:szCs w:val="24"/>
              </w:rPr>
            </w:pPr>
          </w:p>
        </w:tc>
        <w:tc>
          <w:tcPr>
            <w:tcW w:w="1450" w:type="dxa"/>
            <w:noWrap w:val="0"/>
            <w:vAlign w:val="top"/>
          </w:tcPr>
          <w:p w14:paraId="02E1B256">
            <w:pPr>
              <w:rPr>
                <w:rFonts w:hint="eastAsia" w:asciiTheme="minorEastAsia" w:hAnsiTheme="minorEastAsia" w:eastAsiaTheme="minorEastAsia" w:cstheme="minorEastAsia"/>
                <w:color w:val="000000"/>
                <w:sz w:val="24"/>
                <w:szCs w:val="24"/>
              </w:rPr>
            </w:pPr>
          </w:p>
        </w:tc>
        <w:tc>
          <w:tcPr>
            <w:tcW w:w="1243" w:type="dxa"/>
            <w:noWrap w:val="0"/>
            <w:vAlign w:val="top"/>
          </w:tcPr>
          <w:p w14:paraId="52B426BD">
            <w:pPr>
              <w:rPr>
                <w:rFonts w:hint="eastAsia" w:asciiTheme="minorEastAsia" w:hAnsiTheme="minorEastAsia" w:eastAsiaTheme="minorEastAsia" w:cstheme="minorEastAsia"/>
                <w:color w:val="000000"/>
                <w:sz w:val="24"/>
                <w:szCs w:val="24"/>
              </w:rPr>
            </w:pPr>
          </w:p>
        </w:tc>
        <w:tc>
          <w:tcPr>
            <w:tcW w:w="1450" w:type="dxa"/>
            <w:noWrap w:val="0"/>
            <w:vAlign w:val="top"/>
          </w:tcPr>
          <w:p w14:paraId="32E51C18">
            <w:pPr>
              <w:rPr>
                <w:rFonts w:hint="eastAsia" w:asciiTheme="minorEastAsia" w:hAnsiTheme="minorEastAsia" w:eastAsiaTheme="minorEastAsia" w:cstheme="minorEastAsia"/>
                <w:color w:val="000000"/>
                <w:sz w:val="24"/>
                <w:szCs w:val="24"/>
              </w:rPr>
            </w:pPr>
          </w:p>
        </w:tc>
        <w:tc>
          <w:tcPr>
            <w:tcW w:w="1667" w:type="dxa"/>
            <w:noWrap w:val="0"/>
            <w:vAlign w:val="top"/>
          </w:tcPr>
          <w:p w14:paraId="7823366B">
            <w:pPr>
              <w:rPr>
                <w:rFonts w:hint="eastAsia" w:asciiTheme="minorEastAsia" w:hAnsiTheme="minorEastAsia" w:eastAsiaTheme="minorEastAsia" w:cstheme="minorEastAsia"/>
                <w:color w:val="000000"/>
                <w:sz w:val="24"/>
                <w:szCs w:val="24"/>
              </w:rPr>
            </w:pPr>
          </w:p>
        </w:tc>
      </w:tr>
      <w:tr w14:paraId="5C221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D32D5C5">
            <w:pPr>
              <w:rPr>
                <w:rFonts w:hint="eastAsia" w:asciiTheme="minorEastAsia" w:hAnsiTheme="minorEastAsia" w:eastAsiaTheme="minorEastAsia" w:cstheme="minorEastAsia"/>
                <w:color w:val="000000"/>
                <w:sz w:val="24"/>
                <w:szCs w:val="24"/>
              </w:rPr>
            </w:pPr>
          </w:p>
        </w:tc>
        <w:tc>
          <w:tcPr>
            <w:tcW w:w="1276" w:type="dxa"/>
            <w:noWrap w:val="0"/>
            <w:vAlign w:val="top"/>
          </w:tcPr>
          <w:p w14:paraId="7837A26E">
            <w:pPr>
              <w:rPr>
                <w:rFonts w:hint="eastAsia" w:asciiTheme="minorEastAsia" w:hAnsiTheme="minorEastAsia" w:eastAsiaTheme="minorEastAsia" w:cstheme="minorEastAsia"/>
                <w:color w:val="000000"/>
                <w:sz w:val="24"/>
                <w:szCs w:val="24"/>
              </w:rPr>
            </w:pPr>
          </w:p>
        </w:tc>
        <w:tc>
          <w:tcPr>
            <w:tcW w:w="1450" w:type="dxa"/>
            <w:noWrap w:val="0"/>
            <w:vAlign w:val="top"/>
          </w:tcPr>
          <w:p w14:paraId="483C152E">
            <w:pPr>
              <w:rPr>
                <w:rFonts w:hint="eastAsia" w:asciiTheme="minorEastAsia" w:hAnsiTheme="minorEastAsia" w:eastAsiaTheme="minorEastAsia" w:cstheme="minorEastAsia"/>
                <w:color w:val="000000"/>
                <w:sz w:val="24"/>
                <w:szCs w:val="24"/>
              </w:rPr>
            </w:pPr>
          </w:p>
        </w:tc>
        <w:tc>
          <w:tcPr>
            <w:tcW w:w="1243" w:type="dxa"/>
            <w:noWrap w:val="0"/>
            <w:vAlign w:val="top"/>
          </w:tcPr>
          <w:p w14:paraId="4933082A">
            <w:pPr>
              <w:rPr>
                <w:rFonts w:hint="eastAsia" w:asciiTheme="minorEastAsia" w:hAnsiTheme="minorEastAsia" w:eastAsiaTheme="minorEastAsia" w:cstheme="minorEastAsia"/>
                <w:color w:val="000000"/>
                <w:sz w:val="24"/>
                <w:szCs w:val="24"/>
              </w:rPr>
            </w:pPr>
          </w:p>
        </w:tc>
        <w:tc>
          <w:tcPr>
            <w:tcW w:w="1450" w:type="dxa"/>
            <w:noWrap w:val="0"/>
            <w:vAlign w:val="top"/>
          </w:tcPr>
          <w:p w14:paraId="2234E21F">
            <w:pPr>
              <w:rPr>
                <w:rFonts w:hint="eastAsia" w:asciiTheme="minorEastAsia" w:hAnsiTheme="minorEastAsia" w:eastAsiaTheme="minorEastAsia" w:cstheme="minorEastAsia"/>
                <w:color w:val="000000"/>
                <w:sz w:val="24"/>
                <w:szCs w:val="24"/>
              </w:rPr>
            </w:pPr>
          </w:p>
        </w:tc>
        <w:tc>
          <w:tcPr>
            <w:tcW w:w="1667" w:type="dxa"/>
            <w:noWrap w:val="0"/>
            <w:vAlign w:val="top"/>
          </w:tcPr>
          <w:p w14:paraId="58829F72">
            <w:pPr>
              <w:rPr>
                <w:rFonts w:hint="eastAsia" w:asciiTheme="minorEastAsia" w:hAnsiTheme="minorEastAsia" w:eastAsiaTheme="minorEastAsia" w:cstheme="minorEastAsia"/>
                <w:color w:val="000000"/>
                <w:sz w:val="24"/>
                <w:szCs w:val="24"/>
              </w:rPr>
            </w:pPr>
          </w:p>
        </w:tc>
      </w:tr>
      <w:tr w14:paraId="6324F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712E0FE">
            <w:pPr>
              <w:rPr>
                <w:rFonts w:hint="eastAsia" w:asciiTheme="minorEastAsia" w:hAnsiTheme="minorEastAsia" w:eastAsiaTheme="minorEastAsia" w:cstheme="minorEastAsia"/>
                <w:color w:val="000000"/>
                <w:sz w:val="24"/>
                <w:szCs w:val="24"/>
              </w:rPr>
            </w:pPr>
          </w:p>
        </w:tc>
        <w:tc>
          <w:tcPr>
            <w:tcW w:w="1276" w:type="dxa"/>
            <w:noWrap w:val="0"/>
            <w:vAlign w:val="top"/>
          </w:tcPr>
          <w:p w14:paraId="27D4E503">
            <w:pPr>
              <w:rPr>
                <w:rFonts w:hint="eastAsia" w:asciiTheme="minorEastAsia" w:hAnsiTheme="minorEastAsia" w:eastAsiaTheme="minorEastAsia" w:cstheme="minorEastAsia"/>
                <w:color w:val="000000"/>
                <w:sz w:val="24"/>
                <w:szCs w:val="24"/>
              </w:rPr>
            </w:pPr>
          </w:p>
        </w:tc>
        <w:tc>
          <w:tcPr>
            <w:tcW w:w="1450" w:type="dxa"/>
            <w:noWrap w:val="0"/>
            <w:vAlign w:val="top"/>
          </w:tcPr>
          <w:p w14:paraId="741FFCDB">
            <w:pPr>
              <w:rPr>
                <w:rFonts w:hint="eastAsia" w:asciiTheme="minorEastAsia" w:hAnsiTheme="minorEastAsia" w:eastAsiaTheme="minorEastAsia" w:cstheme="minorEastAsia"/>
                <w:color w:val="000000"/>
                <w:sz w:val="24"/>
                <w:szCs w:val="24"/>
              </w:rPr>
            </w:pPr>
          </w:p>
        </w:tc>
        <w:tc>
          <w:tcPr>
            <w:tcW w:w="1243" w:type="dxa"/>
            <w:noWrap w:val="0"/>
            <w:vAlign w:val="top"/>
          </w:tcPr>
          <w:p w14:paraId="6A6C95C0">
            <w:pPr>
              <w:rPr>
                <w:rFonts w:hint="eastAsia" w:asciiTheme="minorEastAsia" w:hAnsiTheme="minorEastAsia" w:eastAsiaTheme="minorEastAsia" w:cstheme="minorEastAsia"/>
                <w:color w:val="000000"/>
                <w:sz w:val="24"/>
                <w:szCs w:val="24"/>
              </w:rPr>
            </w:pPr>
          </w:p>
        </w:tc>
        <w:tc>
          <w:tcPr>
            <w:tcW w:w="1450" w:type="dxa"/>
            <w:noWrap w:val="0"/>
            <w:vAlign w:val="top"/>
          </w:tcPr>
          <w:p w14:paraId="4881D20E">
            <w:pPr>
              <w:rPr>
                <w:rFonts w:hint="eastAsia" w:asciiTheme="minorEastAsia" w:hAnsiTheme="minorEastAsia" w:eastAsiaTheme="minorEastAsia" w:cstheme="minorEastAsia"/>
                <w:color w:val="000000"/>
                <w:sz w:val="24"/>
                <w:szCs w:val="24"/>
              </w:rPr>
            </w:pPr>
          </w:p>
        </w:tc>
        <w:tc>
          <w:tcPr>
            <w:tcW w:w="1667" w:type="dxa"/>
            <w:noWrap w:val="0"/>
            <w:vAlign w:val="top"/>
          </w:tcPr>
          <w:p w14:paraId="1C9B6226">
            <w:pPr>
              <w:rPr>
                <w:rFonts w:hint="eastAsia" w:asciiTheme="minorEastAsia" w:hAnsiTheme="minorEastAsia" w:eastAsiaTheme="minorEastAsia" w:cstheme="minorEastAsia"/>
                <w:color w:val="000000"/>
                <w:sz w:val="24"/>
                <w:szCs w:val="24"/>
              </w:rPr>
            </w:pPr>
          </w:p>
        </w:tc>
      </w:tr>
      <w:tr w14:paraId="22192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8125990">
            <w:pPr>
              <w:rPr>
                <w:rFonts w:hint="eastAsia" w:asciiTheme="minorEastAsia" w:hAnsiTheme="minorEastAsia" w:eastAsiaTheme="minorEastAsia" w:cstheme="minorEastAsia"/>
                <w:color w:val="000000"/>
                <w:sz w:val="24"/>
                <w:szCs w:val="24"/>
              </w:rPr>
            </w:pPr>
          </w:p>
        </w:tc>
        <w:tc>
          <w:tcPr>
            <w:tcW w:w="1276" w:type="dxa"/>
            <w:noWrap w:val="0"/>
            <w:vAlign w:val="top"/>
          </w:tcPr>
          <w:p w14:paraId="5D611B35">
            <w:pPr>
              <w:rPr>
                <w:rFonts w:hint="eastAsia" w:asciiTheme="minorEastAsia" w:hAnsiTheme="minorEastAsia" w:eastAsiaTheme="minorEastAsia" w:cstheme="minorEastAsia"/>
                <w:color w:val="000000"/>
                <w:sz w:val="24"/>
                <w:szCs w:val="24"/>
              </w:rPr>
            </w:pPr>
          </w:p>
        </w:tc>
        <w:tc>
          <w:tcPr>
            <w:tcW w:w="1450" w:type="dxa"/>
            <w:noWrap w:val="0"/>
            <w:vAlign w:val="top"/>
          </w:tcPr>
          <w:p w14:paraId="6CD7F517">
            <w:pPr>
              <w:rPr>
                <w:rFonts w:hint="eastAsia" w:asciiTheme="minorEastAsia" w:hAnsiTheme="minorEastAsia" w:eastAsiaTheme="minorEastAsia" w:cstheme="minorEastAsia"/>
                <w:color w:val="000000"/>
                <w:sz w:val="24"/>
                <w:szCs w:val="24"/>
              </w:rPr>
            </w:pPr>
          </w:p>
        </w:tc>
        <w:tc>
          <w:tcPr>
            <w:tcW w:w="1243" w:type="dxa"/>
            <w:noWrap w:val="0"/>
            <w:vAlign w:val="top"/>
          </w:tcPr>
          <w:p w14:paraId="0D8528CF">
            <w:pPr>
              <w:rPr>
                <w:rFonts w:hint="eastAsia" w:asciiTheme="minorEastAsia" w:hAnsiTheme="minorEastAsia" w:eastAsiaTheme="minorEastAsia" w:cstheme="minorEastAsia"/>
                <w:color w:val="000000"/>
                <w:sz w:val="24"/>
                <w:szCs w:val="24"/>
              </w:rPr>
            </w:pPr>
          </w:p>
        </w:tc>
        <w:tc>
          <w:tcPr>
            <w:tcW w:w="1450" w:type="dxa"/>
            <w:noWrap w:val="0"/>
            <w:vAlign w:val="top"/>
          </w:tcPr>
          <w:p w14:paraId="0DC75EF6">
            <w:pPr>
              <w:rPr>
                <w:rFonts w:hint="eastAsia" w:asciiTheme="minorEastAsia" w:hAnsiTheme="minorEastAsia" w:eastAsiaTheme="minorEastAsia" w:cstheme="minorEastAsia"/>
                <w:color w:val="000000"/>
                <w:sz w:val="24"/>
                <w:szCs w:val="24"/>
              </w:rPr>
            </w:pPr>
          </w:p>
        </w:tc>
        <w:tc>
          <w:tcPr>
            <w:tcW w:w="1667" w:type="dxa"/>
            <w:noWrap w:val="0"/>
            <w:vAlign w:val="top"/>
          </w:tcPr>
          <w:p w14:paraId="2A688FDF">
            <w:pPr>
              <w:rPr>
                <w:rFonts w:hint="eastAsia" w:asciiTheme="minorEastAsia" w:hAnsiTheme="minorEastAsia" w:eastAsiaTheme="minorEastAsia" w:cstheme="minorEastAsia"/>
                <w:color w:val="000000"/>
                <w:sz w:val="24"/>
                <w:szCs w:val="24"/>
              </w:rPr>
            </w:pPr>
          </w:p>
        </w:tc>
      </w:tr>
      <w:tr w14:paraId="5B78E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77933B4">
            <w:pPr>
              <w:rPr>
                <w:rFonts w:hint="eastAsia" w:asciiTheme="minorEastAsia" w:hAnsiTheme="minorEastAsia" w:eastAsiaTheme="minorEastAsia" w:cstheme="minorEastAsia"/>
                <w:color w:val="000000"/>
                <w:sz w:val="24"/>
                <w:szCs w:val="24"/>
              </w:rPr>
            </w:pPr>
          </w:p>
        </w:tc>
        <w:tc>
          <w:tcPr>
            <w:tcW w:w="1276" w:type="dxa"/>
            <w:noWrap w:val="0"/>
            <w:vAlign w:val="top"/>
          </w:tcPr>
          <w:p w14:paraId="5DE3AFCF">
            <w:pPr>
              <w:rPr>
                <w:rFonts w:hint="eastAsia" w:asciiTheme="minorEastAsia" w:hAnsiTheme="minorEastAsia" w:eastAsiaTheme="minorEastAsia" w:cstheme="minorEastAsia"/>
                <w:color w:val="000000"/>
                <w:sz w:val="24"/>
                <w:szCs w:val="24"/>
              </w:rPr>
            </w:pPr>
          </w:p>
        </w:tc>
        <w:tc>
          <w:tcPr>
            <w:tcW w:w="1450" w:type="dxa"/>
            <w:noWrap w:val="0"/>
            <w:vAlign w:val="top"/>
          </w:tcPr>
          <w:p w14:paraId="09BE0D88">
            <w:pPr>
              <w:rPr>
                <w:rFonts w:hint="eastAsia" w:asciiTheme="minorEastAsia" w:hAnsiTheme="minorEastAsia" w:eastAsiaTheme="minorEastAsia" w:cstheme="minorEastAsia"/>
                <w:color w:val="000000"/>
                <w:sz w:val="24"/>
                <w:szCs w:val="24"/>
              </w:rPr>
            </w:pPr>
          </w:p>
        </w:tc>
        <w:tc>
          <w:tcPr>
            <w:tcW w:w="1243" w:type="dxa"/>
            <w:noWrap w:val="0"/>
            <w:vAlign w:val="top"/>
          </w:tcPr>
          <w:p w14:paraId="5FC07A41">
            <w:pPr>
              <w:rPr>
                <w:rFonts w:hint="eastAsia" w:asciiTheme="minorEastAsia" w:hAnsiTheme="minorEastAsia" w:eastAsiaTheme="minorEastAsia" w:cstheme="minorEastAsia"/>
                <w:color w:val="000000"/>
                <w:sz w:val="24"/>
                <w:szCs w:val="24"/>
              </w:rPr>
            </w:pPr>
          </w:p>
        </w:tc>
        <w:tc>
          <w:tcPr>
            <w:tcW w:w="1450" w:type="dxa"/>
            <w:noWrap w:val="0"/>
            <w:vAlign w:val="top"/>
          </w:tcPr>
          <w:p w14:paraId="6C4025A0">
            <w:pPr>
              <w:rPr>
                <w:rFonts w:hint="eastAsia" w:asciiTheme="minorEastAsia" w:hAnsiTheme="minorEastAsia" w:eastAsiaTheme="minorEastAsia" w:cstheme="minorEastAsia"/>
                <w:color w:val="000000"/>
                <w:sz w:val="24"/>
                <w:szCs w:val="24"/>
              </w:rPr>
            </w:pPr>
          </w:p>
        </w:tc>
        <w:tc>
          <w:tcPr>
            <w:tcW w:w="1667" w:type="dxa"/>
            <w:noWrap w:val="0"/>
            <w:vAlign w:val="top"/>
          </w:tcPr>
          <w:p w14:paraId="13CCADE9">
            <w:pPr>
              <w:rPr>
                <w:rFonts w:hint="eastAsia" w:asciiTheme="minorEastAsia" w:hAnsiTheme="minorEastAsia" w:eastAsiaTheme="minorEastAsia" w:cstheme="minorEastAsia"/>
                <w:color w:val="000000"/>
                <w:sz w:val="24"/>
                <w:szCs w:val="24"/>
              </w:rPr>
            </w:pPr>
          </w:p>
        </w:tc>
      </w:tr>
      <w:tr w14:paraId="39661A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C288721">
            <w:pPr>
              <w:rPr>
                <w:rFonts w:hint="eastAsia" w:asciiTheme="minorEastAsia" w:hAnsiTheme="minorEastAsia" w:eastAsiaTheme="minorEastAsia" w:cstheme="minorEastAsia"/>
                <w:color w:val="000000"/>
                <w:sz w:val="24"/>
                <w:szCs w:val="24"/>
              </w:rPr>
            </w:pPr>
          </w:p>
        </w:tc>
        <w:tc>
          <w:tcPr>
            <w:tcW w:w="1276" w:type="dxa"/>
            <w:noWrap w:val="0"/>
            <w:vAlign w:val="top"/>
          </w:tcPr>
          <w:p w14:paraId="59A9F3D3">
            <w:pPr>
              <w:rPr>
                <w:rFonts w:hint="eastAsia" w:asciiTheme="minorEastAsia" w:hAnsiTheme="minorEastAsia" w:eastAsiaTheme="minorEastAsia" w:cstheme="minorEastAsia"/>
                <w:color w:val="000000"/>
                <w:sz w:val="24"/>
                <w:szCs w:val="24"/>
              </w:rPr>
            </w:pPr>
          </w:p>
        </w:tc>
        <w:tc>
          <w:tcPr>
            <w:tcW w:w="1450" w:type="dxa"/>
            <w:noWrap w:val="0"/>
            <w:vAlign w:val="top"/>
          </w:tcPr>
          <w:p w14:paraId="4BAAD2CE">
            <w:pPr>
              <w:rPr>
                <w:rFonts w:hint="eastAsia" w:asciiTheme="minorEastAsia" w:hAnsiTheme="minorEastAsia" w:eastAsiaTheme="minorEastAsia" w:cstheme="minorEastAsia"/>
                <w:color w:val="000000"/>
                <w:sz w:val="24"/>
                <w:szCs w:val="24"/>
              </w:rPr>
            </w:pPr>
          </w:p>
        </w:tc>
        <w:tc>
          <w:tcPr>
            <w:tcW w:w="1243" w:type="dxa"/>
            <w:noWrap w:val="0"/>
            <w:vAlign w:val="top"/>
          </w:tcPr>
          <w:p w14:paraId="6AA0B20C">
            <w:pPr>
              <w:rPr>
                <w:rFonts w:hint="eastAsia" w:asciiTheme="minorEastAsia" w:hAnsiTheme="minorEastAsia" w:eastAsiaTheme="minorEastAsia" w:cstheme="minorEastAsia"/>
                <w:color w:val="000000"/>
                <w:sz w:val="24"/>
                <w:szCs w:val="24"/>
              </w:rPr>
            </w:pPr>
          </w:p>
        </w:tc>
        <w:tc>
          <w:tcPr>
            <w:tcW w:w="1450" w:type="dxa"/>
            <w:noWrap w:val="0"/>
            <w:vAlign w:val="top"/>
          </w:tcPr>
          <w:p w14:paraId="6B27058C">
            <w:pPr>
              <w:rPr>
                <w:rFonts w:hint="eastAsia" w:asciiTheme="minorEastAsia" w:hAnsiTheme="minorEastAsia" w:eastAsiaTheme="minorEastAsia" w:cstheme="minorEastAsia"/>
                <w:color w:val="000000"/>
                <w:sz w:val="24"/>
                <w:szCs w:val="24"/>
              </w:rPr>
            </w:pPr>
          </w:p>
        </w:tc>
        <w:tc>
          <w:tcPr>
            <w:tcW w:w="1667" w:type="dxa"/>
            <w:noWrap w:val="0"/>
            <w:vAlign w:val="top"/>
          </w:tcPr>
          <w:p w14:paraId="0387CFF1">
            <w:pPr>
              <w:rPr>
                <w:rFonts w:hint="eastAsia" w:asciiTheme="minorEastAsia" w:hAnsiTheme="minorEastAsia" w:eastAsiaTheme="minorEastAsia" w:cstheme="minorEastAsia"/>
                <w:color w:val="000000"/>
                <w:sz w:val="24"/>
                <w:szCs w:val="24"/>
              </w:rPr>
            </w:pPr>
          </w:p>
        </w:tc>
      </w:tr>
    </w:tbl>
    <w:p w14:paraId="26872D6E">
      <w:pPr>
        <w:spacing w:line="440" w:lineRule="exact"/>
        <w:rPr>
          <w:rFonts w:hint="eastAsia" w:asciiTheme="minorEastAsia" w:hAnsiTheme="minorEastAsia" w:eastAsiaTheme="minorEastAsia" w:cstheme="minorEastAsia"/>
          <w:color w:val="000000"/>
          <w:sz w:val="24"/>
          <w:szCs w:val="24"/>
        </w:rPr>
      </w:pPr>
    </w:p>
    <w:p w14:paraId="1B4C85C7">
      <w:pPr>
        <w:spacing w:line="44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br w:type="page"/>
      </w:r>
      <w:r>
        <w:rPr>
          <w:rFonts w:hint="eastAsia" w:asciiTheme="minorEastAsia" w:hAnsiTheme="minorEastAsia" w:eastAsiaTheme="minorEastAsia" w:cstheme="minorEastAsia"/>
          <w:color w:val="000000"/>
          <w:sz w:val="24"/>
          <w:szCs w:val="24"/>
        </w:rPr>
        <w:t>附</w:t>
      </w:r>
      <w:bookmarkStart w:id="1390" w:name="_Toc296891267"/>
      <w:bookmarkStart w:id="1391" w:name="_Toc267261698"/>
      <w:bookmarkStart w:id="1392" w:name="_Toc296347226"/>
      <w:bookmarkStart w:id="1393" w:name="_Toc296891055"/>
      <w:bookmarkStart w:id="1394" w:name="_Toc296346728"/>
      <w:bookmarkStart w:id="1395" w:name="_Toc296944566"/>
      <w:bookmarkStart w:id="1396" w:name="_Toc296503227"/>
      <w:r>
        <w:rPr>
          <w:rFonts w:hint="eastAsia" w:asciiTheme="minorEastAsia" w:hAnsiTheme="minorEastAsia" w:eastAsiaTheme="minorEastAsia" w:cstheme="minorEastAsia"/>
          <w:color w:val="000000"/>
          <w:sz w:val="24"/>
          <w:szCs w:val="24"/>
        </w:rPr>
        <w:t>件5：</w:t>
      </w:r>
    </w:p>
    <w:bookmarkEnd w:id="1390"/>
    <w:bookmarkEnd w:id="1391"/>
    <w:bookmarkEnd w:id="1392"/>
    <w:bookmarkEnd w:id="1393"/>
    <w:bookmarkEnd w:id="1394"/>
    <w:bookmarkEnd w:id="1395"/>
    <w:bookmarkEnd w:id="1396"/>
    <w:p w14:paraId="14398FC8">
      <w:pPr>
        <w:spacing w:before="156" w:beforeLines="50" w:after="156" w:afterLines="50" w:line="4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承包人用于本工程施工的机械设备表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1ACBA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5B0FC8D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序号</w:t>
            </w:r>
          </w:p>
        </w:tc>
        <w:tc>
          <w:tcPr>
            <w:tcW w:w="1418" w:type="dxa"/>
            <w:tcBorders>
              <w:top w:val="single" w:color="auto" w:sz="12" w:space="0"/>
              <w:bottom w:val="double" w:color="auto" w:sz="6" w:space="0"/>
            </w:tcBorders>
            <w:noWrap w:val="0"/>
            <w:vAlign w:val="center"/>
          </w:tcPr>
          <w:p w14:paraId="35E0085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机械或设备名称</w:t>
            </w:r>
          </w:p>
        </w:tc>
        <w:tc>
          <w:tcPr>
            <w:tcW w:w="850" w:type="dxa"/>
            <w:tcBorders>
              <w:top w:val="single" w:color="auto" w:sz="12" w:space="0"/>
              <w:bottom w:val="double" w:color="auto" w:sz="6" w:space="0"/>
            </w:tcBorders>
            <w:noWrap w:val="0"/>
            <w:vAlign w:val="center"/>
          </w:tcPr>
          <w:p w14:paraId="2AA7205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规格型号</w:t>
            </w:r>
          </w:p>
        </w:tc>
        <w:tc>
          <w:tcPr>
            <w:tcW w:w="1058" w:type="dxa"/>
            <w:tcBorders>
              <w:top w:val="single" w:color="auto" w:sz="12" w:space="0"/>
              <w:bottom w:val="double" w:color="auto" w:sz="6" w:space="0"/>
            </w:tcBorders>
            <w:noWrap w:val="0"/>
            <w:vAlign w:val="center"/>
          </w:tcPr>
          <w:p w14:paraId="434CB5A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数量</w:t>
            </w:r>
          </w:p>
        </w:tc>
        <w:tc>
          <w:tcPr>
            <w:tcW w:w="880" w:type="dxa"/>
            <w:tcBorders>
              <w:top w:val="single" w:color="auto" w:sz="12" w:space="0"/>
              <w:bottom w:val="double" w:color="auto" w:sz="6" w:space="0"/>
            </w:tcBorders>
            <w:noWrap w:val="0"/>
            <w:vAlign w:val="center"/>
          </w:tcPr>
          <w:p w14:paraId="3A2D8AA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产地</w:t>
            </w:r>
          </w:p>
        </w:tc>
        <w:tc>
          <w:tcPr>
            <w:tcW w:w="1020" w:type="dxa"/>
            <w:tcBorders>
              <w:top w:val="single" w:color="auto" w:sz="12" w:space="0"/>
              <w:bottom w:val="double" w:color="auto" w:sz="6" w:space="0"/>
            </w:tcBorders>
            <w:noWrap w:val="0"/>
            <w:vAlign w:val="center"/>
          </w:tcPr>
          <w:p w14:paraId="47FB928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制造年份</w:t>
            </w:r>
          </w:p>
        </w:tc>
        <w:tc>
          <w:tcPr>
            <w:tcW w:w="1480" w:type="dxa"/>
            <w:tcBorders>
              <w:top w:val="single" w:color="auto" w:sz="12" w:space="0"/>
              <w:bottom w:val="double" w:color="auto" w:sz="6" w:space="0"/>
            </w:tcBorders>
            <w:noWrap w:val="0"/>
            <w:vAlign w:val="center"/>
          </w:tcPr>
          <w:p w14:paraId="0DD1748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额定功率(kW)</w:t>
            </w:r>
          </w:p>
        </w:tc>
        <w:tc>
          <w:tcPr>
            <w:tcW w:w="1020" w:type="dxa"/>
            <w:tcBorders>
              <w:top w:val="single" w:color="auto" w:sz="12" w:space="0"/>
              <w:bottom w:val="double" w:color="auto" w:sz="6" w:space="0"/>
            </w:tcBorders>
            <w:noWrap w:val="0"/>
            <w:vAlign w:val="center"/>
          </w:tcPr>
          <w:p w14:paraId="4F044E1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生产能力</w:t>
            </w:r>
          </w:p>
        </w:tc>
        <w:tc>
          <w:tcPr>
            <w:tcW w:w="921" w:type="dxa"/>
            <w:tcBorders>
              <w:top w:val="single" w:color="auto" w:sz="12" w:space="0"/>
              <w:bottom w:val="double" w:color="auto" w:sz="6" w:space="0"/>
            </w:tcBorders>
            <w:noWrap w:val="0"/>
            <w:vAlign w:val="center"/>
          </w:tcPr>
          <w:p w14:paraId="315EC4A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备注</w:t>
            </w:r>
          </w:p>
        </w:tc>
      </w:tr>
      <w:tr w14:paraId="243F0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22F730F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tcBorders>
              <w:top w:val="double" w:color="auto" w:sz="6" w:space="0"/>
              <w:bottom w:val="single" w:color="auto" w:sz="6" w:space="0"/>
            </w:tcBorders>
            <w:noWrap w:val="0"/>
            <w:vAlign w:val="center"/>
          </w:tcPr>
          <w:p w14:paraId="0B3CF78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tcBorders>
              <w:top w:val="double" w:color="auto" w:sz="6" w:space="0"/>
              <w:bottom w:val="single" w:color="auto" w:sz="6" w:space="0"/>
            </w:tcBorders>
            <w:noWrap w:val="0"/>
            <w:vAlign w:val="center"/>
          </w:tcPr>
          <w:p w14:paraId="3339CDD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58" w:type="dxa"/>
            <w:tcBorders>
              <w:top w:val="double" w:color="auto" w:sz="6" w:space="0"/>
              <w:bottom w:val="single" w:color="auto" w:sz="6" w:space="0"/>
            </w:tcBorders>
            <w:noWrap w:val="0"/>
            <w:vAlign w:val="center"/>
          </w:tcPr>
          <w:p w14:paraId="6830E51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80" w:type="dxa"/>
            <w:tcBorders>
              <w:top w:val="double" w:color="auto" w:sz="6" w:space="0"/>
              <w:bottom w:val="single" w:color="auto" w:sz="6" w:space="0"/>
            </w:tcBorders>
            <w:noWrap w:val="0"/>
            <w:vAlign w:val="center"/>
          </w:tcPr>
          <w:p w14:paraId="6A67AEB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20" w:type="dxa"/>
            <w:tcBorders>
              <w:top w:val="double" w:color="auto" w:sz="6" w:space="0"/>
              <w:bottom w:val="single" w:color="auto" w:sz="6" w:space="0"/>
            </w:tcBorders>
            <w:noWrap w:val="0"/>
            <w:vAlign w:val="center"/>
          </w:tcPr>
          <w:p w14:paraId="5BB1104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80" w:type="dxa"/>
            <w:tcBorders>
              <w:top w:val="double" w:color="auto" w:sz="6" w:space="0"/>
              <w:bottom w:val="single" w:color="auto" w:sz="6" w:space="0"/>
            </w:tcBorders>
            <w:noWrap w:val="0"/>
            <w:vAlign w:val="center"/>
          </w:tcPr>
          <w:p w14:paraId="68BBCA1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20" w:type="dxa"/>
            <w:tcBorders>
              <w:top w:val="double" w:color="auto" w:sz="6" w:space="0"/>
              <w:bottom w:val="single" w:color="auto" w:sz="6" w:space="0"/>
            </w:tcBorders>
            <w:noWrap w:val="0"/>
            <w:vAlign w:val="center"/>
          </w:tcPr>
          <w:p w14:paraId="2A3AE14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21" w:type="dxa"/>
            <w:tcBorders>
              <w:top w:val="double" w:color="auto" w:sz="6" w:space="0"/>
              <w:bottom w:val="single" w:color="auto" w:sz="6" w:space="0"/>
            </w:tcBorders>
            <w:noWrap w:val="0"/>
            <w:vAlign w:val="center"/>
          </w:tcPr>
          <w:p w14:paraId="6073D71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8117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70127FE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tcBorders>
              <w:top w:val="nil"/>
            </w:tcBorders>
            <w:noWrap w:val="0"/>
            <w:vAlign w:val="center"/>
          </w:tcPr>
          <w:p w14:paraId="664B14A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tcBorders>
              <w:top w:val="nil"/>
            </w:tcBorders>
            <w:noWrap w:val="0"/>
            <w:vAlign w:val="center"/>
          </w:tcPr>
          <w:p w14:paraId="200A24C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58" w:type="dxa"/>
            <w:tcBorders>
              <w:top w:val="nil"/>
            </w:tcBorders>
            <w:noWrap w:val="0"/>
            <w:vAlign w:val="center"/>
          </w:tcPr>
          <w:p w14:paraId="04BF390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80" w:type="dxa"/>
            <w:tcBorders>
              <w:top w:val="nil"/>
            </w:tcBorders>
            <w:noWrap w:val="0"/>
            <w:vAlign w:val="center"/>
          </w:tcPr>
          <w:p w14:paraId="2D17B0C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20" w:type="dxa"/>
            <w:tcBorders>
              <w:top w:val="nil"/>
            </w:tcBorders>
            <w:noWrap w:val="0"/>
            <w:vAlign w:val="center"/>
          </w:tcPr>
          <w:p w14:paraId="6C9363B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80" w:type="dxa"/>
            <w:tcBorders>
              <w:top w:val="nil"/>
            </w:tcBorders>
            <w:noWrap w:val="0"/>
            <w:vAlign w:val="center"/>
          </w:tcPr>
          <w:p w14:paraId="5266ED9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20" w:type="dxa"/>
            <w:tcBorders>
              <w:top w:val="nil"/>
            </w:tcBorders>
            <w:noWrap w:val="0"/>
            <w:vAlign w:val="center"/>
          </w:tcPr>
          <w:p w14:paraId="27B0E66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21" w:type="dxa"/>
            <w:tcBorders>
              <w:top w:val="nil"/>
            </w:tcBorders>
            <w:noWrap w:val="0"/>
            <w:vAlign w:val="center"/>
          </w:tcPr>
          <w:p w14:paraId="4798275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9004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4270F1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7045775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noWrap w:val="0"/>
            <w:vAlign w:val="center"/>
          </w:tcPr>
          <w:p w14:paraId="43D10F6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58" w:type="dxa"/>
            <w:noWrap w:val="0"/>
            <w:vAlign w:val="center"/>
          </w:tcPr>
          <w:p w14:paraId="3E0A393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80" w:type="dxa"/>
            <w:noWrap w:val="0"/>
            <w:vAlign w:val="center"/>
          </w:tcPr>
          <w:p w14:paraId="2C46D78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20" w:type="dxa"/>
            <w:noWrap w:val="0"/>
            <w:vAlign w:val="center"/>
          </w:tcPr>
          <w:p w14:paraId="0CD657D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80" w:type="dxa"/>
            <w:noWrap w:val="0"/>
            <w:vAlign w:val="center"/>
          </w:tcPr>
          <w:p w14:paraId="5B52ED1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20" w:type="dxa"/>
            <w:noWrap w:val="0"/>
            <w:vAlign w:val="center"/>
          </w:tcPr>
          <w:p w14:paraId="575CDDB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21" w:type="dxa"/>
            <w:noWrap w:val="0"/>
            <w:vAlign w:val="center"/>
          </w:tcPr>
          <w:p w14:paraId="7C5C050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DE37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1F1052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3D0C504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noWrap w:val="0"/>
            <w:vAlign w:val="center"/>
          </w:tcPr>
          <w:p w14:paraId="3821BA5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58" w:type="dxa"/>
            <w:noWrap w:val="0"/>
            <w:vAlign w:val="center"/>
          </w:tcPr>
          <w:p w14:paraId="30111EF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80" w:type="dxa"/>
            <w:noWrap w:val="0"/>
            <w:vAlign w:val="center"/>
          </w:tcPr>
          <w:p w14:paraId="1F4170E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20" w:type="dxa"/>
            <w:noWrap w:val="0"/>
            <w:vAlign w:val="center"/>
          </w:tcPr>
          <w:p w14:paraId="1A0F613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80" w:type="dxa"/>
            <w:noWrap w:val="0"/>
            <w:vAlign w:val="center"/>
          </w:tcPr>
          <w:p w14:paraId="4A46978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20" w:type="dxa"/>
            <w:noWrap w:val="0"/>
            <w:vAlign w:val="center"/>
          </w:tcPr>
          <w:p w14:paraId="6651359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21" w:type="dxa"/>
            <w:noWrap w:val="0"/>
            <w:vAlign w:val="center"/>
          </w:tcPr>
          <w:p w14:paraId="0D4FE1D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06CD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9628D1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7DB470F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noWrap w:val="0"/>
            <w:vAlign w:val="center"/>
          </w:tcPr>
          <w:p w14:paraId="1CA54E2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58" w:type="dxa"/>
            <w:noWrap w:val="0"/>
            <w:vAlign w:val="center"/>
          </w:tcPr>
          <w:p w14:paraId="0F78058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80" w:type="dxa"/>
            <w:noWrap w:val="0"/>
            <w:vAlign w:val="center"/>
          </w:tcPr>
          <w:p w14:paraId="44B0F90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20" w:type="dxa"/>
            <w:noWrap w:val="0"/>
            <w:vAlign w:val="center"/>
          </w:tcPr>
          <w:p w14:paraId="1FCEDAE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80" w:type="dxa"/>
            <w:noWrap w:val="0"/>
            <w:vAlign w:val="center"/>
          </w:tcPr>
          <w:p w14:paraId="1DE5788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20" w:type="dxa"/>
            <w:noWrap w:val="0"/>
            <w:vAlign w:val="center"/>
          </w:tcPr>
          <w:p w14:paraId="694DA9A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21" w:type="dxa"/>
            <w:noWrap w:val="0"/>
            <w:vAlign w:val="center"/>
          </w:tcPr>
          <w:p w14:paraId="6889C42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4D4F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19F7AD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04FCC4A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noWrap w:val="0"/>
            <w:vAlign w:val="center"/>
          </w:tcPr>
          <w:p w14:paraId="29A856C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58" w:type="dxa"/>
            <w:noWrap w:val="0"/>
            <w:vAlign w:val="center"/>
          </w:tcPr>
          <w:p w14:paraId="0DFE6FD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80" w:type="dxa"/>
            <w:noWrap w:val="0"/>
            <w:vAlign w:val="center"/>
          </w:tcPr>
          <w:p w14:paraId="0E1A189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20" w:type="dxa"/>
            <w:noWrap w:val="0"/>
            <w:vAlign w:val="center"/>
          </w:tcPr>
          <w:p w14:paraId="1416825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80" w:type="dxa"/>
            <w:noWrap w:val="0"/>
            <w:vAlign w:val="center"/>
          </w:tcPr>
          <w:p w14:paraId="0A068AA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20" w:type="dxa"/>
            <w:noWrap w:val="0"/>
            <w:vAlign w:val="center"/>
          </w:tcPr>
          <w:p w14:paraId="159EE9C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21" w:type="dxa"/>
            <w:noWrap w:val="0"/>
            <w:vAlign w:val="center"/>
          </w:tcPr>
          <w:p w14:paraId="2C07696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F67D6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32353D4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16680E0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noWrap w:val="0"/>
            <w:vAlign w:val="center"/>
          </w:tcPr>
          <w:p w14:paraId="27995AE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58" w:type="dxa"/>
            <w:noWrap w:val="0"/>
            <w:vAlign w:val="center"/>
          </w:tcPr>
          <w:p w14:paraId="0254544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80" w:type="dxa"/>
            <w:noWrap w:val="0"/>
            <w:vAlign w:val="center"/>
          </w:tcPr>
          <w:p w14:paraId="4F2DE42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20" w:type="dxa"/>
            <w:noWrap w:val="0"/>
            <w:vAlign w:val="center"/>
          </w:tcPr>
          <w:p w14:paraId="5E38120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80" w:type="dxa"/>
            <w:noWrap w:val="0"/>
            <w:vAlign w:val="center"/>
          </w:tcPr>
          <w:p w14:paraId="67F4CA2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20" w:type="dxa"/>
            <w:noWrap w:val="0"/>
            <w:vAlign w:val="center"/>
          </w:tcPr>
          <w:p w14:paraId="7AE2F76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21" w:type="dxa"/>
            <w:noWrap w:val="0"/>
            <w:vAlign w:val="center"/>
          </w:tcPr>
          <w:p w14:paraId="1277C7F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43597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045390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5D182AE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noWrap w:val="0"/>
            <w:vAlign w:val="center"/>
          </w:tcPr>
          <w:p w14:paraId="15AC59A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58" w:type="dxa"/>
            <w:noWrap w:val="0"/>
            <w:vAlign w:val="center"/>
          </w:tcPr>
          <w:p w14:paraId="3B65B24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80" w:type="dxa"/>
            <w:noWrap w:val="0"/>
            <w:vAlign w:val="center"/>
          </w:tcPr>
          <w:p w14:paraId="31824D4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20" w:type="dxa"/>
            <w:noWrap w:val="0"/>
            <w:vAlign w:val="center"/>
          </w:tcPr>
          <w:p w14:paraId="0ABF399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80" w:type="dxa"/>
            <w:noWrap w:val="0"/>
            <w:vAlign w:val="center"/>
          </w:tcPr>
          <w:p w14:paraId="497CA70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20" w:type="dxa"/>
            <w:noWrap w:val="0"/>
            <w:vAlign w:val="center"/>
          </w:tcPr>
          <w:p w14:paraId="52254B7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21" w:type="dxa"/>
            <w:noWrap w:val="0"/>
            <w:vAlign w:val="center"/>
          </w:tcPr>
          <w:p w14:paraId="4DEA18E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63EC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BE52C9D">
            <w:pPr>
              <w:rPr>
                <w:rFonts w:hint="eastAsia" w:asciiTheme="minorEastAsia" w:hAnsiTheme="minorEastAsia" w:eastAsiaTheme="minorEastAsia" w:cstheme="minorEastAsia"/>
                <w:color w:val="000000"/>
                <w:sz w:val="24"/>
                <w:szCs w:val="24"/>
              </w:rPr>
            </w:pPr>
          </w:p>
        </w:tc>
        <w:tc>
          <w:tcPr>
            <w:tcW w:w="1418" w:type="dxa"/>
            <w:noWrap w:val="0"/>
            <w:vAlign w:val="top"/>
          </w:tcPr>
          <w:p w14:paraId="73CD120A">
            <w:pPr>
              <w:rPr>
                <w:rFonts w:hint="eastAsia" w:asciiTheme="minorEastAsia" w:hAnsiTheme="minorEastAsia" w:eastAsiaTheme="minorEastAsia" w:cstheme="minorEastAsia"/>
                <w:color w:val="000000"/>
                <w:sz w:val="24"/>
                <w:szCs w:val="24"/>
              </w:rPr>
            </w:pPr>
          </w:p>
        </w:tc>
        <w:tc>
          <w:tcPr>
            <w:tcW w:w="850" w:type="dxa"/>
            <w:noWrap w:val="0"/>
            <w:vAlign w:val="top"/>
          </w:tcPr>
          <w:p w14:paraId="509DCC61">
            <w:pPr>
              <w:rPr>
                <w:rFonts w:hint="eastAsia" w:asciiTheme="minorEastAsia" w:hAnsiTheme="minorEastAsia" w:eastAsiaTheme="minorEastAsia" w:cstheme="minorEastAsia"/>
                <w:color w:val="000000"/>
                <w:sz w:val="24"/>
                <w:szCs w:val="24"/>
              </w:rPr>
            </w:pPr>
          </w:p>
        </w:tc>
        <w:tc>
          <w:tcPr>
            <w:tcW w:w="1058" w:type="dxa"/>
            <w:noWrap w:val="0"/>
            <w:vAlign w:val="top"/>
          </w:tcPr>
          <w:p w14:paraId="06B5F930">
            <w:pPr>
              <w:rPr>
                <w:rFonts w:hint="eastAsia" w:asciiTheme="minorEastAsia" w:hAnsiTheme="minorEastAsia" w:eastAsiaTheme="minorEastAsia" w:cstheme="minorEastAsia"/>
                <w:color w:val="000000"/>
                <w:sz w:val="24"/>
                <w:szCs w:val="24"/>
              </w:rPr>
            </w:pPr>
          </w:p>
        </w:tc>
        <w:tc>
          <w:tcPr>
            <w:tcW w:w="880" w:type="dxa"/>
            <w:noWrap w:val="0"/>
            <w:vAlign w:val="top"/>
          </w:tcPr>
          <w:p w14:paraId="210C6237">
            <w:pPr>
              <w:rPr>
                <w:rFonts w:hint="eastAsia" w:asciiTheme="minorEastAsia" w:hAnsiTheme="minorEastAsia" w:eastAsiaTheme="minorEastAsia" w:cstheme="minorEastAsia"/>
                <w:color w:val="000000"/>
                <w:sz w:val="24"/>
                <w:szCs w:val="24"/>
              </w:rPr>
            </w:pPr>
          </w:p>
        </w:tc>
        <w:tc>
          <w:tcPr>
            <w:tcW w:w="1020" w:type="dxa"/>
            <w:noWrap w:val="0"/>
            <w:vAlign w:val="top"/>
          </w:tcPr>
          <w:p w14:paraId="48180BA4">
            <w:pPr>
              <w:rPr>
                <w:rFonts w:hint="eastAsia" w:asciiTheme="minorEastAsia" w:hAnsiTheme="minorEastAsia" w:eastAsiaTheme="minorEastAsia" w:cstheme="minorEastAsia"/>
                <w:color w:val="000000"/>
                <w:sz w:val="24"/>
                <w:szCs w:val="24"/>
              </w:rPr>
            </w:pPr>
          </w:p>
        </w:tc>
        <w:tc>
          <w:tcPr>
            <w:tcW w:w="1480" w:type="dxa"/>
            <w:noWrap w:val="0"/>
            <w:vAlign w:val="top"/>
          </w:tcPr>
          <w:p w14:paraId="5324089C">
            <w:pPr>
              <w:rPr>
                <w:rFonts w:hint="eastAsia" w:asciiTheme="minorEastAsia" w:hAnsiTheme="minorEastAsia" w:eastAsiaTheme="minorEastAsia" w:cstheme="minorEastAsia"/>
                <w:color w:val="000000"/>
                <w:sz w:val="24"/>
                <w:szCs w:val="24"/>
              </w:rPr>
            </w:pPr>
          </w:p>
        </w:tc>
        <w:tc>
          <w:tcPr>
            <w:tcW w:w="1020" w:type="dxa"/>
            <w:noWrap w:val="0"/>
            <w:vAlign w:val="top"/>
          </w:tcPr>
          <w:p w14:paraId="6222E2D2">
            <w:pPr>
              <w:rPr>
                <w:rFonts w:hint="eastAsia" w:asciiTheme="minorEastAsia" w:hAnsiTheme="minorEastAsia" w:eastAsiaTheme="minorEastAsia" w:cstheme="minorEastAsia"/>
                <w:color w:val="000000"/>
                <w:sz w:val="24"/>
                <w:szCs w:val="24"/>
              </w:rPr>
            </w:pPr>
          </w:p>
        </w:tc>
        <w:tc>
          <w:tcPr>
            <w:tcW w:w="921" w:type="dxa"/>
            <w:noWrap w:val="0"/>
            <w:vAlign w:val="top"/>
          </w:tcPr>
          <w:p w14:paraId="167D0219">
            <w:pPr>
              <w:rPr>
                <w:rFonts w:hint="eastAsia" w:asciiTheme="minorEastAsia" w:hAnsiTheme="minorEastAsia" w:eastAsiaTheme="minorEastAsia" w:cstheme="minorEastAsia"/>
                <w:color w:val="000000"/>
                <w:sz w:val="24"/>
                <w:szCs w:val="24"/>
              </w:rPr>
            </w:pPr>
          </w:p>
        </w:tc>
      </w:tr>
      <w:tr w14:paraId="5AD96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112D491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5694220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0" w:type="dxa"/>
            <w:noWrap w:val="0"/>
            <w:vAlign w:val="center"/>
          </w:tcPr>
          <w:p w14:paraId="4B5EF6C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58" w:type="dxa"/>
            <w:noWrap w:val="0"/>
            <w:vAlign w:val="center"/>
          </w:tcPr>
          <w:p w14:paraId="1B7BC87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80" w:type="dxa"/>
            <w:noWrap w:val="0"/>
            <w:vAlign w:val="center"/>
          </w:tcPr>
          <w:p w14:paraId="47DA694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20" w:type="dxa"/>
            <w:noWrap w:val="0"/>
            <w:vAlign w:val="center"/>
          </w:tcPr>
          <w:p w14:paraId="6B1B924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80" w:type="dxa"/>
            <w:noWrap w:val="0"/>
            <w:vAlign w:val="center"/>
          </w:tcPr>
          <w:p w14:paraId="01EF608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020" w:type="dxa"/>
            <w:noWrap w:val="0"/>
            <w:vAlign w:val="center"/>
          </w:tcPr>
          <w:p w14:paraId="7A7729A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921" w:type="dxa"/>
            <w:noWrap w:val="0"/>
            <w:vAlign w:val="center"/>
          </w:tcPr>
          <w:p w14:paraId="5E0067D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4DC75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0A46659">
            <w:pPr>
              <w:rPr>
                <w:rFonts w:hint="eastAsia" w:asciiTheme="minorEastAsia" w:hAnsiTheme="minorEastAsia" w:eastAsiaTheme="minorEastAsia" w:cstheme="minorEastAsia"/>
                <w:color w:val="000000"/>
                <w:sz w:val="24"/>
                <w:szCs w:val="24"/>
              </w:rPr>
            </w:pPr>
          </w:p>
        </w:tc>
        <w:tc>
          <w:tcPr>
            <w:tcW w:w="1418" w:type="dxa"/>
            <w:noWrap w:val="0"/>
            <w:vAlign w:val="top"/>
          </w:tcPr>
          <w:p w14:paraId="7B9FA9DF">
            <w:pPr>
              <w:rPr>
                <w:rFonts w:hint="eastAsia" w:asciiTheme="minorEastAsia" w:hAnsiTheme="minorEastAsia" w:eastAsiaTheme="minorEastAsia" w:cstheme="minorEastAsia"/>
                <w:color w:val="000000"/>
                <w:sz w:val="24"/>
                <w:szCs w:val="24"/>
              </w:rPr>
            </w:pPr>
          </w:p>
        </w:tc>
        <w:tc>
          <w:tcPr>
            <w:tcW w:w="850" w:type="dxa"/>
            <w:noWrap w:val="0"/>
            <w:vAlign w:val="top"/>
          </w:tcPr>
          <w:p w14:paraId="61107FC8">
            <w:pPr>
              <w:rPr>
                <w:rFonts w:hint="eastAsia" w:asciiTheme="minorEastAsia" w:hAnsiTheme="minorEastAsia" w:eastAsiaTheme="minorEastAsia" w:cstheme="minorEastAsia"/>
                <w:color w:val="000000"/>
                <w:sz w:val="24"/>
                <w:szCs w:val="24"/>
              </w:rPr>
            </w:pPr>
          </w:p>
        </w:tc>
        <w:tc>
          <w:tcPr>
            <w:tcW w:w="1058" w:type="dxa"/>
            <w:noWrap w:val="0"/>
            <w:vAlign w:val="top"/>
          </w:tcPr>
          <w:p w14:paraId="140D2036">
            <w:pPr>
              <w:rPr>
                <w:rFonts w:hint="eastAsia" w:asciiTheme="minorEastAsia" w:hAnsiTheme="minorEastAsia" w:eastAsiaTheme="minorEastAsia" w:cstheme="minorEastAsia"/>
                <w:color w:val="000000"/>
                <w:sz w:val="24"/>
                <w:szCs w:val="24"/>
              </w:rPr>
            </w:pPr>
          </w:p>
        </w:tc>
        <w:tc>
          <w:tcPr>
            <w:tcW w:w="880" w:type="dxa"/>
            <w:noWrap w:val="0"/>
            <w:vAlign w:val="top"/>
          </w:tcPr>
          <w:p w14:paraId="4D940FD3">
            <w:pPr>
              <w:rPr>
                <w:rFonts w:hint="eastAsia" w:asciiTheme="minorEastAsia" w:hAnsiTheme="minorEastAsia" w:eastAsiaTheme="minorEastAsia" w:cstheme="minorEastAsia"/>
                <w:color w:val="000000"/>
                <w:sz w:val="24"/>
                <w:szCs w:val="24"/>
              </w:rPr>
            </w:pPr>
          </w:p>
        </w:tc>
        <w:tc>
          <w:tcPr>
            <w:tcW w:w="1020" w:type="dxa"/>
            <w:noWrap w:val="0"/>
            <w:vAlign w:val="top"/>
          </w:tcPr>
          <w:p w14:paraId="2B5F4BF6">
            <w:pPr>
              <w:rPr>
                <w:rFonts w:hint="eastAsia" w:asciiTheme="minorEastAsia" w:hAnsiTheme="minorEastAsia" w:eastAsiaTheme="minorEastAsia" w:cstheme="minorEastAsia"/>
                <w:color w:val="000000"/>
                <w:sz w:val="24"/>
                <w:szCs w:val="24"/>
              </w:rPr>
            </w:pPr>
          </w:p>
        </w:tc>
        <w:tc>
          <w:tcPr>
            <w:tcW w:w="1480" w:type="dxa"/>
            <w:noWrap w:val="0"/>
            <w:vAlign w:val="top"/>
          </w:tcPr>
          <w:p w14:paraId="2F9EF871">
            <w:pPr>
              <w:rPr>
                <w:rFonts w:hint="eastAsia" w:asciiTheme="minorEastAsia" w:hAnsiTheme="minorEastAsia" w:eastAsiaTheme="minorEastAsia" w:cstheme="minorEastAsia"/>
                <w:color w:val="000000"/>
                <w:sz w:val="24"/>
                <w:szCs w:val="24"/>
              </w:rPr>
            </w:pPr>
          </w:p>
        </w:tc>
        <w:tc>
          <w:tcPr>
            <w:tcW w:w="1020" w:type="dxa"/>
            <w:noWrap w:val="0"/>
            <w:vAlign w:val="top"/>
          </w:tcPr>
          <w:p w14:paraId="6B5953EA">
            <w:pPr>
              <w:rPr>
                <w:rFonts w:hint="eastAsia" w:asciiTheme="minorEastAsia" w:hAnsiTheme="minorEastAsia" w:eastAsiaTheme="minorEastAsia" w:cstheme="minorEastAsia"/>
                <w:color w:val="000000"/>
                <w:sz w:val="24"/>
                <w:szCs w:val="24"/>
              </w:rPr>
            </w:pPr>
          </w:p>
        </w:tc>
        <w:tc>
          <w:tcPr>
            <w:tcW w:w="921" w:type="dxa"/>
            <w:noWrap w:val="0"/>
            <w:vAlign w:val="top"/>
          </w:tcPr>
          <w:p w14:paraId="6D6D1AF2">
            <w:pPr>
              <w:rPr>
                <w:rFonts w:hint="eastAsia" w:asciiTheme="minorEastAsia" w:hAnsiTheme="minorEastAsia" w:eastAsiaTheme="minorEastAsia" w:cstheme="minorEastAsia"/>
                <w:color w:val="000000"/>
                <w:sz w:val="24"/>
                <w:szCs w:val="24"/>
              </w:rPr>
            </w:pPr>
          </w:p>
        </w:tc>
      </w:tr>
      <w:tr w14:paraId="455DD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F8D1F2A">
            <w:pPr>
              <w:rPr>
                <w:rFonts w:hint="eastAsia" w:asciiTheme="minorEastAsia" w:hAnsiTheme="minorEastAsia" w:eastAsiaTheme="minorEastAsia" w:cstheme="minorEastAsia"/>
                <w:color w:val="000000"/>
                <w:sz w:val="24"/>
                <w:szCs w:val="24"/>
              </w:rPr>
            </w:pPr>
          </w:p>
        </w:tc>
        <w:tc>
          <w:tcPr>
            <w:tcW w:w="1418" w:type="dxa"/>
            <w:noWrap w:val="0"/>
            <w:vAlign w:val="top"/>
          </w:tcPr>
          <w:p w14:paraId="6041E021">
            <w:pPr>
              <w:rPr>
                <w:rFonts w:hint="eastAsia" w:asciiTheme="minorEastAsia" w:hAnsiTheme="minorEastAsia" w:eastAsiaTheme="minorEastAsia" w:cstheme="minorEastAsia"/>
                <w:color w:val="000000"/>
                <w:sz w:val="24"/>
                <w:szCs w:val="24"/>
              </w:rPr>
            </w:pPr>
          </w:p>
        </w:tc>
        <w:tc>
          <w:tcPr>
            <w:tcW w:w="850" w:type="dxa"/>
            <w:noWrap w:val="0"/>
            <w:vAlign w:val="top"/>
          </w:tcPr>
          <w:p w14:paraId="5F98B057">
            <w:pPr>
              <w:rPr>
                <w:rFonts w:hint="eastAsia" w:asciiTheme="minorEastAsia" w:hAnsiTheme="minorEastAsia" w:eastAsiaTheme="minorEastAsia" w:cstheme="minorEastAsia"/>
                <w:color w:val="000000"/>
                <w:sz w:val="24"/>
                <w:szCs w:val="24"/>
              </w:rPr>
            </w:pPr>
          </w:p>
        </w:tc>
        <w:tc>
          <w:tcPr>
            <w:tcW w:w="1058" w:type="dxa"/>
            <w:noWrap w:val="0"/>
            <w:vAlign w:val="top"/>
          </w:tcPr>
          <w:p w14:paraId="45B3211F">
            <w:pPr>
              <w:rPr>
                <w:rFonts w:hint="eastAsia" w:asciiTheme="minorEastAsia" w:hAnsiTheme="minorEastAsia" w:eastAsiaTheme="minorEastAsia" w:cstheme="minorEastAsia"/>
                <w:color w:val="000000"/>
                <w:sz w:val="24"/>
                <w:szCs w:val="24"/>
              </w:rPr>
            </w:pPr>
          </w:p>
        </w:tc>
        <w:tc>
          <w:tcPr>
            <w:tcW w:w="880" w:type="dxa"/>
            <w:noWrap w:val="0"/>
            <w:vAlign w:val="top"/>
          </w:tcPr>
          <w:p w14:paraId="28C752AF">
            <w:pPr>
              <w:rPr>
                <w:rFonts w:hint="eastAsia" w:asciiTheme="minorEastAsia" w:hAnsiTheme="minorEastAsia" w:eastAsiaTheme="minorEastAsia" w:cstheme="minorEastAsia"/>
                <w:color w:val="000000"/>
                <w:sz w:val="24"/>
                <w:szCs w:val="24"/>
              </w:rPr>
            </w:pPr>
          </w:p>
        </w:tc>
        <w:tc>
          <w:tcPr>
            <w:tcW w:w="1020" w:type="dxa"/>
            <w:noWrap w:val="0"/>
            <w:vAlign w:val="top"/>
          </w:tcPr>
          <w:p w14:paraId="76DB7886">
            <w:pPr>
              <w:rPr>
                <w:rFonts w:hint="eastAsia" w:asciiTheme="minorEastAsia" w:hAnsiTheme="minorEastAsia" w:eastAsiaTheme="minorEastAsia" w:cstheme="minorEastAsia"/>
                <w:color w:val="000000"/>
                <w:sz w:val="24"/>
                <w:szCs w:val="24"/>
              </w:rPr>
            </w:pPr>
          </w:p>
        </w:tc>
        <w:tc>
          <w:tcPr>
            <w:tcW w:w="1480" w:type="dxa"/>
            <w:noWrap w:val="0"/>
            <w:vAlign w:val="top"/>
          </w:tcPr>
          <w:p w14:paraId="080F72C4">
            <w:pPr>
              <w:rPr>
                <w:rFonts w:hint="eastAsia" w:asciiTheme="minorEastAsia" w:hAnsiTheme="minorEastAsia" w:eastAsiaTheme="minorEastAsia" w:cstheme="minorEastAsia"/>
                <w:color w:val="000000"/>
                <w:sz w:val="24"/>
                <w:szCs w:val="24"/>
              </w:rPr>
            </w:pPr>
          </w:p>
        </w:tc>
        <w:tc>
          <w:tcPr>
            <w:tcW w:w="1020" w:type="dxa"/>
            <w:noWrap w:val="0"/>
            <w:vAlign w:val="top"/>
          </w:tcPr>
          <w:p w14:paraId="3355A0D1">
            <w:pPr>
              <w:rPr>
                <w:rFonts w:hint="eastAsia" w:asciiTheme="minorEastAsia" w:hAnsiTheme="minorEastAsia" w:eastAsiaTheme="minorEastAsia" w:cstheme="minorEastAsia"/>
                <w:color w:val="000000"/>
                <w:sz w:val="24"/>
                <w:szCs w:val="24"/>
              </w:rPr>
            </w:pPr>
          </w:p>
        </w:tc>
        <w:tc>
          <w:tcPr>
            <w:tcW w:w="921" w:type="dxa"/>
            <w:noWrap w:val="0"/>
            <w:vAlign w:val="top"/>
          </w:tcPr>
          <w:p w14:paraId="10768EE0">
            <w:pPr>
              <w:rPr>
                <w:rFonts w:hint="eastAsia" w:asciiTheme="minorEastAsia" w:hAnsiTheme="minorEastAsia" w:eastAsiaTheme="minorEastAsia" w:cstheme="minorEastAsia"/>
                <w:color w:val="000000"/>
                <w:sz w:val="24"/>
                <w:szCs w:val="24"/>
              </w:rPr>
            </w:pPr>
          </w:p>
        </w:tc>
      </w:tr>
      <w:tr w14:paraId="5B797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69DFF37">
            <w:pPr>
              <w:rPr>
                <w:rFonts w:hint="eastAsia" w:asciiTheme="minorEastAsia" w:hAnsiTheme="minorEastAsia" w:eastAsiaTheme="minorEastAsia" w:cstheme="minorEastAsia"/>
                <w:color w:val="000000"/>
                <w:sz w:val="24"/>
                <w:szCs w:val="24"/>
              </w:rPr>
            </w:pPr>
          </w:p>
        </w:tc>
        <w:tc>
          <w:tcPr>
            <w:tcW w:w="1418" w:type="dxa"/>
            <w:noWrap w:val="0"/>
            <w:vAlign w:val="top"/>
          </w:tcPr>
          <w:p w14:paraId="0FD02090">
            <w:pPr>
              <w:rPr>
                <w:rFonts w:hint="eastAsia" w:asciiTheme="minorEastAsia" w:hAnsiTheme="minorEastAsia" w:eastAsiaTheme="minorEastAsia" w:cstheme="minorEastAsia"/>
                <w:color w:val="000000"/>
                <w:sz w:val="24"/>
                <w:szCs w:val="24"/>
              </w:rPr>
            </w:pPr>
          </w:p>
        </w:tc>
        <w:tc>
          <w:tcPr>
            <w:tcW w:w="850" w:type="dxa"/>
            <w:noWrap w:val="0"/>
            <w:vAlign w:val="top"/>
          </w:tcPr>
          <w:p w14:paraId="14479D99">
            <w:pPr>
              <w:rPr>
                <w:rFonts w:hint="eastAsia" w:asciiTheme="minorEastAsia" w:hAnsiTheme="minorEastAsia" w:eastAsiaTheme="minorEastAsia" w:cstheme="minorEastAsia"/>
                <w:color w:val="000000"/>
                <w:sz w:val="24"/>
                <w:szCs w:val="24"/>
              </w:rPr>
            </w:pPr>
          </w:p>
        </w:tc>
        <w:tc>
          <w:tcPr>
            <w:tcW w:w="1058" w:type="dxa"/>
            <w:noWrap w:val="0"/>
            <w:vAlign w:val="top"/>
          </w:tcPr>
          <w:p w14:paraId="4A668C98">
            <w:pPr>
              <w:rPr>
                <w:rFonts w:hint="eastAsia" w:asciiTheme="minorEastAsia" w:hAnsiTheme="minorEastAsia" w:eastAsiaTheme="minorEastAsia" w:cstheme="minorEastAsia"/>
                <w:color w:val="000000"/>
                <w:sz w:val="24"/>
                <w:szCs w:val="24"/>
              </w:rPr>
            </w:pPr>
          </w:p>
        </w:tc>
        <w:tc>
          <w:tcPr>
            <w:tcW w:w="880" w:type="dxa"/>
            <w:noWrap w:val="0"/>
            <w:vAlign w:val="top"/>
          </w:tcPr>
          <w:p w14:paraId="5DBF2807">
            <w:pPr>
              <w:rPr>
                <w:rFonts w:hint="eastAsia" w:asciiTheme="minorEastAsia" w:hAnsiTheme="minorEastAsia" w:eastAsiaTheme="minorEastAsia" w:cstheme="minorEastAsia"/>
                <w:color w:val="000000"/>
                <w:sz w:val="24"/>
                <w:szCs w:val="24"/>
              </w:rPr>
            </w:pPr>
          </w:p>
        </w:tc>
        <w:tc>
          <w:tcPr>
            <w:tcW w:w="1020" w:type="dxa"/>
            <w:noWrap w:val="0"/>
            <w:vAlign w:val="top"/>
          </w:tcPr>
          <w:p w14:paraId="7328812A">
            <w:pPr>
              <w:rPr>
                <w:rFonts w:hint="eastAsia" w:asciiTheme="minorEastAsia" w:hAnsiTheme="minorEastAsia" w:eastAsiaTheme="minorEastAsia" w:cstheme="minorEastAsia"/>
                <w:color w:val="000000"/>
                <w:sz w:val="24"/>
                <w:szCs w:val="24"/>
              </w:rPr>
            </w:pPr>
          </w:p>
        </w:tc>
        <w:tc>
          <w:tcPr>
            <w:tcW w:w="1480" w:type="dxa"/>
            <w:noWrap w:val="0"/>
            <w:vAlign w:val="top"/>
          </w:tcPr>
          <w:p w14:paraId="14AAE1DF">
            <w:pPr>
              <w:rPr>
                <w:rFonts w:hint="eastAsia" w:asciiTheme="minorEastAsia" w:hAnsiTheme="minorEastAsia" w:eastAsiaTheme="minorEastAsia" w:cstheme="minorEastAsia"/>
                <w:color w:val="000000"/>
                <w:sz w:val="24"/>
                <w:szCs w:val="24"/>
              </w:rPr>
            </w:pPr>
          </w:p>
        </w:tc>
        <w:tc>
          <w:tcPr>
            <w:tcW w:w="1020" w:type="dxa"/>
            <w:noWrap w:val="0"/>
            <w:vAlign w:val="top"/>
          </w:tcPr>
          <w:p w14:paraId="65ECA9B9">
            <w:pPr>
              <w:rPr>
                <w:rFonts w:hint="eastAsia" w:asciiTheme="minorEastAsia" w:hAnsiTheme="minorEastAsia" w:eastAsiaTheme="minorEastAsia" w:cstheme="minorEastAsia"/>
                <w:color w:val="000000"/>
                <w:sz w:val="24"/>
                <w:szCs w:val="24"/>
              </w:rPr>
            </w:pPr>
          </w:p>
        </w:tc>
        <w:tc>
          <w:tcPr>
            <w:tcW w:w="921" w:type="dxa"/>
            <w:noWrap w:val="0"/>
            <w:vAlign w:val="top"/>
          </w:tcPr>
          <w:p w14:paraId="22D3D793">
            <w:pPr>
              <w:rPr>
                <w:rFonts w:hint="eastAsia" w:asciiTheme="minorEastAsia" w:hAnsiTheme="minorEastAsia" w:eastAsiaTheme="minorEastAsia" w:cstheme="minorEastAsia"/>
                <w:color w:val="000000"/>
                <w:sz w:val="24"/>
                <w:szCs w:val="24"/>
              </w:rPr>
            </w:pPr>
          </w:p>
        </w:tc>
      </w:tr>
      <w:tr w14:paraId="560CF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8539E60">
            <w:pPr>
              <w:rPr>
                <w:rFonts w:hint="eastAsia" w:asciiTheme="minorEastAsia" w:hAnsiTheme="minorEastAsia" w:eastAsiaTheme="minorEastAsia" w:cstheme="minorEastAsia"/>
                <w:color w:val="000000"/>
                <w:sz w:val="24"/>
                <w:szCs w:val="24"/>
              </w:rPr>
            </w:pPr>
          </w:p>
        </w:tc>
        <w:tc>
          <w:tcPr>
            <w:tcW w:w="1418" w:type="dxa"/>
            <w:noWrap w:val="0"/>
            <w:vAlign w:val="top"/>
          </w:tcPr>
          <w:p w14:paraId="1C095FC5">
            <w:pPr>
              <w:rPr>
                <w:rFonts w:hint="eastAsia" w:asciiTheme="minorEastAsia" w:hAnsiTheme="minorEastAsia" w:eastAsiaTheme="minorEastAsia" w:cstheme="minorEastAsia"/>
                <w:color w:val="000000"/>
                <w:sz w:val="24"/>
                <w:szCs w:val="24"/>
              </w:rPr>
            </w:pPr>
          </w:p>
        </w:tc>
        <w:tc>
          <w:tcPr>
            <w:tcW w:w="850" w:type="dxa"/>
            <w:noWrap w:val="0"/>
            <w:vAlign w:val="top"/>
          </w:tcPr>
          <w:p w14:paraId="41603430">
            <w:pPr>
              <w:rPr>
                <w:rFonts w:hint="eastAsia" w:asciiTheme="minorEastAsia" w:hAnsiTheme="minorEastAsia" w:eastAsiaTheme="minorEastAsia" w:cstheme="minorEastAsia"/>
                <w:color w:val="000000"/>
                <w:sz w:val="24"/>
                <w:szCs w:val="24"/>
              </w:rPr>
            </w:pPr>
          </w:p>
        </w:tc>
        <w:tc>
          <w:tcPr>
            <w:tcW w:w="1058" w:type="dxa"/>
            <w:noWrap w:val="0"/>
            <w:vAlign w:val="top"/>
          </w:tcPr>
          <w:p w14:paraId="711221CA">
            <w:pPr>
              <w:rPr>
                <w:rFonts w:hint="eastAsia" w:asciiTheme="minorEastAsia" w:hAnsiTheme="minorEastAsia" w:eastAsiaTheme="minorEastAsia" w:cstheme="minorEastAsia"/>
                <w:color w:val="000000"/>
                <w:sz w:val="24"/>
                <w:szCs w:val="24"/>
              </w:rPr>
            </w:pPr>
          </w:p>
        </w:tc>
        <w:tc>
          <w:tcPr>
            <w:tcW w:w="880" w:type="dxa"/>
            <w:noWrap w:val="0"/>
            <w:vAlign w:val="top"/>
          </w:tcPr>
          <w:p w14:paraId="7E191C90">
            <w:pPr>
              <w:rPr>
                <w:rFonts w:hint="eastAsia" w:asciiTheme="minorEastAsia" w:hAnsiTheme="minorEastAsia" w:eastAsiaTheme="minorEastAsia" w:cstheme="minorEastAsia"/>
                <w:color w:val="000000"/>
                <w:sz w:val="24"/>
                <w:szCs w:val="24"/>
              </w:rPr>
            </w:pPr>
          </w:p>
        </w:tc>
        <w:tc>
          <w:tcPr>
            <w:tcW w:w="1020" w:type="dxa"/>
            <w:noWrap w:val="0"/>
            <w:vAlign w:val="top"/>
          </w:tcPr>
          <w:p w14:paraId="2DAA8D91">
            <w:pPr>
              <w:rPr>
                <w:rFonts w:hint="eastAsia" w:asciiTheme="minorEastAsia" w:hAnsiTheme="minorEastAsia" w:eastAsiaTheme="minorEastAsia" w:cstheme="minorEastAsia"/>
                <w:color w:val="000000"/>
                <w:sz w:val="24"/>
                <w:szCs w:val="24"/>
              </w:rPr>
            </w:pPr>
          </w:p>
        </w:tc>
        <w:tc>
          <w:tcPr>
            <w:tcW w:w="1480" w:type="dxa"/>
            <w:noWrap w:val="0"/>
            <w:vAlign w:val="top"/>
          </w:tcPr>
          <w:p w14:paraId="5EA47EBD">
            <w:pPr>
              <w:rPr>
                <w:rFonts w:hint="eastAsia" w:asciiTheme="minorEastAsia" w:hAnsiTheme="minorEastAsia" w:eastAsiaTheme="minorEastAsia" w:cstheme="minorEastAsia"/>
                <w:color w:val="000000"/>
                <w:sz w:val="24"/>
                <w:szCs w:val="24"/>
              </w:rPr>
            </w:pPr>
          </w:p>
        </w:tc>
        <w:tc>
          <w:tcPr>
            <w:tcW w:w="1020" w:type="dxa"/>
            <w:noWrap w:val="0"/>
            <w:vAlign w:val="top"/>
          </w:tcPr>
          <w:p w14:paraId="1BAB257B">
            <w:pPr>
              <w:rPr>
                <w:rFonts w:hint="eastAsia" w:asciiTheme="minorEastAsia" w:hAnsiTheme="minorEastAsia" w:eastAsiaTheme="minorEastAsia" w:cstheme="minorEastAsia"/>
                <w:color w:val="000000"/>
                <w:sz w:val="24"/>
                <w:szCs w:val="24"/>
              </w:rPr>
            </w:pPr>
          </w:p>
        </w:tc>
        <w:tc>
          <w:tcPr>
            <w:tcW w:w="921" w:type="dxa"/>
            <w:noWrap w:val="0"/>
            <w:vAlign w:val="top"/>
          </w:tcPr>
          <w:p w14:paraId="660FE01B">
            <w:pPr>
              <w:rPr>
                <w:rFonts w:hint="eastAsia" w:asciiTheme="minorEastAsia" w:hAnsiTheme="minorEastAsia" w:eastAsiaTheme="minorEastAsia" w:cstheme="minorEastAsia"/>
                <w:color w:val="000000"/>
                <w:sz w:val="24"/>
                <w:szCs w:val="24"/>
              </w:rPr>
            </w:pPr>
          </w:p>
        </w:tc>
      </w:tr>
      <w:tr w14:paraId="27F5B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06DDEBEB">
            <w:pPr>
              <w:rPr>
                <w:rFonts w:hint="eastAsia" w:asciiTheme="minorEastAsia" w:hAnsiTheme="minorEastAsia" w:eastAsiaTheme="minorEastAsia" w:cstheme="minorEastAsia"/>
                <w:color w:val="000000"/>
                <w:sz w:val="24"/>
                <w:szCs w:val="24"/>
              </w:rPr>
            </w:pPr>
          </w:p>
        </w:tc>
        <w:tc>
          <w:tcPr>
            <w:tcW w:w="1418" w:type="dxa"/>
            <w:noWrap w:val="0"/>
            <w:vAlign w:val="top"/>
          </w:tcPr>
          <w:p w14:paraId="6007D71E">
            <w:pPr>
              <w:rPr>
                <w:rFonts w:hint="eastAsia" w:asciiTheme="minorEastAsia" w:hAnsiTheme="minorEastAsia" w:eastAsiaTheme="minorEastAsia" w:cstheme="minorEastAsia"/>
                <w:color w:val="000000"/>
                <w:sz w:val="24"/>
                <w:szCs w:val="24"/>
              </w:rPr>
            </w:pPr>
          </w:p>
        </w:tc>
        <w:tc>
          <w:tcPr>
            <w:tcW w:w="850" w:type="dxa"/>
            <w:noWrap w:val="0"/>
            <w:vAlign w:val="top"/>
          </w:tcPr>
          <w:p w14:paraId="24B194B1">
            <w:pPr>
              <w:rPr>
                <w:rFonts w:hint="eastAsia" w:asciiTheme="minorEastAsia" w:hAnsiTheme="minorEastAsia" w:eastAsiaTheme="minorEastAsia" w:cstheme="minorEastAsia"/>
                <w:color w:val="000000"/>
                <w:sz w:val="24"/>
                <w:szCs w:val="24"/>
              </w:rPr>
            </w:pPr>
          </w:p>
        </w:tc>
        <w:tc>
          <w:tcPr>
            <w:tcW w:w="1058" w:type="dxa"/>
            <w:noWrap w:val="0"/>
            <w:vAlign w:val="top"/>
          </w:tcPr>
          <w:p w14:paraId="05C9636C">
            <w:pPr>
              <w:rPr>
                <w:rFonts w:hint="eastAsia" w:asciiTheme="minorEastAsia" w:hAnsiTheme="minorEastAsia" w:eastAsiaTheme="minorEastAsia" w:cstheme="minorEastAsia"/>
                <w:color w:val="000000"/>
                <w:sz w:val="24"/>
                <w:szCs w:val="24"/>
              </w:rPr>
            </w:pPr>
          </w:p>
        </w:tc>
        <w:tc>
          <w:tcPr>
            <w:tcW w:w="880" w:type="dxa"/>
            <w:noWrap w:val="0"/>
            <w:vAlign w:val="top"/>
          </w:tcPr>
          <w:p w14:paraId="16738A50">
            <w:pPr>
              <w:rPr>
                <w:rFonts w:hint="eastAsia" w:asciiTheme="minorEastAsia" w:hAnsiTheme="minorEastAsia" w:eastAsiaTheme="minorEastAsia" w:cstheme="minorEastAsia"/>
                <w:color w:val="000000"/>
                <w:sz w:val="24"/>
                <w:szCs w:val="24"/>
              </w:rPr>
            </w:pPr>
          </w:p>
        </w:tc>
        <w:tc>
          <w:tcPr>
            <w:tcW w:w="1020" w:type="dxa"/>
            <w:noWrap w:val="0"/>
            <w:vAlign w:val="top"/>
          </w:tcPr>
          <w:p w14:paraId="574EC3E9">
            <w:pPr>
              <w:rPr>
                <w:rFonts w:hint="eastAsia" w:asciiTheme="minorEastAsia" w:hAnsiTheme="minorEastAsia" w:eastAsiaTheme="minorEastAsia" w:cstheme="minorEastAsia"/>
                <w:color w:val="000000"/>
                <w:sz w:val="24"/>
                <w:szCs w:val="24"/>
              </w:rPr>
            </w:pPr>
          </w:p>
        </w:tc>
        <w:tc>
          <w:tcPr>
            <w:tcW w:w="1480" w:type="dxa"/>
            <w:noWrap w:val="0"/>
            <w:vAlign w:val="top"/>
          </w:tcPr>
          <w:p w14:paraId="7AC11585">
            <w:pPr>
              <w:rPr>
                <w:rFonts w:hint="eastAsia" w:asciiTheme="minorEastAsia" w:hAnsiTheme="minorEastAsia" w:eastAsiaTheme="minorEastAsia" w:cstheme="minorEastAsia"/>
                <w:color w:val="000000"/>
                <w:sz w:val="24"/>
                <w:szCs w:val="24"/>
              </w:rPr>
            </w:pPr>
          </w:p>
        </w:tc>
        <w:tc>
          <w:tcPr>
            <w:tcW w:w="1020" w:type="dxa"/>
            <w:noWrap w:val="0"/>
            <w:vAlign w:val="top"/>
          </w:tcPr>
          <w:p w14:paraId="7C763499">
            <w:pPr>
              <w:rPr>
                <w:rFonts w:hint="eastAsia" w:asciiTheme="minorEastAsia" w:hAnsiTheme="minorEastAsia" w:eastAsiaTheme="minorEastAsia" w:cstheme="minorEastAsia"/>
                <w:color w:val="000000"/>
                <w:sz w:val="24"/>
                <w:szCs w:val="24"/>
              </w:rPr>
            </w:pPr>
          </w:p>
        </w:tc>
        <w:tc>
          <w:tcPr>
            <w:tcW w:w="921" w:type="dxa"/>
            <w:noWrap w:val="0"/>
            <w:vAlign w:val="top"/>
          </w:tcPr>
          <w:p w14:paraId="5D74F2B5">
            <w:pPr>
              <w:rPr>
                <w:rFonts w:hint="eastAsia" w:asciiTheme="minorEastAsia" w:hAnsiTheme="minorEastAsia" w:eastAsiaTheme="minorEastAsia" w:cstheme="minorEastAsia"/>
                <w:color w:val="000000"/>
                <w:sz w:val="24"/>
                <w:szCs w:val="24"/>
              </w:rPr>
            </w:pPr>
          </w:p>
        </w:tc>
      </w:tr>
      <w:tr w14:paraId="0C941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1418EDD">
            <w:pPr>
              <w:rPr>
                <w:rFonts w:hint="eastAsia" w:asciiTheme="minorEastAsia" w:hAnsiTheme="minorEastAsia" w:eastAsiaTheme="minorEastAsia" w:cstheme="minorEastAsia"/>
                <w:color w:val="000000"/>
                <w:sz w:val="24"/>
                <w:szCs w:val="24"/>
              </w:rPr>
            </w:pPr>
          </w:p>
        </w:tc>
        <w:tc>
          <w:tcPr>
            <w:tcW w:w="1418" w:type="dxa"/>
            <w:noWrap w:val="0"/>
            <w:vAlign w:val="top"/>
          </w:tcPr>
          <w:p w14:paraId="7B325E27">
            <w:pPr>
              <w:rPr>
                <w:rFonts w:hint="eastAsia" w:asciiTheme="minorEastAsia" w:hAnsiTheme="minorEastAsia" w:eastAsiaTheme="minorEastAsia" w:cstheme="minorEastAsia"/>
                <w:color w:val="000000"/>
                <w:sz w:val="24"/>
                <w:szCs w:val="24"/>
              </w:rPr>
            </w:pPr>
          </w:p>
        </w:tc>
        <w:tc>
          <w:tcPr>
            <w:tcW w:w="850" w:type="dxa"/>
            <w:noWrap w:val="0"/>
            <w:vAlign w:val="top"/>
          </w:tcPr>
          <w:p w14:paraId="668F8815">
            <w:pPr>
              <w:rPr>
                <w:rFonts w:hint="eastAsia" w:asciiTheme="minorEastAsia" w:hAnsiTheme="minorEastAsia" w:eastAsiaTheme="minorEastAsia" w:cstheme="minorEastAsia"/>
                <w:color w:val="000000"/>
                <w:sz w:val="24"/>
                <w:szCs w:val="24"/>
              </w:rPr>
            </w:pPr>
          </w:p>
        </w:tc>
        <w:tc>
          <w:tcPr>
            <w:tcW w:w="1058" w:type="dxa"/>
            <w:noWrap w:val="0"/>
            <w:vAlign w:val="top"/>
          </w:tcPr>
          <w:p w14:paraId="49A602C3">
            <w:pPr>
              <w:rPr>
                <w:rFonts w:hint="eastAsia" w:asciiTheme="minorEastAsia" w:hAnsiTheme="minorEastAsia" w:eastAsiaTheme="minorEastAsia" w:cstheme="minorEastAsia"/>
                <w:color w:val="000000"/>
                <w:sz w:val="24"/>
                <w:szCs w:val="24"/>
              </w:rPr>
            </w:pPr>
          </w:p>
        </w:tc>
        <w:tc>
          <w:tcPr>
            <w:tcW w:w="880" w:type="dxa"/>
            <w:noWrap w:val="0"/>
            <w:vAlign w:val="top"/>
          </w:tcPr>
          <w:p w14:paraId="1A494B53">
            <w:pPr>
              <w:rPr>
                <w:rFonts w:hint="eastAsia" w:asciiTheme="minorEastAsia" w:hAnsiTheme="minorEastAsia" w:eastAsiaTheme="minorEastAsia" w:cstheme="minorEastAsia"/>
                <w:color w:val="000000"/>
                <w:sz w:val="24"/>
                <w:szCs w:val="24"/>
              </w:rPr>
            </w:pPr>
          </w:p>
        </w:tc>
        <w:tc>
          <w:tcPr>
            <w:tcW w:w="1020" w:type="dxa"/>
            <w:noWrap w:val="0"/>
            <w:vAlign w:val="top"/>
          </w:tcPr>
          <w:p w14:paraId="0AD059CA">
            <w:pPr>
              <w:rPr>
                <w:rFonts w:hint="eastAsia" w:asciiTheme="minorEastAsia" w:hAnsiTheme="minorEastAsia" w:eastAsiaTheme="minorEastAsia" w:cstheme="minorEastAsia"/>
                <w:color w:val="000000"/>
                <w:sz w:val="24"/>
                <w:szCs w:val="24"/>
              </w:rPr>
            </w:pPr>
          </w:p>
        </w:tc>
        <w:tc>
          <w:tcPr>
            <w:tcW w:w="1480" w:type="dxa"/>
            <w:noWrap w:val="0"/>
            <w:vAlign w:val="top"/>
          </w:tcPr>
          <w:p w14:paraId="2F5ECF25">
            <w:pPr>
              <w:rPr>
                <w:rFonts w:hint="eastAsia" w:asciiTheme="minorEastAsia" w:hAnsiTheme="minorEastAsia" w:eastAsiaTheme="minorEastAsia" w:cstheme="minorEastAsia"/>
                <w:color w:val="000000"/>
                <w:sz w:val="24"/>
                <w:szCs w:val="24"/>
              </w:rPr>
            </w:pPr>
          </w:p>
        </w:tc>
        <w:tc>
          <w:tcPr>
            <w:tcW w:w="1020" w:type="dxa"/>
            <w:noWrap w:val="0"/>
            <w:vAlign w:val="top"/>
          </w:tcPr>
          <w:p w14:paraId="75FA17B1">
            <w:pPr>
              <w:rPr>
                <w:rFonts w:hint="eastAsia" w:asciiTheme="minorEastAsia" w:hAnsiTheme="minorEastAsia" w:eastAsiaTheme="minorEastAsia" w:cstheme="minorEastAsia"/>
                <w:color w:val="000000"/>
                <w:sz w:val="24"/>
                <w:szCs w:val="24"/>
              </w:rPr>
            </w:pPr>
          </w:p>
        </w:tc>
        <w:tc>
          <w:tcPr>
            <w:tcW w:w="921" w:type="dxa"/>
            <w:noWrap w:val="0"/>
            <w:vAlign w:val="top"/>
          </w:tcPr>
          <w:p w14:paraId="7C035A7D">
            <w:pPr>
              <w:rPr>
                <w:rFonts w:hint="eastAsia" w:asciiTheme="minorEastAsia" w:hAnsiTheme="minorEastAsia" w:eastAsiaTheme="minorEastAsia" w:cstheme="minorEastAsia"/>
                <w:color w:val="000000"/>
                <w:sz w:val="24"/>
                <w:szCs w:val="24"/>
              </w:rPr>
            </w:pPr>
          </w:p>
        </w:tc>
      </w:tr>
      <w:tr w14:paraId="6F812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03D1371">
            <w:pPr>
              <w:rPr>
                <w:rFonts w:hint="eastAsia" w:asciiTheme="minorEastAsia" w:hAnsiTheme="minorEastAsia" w:eastAsiaTheme="minorEastAsia" w:cstheme="minorEastAsia"/>
                <w:color w:val="000000"/>
                <w:sz w:val="24"/>
                <w:szCs w:val="24"/>
              </w:rPr>
            </w:pPr>
          </w:p>
        </w:tc>
        <w:tc>
          <w:tcPr>
            <w:tcW w:w="1418" w:type="dxa"/>
            <w:noWrap w:val="0"/>
            <w:vAlign w:val="top"/>
          </w:tcPr>
          <w:p w14:paraId="6C789B59">
            <w:pPr>
              <w:rPr>
                <w:rFonts w:hint="eastAsia" w:asciiTheme="minorEastAsia" w:hAnsiTheme="minorEastAsia" w:eastAsiaTheme="minorEastAsia" w:cstheme="minorEastAsia"/>
                <w:color w:val="000000"/>
                <w:sz w:val="24"/>
                <w:szCs w:val="24"/>
              </w:rPr>
            </w:pPr>
          </w:p>
        </w:tc>
        <w:tc>
          <w:tcPr>
            <w:tcW w:w="850" w:type="dxa"/>
            <w:noWrap w:val="0"/>
            <w:vAlign w:val="top"/>
          </w:tcPr>
          <w:p w14:paraId="605DE2F2">
            <w:pPr>
              <w:rPr>
                <w:rFonts w:hint="eastAsia" w:asciiTheme="minorEastAsia" w:hAnsiTheme="minorEastAsia" w:eastAsiaTheme="minorEastAsia" w:cstheme="minorEastAsia"/>
                <w:color w:val="000000"/>
                <w:sz w:val="24"/>
                <w:szCs w:val="24"/>
              </w:rPr>
            </w:pPr>
          </w:p>
        </w:tc>
        <w:tc>
          <w:tcPr>
            <w:tcW w:w="1058" w:type="dxa"/>
            <w:noWrap w:val="0"/>
            <w:vAlign w:val="top"/>
          </w:tcPr>
          <w:p w14:paraId="6E8ACCA5">
            <w:pPr>
              <w:rPr>
                <w:rFonts w:hint="eastAsia" w:asciiTheme="minorEastAsia" w:hAnsiTheme="minorEastAsia" w:eastAsiaTheme="minorEastAsia" w:cstheme="minorEastAsia"/>
                <w:color w:val="000000"/>
                <w:sz w:val="24"/>
                <w:szCs w:val="24"/>
              </w:rPr>
            </w:pPr>
          </w:p>
        </w:tc>
        <w:tc>
          <w:tcPr>
            <w:tcW w:w="880" w:type="dxa"/>
            <w:noWrap w:val="0"/>
            <w:vAlign w:val="top"/>
          </w:tcPr>
          <w:p w14:paraId="60C565A4">
            <w:pPr>
              <w:rPr>
                <w:rFonts w:hint="eastAsia" w:asciiTheme="minorEastAsia" w:hAnsiTheme="minorEastAsia" w:eastAsiaTheme="minorEastAsia" w:cstheme="minorEastAsia"/>
                <w:color w:val="000000"/>
                <w:sz w:val="24"/>
                <w:szCs w:val="24"/>
              </w:rPr>
            </w:pPr>
          </w:p>
        </w:tc>
        <w:tc>
          <w:tcPr>
            <w:tcW w:w="1020" w:type="dxa"/>
            <w:noWrap w:val="0"/>
            <w:vAlign w:val="top"/>
          </w:tcPr>
          <w:p w14:paraId="51187D02">
            <w:pPr>
              <w:rPr>
                <w:rFonts w:hint="eastAsia" w:asciiTheme="minorEastAsia" w:hAnsiTheme="minorEastAsia" w:eastAsiaTheme="minorEastAsia" w:cstheme="minorEastAsia"/>
                <w:color w:val="000000"/>
                <w:sz w:val="24"/>
                <w:szCs w:val="24"/>
              </w:rPr>
            </w:pPr>
          </w:p>
        </w:tc>
        <w:tc>
          <w:tcPr>
            <w:tcW w:w="1480" w:type="dxa"/>
            <w:noWrap w:val="0"/>
            <w:vAlign w:val="top"/>
          </w:tcPr>
          <w:p w14:paraId="2E97E520">
            <w:pPr>
              <w:rPr>
                <w:rFonts w:hint="eastAsia" w:asciiTheme="minorEastAsia" w:hAnsiTheme="minorEastAsia" w:eastAsiaTheme="minorEastAsia" w:cstheme="minorEastAsia"/>
                <w:color w:val="000000"/>
                <w:sz w:val="24"/>
                <w:szCs w:val="24"/>
              </w:rPr>
            </w:pPr>
          </w:p>
        </w:tc>
        <w:tc>
          <w:tcPr>
            <w:tcW w:w="1020" w:type="dxa"/>
            <w:noWrap w:val="0"/>
            <w:vAlign w:val="top"/>
          </w:tcPr>
          <w:p w14:paraId="0424C409">
            <w:pPr>
              <w:rPr>
                <w:rFonts w:hint="eastAsia" w:asciiTheme="minorEastAsia" w:hAnsiTheme="minorEastAsia" w:eastAsiaTheme="minorEastAsia" w:cstheme="minorEastAsia"/>
                <w:color w:val="000000"/>
                <w:sz w:val="24"/>
                <w:szCs w:val="24"/>
              </w:rPr>
            </w:pPr>
          </w:p>
        </w:tc>
        <w:tc>
          <w:tcPr>
            <w:tcW w:w="921" w:type="dxa"/>
            <w:noWrap w:val="0"/>
            <w:vAlign w:val="top"/>
          </w:tcPr>
          <w:p w14:paraId="0019CDA3">
            <w:pPr>
              <w:rPr>
                <w:rFonts w:hint="eastAsia" w:asciiTheme="minorEastAsia" w:hAnsiTheme="minorEastAsia" w:eastAsiaTheme="minorEastAsia" w:cstheme="minorEastAsia"/>
                <w:color w:val="000000"/>
                <w:sz w:val="24"/>
                <w:szCs w:val="24"/>
              </w:rPr>
            </w:pPr>
          </w:p>
        </w:tc>
      </w:tr>
      <w:tr w14:paraId="548899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3595B515">
            <w:pPr>
              <w:rPr>
                <w:rFonts w:hint="eastAsia" w:asciiTheme="minorEastAsia" w:hAnsiTheme="minorEastAsia" w:eastAsiaTheme="minorEastAsia" w:cstheme="minorEastAsia"/>
                <w:color w:val="000000"/>
                <w:sz w:val="24"/>
                <w:szCs w:val="24"/>
              </w:rPr>
            </w:pPr>
          </w:p>
        </w:tc>
        <w:tc>
          <w:tcPr>
            <w:tcW w:w="1418" w:type="dxa"/>
            <w:noWrap w:val="0"/>
            <w:vAlign w:val="top"/>
          </w:tcPr>
          <w:p w14:paraId="6BD86F46">
            <w:pPr>
              <w:rPr>
                <w:rFonts w:hint="eastAsia" w:asciiTheme="minorEastAsia" w:hAnsiTheme="minorEastAsia" w:eastAsiaTheme="minorEastAsia" w:cstheme="minorEastAsia"/>
                <w:color w:val="000000"/>
                <w:sz w:val="24"/>
                <w:szCs w:val="24"/>
              </w:rPr>
            </w:pPr>
          </w:p>
        </w:tc>
        <w:tc>
          <w:tcPr>
            <w:tcW w:w="850" w:type="dxa"/>
            <w:noWrap w:val="0"/>
            <w:vAlign w:val="top"/>
          </w:tcPr>
          <w:p w14:paraId="32E46125">
            <w:pPr>
              <w:rPr>
                <w:rFonts w:hint="eastAsia" w:asciiTheme="minorEastAsia" w:hAnsiTheme="minorEastAsia" w:eastAsiaTheme="minorEastAsia" w:cstheme="minorEastAsia"/>
                <w:color w:val="000000"/>
                <w:sz w:val="24"/>
                <w:szCs w:val="24"/>
              </w:rPr>
            </w:pPr>
          </w:p>
        </w:tc>
        <w:tc>
          <w:tcPr>
            <w:tcW w:w="1058" w:type="dxa"/>
            <w:noWrap w:val="0"/>
            <w:vAlign w:val="top"/>
          </w:tcPr>
          <w:p w14:paraId="156086BF">
            <w:pPr>
              <w:rPr>
                <w:rFonts w:hint="eastAsia" w:asciiTheme="minorEastAsia" w:hAnsiTheme="minorEastAsia" w:eastAsiaTheme="minorEastAsia" w:cstheme="minorEastAsia"/>
                <w:color w:val="000000"/>
                <w:sz w:val="24"/>
                <w:szCs w:val="24"/>
              </w:rPr>
            </w:pPr>
          </w:p>
        </w:tc>
        <w:tc>
          <w:tcPr>
            <w:tcW w:w="880" w:type="dxa"/>
            <w:noWrap w:val="0"/>
            <w:vAlign w:val="top"/>
          </w:tcPr>
          <w:p w14:paraId="090E129D">
            <w:pPr>
              <w:rPr>
                <w:rFonts w:hint="eastAsia" w:asciiTheme="minorEastAsia" w:hAnsiTheme="minorEastAsia" w:eastAsiaTheme="minorEastAsia" w:cstheme="minorEastAsia"/>
                <w:color w:val="000000"/>
                <w:sz w:val="24"/>
                <w:szCs w:val="24"/>
              </w:rPr>
            </w:pPr>
          </w:p>
        </w:tc>
        <w:tc>
          <w:tcPr>
            <w:tcW w:w="1020" w:type="dxa"/>
            <w:noWrap w:val="0"/>
            <w:vAlign w:val="top"/>
          </w:tcPr>
          <w:p w14:paraId="7BCAC1F6">
            <w:pPr>
              <w:rPr>
                <w:rFonts w:hint="eastAsia" w:asciiTheme="minorEastAsia" w:hAnsiTheme="minorEastAsia" w:eastAsiaTheme="minorEastAsia" w:cstheme="minorEastAsia"/>
                <w:color w:val="000000"/>
                <w:sz w:val="24"/>
                <w:szCs w:val="24"/>
              </w:rPr>
            </w:pPr>
          </w:p>
        </w:tc>
        <w:tc>
          <w:tcPr>
            <w:tcW w:w="1480" w:type="dxa"/>
            <w:noWrap w:val="0"/>
            <w:vAlign w:val="top"/>
          </w:tcPr>
          <w:p w14:paraId="1BBAB708">
            <w:pPr>
              <w:rPr>
                <w:rFonts w:hint="eastAsia" w:asciiTheme="minorEastAsia" w:hAnsiTheme="minorEastAsia" w:eastAsiaTheme="minorEastAsia" w:cstheme="minorEastAsia"/>
                <w:color w:val="000000"/>
                <w:sz w:val="24"/>
                <w:szCs w:val="24"/>
              </w:rPr>
            </w:pPr>
          </w:p>
        </w:tc>
        <w:tc>
          <w:tcPr>
            <w:tcW w:w="1020" w:type="dxa"/>
            <w:noWrap w:val="0"/>
            <w:vAlign w:val="top"/>
          </w:tcPr>
          <w:p w14:paraId="69154C64">
            <w:pPr>
              <w:rPr>
                <w:rFonts w:hint="eastAsia" w:asciiTheme="minorEastAsia" w:hAnsiTheme="minorEastAsia" w:eastAsiaTheme="minorEastAsia" w:cstheme="minorEastAsia"/>
                <w:color w:val="000000"/>
                <w:sz w:val="24"/>
                <w:szCs w:val="24"/>
              </w:rPr>
            </w:pPr>
          </w:p>
        </w:tc>
        <w:tc>
          <w:tcPr>
            <w:tcW w:w="921" w:type="dxa"/>
            <w:noWrap w:val="0"/>
            <w:vAlign w:val="top"/>
          </w:tcPr>
          <w:p w14:paraId="6BC01AA9">
            <w:pPr>
              <w:rPr>
                <w:rFonts w:hint="eastAsia" w:asciiTheme="minorEastAsia" w:hAnsiTheme="minorEastAsia" w:eastAsiaTheme="minorEastAsia" w:cstheme="minorEastAsia"/>
                <w:color w:val="000000"/>
                <w:sz w:val="24"/>
                <w:szCs w:val="24"/>
              </w:rPr>
            </w:pPr>
          </w:p>
        </w:tc>
      </w:tr>
      <w:tr w14:paraId="78B80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E955764">
            <w:pPr>
              <w:rPr>
                <w:rFonts w:hint="eastAsia" w:asciiTheme="minorEastAsia" w:hAnsiTheme="minorEastAsia" w:eastAsiaTheme="minorEastAsia" w:cstheme="minorEastAsia"/>
                <w:color w:val="000000"/>
                <w:sz w:val="24"/>
                <w:szCs w:val="24"/>
              </w:rPr>
            </w:pPr>
          </w:p>
        </w:tc>
        <w:tc>
          <w:tcPr>
            <w:tcW w:w="1418" w:type="dxa"/>
            <w:noWrap w:val="0"/>
            <w:vAlign w:val="top"/>
          </w:tcPr>
          <w:p w14:paraId="418B6C46">
            <w:pPr>
              <w:rPr>
                <w:rFonts w:hint="eastAsia" w:asciiTheme="minorEastAsia" w:hAnsiTheme="minorEastAsia" w:eastAsiaTheme="minorEastAsia" w:cstheme="minorEastAsia"/>
                <w:color w:val="000000"/>
                <w:sz w:val="24"/>
                <w:szCs w:val="24"/>
              </w:rPr>
            </w:pPr>
          </w:p>
        </w:tc>
        <w:tc>
          <w:tcPr>
            <w:tcW w:w="850" w:type="dxa"/>
            <w:noWrap w:val="0"/>
            <w:vAlign w:val="top"/>
          </w:tcPr>
          <w:p w14:paraId="075B8570">
            <w:pPr>
              <w:rPr>
                <w:rFonts w:hint="eastAsia" w:asciiTheme="minorEastAsia" w:hAnsiTheme="minorEastAsia" w:eastAsiaTheme="minorEastAsia" w:cstheme="minorEastAsia"/>
                <w:color w:val="000000"/>
                <w:sz w:val="24"/>
                <w:szCs w:val="24"/>
              </w:rPr>
            </w:pPr>
          </w:p>
        </w:tc>
        <w:tc>
          <w:tcPr>
            <w:tcW w:w="1058" w:type="dxa"/>
            <w:noWrap w:val="0"/>
            <w:vAlign w:val="top"/>
          </w:tcPr>
          <w:p w14:paraId="3F129039">
            <w:pPr>
              <w:rPr>
                <w:rFonts w:hint="eastAsia" w:asciiTheme="minorEastAsia" w:hAnsiTheme="minorEastAsia" w:eastAsiaTheme="minorEastAsia" w:cstheme="minorEastAsia"/>
                <w:color w:val="000000"/>
                <w:sz w:val="24"/>
                <w:szCs w:val="24"/>
              </w:rPr>
            </w:pPr>
          </w:p>
        </w:tc>
        <w:tc>
          <w:tcPr>
            <w:tcW w:w="880" w:type="dxa"/>
            <w:noWrap w:val="0"/>
            <w:vAlign w:val="top"/>
          </w:tcPr>
          <w:p w14:paraId="1D5368B4">
            <w:pPr>
              <w:rPr>
                <w:rFonts w:hint="eastAsia" w:asciiTheme="minorEastAsia" w:hAnsiTheme="minorEastAsia" w:eastAsiaTheme="minorEastAsia" w:cstheme="minorEastAsia"/>
                <w:color w:val="000000"/>
                <w:sz w:val="24"/>
                <w:szCs w:val="24"/>
              </w:rPr>
            </w:pPr>
          </w:p>
        </w:tc>
        <w:tc>
          <w:tcPr>
            <w:tcW w:w="1020" w:type="dxa"/>
            <w:noWrap w:val="0"/>
            <w:vAlign w:val="top"/>
          </w:tcPr>
          <w:p w14:paraId="5C60732D">
            <w:pPr>
              <w:rPr>
                <w:rFonts w:hint="eastAsia" w:asciiTheme="minorEastAsia" w:hAnsiTheme="minorEastAsia" w:eastAsiaTheme="minorEastAsia" w:cstheme="minorEastAsia"/>
                <w:color w:val="000000"/>
                <w:sz w:val="24"/>
                <w:szCs w:val="24"/>
              </w:rPr>
            </w:pPr>
          </w:p>
        </w:tc>
        <w:tc>
          <w:tcPr>
            <w:tcW w:w="1480" w:type="dxa"/>
            <w:noWrap w:val="0"/>
            <w:vAlign w:val="top"/>
          </w:tcPr>
          <w:p w14:paraId="2E99E8ED">
            <w:pPr>
              <w:rPr>
                <w:rFonts w:hint="eastAsia" w:asciiTheme="minorEastAsia" w:hAnsiTheme="minorEastAsia" w:eastAsiaTheme="minorEastAsia" w:cstheme="minorEastAsia"/>
                <w:color w:val="000000"/>
                <w:sz w:val="24"/>
                <w:szCs w:val="24"/>
              </w:rPr>
            </w:pPr>
          </w:p>
        </w:tc>
        <w:tc>
          <w:tcPr>
            <w:tcW w:w="1020" w:type="dxa"/>
            <w:noWrap w:val="0"/>
            <w:vAlign w:val="top"/>
          </w:tcPr>
          <w:p w14:paraId="1D41A6ED">
            <w:pPr>
              <w:rPr>
                <w:rFonts w:hint="eastAsia" w:asciiTheme="minorEastAsia" w:hAnsiTheme="minorEastAsia" w:eastAsiaTheme="minorEastAsia" w:cstheme="minorEastAsia"/>
                <w:color w:val="000000"/>
                <w:sz w:val="24"/>
                <w:szCs w:val="24"/>
              </w:rPr>
            </w:pPr>
          </w:p>
        </w:tc>
        <w:tc>
          <w:tcPr>
            <w:tcW w:w="921" w:type="dxa"/>
            <w:noWrap w:val="0"/>
            <w:vAlign w:val="top"/>
          </w:tcPr>
          <w:p w14:paraId="43D6460C">
            <w:pPr>
              <w:rPr>
                <w:rFonts w:hint="eastAsia" w:asciiTheme="minorEastAsia" w:hAnsiTheme="minorEastAsia" w:eastAsiaTheme="minorEastAsia" w:cstheme="minorEastAsia"/>
                <w:color w:val="000000"/>
                <w:sz w:val="24"/>
                <w:szCs w:val="24"/>
              </w:rPr>
            </w:pPr>
          </w:p>
        </w:tc>
      </w:tr>
    </w:tbl>
    <w:p w14:paraId="65D35A24">
      <w:pPr>
        <w:spacing w:line="440" w:lineRule="exact"/>
        <w:rPr>
          <w:rFonts w:hint="eastAsia" w:asciiTheme="minorEastAsia" w:hAnsiTheme="minorEastAsia" w:eastAsiaTheme="minorEastAsia" w:cstheme="minorEastAsia"/>
          <w:color w:val="000000"/>
          <w:sz w:val="24"/>
          <w:szCs w:val="24"/>
        </w:rPr>
      </w:pPr>
    </w:p>
    <w:p w14:paraId="5E1D2572">
      <w:pPr>
        <w:spacing w:line="44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w:t>
      </w:r>
      <w:bookmarkStart w:id="1397" w:name="_Toc296346729"/>
      <w:bookmarkStart w:id="1398" w:name="_Toc296503228"/>
      <w:bookmarkStart w:id="1399" w:name="_Toc296891056"/>
      <w:bookmarkStart w:id="1400" w:name="_Toc296944567"/>
      <w:bookmarkStart w:id="1401" w:name="_Toc296891268"/>
      <w:bookmarkStart w:id="1402" w:name="_Toc296347227"/>
      <w:bookmarkStart w:id="1403" w:name="_Toc267261699"/>
      <w:r>
        <w:rPr>
          <w:rFonts w:hint="eastAsia" w:asciiTheme="minorEastAsia" w:hAnsiTheme="minorEastAsia" w:eastAsiaTheme="minorEastAsia" w:cstheme="minorEastAsia"/>
          <w:color w:val="000000"/>
          <w:sz w:val="24"/>
          <w:szCs w:val="24"/>
        </w:rPr>
        <w:t>件6：</w:t>
      </w:r>
    </w:p>
    <w:bookmarkEnd w:id="1397"/>
    <w:bookmarkEnd w:id="1398"/>
    <w:bookmarkEnd w:id="1399"/>
    <w:bookmarkEnd w:id="1400"/>
    <w:bookmarkEnd w:id="1401"/>
    <w:bookmarkEnd w:id="1402"/>
    <w:bookmarkEnd w:id="1403"/>
    <w:p w14:paraId="2E38F8E3">
      <w:pPr>
        <w:spacing w:before="156" w:beforeLines="50" w:after="156" w:afterLines="50" w:line="4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承包人主要施工管理人员表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25561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19A507B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名    称</w:t>
            </w:r>
          </w:p>
        </w:tc>
        <w:tc>
          <w:tcPr>
            <w:tcW w:w="1418" w:type="dxa"/>
            <w:tcBorders>
              <w:top w:val="single" w:color="auto" w:sz="12" w:space="0"/>
              <w:bottom w:val="double" w:color="auto" w:sz="6" w:space="0"/>
            </w:tcBorders>
            <w:noWrap w:val="0"/>
            <w:vAlign w:val="center"/>
          </w:tcPr>
          <w:p w14:paraId="2C98DF7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姓名</w:t>
            </w:r>
          </w:p>
        </w:tc>
        <w:tc>
          <w:tcPr>
            <w:tcW w:w="1134" w:type="dxa"/>
            <w:tcBorders>
              <w:top w:val="single" w:color="auto" w:sz="12" w:space="0"/>
              <w:bottom w:val="double" w:color="auto" w:sz="6" w:space="0"/>
            </w:tcBorders>
            <w:noWrap w:val="0"/>
            <w:vAlign w:val="center"/>
          </w:tcPr>
          <w:p w14:paraId="37CDAB3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职务</w:t>
            </w:r>
          </w:p>
        </w:tc>
        <w:tc>
          <w:tcPr>
            <w:tcW w:w="1134" w:type="dxa"/>
            <w:tcBorders>
              <w:top w:val="single" w:color="auto" w:sz="12" w:space="0"/>
              <w:bottom w:val="double" w:color="auto" w:sz="6" w:space="0"/>
            </w:tcBorders>
            <w:noWrap w:val="0"/>
            <w:vAlign w:val="center"/>
          </w:tcPr>
          <w:p w14:paraId="5E9E797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职称</w:t>
            </w:r>
          </w:p>
        </w:tc>
        <w:tc>
          <w:tcPr>
            <w:tcW w:w="4252" w:type="dxa"/>
            <w:tcBorders>
              <w:top w:val="single" w:color="auto" w:sz="12" w:space="0"/>
              <w:bottom w:val="double" w:color="auto" w:sz="6" w:space="0"/>
            </w:tcBorders>
            <w:noWrap w:val="0"/>
            <w:vAlign w:val="center"/>
          </w:tcPr>
          <w:p w14:paraId="1301262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主要资历、经验及承担过的项目</w:t>
            </w:r>
          </w:p>
        </w:tc>
      </w:tr>
      <w:tr w14:paraId="1C105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047CAD4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一、总部人员</w:t>
            </w:r>
          </w:p>
        </w:tc>
      </w:tr>
      <w:tr w14:paraId="7AE3B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A95261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项目主管</w:t>
            </w:r>
          </w:p>
        </w:tc>
        <w:tc>
          <w:tcPr>
            <w:tcW w:w="1418" w:type="dxa"/>
            <w:tcBorders>
              <w:top w:val="nil"/>
            </w:tcBorders>
            <w:noWrap w:val="0"/>
            <w:vAlign w:val="center"/>
          </w:tcPr>
          <w:p w14:paraId="5AC1451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tcBorders>
              <w:top w:val="nil"/>
            </w:tcBorders>
            <w:noWrap w:val="0"/>
            <w:vAlign w:val="center"/>
          </w:tcPr>
          <w:p w14:paraId="311181F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tcBorders>
              <w:top w:val="nil"/>
            </w:tcBorders>
            <w:noWrap w:val="0"/>
            <w:vAlign w:val="center"/>
          </w:tcPr>
          <w:p w14:paraId="2542A2F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tcBorders>
              <w:top w:val="nil"/>
            </w:tcBorders>
            <w:noWrap w:val="0"/>
            <w:vAlign w:val="center"/>
          </w:tcPr>
          <w:p w14:paraId="3DF81BA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2AC3D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0079D4A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4F47722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7B7A1D9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0149C9B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1BECE3C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F021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60CC44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其他人员</w:t>
            </w:r>
          </w:p>
        </w:tc>
        <w:tc>
          <w:tcPr>
            <w:tcW w:w="1418" w:type="dxa"/>
            <w:noWrap w:val="0"/>
            <w:vAlign w:val="center"/>
          </w:tcPr>
          <w:p w14:paraId="26A11B3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61DFE59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11892A3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5A2F25B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5AF0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6C8BAE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191C311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57B0037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14EE8F9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64F27ED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8230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2DDFBBF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二、现场人员</w:t>
            </w:r>
          </w:p>
        </w:tc>
      </w:tr>
      <w:tr w14:paraId="2524C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6D2E8D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项目经理</w:t>
            </w:r>
          </w:p>
        </w:tc>
        <w:tc>
          <w:tcPr>
            <w:tcW w:w="1418" w:type="dxa"/>
            <w:noWrap w:val="0"/>
            <w:vAlign w:val="center"/>
          </w:tcPr>
          <w:p w14:paraId="522927B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2BEFB2B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3D56FBC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6496B56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B2EE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516E21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项目副经理</w:t>
            </w:r>
          </w:p>
        </w:tc>
        <w:tc>
          <w:tcPr>
            <w:tcW w:w="1418" w:type="dxa"/>
            <w:noWrap w:val="0"/>
            <w:vAlign w:val="center"/>
          </w:tcPr>
          <w:p w14:paraId="4E2025F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0A1518A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60F2BC9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47133EA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19BD4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21DA23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技术负责人</w:t>
            </w:r>
          </w:p>
        </w:tc>
        <w:tc>
          <w:tcPr>
            <w:tcW w:w="1418" w:type="dxa"/>
            <w:noWrap w:val="0"/>
            <w:vAlign w:val="center"/>
          </w:tcPr>
          <w:p w14:paraId="4928520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5527D9F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279219C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5DB805B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4FDD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EEC4B7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造价管理</w:t>
            </w:r>
          </w:p>
        </w:tc>
        <w:tc>
          <w:tcPr>
            <w:tcW w:w="1418" w:type="dxa"/>
            <w:noWrap w:val="0"/>
            <w:vAlign w:val="center"/>
          </w:tcPr>
          <w:p w14:paraId="7F406E9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38582D2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1282A19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06AC07A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377F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7B667E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质量管理</w:t>
            </w:r>
          </w:p>
        </w:tc>
        <w:tc>
          <w:tcPr>
            <w:tcW w:w="1418" w:type="dxa"/>
            <w:noWrap w:val="0"/>
            <w:vAlign w:val="center"/>
          </w:tcPr>
          <w:p w14:paraId="440ECE5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0660FE7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50B70AF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3FC57B9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3AAC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96C41B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材料管理</w:t>
            </w:r>
          </w:p>
        </w:tc>
        <w:tc>
          <w:tcPr>
            <w:tcW w:w="1418" w:type="dxa"/>
            <w:noWrap w:val="0"/>
            <w:vAlign w:val="center"/>
          </w:tcPr>
          <w:p w14:paraId="3317D8D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7BC1537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69568BE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612A0F6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32DED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600D87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计划管理</w:t>
            </w:r>
          </w:p>
        </w:tc>
        <w:tc>
          <w:tcPr>
            <w:tcW w:w="1418" w:type="dxa"/>
            <w:noWrap w:val="0"/>
            <w:vAlign w:val="center"/>
          </w:tcPr>
          <w:p w14:paraId="3CA002C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125C145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65412C5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1E3243F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9310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CBF2CC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安全管理</w:t>
            </w:r>
          </w:p>
        </w:tc>
        <w:tc>
          <w:tcPr>
            <w:tcW w:w="1418" w:type="dxa"/>
            <w:noWrap w:val="0"/>
            <w:vAlign w:val="center"/>
          </w:tcPr>
          <w:p w14:paraId="3624853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20F0086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6712C9D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137F5B7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B8F6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AE3752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其他人员</w:t>
            </w:r>
          </w:p>
        </w:tc>
        <w:tc>
          <w:tcPr>
            <w:tcW w:w="1418" w:type="dxa"/>
            <w:noWrap w:val="0"/>
            <w:vAlign w:val="center"/>
          </w:tcPr>
          <w:p w14:paraId="00C5226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23BEDF0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50B78F7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4DE8A08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2B8A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C9B775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tcBorders>
              <w:bottom w:val="nil"/>
            </w:tcBorders>
            <w:noWrap w:val="0"/>
            <w:vAlign w:val="center"/>
          </w:tcPr>
          <w:p w14:paraId="07C8D79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tcBorders>
              <w:bottom w:val="nil"/>
            </w:tcBorders>
            <w:noWrap w:val="0"/>
            <w:vAlign w:val="center"/>
          </w:tcPr>
          <w:p w14:paraId="11D48A3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tcBorders>
              <w:bottom w:val="nil"/>
            </w:tcBorders>
            <w:noWrap w:val="0"/>
            <w:vAlign w:val="center"/>
          </w:tcPr>
          <w:p w14:paraId="1B36AE6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tcBorders>
              <w:bottom w:val="nil"/>
            </w:tcBorders>
            <w:noWrap w:val="0"/>
            <w:vAlign w:val="center"/>
          </w:tcPr>
          <w:p w14:paraId="15F7C25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65AA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3C18BF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68413EC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30E5F62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22FC914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75773D9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2F2EA0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562435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50C0441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4E0A7C3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094709F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7B2335A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2B0BC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E97DFD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00AE04E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252BEBF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21CE73D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7D6BB27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6028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6A612B8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tcBorders>
              <w:bottom w:val="single" w:color="auto" w:sz="12" w:space="0"/>
            </w:tcBorders>
            <w:noWrap w:val="0"/>
            <w:vAlign w:val="center"/>
          </w:tcPr>
          <w:p w14:paraId="6D1691A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tcBorders>
              <w:bottom w:val="single" w:color="auto" w:sz="12" w:space="0"/>
            </w:tcBorders>
            <w:noWrap w:val="0"/>
            <w:vAlign w:val="center"/>
          </w:tcPr>
          <w:p w14:paraId="3214CBD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tcBorders>
              <w:bottom w:val="single" w:color="auto" w:sz="12" w:space="0"/>
            </w:tcBorders>
            <w:noWrap w:val="0"/>
            <w:vAlign w:val="center"/>
          </w:tcPr>
          <w:p w14:paraId="0322F28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tcBorders>
              <w:bottom w:val="single" w:color="auto" w:sz="12" w:space="0"/>
            </w:tcBorders>
            <w:noWrap w:val="0"/>
            <w:vAlign w:val="center"/>
          </w:tcPr>
          <w:p w14:paraId="7C17779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bl>
    <w:p w14:paraId="773AD49D">
      <w:pPr>
        <w:spacing w:line="44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br w:type="page"/>
      </w:r>
      <w:r>
        <w:rPr>
          <w:rFonts w:hint="eastAsia" w:asciiTheme="minorEastAsia" w:hAnsiTheme="minorEastAsia" w:eastAsiaTheme="minorEastAsia" w:cstheme="minorEastAsia"/>
          <w:color w:val="000000"/>
          <w:sz w:val="24"/>
          <w:szCs w:val="24"/>
        </w:rPr>
        <w:t>附</w:t>
      </w:r>
      <w:bookmarkStart w:id="1404" w:name="_Toc296944568"/>
      <w:bookmarkStart w:id="1405" w:name="_Toc296891269"/>
      <w:bookmarkStart w:id="1406" w:name="_Toc296503229"/>
      <w:bookmarkStart w:id="1407" w:name="_Toc296346730"/>
      <w:bookmarkStart w:id="1408" w:name="_Toc296347228"/>
      <w:bookmarkStart w:id="1409" w:name="_Toc296891057"/>
      <w:r>
        <w:rPr>
          <w:rFonts w:hint="eastAsia" w:asciiTheme="minorEastAsia" w:hAnsiTheme="minorEastAsia" w:eastAsiaTheme="minorEastAsia" w:cstheme="minorEastAsia"/>
          <w:color w:val="000000"/>
          <w:sz w:val="24"/>
          <w:szCs w:val="24"/>
        </w:rPr>
        <w:t>件7：</w:t>
      </w:r>
    </w:p>
    <w:bookmarkEnd w:id="1404"/>
    <w:bookmarkEnd w:id="1405"/>
    <w:bookmarkEnd w:id="1406"/>
    <w:bookmarkEnd w:id="1407"/>
    <w:bookmarkEnd w:id="1408"/>
    <w:bookmarkEnd w:id="1409"/>
    <w:p w14:paraId="490A7F97">
      <w:pPr>
        <w:spacing w:before="156" w:beforeLines="50" w:after="156" w:afterLines="50" w:line="4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分包人主要施工管理人员表</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8FFA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36C9439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名    称</w:t>
            </w:r>
          </w:p>
        </w:tc>
        <w:tc>
          <w:tcPr>
            <w:tcW w:w="1418" w:type="dxa"/>
            <w:tcBorders>
              <w:top w:val="single" w:color="auto" w:sz="12" w:space="0"/>
              <w:bottom w:val="double" w:color="auto" w:sz="6" w:space="0"/>
            </w:tcBorders>
            <w:noWrap w:val="0"/>
            <w:vAlign w:val="center"/>
          </w:tcPr>
          <w:p w14:paraId="09210CC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姓名</w:t>
            </w:r>
          </w:p>
        </w:tc>
        <w:tc>
          <w:tcPr>
            <w:tcW w:w="1134" w:type="dxa"/>
            <w:tcBorders>
              <w:top w:val="single" w:color="auto" w:sz="12" w:space="0"/>
              <w:bottom w:val="double" w:color="auto" w:sz="6" w:space="0"/>
            </w:tcBorders>
            <w:noWrap w:val="0"/>
            <w:vAlign w:val="center"/>
          </w:tcPr>
          <w:p w14:paraId="5B0B024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职务</w:t>
            </w:r>
          </w:p>
        </w:tc>
        <w:tc>
          <w:tcPr>
            <w:tcW w:w="1134" w:type="dxa"/>
            <w:tcBorders>
              <w:top w:val="single" w:color="auto" w:sz="12" w:space="0"/>
              <w:bottom w:val="double" w:color="auto" w:sz="6" w:space="0"/>
            </w:tcBorders>
            <w:noWrap w:val="0"/>
            <w:vAlign w:val="center"/>
          </w:tcPr>
          <w:p w14:paraId="4561955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职称</w:t>
            </w:r>
          </w:p>
        </w:tc>
        <w:tc>
          <w:tcPr>
            <w:tcW w:w="4252" w:type="dxa"/>
            <w:tcBorders>
              <w:top w:val="single" w:color="auto" w:sz="12" w:space="0"/>
              <w:bottom w:val="double" w:color="auto" w:sz="6" w:space="0"/>
            </w:tcBorders>
            <w:noWrap w:val="0"/>
            <w:vAlign w:val="center"/>
          </w:tcPr>
          <w:p w14:paraId="35ACE29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主要资历、经验及承担过的项目</w:t>
            </w:r>
          </w:p>
        </w:tc>
      </w:tr>
      <w:tr w14:paraId="4A7FF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4847FB2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一、总部人员</w:t>
            </w:r>
          </w:p>
        </w:tc>
      </w:tr>
      <w:tr w14:paraId="6DD623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ADC830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项目主管</w:t>
            </w:r>
          </w:p>
        </w:tc>
        <w:tc>
          <w:tcPr>
            <w:tcW w:w="1418" w:type="dxa"/>
            <w:tcBorders>
              <w:top w:val="nil"/>
            </w:tcBorders>
            <w:noWrap w:val="0"/>
            <w:vAlign w:val="center"/>
          </w:tcPr>
          <w:p w14:paraId="4B5F1DF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tcBorders>
              <w:top w:val="nil"/>
            </w:tcBorders>
            <w:noWrap w:val="0"/>
            <w:vAlign w:val="center"/>
          </w:tcPr>
          <w:p w14:paraId="4FBEE9D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tcBorders>
              <w:top w:val="nil"/>
            </w:tcBorders>
            <w:noWrap w:val="0"/>
            <w:vAlign w:val="center"/>
          </w:tcPr>
          <w:p w14:paraId="55DD4FF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tcBorders>
              <w:top w:val="nil"/>
            </w:tcBorders>
            <w:noWrap w:val="0"/>
            <w:vAlign w:val="center"/>
          </w:tcPr>
          <w:p w14:paraId="36CB20D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853C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7BE8532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08F3635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6F5E71E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7325AD2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4B87490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3A372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FA5A0D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其他人员</w:t>
            </w:r>
          </w:p>
        </w:tc>
        <w:tc>
          <w:tcPr>
            <w:tcW w:w="1418" w:type="dxa"/>
            <w:noWrap w:val="0"/>
            <w:vAlign w:val="center"/>
          </w:tcPr>
          <w:p w14:paraId="76288A9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349A027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218A04A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10A2A11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2B84E3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1868AB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33D022C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7C5D612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484DB11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7CC4ED7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163CF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15AD395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二、现场人员</w:t>
            </w:r>
          </w:p>
        </w:tc>
      </w:tr>
      <w:tr w14:paraId="025CF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C754C5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项目经理</w:t>
            </w:r>
          </w:p>
        </w:tc>
        <w:tc>
          <w:tcPr>
            <w:tcW w:w="1418" w:type="dxa"/>
            <w:noWrap w:val="0"/>
            <w:vAlign w:val="center"/>
          </w:tcPr>
          <w:p w14:paraId="435D466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39DA7BD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3D02132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4E0DB01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AB18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126C1C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项目副经理</w:t>
            </w:r>
          </w:p>
        </w:tc>
        <w:tc>
          <w:tcPr>
            <w:tcW w:w="1418" w:type="dxa"/>
            <w:noWrap w:val="0"/>
            <w:vAlign w:val="center"/>
          </w:tcPr>
          <w:p w14:paraId="523B7D1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73153DE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2CEEF42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3898CA5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F0A3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625FBA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技术负责人</w:t>
            </w:r>
          </w:p>
        </w:tc>
        <w:tc>
          <w:tcPr>
            <w:tcW w:w="1418" w:type="dxa"/>
            <w:noWrap w:val="0"/>
            <w:vAlign w:val="center"/>
          </w:tcPr>
          <w:p w14:paraId="07FC62F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4FFAAC2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54E7E5C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7C5A17B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71E7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2B479D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造价管理</w:t>
            </w:r>
          </w:p>
        </w:tc>
        <w:tc>
          <w:tcPr>
            <w:tcW w:w="1418" w:type="dxa"/>
            <w:noWrap w:val="0"/>
            <w:vAlign w:val="center"/>
          </w:tcPr>
          <w:p w14:paraId="3F18D94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739198D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0ECF9F4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20FEAED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13B6A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30CE2A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质量管理</w:t>
            </w:r>
          </w:p>
        </w:tc>
        <w:tc>
          <w:tcPr>
            <w:tcW w:w="1418" w:type="dxa"/>
            <w:noWrap w:val="0"/>
            <w:vAlign w:val="center"/>
          </w:tcPr>
          <w:p w14:paraId="2193AEE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250568D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24D027D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01730A6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EA2C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587A27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材料管理</w:t>
            </w:r>
          </w:p>
        </w:tc>
        <w:tc>
          <w:tcPr>
            <w:tcW w:w="1418" w:type="dxa"/>
            <w:noWrap w:val="0"/>
            <w:vAlign w:val="center"/>
          </w:tcPr>
          <w:p w14:paraId="4479A8F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73C9A86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03C1479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19B54DB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6A59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0B2677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计划管理</w:t>
            </w:r>
          </w:p>
        </w:tc>
        <w:tc>
          <w:tcPr>
            <w:tcW w:w="1418" w:type="dxa"/>
            <w:noWrap w:val="0"/>
            <w:vAlign w:val="center"/>
          </w:tcPr>
          <w:p w14:paraId="3871319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6FEAF71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2108C6B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150BD20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83AC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8FAC1A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安全管理</w:t>
            </w:r>
          </w:p>
        </w:tc>
        <w:tc>
          <w:tcPr>
            <w:tcW w:w="1418" w:type="dxa"/>
            <w:noWrap w:val="0"/>
            <w:vAlign w:val="center"/>
          </w:tcPr>
          <w:p w14:paraId="2D1EE42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35DDBE5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5F4D758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3C7EED9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CF50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312C3E0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其他人员</w:t>
            </w:r>
          </w:p>
        </w:tc>
        <w:tc>
          <w:tcPr>
            <w:tcW w:w="1418" w:type="dxa"/>
            <w:noWrap w:val="0"/>
            <w:vAlign w:val="center"/>
          </w:tcPr>
          <w:p w14:paraId="1CE998E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5620218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31B58FA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5B3BC20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655E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C13C82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tcBorders>
              <w:bottom w:val="nil"/>
            </w:tcBorders>
            <w:noWrap w:val="0"/>
            <w:vAlign w:val="center"/>
          </w:tcPr>
          <w:p w14:paraId="6F948B7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tcBorders>
              <w:bottom w:val="nil"/>
            </w:tcBorders>
            <w:noWrap w:val="0"/>
            <w:vAlign w:val="center"/>
          </w:tcPr>
          <w:p w14:paraId="04BD6F6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tcBorders>
              <w:bottom w:val="nil"/>
            </w:tcBorders>
            <w:noWrap w:val="0"/>
            <w:vAlign w:val="center"/>
          </w:tcPr>
          <w:p w14:paraId="2F50572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tcBorders>
              <w:bottom w:val="nil"/>
            </w:tcBorders>
            <w:noWrap w:val="0"/>
            <w:vAlign w:val="center"/>
          </w:tcPr>
          <w:p w14:paraId="170A69E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5750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3160E5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7CD3915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3CCD8A0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5A744A5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3C8DD5E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2DBE5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B3238B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5612839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131F261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566D892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3ADF073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3D3E7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87F3B3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center"/>
          </w:tcPr>
          <w:p w14:paraId="609A84B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1D21EAF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noWrap w:val="0"/>
            <w:vAlign w:val="center"/>
          </w:tcPr>
          <w:p w14:paraId="753F855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noWrap w:val="0"/>
            <w:vAlign w:val="center"/>
          </w:tcPr>
          <w:p w14:paraId="3360AD0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1CE0D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77DF2F8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tcBorders>
              <w:bottom w:val="single" w:color="auto" w:sz="12" w:space="0"/>
            </w:tcBorders>
            <w:noWrap w:val="0"/>
            <w:vAlign w:val="center"/>
          </w:tcPr>
          <w:p w14:paraId="46CE982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tcBorders>
              <w:bottom w:val="single" w:color="auto" w:sz="12" w:space="0"/>
            </w:tcBorders>
            <w:noWrap w:val="0"/>
            <w:vAlign w:val="center"/>
          </w:tcPr>
          <w:p w14:paraId="235782D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134" w:type="dxa"/>
            <w:tcBorders>
              <w:bottom w:val="single" w:color="auto" w:sz="12" w:space="0"/>
            </w:tcBorders>
            <w:noWrap w:val="0"/>
            <w:vAlign w:val="center"/>
          </w:tcPr>
          <w:p w14:paraId="50FA39C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252" w:type="dxa"/>
            <w:tcBorders>
              <w:bottom w:val="single" w:color="auto" w:sz="12" w:space="0"/>
            </w:tcBorders>
            <w:noWrap w:val="0"/>
            <w:vAlign w:val="center"/>
          </w:tcPr>
          <w:p w14:paraId="6ADF0E3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bl>
    <w:p w14:paraId="15AAAD77">
      <w:pPr>
        <w:spacing w:line="44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br w:type="page"/>
      </w:r>
      <w:bookmarkStart w:id="1410" w:name="_Toc267261701"/>
      <w:r>
        <w:rPr>
          <w:rFonts w:hint="eastAsia" w:asciiTheme="minorEastAsia" w:hAnsiTheme="minorEastAsia" w:eastAsiaTheme="minorEastAsia" w:cstheme="minorEastAsia"/>
          <w:color w:val="000000"/>
          <w:sz w:val="24"/>
          <w:szCs w:val="24"/>
        </w:rPr>
        <w:t>附</w:t>
      </w:r>
      <w:bookmarkStart w:id="1411" w:name="_Toc296891059"/>
      <w:bookmarkStart w:id="1412" w:name="_Toc296944570"/>
      <w:bookmarkStart w:id="1413" w:name="_Toc296346732"/>
      <w:bookmarkStart w:id="1414" w:name="_Toc296347230"/>
      <w:bookmarkStart w:id="1415" w:name="_Toc296503231"/>
      <w:bookmarkStart w:id="1416" w:name="_Toc296891271"/>
      <w:r>
        <w:rPr>
          <w:rFonts w:hint="eastAsia" w:asciiTheme="minorEastAsia" w:hAnsiTheme="minorEastAsia" w:eastAsiaTheme="minorEastAsia" w:cstheme="minorEastAsia"/>
          <w:color w:val="000000"/>
          <w:sz w:val="24"/>
          <w:szCs w:val="24"/>
        </w:rPr>
        <w:t>件8：</w:t>
      </w:r>
    </w:p>
    <w:bookmarkEnd w:id="1410"/>
    <w:bookmarkEnd w:id="1411"/>
    <w:bookmarkEnd w:id="1412"/>
    <w:bookmarkEnd w:id="1413"/>
    <w:bookmarkEnd w:id="1414"/>
    <w:bookmarkEnd w:id="1415"/>
    <w:bookmarkEnd w:id="1416"/>
    <w:p w14:paraId="5E9C7E2C">
      <w:pPr>
        <w:spacing w:before="156" w:beforeLines="50" w:after="156" w:afterLines="50" w:line="4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履约担保</w:t>
      </w:r>
    </w:p>
    <w:p w14:paraId="3140C453">
      <w:pPr>
        <w:spacing w:line="44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（发包人名称）：</w:t>
      </w:r>
    </w:p>
    <w:p w14:paraId="3BF26A44">
      <w:pPr>
        <w:spacing w:line="440" w:lineRule="exact"/>
        <w:rPr>
          <w:rFonts w:hint="eastAsia" w:asciiTheme="minorEastAsia" w:hAnsiTheme="minorEastAsia" w:eastAsiaTheme="minorEastAsia" w:cstheme="minorEastAsia"/>
          <w:color w:val="000000"/>
          <w:sz w:val="24"/>
          <w:szCs w:val="24"/>
        </w:rPr>
      </w:pPr>
    </w:p>
    <w:p w14:paraId="4015B56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鉴于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（发包人名称，以下简称“发包人”）与</w:t>
      </w:r>
    </w:p>
    <w:p w14:paraId="2B59DD95">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（承包人名称）（以下称“承包人”）于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日就</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（工程名称）施工及有关事项协商一致共同签订《建设工程施工合同》。我方愿意无条件地、不可撤销地就承包人履行与你方签订的合同，向你方提供连带责任担保。 </w:t>
      </w:r>
    </w:p>
    <w:p w14:paraId="167FC3F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担保金额人民币（大写）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B6B110E">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 担保有效期自你方与承包人签订的合同生效之日起至你方签发或应签发工程接收证书之日止。</w:t>
      </w:r>
    </w:p>
    <w:p w14:paraId="6F6FDD8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 在本担保有效期内，因承包人违反合同约定的义务给你方造成经济损失时，我方在收到你方以书面形式提出的在担保金额内的赔偿要求后，在7天内无条件支付。</w:t>
      </w:r>
    </w:p>
    <w:p w14:paraId="18E50952">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 你方和承包人按合同约定变更合同时，我方承担本担保规定的义务不变。</w:t>
      </w:r>
    </w:p>
    <w:p w14:paraId="29320E63">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 因本保函发生的纠纷，可由双方协商解决，协商不成的，任何一方均可提请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仲裁委员会仲裁。</w:t>
      </w:r>
    </w:p>
    <w:p w14:paraId="0414B7C9">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 本保函自我方法定代表人（或其授权代理人）签字并加盖公章之日起生效。</w:t>
      </w:r>
    </w:p>
    <w:p w14:paraId="22B9A200">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担 保 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（盖单位章）</w:t>
      </w:r>
    </w:p>
    <w:p w14:paraId="55684E5F">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法定代表人或其委托代理人：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（签字）</w:t>
      </w:r>
    </w:p>
    <w:p w14:paraId="38C0E4D7">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w:t>
      </w:r>
      <w:r>
        <w:rPr>
          <w:rFonts w:hint="eastAsia" w:asciiTheme="minorEastAsia" w:hAnsiTheme="minorEastAsia" w:eastAsiaTheme="minorEastAsia" w:cstheme="minorEastAsia"/>
          <w:color w:val="000000"/>
          <w:sz w:val="24"/>
          <w:szCs w:val="24"/>
          <w:u w:val="single"/>
        </w:rPr>
        <w:t xml:space="preserve">                                      </w:t>
      </w:r>
    </w:p>
    <w:p w14:paraId="33A6E422">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邮政编码：</w:t>
      </w:r>
      <w:r>
        <w:rPr>
          <w:rFonts w:hint="eastAsia" w:asciiTheme="minorEastAsia" w:hAnsiTheme="minorEastAsia" w:eastAsiaTheme="minorEastAsia" w:cstheme="minorEastAsia"/>
          <w:color w:val="000000"/>
          <w:sz w:val="24"/>
          <w:szCs w:val="24"/>
          <w:u w:val="single"/>
        </w:rPr>
        <w:t xml:space="preserve">                                      </w:t>
      </w:r>
    </w:p>
    <w:p w14:paraId="748411CC">
      <w:pPr>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电    话：</w:t>
      </w:r>
      <w:r>
        <w:rPr>
          <w:rFonts w:hint="eastAsia" w:asciiTheme="minorEastAsia" w:hAnsiTheme="minorEastAsia" w:eastAsiaTheme="minorEastAsia" w:cstheme="minorEastAsia"/>
          <w:color w:val="000000"/>
          <w:sz w:val="24"/>
          <w:szCs w:val="24"/>
          <w:u w:val="single"/>
        </w:rPr>
        <w:t xml:space="preserve">                                      </w:t>
      </w:r>
    </w:p>
    <w:p w14:paraId="14D0F5C2">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传    真：</w:t>
      </w:r>
      <w:r>
        <w:rPr>
          <w:rFonts w:hint="eastAsia" w:asciiTheme="minorEastAsia" w:hAnsiTheme="minorEastAsia" w:eastAsiaTheme="minorEastAsia" w:cstheme="minorEastAsia"/>
          <w:color w:val="000000"/>
          <w:sz w:val="24"/>
          <w:szCs w:val="24"/>
          <w:u w:val="single"/>
        </w:rPr>
        <w:t xml:space="preserve">                                      </w:t>
      </w:r>
    </w:p>
    <w:p w14:paraId="6651F3C9">
      <w:pPr>
        <w:spacing w:line="360" w:lineRule="auto"/>
        <w:jc w:val="left"/>
        <w:rPr>
          <w:rFonts w:hint="eastAsia" w:asciiTheme="minorEastAsia" w:hAnsiTheme="minorEastAsia" w:eastAsiaTheme="minorEastAsia" w:cstheme="minorEastAsia"/>
          <w:color w:val="000000"/>
          <w:sz w:val="24"/>
          <w:szCs w:val="24"/>
          <w:u w:val="single"/>
        </w:rPr>
      </w:pPr>
    </w:p>
    <w:p w14:paraId="53A17BD9">
      <w:pPr>
        <w:spacing w:line="360" w:lineRule="auto"/>
        <w:ind w:left="1899" w:hanging="1519" w:hangingChars="633"/>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14:paraId="29F4A1F4">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附</w:t>
      </w:r>
      <w:bookmarkStart w:id="1417" w:name="_Toc296346733"/>
      <w:bookmarkStart w:id="1418" w:name="_Toc296503232"/>
      <w:bookmarkStart w:id="1419" w:name="_Toc267261702"/>
      <w:bookmarkStart w:id="1420" w:name="_Toc296944571"/>
      <w:bookmarkStart w:id="1421" w:name="_Toc296347231"/>
      <w:bookmarkStart w:id="1422" w:name="_Toc296891060"/>
      <w:bookmarkStart w:id="1423" w:name="_Toc296891272"/>
      <w:r>
        <w:rPr>
          <w:rFonts w:hint="eastAsia" w:asciiTheme="minorEastAsia" w:hAnsiTheme="minorEastAsia" w:eastAsiaTheme="minorEastAsia" w:cstheme="minorEastAsia"/>
          <w:color w:val="000000"/>
          <w:sz w:val="24"/>
          <w:szCs w:val="24"/>
        </w:rPr>
        <w:t>件9 ：</w:t>
      </w:r>
    </w:p>
    <w:bookmarkEnd w:id="1417"/>
    <w:bookmarkEnd w:id="1418"/>
    <w:bookmarkEnd w:id="1419"/>
    <w:bookmarkEnd w:id="1420"/>
    <w:bookmarkEnd w:id="1421"/>
    <w:bookmarkEnd w:id="1422"/>
    <w:bookmarkEnd w:id="1423"/>
    <w:p w14:paraId="56B5B0BD">
      <w:pPr>
        <w:spacing w:before="156" w:beforeLines="50" w:after="156" w:afterLines="50" w:line="4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预付款担保</w:t>
      </w:r>
    </w:p>
    <w:p w14:paraId="056F6C72">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（发包人名称）：</w:t>
      </w:r>
    </w:p>
    <w:p w14:paraId="41D9D26C">
      <w:pPr>
        <w:spacing w:line="360" w:lineRule="auto"/>
        <w:rPr>
          <w:rFonts w:hint="eastAsia" w:asciiTheme="minorEastAsia" w:hAnsiTheme="minorEastAsia" w:eastAsiaTheme="minorEastAsia" w:cstheme="minorEastAsia"/>
          <w:color w:val="000000"/>
          <w:sz w:val="24"/>
          <w:szCs w:val="24"/>
        </w:rPr>
      </w:pPr>
    </w:p>
    <w:p w14:paraId="343B4BC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（承包人名称）（以下称“承包人”）与</w:t>
      </w:r>
    </w:p>
    <w:p w14:paraId="1916BF71">
      <w:pPr>
        <w:spacing w:line="360" w:lineRule="auto"/>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（发包人名称）（以下简称“发包人”）</w:t>
      </w:r>
    </w:p>
    <w:p w14:paraId="0FABE431">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日签订的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（工程名称）《建设工程施工合同》，承包人按约定的金额向你方提交一份预付款担保，即有权得到你方支付相等金额的预付款。我方愿意就你方提供给承包人的预付款为承包人提供连带责任担保。</w:t>
      </w:r>
    </w:p>
    <w:p w14:paraId="430E093D">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担保金额人民币（大写）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元（¥</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0EAFC45C">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 担保有效期自预付款支付给承包人起生效，至你方签发的进度款支付证书说明已完全扣清止。</w:t>
      </w:r>
    </w:p>
    <w:p w14:paraId="48B3FEDA">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DB67105">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 你方和承包人按合同约定变更合同时，我方承担本保函规定的义务不变。</w:t>
      </w:r>
    </w:p>
    <w:p w14:paraId="56F877D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 因本保函发生的纠纷，可由双方协商解决，协商不成的，任何一方均可提请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仲裁委员会仲裁。</w:t>
      </w:r>
    </w:p>
    <w:p w14:paraId="43BCD830">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 本保函自我方法定代表人（或其授权代理人）签字并加盖公章之日起生效。</w:t>
      </w:r>
    </w:p>
    <w:p w14:paraId="6F0A8CD0">
      <w:pPr>
        <w:spacing w:line="360" w:lineRule="auto"/>
        <w:rPr>
          <w:rFonts w:hint="eastAsia" w:asciiTheme="minorEastAsia" w:hAnsiTheme="minorEastAsia" w:eastAsiaTheme="minorEastAsia" w:cstheme="minorEastAsia"/>
          <w:color w:val="000000"/>
          <w:sz w:val="24"/>
          <w:szCs w:val="24"/>
        </w:rPr>
      </w:pPr>
    </w:p>
    <w:p w14:paraId="14F0B77E">
      <w:pPr>
        <w:spacing w:line="360" w:lineRule="auto"/>
        <w:rPr>
          <w:rFonts w:hint="eastAsia" w:asciiTheme="minorEastAsia" w:hAnsiTheme="minorEastAsia" w:eastAsiaTheme="minorEastAsia" w:cstheme="minorEastAsia"/>
          <w:color w:val="000000"/>
          <w:sz w:val="24"/>
          <w:szCs w:val="24"/>
        </w:rPr>
      </w:pPr>
    </w:p>
    <w:p w14:paraId="2E73C462">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担保人：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（盖单位章）</w:t>
      </w:r>
    </w:p>
    <w:p w14:paraId="3897B964">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法定代表人或其委托代理人：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（签字）</w:t>
      </w:r>
    </w:p>
    <w:p w14:paraId="1893436A">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p>
    <w:p w14:paraId="46E08D0B">
      <w:pPr>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邮政编码：</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p>
    <w:p w14:paraId="00A0990F">
      <w:pPr>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电    话：</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p>
    <w:p w14:paraId="76DD2203">
      <w:pPr>
        <w:spacing w:line="360" w:lineRule="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传    真：</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u w:val="single"/>
        </w:rPr>
        <w:tab/>
      </w:r>
    </w:p>
    <w:p w14:paraId="536CB7B4">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097D01F2">
      <w:pPr>
        <w:spacing w:line="360" w:lineRule="auto"/>
        <w:rPr>
          <w:rFonts w:hint="eastAsia" w:asciiTheme="minorEastAsia" w:hAnsiTheme="minorEastAsia" w:eastAsiaTheme="minorEastAsia" w:cstheme="minorEastAsia"/>
          <w:color w:val="000000"/>
          <w:sz w:val="24"/>
          <w:szCs w:val="24"/>
          <w:u w:val="single"/>
        </w:rPr>
      </w:pPr>
    </w:p>
    <w:p w14:paraId="553A70CB">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14:paraId="32129137">
      <w:pPr>
        <w:spacing w:line="44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br w:type="page"/>
      </w:r>
      <w:r>
        <w:rPr>
          <w:rFonts w:hint="eastAsia" w:asciiTheme="minorEastAsia" w:hAnsiTheme="minorEastAsia" w:eastAsiaTheme="minorEastAsia" w:cstheme="minorEastAsia"/>
          <w:color w:val="000000"/>
          <w:sz w:val="24"/>
          <w:szCs w:val="24"/>
        </w:rPr>
        <w:t>附</w:t>
      </w:r>
      <w:bookmarkStart w:id="1424" w:name="_Toc296503233"/>
      <w:bookmarkStart w:id="1425" w:name="_Toc296891061"/>
      <w:bookmarkStart w:id="1426" w:name="_Toc296347232"/>
      <w:bookmarkStart w:id="1427" w:name="_Toc296944572"/>
      <w:bookmarkStart w:id="1428" w:name="_Toc296891273"/>
      <w:bookmarkStart w:id="1429" w:name="_Toc296346734"/>
      <w:r>
        <w:rPr>
          <w:rFonts w:hint="eastAsia" w:asciiTheme="minorEastAsia" w:hAnsiTheme="minorEastAsia" w:eastAsiaTheme="minorEastAsia" w:cstheme="minorEastAsia"/>
          <w:color w:val="000000"/>
          <w:sz w:val="24"/>
          <w:szCs w:val="24"/>
        </w:rPr>
        <w:t xml:space="preserve">件10:  </w:t>
      </w:r>
    </w:p>
    <w:bookmarkEnd w:id="1424"/>
    <w:bookmarkEnd w:id="1425"/>
    <w:bookmarkEnd w:id="1426"/>
    <w:bookmarkEnd w:id="1427"/>
    <w:bookmarkEnd w:id="1428"/>
    <w:bookmarkEnd w:id="1429"/>
    <w:p w14:paraId="777D1D76">
      <w:pPr>
        <w:spacing w:before="156" w:beforeLines="50" w:after="156" w:afterLines="50" w:line="4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支付担保</w:t>
      </w:r>
    </w:p>
    <w:p w14:paraId="7396F827">
      <w:pPr>
        <w:spacing w:line="4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（承包人）：</w:t>
      </w:r>
    </w:p>
    <w:p w14:paraId="5ABC8F49">
      <w:pPr>
        <w:spacing w:line="440" w:lineRule="exact"/>
        <w:jc w:val="left"/>
        <w:rPr>
          <w:rFonts w:hint="eastAsia" w:asciiTheme="minorEastAsia" w:hAnsiTheme="minorEastAsia" w:eastAsiaTheme="minorEastAsia" w:cstheme="minorEastAsia"/>
          <w:color w:val="000000"/>
          <w:sz w:val="24"/>
          <w:szCs w:val="24"/>
        </w:rPr>
      </w:pPr>
    </w:p>
    <w:p w14:paraId="2F7FD6C2">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鉴于你方作为承包人已经与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（发包人名称）（以下称“发包人”）于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日签订了</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（工程名称）《建设工程施工合同》（以下称“主合同”），应发包人的申请，我方愿就发包人履行主合同约定的工程款支付义务以保证的方式向你方提供如下担保：</w:t>
      </w:r>
    </w:p>
    <w:p w14:paraId="4FEB763C">
      <w:pPr>
        <w:spacing w:line="360" w:lineRule="auto"/>
        <w:ind w:firstLine="480" w:firstLineChars="200"/>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一、保证的范围及保证金额</w:t>
      </w:r>
    </w:p>
    <w:p w14:paraId="50AEA7DE">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我方的保证范围是主合同约定的工程款。</w:t>
      </w:r>
    </w:p>
    <w:p w14:paraId="30BAD9B4">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 本保函所称主合同约定的工程款是指主合同约定的除工程质量保证金以外的合同价款。</w:t>
      </w:r>
    </w:p>
    <w:p w14:paraId="6BC9E834">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 我方保证的金额是主合同约定的工程款的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%，数额最高不超过人民币元（大写：</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p>
    <w:p w14:paraId="3306B188">
      <w:pPr>
        <w:spacing w:line="360" w:lineRule="auto"/>
        <w:ind w:firstLine="480" w:firstLineChars="200"/>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二、保证的方式及保证期间</w:t>
      </w:r>
    </w:p>
    <w:p w14:paraId="562857B3">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我方保证的方式为：连带责任保证。</w:t>
      </w:r>
    </w:p>
    <w:p w14:paraId="789831DB">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 我方保证的期间为：自本合同生效之日起至主合同约定的工程款支付完毕之日后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日内。</w:t>
      </w:r>
    </w:p>
    <w:p w14:paraId="26FF7AF7">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 你方与发包人协议变更工程款支付日期的，经我方书面同意后，保证期间按照变更后的支付日期做相应调整。</w:t>
      </w:r>
    </w:p>
    <w:p w14:paraId="2FF8B393">
      <w:pPr>
        <w:spacing w:line="360" w:lineRule="auto"/>
        <w:ind w:firstLine="480" w:firstLineChars="200"/>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三、承担保证责任的形式</w:t>
      </w:r>
    </w:p>
    <w:p w14:paraId="54F924F7">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我方承担保证责任的形式是代为支付。发包人未按主合同约定向你方支付工程款的，由我方在保证金额内代为支付。</w:t>
      </w:r>
    </w:p>
    <w:p w14:paraId="334322EC">
      <w:pPr>
        <w:spacing w:line="360" w:lineRule="auto"/>
        <w:ind w:firstLine="480" w:firstLineChars="200"/>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四、代偿的安排</w:t>
      </w:r>
    </w:p>
    <w:p w14:paraId="5CB59201">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你方要求我方承担保证责任的，应向我方发出书面索赔通知及发包人未支付主合同约定工程款的证明材料。索赔通知应写明要求索赔的金额，支付款项应到达的账号。</w:t>
      </w:r>
    </w:p>
    <w:p w14:paraId="1E2A7552">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41973B9E">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 我方收到你方的书面索赔通知及相应的证明材料后７天内无条件支付。</w:t>
      </w:r>
    </w:p>
    <w:p w14:paraId="2971C0FB">
      <w:pPr>
        <w:spacing w:line="360" w:lineRule="auto"/>
        <w:ind w:firstLine="480" w:firstLineChars="200"/>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五、保证责任的解除</w:t>
      </w:r>
    </w:p>
    <w:p w14:paraId="7130D5D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在本保函承诺的保证期间内，你方未书面向我方主张保证责任的，自保证期间届满次日起，我方保证责任解除。</w:t>
      </w:r>
    </w:p>
    <w:p w14:paraId="2ED76BDC">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 发包人按主合同约定履行了工程款的全部支付义务的，自本保函承诺的保证期间届满次日起，我方保证责任解除。</w:t>
      </w:r>
    </w:p>
    <w:p w14:paraId="54C4D78E">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 我方按照本保函向你方履行保证责任所支付金额达到本保函保证金额时，自我方向你方支付（支付款项从我方账户划出）之日起，保证责任即解除。</w:t>
      </w:r>
    </w:p>
    <w:p w14:paraId="37636B7A">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 按照法律法规的规定或出现应解除我方保证责任的其他情形的，我方在本保函项下的保证责任亦解除。</w:t>
      </w:r>
    </w:p>
    <w:p w14:paraId="7BA6D2D0">
      <w:pPr>
        <w:spacing w:line="360" w:lineRule="auto"/>
        <w:jc w:val="left"/>
        <w:rPr>
          <w:rFonts w:hint="eastAsia" w:asciiTheme="minorEastAsia" w:hAnsiTheme="minorEastAsia" w:eastAsiaTheme="minorEastAsia" w:cstheme="minorEastAsia"/>
          <w:color w:val="000000"/>
          <w:sz w:val="24"/>
          <w:szCs w:val="24"/>
        </w:rPr>
      </w:pPr>
    </w:p>
    <w:p w14:paraId="462D77EB">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 我方解除保证责任后，你方应自我方保证责任解除之日起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个工作日内，将本保函原件返还我方。</w:t>
      </w:r>
    </w:p>
    <w:p w14:paraId="12EB70C1">
      <w:pPr>
        <w:spacing w:line="360" w:lineRule="auto"/>
        <w:ind w:firstLine="480" w:firstLineChars="200"/>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六、免责条款</w:t>
      </w:r>
    </w:p>
    <w:p w14:paraId="614BE264">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 因你方违约致使发包人不能履行义务的，我方不承担保证责任。</w:t>
      </w:r>
    </w:p>
    <w:p w14:paraId="48DFF34F">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 依照法律法规的规定或你方与发包人的另行约定，免除发包人部分或全部义务的，我方亦免除其相应的保证责任。</w:t>
      </w:r>
    </w:p>
    <w:p w14:paraId="46D5080F">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57606DE6">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 因不可抗力造成发包人不能履行义务的，我方不承担保证责任。</w:t>
      </w:r>
    </w:p>
    <w:p w14:paraId="275EFF8C">
      <w:pPr>
        <w:spacing w:line="360" w:lineRule="auto"/>
        <w:ind w:firstLine="480" w:firstLineChars="200"/>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七、争议解决</w:t>
      </w:r>
    </w:p>
    <w:p w14:paraId="471FADF0">
      <w:pPr>
        <w:spacing w:after="120"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因本保函或本保函相关事项发生的纠纷，可由双方协商解决，协商不成的，按下列第</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种方式解决：</w:t>
      </w:r>
    </w:p>
    <w:p w14:paraId="5A60A6BF">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（1）向</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仲裁委员会申请仲裁；</w:t>
      </w:r>
    </w:p>
    <w:p w14:paraId="5A3BA50B">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（2）向</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人民法院起诉。</w:t>
      </w:r>
    </w:p>
    <w:p w14:paraId="574798D1">
      <w:pPr>
        <w:spacing w:line="360" w:lineRule="auto"/>
        <w:ind w:firstLine="480" w:firstLineChars="200"/>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八、保函的生效</w:t>
      </w:r>
    </w:p>
    <w:p w14:paraId="0B04B705">
      <w:pPr>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本保函自我方法定代表人（或其授权代理人）签字并加盖公章之日起生效。</w:t>
      </w:r>
    </w:p>
    <w:p w14:paraId="43A8EDA3">
      <w:pPr>
        <w:spacing w:line="240" w:lineRule="auto"/>
        <w:ind w:right="6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担保人：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（盖章）</w:t>
      </w:r>
    </w:p>
    <w:p w14:paraId="00FC1D66">
      <w:pPr>
        <w:spacing w:line="240" w:lineRule="auto"/>
        <w:ind w:left="300" w:right="1200" w:hanging="240" w:hanging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法定代表人或委托代理人：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签</w:t>
      </w:r>
      <w:r>
        <w:rPr>
          <w:rFonts w:hint="eastAsia" w:asciiTheme="minorEastAsia" w:hAnsiTheme="minorEastAsia" w:eastAsiaTheme="minorEastAsia" w:cstheme="minorEastAsia"/>
          <w:color w:val="000000"/>
          <w:sz w:val="24"/>
          <w:szCs w:val="24"/>
        </w:rPr>
        <w:t>字）</w:t>
      </w:r>
    </w:p>
    <w:p w14:paraId="17116D0E">
      <w:pPr>
        <w:spacing w:line="24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w:t>
      </w:r>
      <w:r>
        <w:rPr>
          <w:rFonts w:hint="eastAsia" w:asciiTheme="minorEastAsia" w:hAnsiTheme="minorEastAsia" w:eastAsiaTheme="minorEastAsia" w:cstheme="minorEastAsia"/>
          <w:color w:val="000000"/>
          <w:sz w:val="24"/>
          <w:szCs w:val="24"/>
          <w:u w:val="single"/>
        </w:rPr>
        <w:t xml:space="preserve">                                        </w:t>
      </w:r>
    </w:p>
    <w:p w14:paraId="7A3DA31D">
      <w:pPr>
        <w:spacing w:line="24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邮政编码：</w:t>
      </w:r>
      <w:r>
        <w:rPr>
          <w:rFonts w:hint="eastAsia" w:asciiTheme="minorEastAsia" w:hAnsiTheme="minorEastAsia" w:eastAsiaTheme="minorEastAsia" w:cstheme="minorEastAsia"/>
          <w:color w:val="000000"/>
          <w:sz w:val="24"/>
          <w:szCs w:val="24"/>
          <w:u w:val="single"/>
        </w:rPr>
        <w:t xml:space="preserve">                                        </w:t>
      </w:r>
    </w:p>
    <w:p w14:paraId="69F8BE77">
      <w:pPr>
        <w:spacing w:line="240" w:lineRule="auto"/>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传    真：</w:t>
      </w:r>
      <w:r>
        <w:rPr>
          <w:rFonts w:hint="eastAsia" w:asciiTheme="minorEastAsia" w:hAnsiTheme="minorEastAsia" w:eastAsiaTheme="minorEastAsia" w:cstheme="minorEastAsia"/>
          <w:color w:val="000000"/>
          <w:sz w:val="24"/>
          <w:szCs w:val="24"/>
          <w:u w:val="single"/>
        </w:rPr>
        <w:t xml:space="preserve">                                        </w:t>
      </w:r>
    </w:p>
    <w:p w14:paraId="2F492B26">
      <w:pPr>
        <w:spacing w:line="360" w:lineRule="auto"/>
        <w:ind w:right="150" w:firstLine="480" w:firstLineChars="200"/>
        <w:jc w:val="left"/>
        <w:rPr>
          <w:rFonts w:hint="eastAsia" w:asciiTheme="minorEastAsia" w:hAnsiTheme="minorEastAsia" w:eastAsiaTheme="minorEastAsia" w:cstheme="minorEastAsia"/>
          <w:color w:val="000000"/>
          <w:sz w:val="24"/>
          <w:szCs w:val="24"/>
          <w:u w:val="single"/>
        </w:rPr>
      </w:pPr>
    </w:p>
    <w:p w14:paraId="784A3261">
      <w:pPr>
        <w:spacing w:line="360" w:lineRule="auto"/>
        <w:ind w:right="150"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14:paraId="42BB51DB">
      <w:pPr>
        <w:spacing w:line="44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br w:type="page"/>
      </w:r>
      <w:r>
        <w:rPr>
          <w:rFonts w:hint="eastAsia" w:asciiTheme="minorEastAsia" w:hAnsiTheme="minorEastAsia" w:eastAsiaTheme="minorEastAsia" w:cstheme="minorEastAsia"/>
          <w:color w:val="000000"/>
          <w:sz w:val="24"/>
          <w:szCs w:val="24"/>
        </w:rPr>
        <w:t>附件11：</w:t>
      </w:r>
    </w:p>
    <w:p w14:paraId="23696BF6">
      <w:pPr>
        <w:spacing w:before="156" w:beforeLines="50" w:after="156" w:afterLines="50" w:line="440" w:lineRule="exact"/>
        <w:jc w:val="center"/>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11-1：材料暂估价表</w:t>
      </w:r>
    </w:p>
    <w:tbl>
      <w:tblPr>
        <w:tblStyle w:val="3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2C774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03E45DE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序号</w:t>
            </w:r>
          </w:p>
        </w:tc>
        <w:tc>
          <w:tcPr>
            <w:tcW w:w="1984" w:type="dxa"/>
            <w:tcBorders>
              <w:top w:val="single" w:color="auto" w:sz="12" w:space="0"/>
              <w:bottom w:val="double" w:color="auto" w:sz="6" w:space="0"/>
            </w:tcBorders>
            <w:noWrap w:val="0"/>
            <w:vAlign w:val="top"/>
          </w:tcPr>
          <w:p w14:paraId="190DF4B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名称</w:t>
            </w:r>
          </w:p>
        </w:tc>
        <w:tc>
          <w:tcPr>
            <w:tcW w:w="851" w:type="dxa"/>
            <w:tcBorders>
              <w:top w:val="single" w:color="auto" w:sz="12" w:space="0"/>
              <w:bottom w:val="double" w:color="auto" w:sz="6" w:space="0"/>
            </w:tcBorders>
            <w:noWrap w:val="0"/>
            <w:vAlign w:val="top"/>
          </w:tcPr>
          <w:p w14:paraId="06A286F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单位</w:t>
            </w:r>
          </w:p>
        </w:tc>
        <w:tc>
          <w:tcPr>
            <w:tcW w:w="774" w:type="dxa"/>
            <w:tcBorders>
              <w:top w:val="single" w:color="auto" w:sz="12" w:space="0"/>
              <w:bottom w:val="double" w:color="auto" w:sz="6" w:space="0"/>
            </w:tcBorders>
            <w:noWrap w:val="0"/>
            <w:vAlign w:val="top"/>
          </w:tcPr>
          <w:p w14:paraId="7CD5A14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数量</w:t>
            </w:r>
          </w:p>
        </w:tc>
        <w:tc>
          <w:tcPr>
            <w:tcW w:w="1352" w:type="dxa"/>
            <w:tcBorders>
              <w:top w:val="single" w:color="auto" w:sz="12" w:space="0"/>
              <w:bottom w:val="double" w:color="auto" w:sz="6" w:space="0"/>
            </w:tcBorders>
            <w:noWrap w:val="0"/>
            <w:vAlign w:val="top"/>
          </w:tcPr>
          <w:p w14:paraId="3BEA985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单价（元）</w:t>
            </w:r>
          </w:p>
        </w:tc>
        <w:tc>
          <w:tcPr>
            <w:tcW w:w="1418" w:type="dxa"/>
            <w:tcBorders>
              <w:top w:val="single" w:color="auto" w:sz="12" w:space="0"/>
              <w:bottom w:val="double" w:color="auto" w:sz="6" w:space="0"/>
            </w:tcBorders>
            <w:noWrap w:val="0"/>
            <w:vAlign w:val="top"/>
          </w:tcPr>
          <w:p w14:paraId="5B5FB0A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合价（元）</w:t>
            </w:r>
          </w:p>
        </w:tc>
        <w:tc>
          <w:tcPr>
            <w:tcW w:w="1701" w:type="dxa"/>
            <w:tcBorders>
              <w:top w:val="single" w:color="auto" w:sz="12" w:space="0"/>
              <w:bottom w:val="double" w:color="auto" w:sz="6" w:space="0"/>
            </w:tcBorders>
            <w:noWrap w:val="0"/>
            <w:vAlign w:val="top"/>
          </w:tcPr>
          <w:p w14:paraId="2FE63B3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备注</w:t>
            </w:r>
          </w:p>
        </w:tc>
      </w:tr>
      <w:tr w14:paraId="11F19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721F7E7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tcBorders>
              <w:top w:val="double" w:color="auto" w:sz="6" w:space="0"/>
              <w:bottom w:val="single" w:color="auto" w:sz="6" w:space="0"/>
            </w:tcBorders>
            <w:noWrap w:val="0"/>
            <w:vAlign w:val="top"/>
          </w:tcPr>
          <w:p w14:paraId="130A8F9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tcBorders>
              <w:top w:val="double" w:color="auto" w:sz="6" w:space="0"/>
              <w:bottom w:val="single" w:color="auto" w:sz="6" w:space="0"/>
            </w:tcBorders>
            <w:noWrap w:val="0"/>
            <w:vAlign w:val="top"/>
          </w:tcPr>
          <w:p w14:paraId="3926681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tcBorders>
              <w:top w:val="double" w:color="auto" w:sz="6" w:space="0"/>
              <w:bottom w:val="single" w:color="auto" w:sz="6" w:space="0"/>
            </w:tcBorders>
            <w:noWrap w:val="0"/>
            <w:vAlign w:val="top"/>
          </w:tcPr>
          <w:p w14:paraId="2166F75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tcBorders>
              <w:top w:val="double" w:color="auto" w:sz="6" w:space="0"/>
              <w:bottom w:val="single" w:color="auto" w:sz="6" w:space="0"/>
            </w:tcBorders>
            <w:noWrap w:val="0"/>
            <w:vAlign w:val="top"/>
          </w:tcPr>
          <w:p w14:paraId="2DB0CDE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tcBorders>
              <w:top w:val="double" w:color="auto" w:sz="6" w:space="0"/>
              <w:bottom w:val="single" w:color="auto" w:sz="6" w:space="0"/>
            </w:tcBorders>
            <w:noWrap w:val="0"/>
            <w:vAlign w:val="top"/>
          </w:tcPr>
          <w:p w14:paraId="342EB7B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tcBorders>
              <w:top w:val="double" w:color="auto" w:sz="6" w:space="0"/>
              <w:bottom w:val="single" w:color="auto" w:sz="6" w:space="0"/>
            </w:tcBorders>
            <w:noWrap w:val="0"/>
            <w:vAlign w:val="top"/>
          </w:tcPr>
          <w:p w14:paraId="385A280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463A1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1D3C138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tcBorders>
              <w:top w:val="nil"/>
            </w:tcBorders>
            <w:noWrap w:val="0"/>
            <w:vAlign w:val="top"/>
          </w:tcPr>
          <w:p w14:paraId="35D6805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tcBorders>
              <w:top w:val="nil"/>
            </w:tcBorders>
            <w:noWrap w:val="0"/>
            <w:vAlign w:val="top"/>
          </w:tcPr>
          <w:p w14:paraId="3E8B8DB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tcBorders>
              <w:top w:val="nil"/>
            </w:tcBorders>
            <w:noWrap w:val="0"/>
            <w:vAlign w:val="top"/>
          </w:tcPr>
          <w:p w14:paraId="1F12A52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tcBorders>
              <w:top w:val="nil"/>
            </w:tcBorders>
            <w:noWrap w:val="0"/>
            <w:vAlign w:val="top"/>
          </w:tcPr>
          <w:p w14:paraId="401E2A8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tcBorders>
              <w:top w:val="nil"/>
            </w:tcBorders>
            <w:noWrap w:val="0"/>
            <w:vAlign w:val="top"/>
          </w:tcPr>
          <w:p w14:paraId="1EBC884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tcBorders>
              <w:top w:val="nil"/>
            </w:tcBorders>
            <w:noWrap w:val="0"/>
            <w:vAlign w:val="top"/>
          </w:tcPr>
          <w:p w14:paraId="5513B94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430E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3A6F51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531C9A6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32B9A10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3A69F84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2D320D1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036CFBD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7F6EB0B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29005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197B20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2D3B2C2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1C3DEED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4B60059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0C6A823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780B267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76AFBB9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D36E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955DE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4EF4DEA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315E9F6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7D29C0C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2BCCC7C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2A21701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4DE30B0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418CC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C88D9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3DD12A4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456AB20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55F59DA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30CBCD3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4D17FB7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1D9863A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FD7D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CF325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2FD9A92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25E568D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3179312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6FC8AFC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3FF119A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68F96C9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0FDC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5BFEE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788DF1D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0ADE736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0612C41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7B5EF3F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2AABB52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4C2118F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101FA0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BC57D8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275B459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1C69B74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2963DC6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1A71730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02075CC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4DEE378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0AA6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424C03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20AA033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6A01F41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5CD2171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34C7BB7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4F06AF4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109F5AB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CFE6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286661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0A6BDEE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7BD6B1E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075BD2F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4ED9151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0028B8D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7AA3414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29BA0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A4B688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5CE387F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3DB46FE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36C7049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18383EB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5E5B619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71D6B9E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809A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913C54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46CEF3F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1CB9F64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4931006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4954E77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1E49488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37CB83E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3B350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0A8F68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7DA8FE9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78AF24B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0DCE484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44B33DE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449654E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1E5D664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753D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65C55C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70B3A7E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327CD03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77AAC70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439DE9D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77347AA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348D79C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46194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53E44D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61415DA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3DE897B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3195EBA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05AA689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5E4063F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63F94F8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34E32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31AE23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3792CB9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0342667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1E9C139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3FA2347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2EE80ED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552E7C2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0B66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C8D147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784C12B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21C3471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15F4BDB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739D1CF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675CDE4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33D52AF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6E68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1E168D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129B96E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326AC6C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0812D88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73CE15C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5E1AC34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421A843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ACE8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FFA30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237F206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3498F58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4192DC5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4407812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0715FD1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456A04F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bl>
    <w:p w14:paraId="5910479A">
      <w:pPr>
        <w:spacing w:before="156" w:beforeLines="50" w:after="156" w:afterLines="50" w:line="440" w:lineRule="exact"/>
        <w:rPr>
          <w:rFonts w:hint="eastAsia" w:asciiTheme="minorEastAsia" w:hAnsiTheme="minorEastAsia" w:eastAsiaTheme="minorEastAsia" w:cstheme="minorEastAsia"/>
          <w:color w:val="000000"/>
          <w:sz w:val="24"/>
          <w:szCs w:val="24"/>
        </w:rPr>
      </w:pPr>
    </w:p>
    <w:p w14:paraId="051612B2">
      <w:pPr>
        <w:spacing w:before="156" w:beforeLines="50" w:after="156" w:afterLines="50" w:line="4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11-2：工程设备暂估价表</w:t>
      </w:r>
    </w:p>
    <w:tbl>
      <w:tblPr>
        <w:tblStyle w:val="3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128D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2EF90D4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序号</w:t>
            </w:r>
          </w:p>
        </w:tc>
        <w:tc>
          <w:tcPr>
            <w:tcW w:w="1984" w:type="dxa"/>
            <w:tcBorders>
              <w:top w:val="single" w:color="auto" w:sz="12" w:space="0"/>
              <w:bottom w:val="double" w:color="auto" w:sz="6" w:space="0"/>
            </w:tcBorders>
            <w:noWrap w:val="0"/>
            <w:vAlign w:val="top"/>
          </w:tcPr>
          <w:p w14:paraId="49B6D95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名称</w:t>
            </w:r>
          </w:p>
        </w:tc>
        <w:tc>
          <w:tcPr>
            <w:tcW w:w="851" w:type="dxa"/>
            <w:tcBorders>
              <w:top w:val="single" w:color="auto" w:sz="12" w:space="0"/>
              <w:bottom w:val="double" w:color="auto" w:sz="6" w:space="0"/>
            </w:tcBorders>
            <w:noWrap w:val="0"/>
            <w:vAlign w:val="top"/>
          </w:tcPr>
          <w:p w14:paraId="6E7530A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单位</w:t>
            </w:r>
          </w:p>
        </w:tc>
        <w:tc>
          <w:tcPr>
            <w:tcW w:w="774" w:type="dxa"/>
            <w:tcBorders>
              <w:top w:val="single" w:color="auto" w:sz="12" w:space="0"/>
              <w:bottom w:val="double" w:color="auto" w:sz="6" w:space="0"/>
            </w:tcBorders>
            <w:noWrap w:val="0"/>
            <w:vAlign w:val="top"/>
          </w:tcPr>
          <w:p w14:paraId="22678DC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数量</w:t>
            </w:r>
          </w:p>
        </w:tc>
        <w:tc>
          <w:tcPr>
            <w:tcW w:w="1352" w:type="dxa"/>
            <w:tcBorders>
              <w:top w:val="single" w:color="auto" w:sz="12" w:space="0"/>
              <w:bottom w:val="double" w:color="auto" w:sz="6" w:space="0"/>
            </w:tcBorders>
            <w:noWrap w:val="0"/>
            <w:vAlign w:val="top"/>
          </w:tcPr>
          <w:p w14:paraId="3867985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单价（元）</w:t>
            </w:r>
          </w:p>
        </w:tc>
        <w:tc>
          <w:tcPr>
            <w:tcW w:w="1418" w:type="dxa"/>
            <w:tcBorders>
              <w:top w:val="single" w:color="auto" w:sz="12" w:space="0"/>
              <w:bottom w:val="double" w:color="auto" w:sz="6" w:space="0"/>
            </w:tcBorders>
            <w:noWrap w:val="0"/>
            <w:vAlign w:val="top"/>
          </w:tcPr>
          <w:p w14:paraId="5C88D24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合价（元）</w:t>
            </w:r>
          </w:p>
        </w:tc>
        <w:tc>
          <w:tcPr>
            <w:tcW w:w="1701" w:type="dxa"/>
            <w:tcBorders>
              <w:top w:val="single" w:color="auto" w:sz="12" w:space="0"/>
              <w:bottom w:val="double" w:color="auto" w:sz="6" w:space="0"/>
            </w:tcBorders>
            <w:noWrap w:val="0"/>
            <w:vAlign w:val="top"/>
          </w:tcPr>
          <w:p w14:paraId="32706D1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备注</w:t>
            </w:r>
          </w:p>
        </w:tc>
      </w:tr>
      <w:tr w14:paraId="22DB2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20B1189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tcBorders>
              <w:top w:val="double" w:color="auto" w:sz="6" w:space="0"/>
              <w:bottom w:val="single" w:color="auto" w:sz="6" w:space="0"/>
            </w:tcBorders>
            <w:noWrap w:val="0"/>
            <w:vAlign w:val="top"/>
          </w:tcPr>
          <w:p w14:paraId="04572E0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tcBorders>
              <w:top w:val="double" w:color="auto" w:sz="6" w:space="0"/>
              <w:bottom w:val="single" w:color="auto" w:sz="6" w:space="0"/>
            </w:tcBorders>
            <w:noWrap w:val="0"/>
            <w:vAlign w:val="top"/>
          </w:tcPr>
          <w:p w14:paraId="727372E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tcBorders>
              <w:top w:val="double" w:color="auto" w:sz="6" w:space="0"/>
              <w:bottom w:val="single" w:color="auto" w:sz="6" w:space="0"/>
            </w:tcBorders>
            <w:noWrap w:val="0"/>
            <w:vAlign w:val="top"/>
          </w:tcPr>
          <w:p w14:paraId="69B9A4B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tcBorders>
              <w:top w:val="double" w:color="auto" w:sz="6" w:space="0"/>
              <w:bottom w:val="single" w:color="auto" w:sz="6" w:space="0"/>
            </w:tcBorders>
            <w:noWrap w:val="0"/>
            <w:vAlign w:val="top"/>
          </w:tcPr>
          <w:p w14:paraId="671BAA4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tcBorders>
              <w:top w:val="double" w:color="auto" w:sz="6" w:space="0"/>
              <w:bottom w:val="single" w:color="auto" w:sz="6" w:space="0"/>
            </w:tcBorders>
            <w:noWrap w:val="0"/>
            <w:vAlign w:val="top"/>
          </w:tcPr>
          <w:p w14:paraId="3D57AF1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tcBorders>
              <w:top w:val="double" w:color="auto" w:sz="6" w:space="0"/>
              <w:bottom w:val="single" w:color="auto" w:sz="6" w:space="0"/>
            </w:tcBorders>
            <w:noWrap w:val="0"/>
            <w:vAlign w:val="top"/>
          </w:tcPr>
          <w:p w14:paraId="6D9FB85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E9D6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65846ED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tcBorders>
              <w:top w:val="nil"/>
            </w:tcBorders>
            <w:noWrap w:val="0"/>
            <w:vAlign w:val="top"/>
          </w:tcPr>
          <w:p w14:paraId="386DFA3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tcBorders>
              <w:top w:val="nil"/>
            </w:tcBorders>
            <w:noWrap w:val="0"/>
            <w:vAlign w:val="top"/>
          </w:tcPr>
          <w:p w14:paraId="54985EE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tcBorders>
              <w:top w:val="nil"/>
            </w:tcBorders>
            <w:noWrap w:val="0"/>
            <w:vAlign w:val="top"/>
          </w:tcPr>
          <w:p w14:paraId="47D622D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tcBorders>
              <w:top w:val="nil"/>
            </w:tcBorders>
            <w:noWrap w:val="0"/>
            <w:vAlign w:val="top"/>
          </w:tcPr>
          <w:p w14:paraId="6FE642E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tcBorders>
              <w:top w:val="nil"/>
            </w:tcBorders>
            <w:noWrap w:val="0"/>
            <w:vAlign w:val="top"/>
          </w:tcPr>
          <w:p w14:paraId="74C924F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tcBorders>
              <w:top w:val="nil"/>
            </w:tcBorders>
            <w:noWrap w:val="0"/>
            <w:vAlign w:val="top"/>
          </w:tcPr>
          <w:p w14:paraId="7D2AA27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F597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B8FF03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369D304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0E40EE1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4B9A094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0D6F4BB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5751820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63700C6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5291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C86ED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72C4230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670A8E5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2E9FA6C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0470B35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3B3D2EA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6F36D78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0DA7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8BDDD1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76BF016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1D20C1E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757A828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17E7451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60AE078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0D43232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269D0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07909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4F973BC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4EC716D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3831B10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4F03787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202841D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10138D1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2E17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BEAE1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278F059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1B223EB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0FB8F7E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220D945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79527FC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43F2563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D1B8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EC5724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1C63378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4BD7826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43FA214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24326E6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2DC5A42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1B301F0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4B3AD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92DF1D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05BD7A3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777ABE1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73F4B98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21BF2BE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39FD39D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79E0421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4292C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E349FE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1B32B8E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336673D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7726925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6F6D599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2573E96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476691F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3B50C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778FD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3028A11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6540DEF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61C55E2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2381AF9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20D5F70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1205630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66715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F532A8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2560411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4D2C2D8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7312896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004871C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2CC24FB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1560C7A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B63B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E84B47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2A261D5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08BA657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634C505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38FFFCC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1FE40DA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2FA5943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47ABF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DE6C3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4A787EB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3EB0FC7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4AD3A71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0FD75AE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57E7BAB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074CB83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11523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66CC30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32D9769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7E536AC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2AB340D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1C3E874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1E59643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2FD49FE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820C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AD96C7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4258495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36A97C1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3E72F9C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15A429B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772AD7C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12BFFEF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734C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D0F0CA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4D39B49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14A86F3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5BE3186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7C2AC58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1444186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70AA474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B951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5A8D33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6C97572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34FC148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271946E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5436E67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7C7EA4F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1FDB1A3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4A7E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5C04A7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13BB53F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2CDBA73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547772F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6C313AD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7B96532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1A35806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1A1BC8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90B98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2EE5DB4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20CA19B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432876A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691AF46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2D7356B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526E4E1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F606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B7E385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5CB57E1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851" w:type="dxa"/>
            <w:noWrap w:val="0"/>
            <w:vAlign w:val="top"/>
          </w:tcPr>
          <w:p w14:paraId="41EBB55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774" w:type="dxa"/>
            <w:noWrap w:val="0"/>
            <w:vAlign w:val="top"/>
          </w:tcPr>
          <w:p w14:paraId="0ACDD92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352" w:type="dxa"/>
            <w:noWrap w:val="0"/>
            <w:vAlign w:val="top"/>
          </w:tcPr>
          <w:p w14:paraId="1D7F6DA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418" w:type="dxa"/>
            <w:noWrap w:val="0"/>
            <w:vAlign w:val="top"/>
          </w:tcPr>
          <w:p w14:paraId="6A67184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701" w:type="dxa"/>
            <w:noWrap w:val="0"/>
            <w:vAlign w:val="top"/>
          </w:tcPr>
          <w:p w14:paraId="074F822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bl>
    <w:p w14:paraId="2F3C131B">
      <w:pPr>
        <w:spacing w:line="440" w:lineRule="exact"/>
        <w:rPr>
          <w:rFonts w:hint="eastAsia" w:asciiTheme="minorEastAsia" w:hAnsiTheme="minorEastAsia" w:eastAsiaTheme="minorEastAsia" w:cstheme="minorEastAsia"/>
          <w:color w:val="000000"/>
          <w:sz w:val="24"/>
          <w:szCs w:val="24"/>
        </w:rPr>
      </w:pPr>
    </w:p>
    <w:p w14:paraId="33BDFBCD">
      <w:pPr>
        <w:spacing w:before="156" w:beforeLines="50" w:after="156" w:afterLines="50" w:line="4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br w:type="page"/>
      </w:r>
      <w:r>
        <w:rPr>
          <w:rFonts w:hint="eastAsia" w:asciiTheme="minorEastAsia" w:hAnsiTheme="minorEastAsia" w:eastAsiaTheme="minorEastAsia" w:cstheme="minorEastAsia"/>
          <w:color w:val="000000"/>
          <w:sz w:val="24"/>
          <w:szCs w:val="24"/>
        </w:rPr>
        <w:t>11-3：专业工程暂估价表</w:t>
      </w:r>
    </w:p>
    <w:tbl>
      <w:tblPr>
        <w:tblStyle w:val="37"/>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4FE05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50BFCD2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序号</w:t>
            </w:r>
          </w:p>
        </w:tc>
        <w:tc>
          <w:tcPr>
            <w:tcW w:w="1984" w:type="dxa"/>
            <w:tcBorders>
              <w:top w:val="single" w:color="auto" w:sz="12" w:space="0"/>
              <w:bottom w:val="double" w:color="auto" w:sz="6" w:space="0"/>
            </w:tcBorders>
            <w:noWrap w:val="0"/>
            <w:vAlign w:val="top"/>
          </w:tcPr>
          <w:p w14:paraId="2C0A8A0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专业工程名称</w:t>
            </w:r>
          </w:p>
        </w:tc>
        <w:tc>
          <w:tcPr>
            <w:tcW w:w="4678" w:type="dxa"/>
            <w:tcBorders>
              <w:top w:val="single" w:color="auto" w:sz="12" w:space="0"/>
              <w:bottom w:val="double" w:color="auto" w:sz="6" w:space="0"/>
            </w:tcBorders>
            <w:noWrap w:val="0"/>
            <w:vAlign w:val="top"/>
          </w:tcPr>
          <w:p w14:paraId="347E2C7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工程内容</w:t>
            </w:r>
          </w:p>
        </w:tc>
        <w:tc>
          <w:tcPr>
            <w:tcW w:w="1276" w:type="dxa"/>
            <w:tcBorders>
              <w:top w:val="single" w:color="auto" w:sz="12" w:space="0"/>
              <w:bottom w:val="double" w:color="auto" w:sz="6" w:space="0"/>
            </w:tcBorders>
            <w:noWrap w:val="0"/>
            <w:vAlign w:val="top"/>
          </w:tcPr>
          <w:p w14:paraId="3732389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金额</w:t>
            </w:r>
          </w:p>
        </w:tc>
      </w:tr>
      <w:tr w14:paraId="18D22E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5F2B59A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tcBorders>
              <w:top w:val="double" w:color="auto" w:sz="6" w:space="0"/>
              <w:bottom w:val="single" w:color="auto" w:sz="6" w:space="0"/>
            </w:tcBorders>
            <w:noWrap w:val="0"/>
            <w:vAlign w:val="top"/>
          </w:tcPr>
          <w:p w14:paraId="4273BB0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tcBorders>
              <w:top w:val="double" w:color="auto" w:sz="6" w:space="0"/>
              <w:bottom w:val="single" w:color="auto" w:sz="6" w:space="0"/>
            </w:tcBorders>
            <w:noWrap w:val="0"/>
            <w:vAlign w:val="top"/>
          </w:tcPr>
          <w:p w14:paraId="5B9D90E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tcBorders>
              <w:top w:val="double" w:color="auto" w:sz="6" w:space="0"/>
              <w:bottom w:val="single" w:color="auto" w:sz="6" w:space="0"/>
            </w:tcBorders>
            <w:noWrap w:val="0"/>
            <w:vAlign w:val="top"/>
          </w:tcPr>
          <w:p w14:paraId="61C6DFD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D06F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314603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7ACF35A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517517E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565D6CF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2A70F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12AC7C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12FAEC9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30DAD44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3250BD4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2421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55EF9F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6A47473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4C2B2A3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732B223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98DA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616C9B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1328925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1C4DF8B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2C265AA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2E67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8D081F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3D92CD8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388DD4D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13FA9AC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90E9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BCBFE0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4713287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5A6E77E4">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70F68AB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1FCB1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BC4554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7EFD1A9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645D879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4381002A">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7AE02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6E2BD6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372D4F1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42ED30B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65B4C63C">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49B4D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127D35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7E09996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61BADA2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3DAC359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30315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5DD293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6C83FDD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0D4FE0E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5A64204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4EDC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67FAC1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3F45BA3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32A1ADF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2FAF2BA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1E102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896C2E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1118AD6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2F007B0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4B870E66">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46BE8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EB030D7">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395A484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54B8F60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543AC07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67E0C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A602D7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66A6344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712817E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2F599F2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111A1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811C6E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38E9D20F">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5BDFB15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5CEA63A2">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88FB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689FD2E">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0272BB65">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53096D6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5BEC840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5AE70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6A27B3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248622C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518E63B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0A94668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337C9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043E6C9">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7E59A448">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07C67B10">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7D8BB4F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28CC1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FD2CF0D">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984" w:type="dxa"/>
            <w:noWrap w:val="0"/>
            <w:vAlign w:val="top"/>
          </w:tcPr>
          <w:p w14:paraId="22FB8421">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4678" w:type="dxa"/>
            <w:noWrap w:val="0"/>
            <w:vAlign w:val="top"/>
          </w:tcPr>
          <w:p w14:paraId="1281F573">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c>
          <w:tcPr>
            <w:tcW w:w="1276" w:type="dxa"/>
            <w:noWrap w:val="0"/>
            <w:vAlign w:val="top"/>
          </w:tcPr>
          <w:p w14:paraId="1D2F6C3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p>
        </w:tc>
      </w:tr>
      <w:tr w14:paraId="0EBCD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0623316B">
            <w:pPr>
              <w:pStyle w:val="11"/>
              <w:keepNext/>
              <w:spacing w:after="0" w:line="440" w:lineRule="exact"/>
              <w:ind w:left="63" w:right="63"/>
              <w:rPr>
                <w:rFonts w:hint="eastAsia" w:asciiTheme="minorEastAsia" w:hAnsiTheme="minorEastAsia" w:eastAsiaTheme="minorEastAsia" w:cstheme="minorEastAsia"/>
                <w:color w:val="000000"/>
                <w:kern w:val="2"/>
                <w:sz w:val="24"/>
                <w:szCs w:val="24"/>
                <w:lang w:val="en-US" w:eastAsia="zh-CN"/>
              </w:rPr>
            </w:pPr>
            <w:r>
              <w:rPr>
                <w:rFonts w:hint="eastAsia" w:asciiTheme="minorEastAsia" w:hAnsiTheme="minorEastAsia" w:eastAsiaTheme="minorEastAsia" w:cstheme="minorEastAsia"/>
                <w:color w:val="000000"/>
                <w:kern w:val="2"/>
                <w:sz w:val="24"/>
                <w:szCs w:val="24"/>
                <w:lang w:val="en-US" w:eastAsia="zh-CN"/>
              </w:rPr>
              <w:t>小计：</w:t>
            </w:r>
          </w:p>
        </w:tc>
      </w:tr>
      <w:bookmarkEnd w:id="386"/>
      <w:bookmarkEnd w:id="387"/>
      <w:bookmarkEnd w:id="388"/>
      <w:bookmarkEnd w:id="389"/>
      <w:bookmarkEnd w:id="390"/>
    </w:tbl>
    <w:p w14:paraId="79346DF9">
      <w:pPr>
        <w:rPr>
          <w:rFonts w:hint="eastAsia" w:asciiTheme="minorEastAsia" w:hAnsiTheme="minorEastAsia" w:eastAsiaTheme="minorEastAsia" w:cstheme="minorEastAsia"/>
          <w:sz w:val="24"/>
          <w:szCs w:val="24"/>
        </w:rPr>
      </w:pPr>
    </w:p>
    <w:sectPr>
      <w:headerReference r:id="rId23" w:type="default"/>
      <w:footerReference r:id="rId24"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CF42F">
    <w:pPr>
      <w:pStyle w:val="21"/>
      <w:ind w:right="360" w:firstLine="360"/>
      <w:jc w:val="right"/>
      <w:rPr>
        <w:rFonts w:hint="eastAsia"/>
        <w:color w:val="FF0000"/>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84D4B">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6E84D4B">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9F26A">
    <w:pPr>
      <w:pStyle w:val="21"/>
      <w:framePr w:wrap="around" w:vAnchor="text" w:hAnchor="margin" w:xAlign="center" w:y="1"/>
      <w:rPr>
        <w:rStyle w:val="47"/>
      </w:rPr>
    </w:pPr>
    <w:r>
      <w:fldChar w:fldCharType="begin"/>
    </w:r>
    <w:r>
      <w:rPr>
        <w:rStyle w:val="47"/>
      </w:rPr>
      <w:instrText xml:space="preserve">PAGE  </w:instrText>
    </w:r>
    <w:r>
      <w:fldChar w:fldCharType="end"/>
    </w:r>
  </w:p>
  <w:p w14:paraId="78E6610F">
    <w:pPr>
      <w:pStyle w:val="2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B2D72">
    <w:pPr>
      <w:pStyle w:val="21"/>
      <w:jc w:val="center"/>
      <w:rPr>
        <w:rFonts w:hint="eastAsia" w:ascii="宋体" w:hAnsi="宋体" w:eastAsia="宋体" w:cs="宋体"/>
        <w:sz w:val="16"/>
        <w:szCs w:val="15"/>
      </w:rPr>
    </w:pPr>
    <w:r>
      <w:rPr>
        <w:rFonts w:hint="eastAsia" w:ascii="宋体" w:hAnsi="宋体" w:eastAsia="宋体" w:cs="宋体"/>
        <w:sz w:val="16"/>
        <w:szCs w:val="1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272DC">
                          <w:pPr>
                            <w:pStyle w:val="21"/>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9</w:t>
                          </w:r>
                          <w:r>
                            <w:rPr>
                              <w:rFonts w:ascii="Times New Roman" w:hAnsi="Times New Roman" w:eastAsia="仿宋_GB2312"/>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6272DC">
                    <w:pPr>
                      <w:pStyle w:val="21"/>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9</w:t>
                    </w:r>
                    <w:r>
                      <w:rPr>
                        <w:rFonts w:ascii="Times New Roman" w:hAnsi="Times New Roman" w:eastAsia="仿宋_GB2312"/>
                        <w:sz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FD7A1">
    <w:pPr>
      <w:pStyle w:val="21"/>
      <w:jc w:val="center"/>
      <w:rPr>
        <w:rFonts w:hint="default" w:ascii="宋体" w:hAnsi="宋体" w:eastAsia="宋体" w:cs="宋体"/>
        <w:sz w:val="16"/>
        <w:szCs w:val="15"/>
        <w:lang w:val="en-US" w:eastAsia="zh-CN"/>
      </w:rPr>
    </w:pPr>
    <w:r>
      <w:rPr>
        <w:sz w:val="16"/>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9FF9D">
                          <w:pPr>
                            <w:pStyle w:val="2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6F9FF9D">
                    <w:pPr>
                      <w:pStyle w:val="2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A64F8">
    <w:pPr>
      <w:pStyle w:val="21"/>
      <w:jc w:val="center"/>
      <w:rPr>
        <w:rFonts w:hint="default" w:eastAsia="宋体"/>
        <w:lang w:val="en-US" w:eastAsia="zh-CN"/>
      </w:rPr>
    </w:pPr>
    <w:r>
      <w:rPr>
        <w:rFonts w:hint="eastAsia"/>
        <w:lang w:val="en-US" w:eastAsia="zh-CN"/>
      </w:rPr>
      <w:t>50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8D414">
    <w:pPr>
      <w:jc w:val="center"/>
      <w:rPr>
        <w:rFonts w:hint="default" w:eastAsia="宋体"/>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8B11C">
                          <w:pPr>
                            <w:pStyle w:val="2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558B11C">
                    <w:pPr>
                      <w:pStyle w:val="21"/>
                    </w:pPr>
                    <w:r>
                      <w:fldChar w:fldCharType="begin"/>
                    </w:r>
                    <w:r>
                      <w:instrText xml:space="preserve"> PAGE  \* MERGEFORMAT </w:instrText>
                    </w:r>
                    <w:r>
                      <w:fldChar w:fldCharType="separate"/>
                    </w:r>
                    <w:r>
                      <w:t>17</w:t>
                    </w:r>
                    <w:r>
                      <w:fldChar w:fldCharType="end"/>
                    </w:r>
                  </w:p>
                </w:txbxContent>
              </v:textbox>
            </v:shape>
          </w:pict>
        </mc:Fallback>
      </mc:AlternateContent>
    </w:r>
    <w:r>
      <w:rPr>
        <w:rFonts w:hint="eastAsia"/>
        <w:lang w:val="en-US" w:eastAsia="zh-CN"/>
      </w:rPr>
      <w:t>71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824CA">
    <w:pPr>
      <w:pStyle w:val="21"/>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42EDD">
                          <w:pPr>
                            <w:pStyle w:val="21"/>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A442EDD">
                    <w:pPr>
                      <w:pStyle w:val="21"/>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E3ED1">
    <w:pPr>
      <w:pStyle w:val="21"/>
      <w:jc w:val="center"/>
      <w:rPr>
        <w:rFonts w:hint="default" w:eastAsia="宋体"/>
        <w:lang w:val="en-US" w:eastAsia="zh-CN"/>
      </w:rPr>
    </w:pPr>
    <w:r>
      <w:rPr>
        <w:rFonts w:hint="eastAsia"/>
        <w:lang w:val="en-US" w:eastAsia="zh-CN"/>
      </w:rPr>
      <w:t>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2008">
    <w:pPr>
      <w:pStyle w:val="21"/>
      <w:ind w:right="360" w:firstLine="360"/>
      <w:jc w:val="right"/>
      <w:rPr>
        <w:rFonts w:hint="eastAsia"/>
        <w:color w:val="FF0000"/>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E1544">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1EE1544">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7F05C">
    <w:pPr>
      <w:pStyle w:val="21"/>
      <w:tabs>
        <w:tab w:val="center" w:pos="4873"/>
        <w:tab w:val="right" w:pos="9506"/>
      </w:tabs>
      <w:ind w:right="360" w:firstLine="360"/>
      <w:jc w:val="left"/>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C329D">
                          <w:pPr>
                            <w:pStyle w:val="2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B3C329D">
                    <w:pPr>
                      <w:pStyle w:val="21"/>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90539">
    <w:pPr>
      <w:spacing w:line="180" w:lineRule="auto"/>
      <w:ind w:left="4429"/>
      <w:rPr>
        <w:rFonts w:hint="default" w:ascii="宋体" w:hAnsi="宋体" w:eastAsia="宋体" w:cs="宋体"/>
        <w:sz w:val="17"/>
        <w:szCs w:val="17"/>
        <w:lang w:val="en-US" w:eastAsia="zh-CN"/>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BA147">
                          <w:pPr>
                            <w:pStyle w:val="2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2BBA147">
                    <w:pPr>
                      <w:pStyle w:val="2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B0C73">
    <w:pPr>
      <w:spacing w:line="179" w:lineRule="auto"/>
      <w:ind w:left="4429"/>
      <w:rPr>
        <w:rFonts w:hint="default" w:ascii="宋体" w:hAnsi="宋体" w:eastAsia="宋体" w:cs="宋体"/>
        <w:sz w:val="17"/>
        <w:szCs w:val="17"/>
        <w:lang w:val="en-US" w:eastAsia="zh-CN"/>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B8902">
                          <w:pPr>
                            <w:pStyle w:val="2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F2B8902">
                    <w:pPr>
                      <w:pStyle w:val="2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38A66">
    <w:pPr>
      <w:pStyle w:val="21"/>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127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2C714923">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38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pb8P0QAAAAMBAAAPAAAAAAAAAAEAIAAAACIAAABkcnMv&#10;ZG93bnJldi54bWxQSwECFAAUAAAACACHTuJA3Sz31goCAAACBAAADgAAAAAAAAABACAAAAAgAQAA&#10;ZHJzL2Uyb0RvYy54bWxQSwUGAAAAAAYABgBZAQAAnAUAAAAA&#10;">
              <v:fill on="f" focussize="0,0"/>
              <v:stroke on="f"/>
              <v:imagedata o:title=""/>
              <o:lock v:ext="edit" aspectratio="f"/>
              <v:textbox inset="0mm,0mm,0mm,0mm" style="mso-fit-shape-to-text:t;">
                <w:txbxContent>
                  <w:p w14:paraId="2C714923">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38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0A367">
    <w:pPr>
      <w:pStyle w:val="21"/>
      <w:framePr w:wrap="around" w:vAnchor="text" w:hAnchor="margin" w:xAlign="center" w:y="1"/>
      <w:rPr>
        <w:rStyle w:val="47"/>
      </w:rPr>
    </w:pPr>
    <w:r>
      <w:fldChar w:fldCharType="begin"/>
    </w:r>
    <w:r>
      <w:rPr>
        <w:rStyle w:val="47"/>
      </w:rPr>
      <w:instrText xml:space="preserve">PAGE  </w:instrText>
    </w:r>
    <w:r>
      <w:fldChar w:fldCharType="end"/>
    </w:r>
  </w:p>
  <w:p w14:paraId="5B84A48D">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626A9">
    <w:pPr>
      <w:pStyle w:val="21"/>
      <w:tabs>
        <w:tab w:val="left" w:pos="3306"/>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3175" t="1270" r="0" b="317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0E48B64B">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45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6W/D9EAAAADAQAADwAAAAAAAAABACAAAAAiAAAAZHJz&#10;L2Rvd25yZXYueG1sUEsBAhQAFAAAAAgAh07iQPQgnMALAgAAAgQAAA4AAAAAAAAAAQAgAAAAIAEA&#10;AGRycy9lMm9Eb2MueG1sUEsFBgAAAAAGAAYAWQEAAJ0FAAAAAA==&#10;">
              <v:fill on="f" focussize="0,0"/>
              <v:stroke on="f"/>
              <v:imagedata o:title=""/>
              <o:lock v:ext="edit" aspectratio="f"/>
              <v:textbox inset="0mm,0mm,0mm,0mm" style="mso-fit-shape-to-text:t;">
                <w:txbxContent>
                  <w:p w14:paraId="0E48B64B">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1A3E2">
    <w:pPr>
      <w:pStyle w:val="22"/>
      <w:pBdr>
        <w:bottom w:val="none" w:color="auto" w:sz="0" w:space="1"/>
      </w:pBdr>
      <w:tabs>
        <w:tab w:val="left" w:pos="1794"/>
        <w:tab w:val="clear" w:pos="4153"/>
      </w:tabs>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05C87">
    <w:pPr>
      <w:pStyle w:val="22"/>
      <w:pBdr>
        <w:bottom w:val="none" w:color="auto" w:sz="0" w:space="1"/>
      </w:pBdr>
    </w:pPr>
  </w:p>
  <w:p w14:paraId="6F61A936">
    <w:pPr>
      <w:pStyle w:val="22"/>
      <w:pBdr>
        <w:bottom w:val="none" w:color="auto" w:sz="0" w:space="1"/>
      </w:pBdr>
    </w:pPr>
  </w:p>
  <w:p w14:paraId="353CE385">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CB3F4">
    <w:pPr>
      <w:pStyle w:val="22"/>
      <w:pBdr>
        <w:bottom w:val="double" w:color="auto" w:sz="8"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6A5CA">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B335E">
    <w:pPr>
      <w:pStyle w:val="22"/>
      <w:pBdr>
        <w:bottom w:val="none" w:color="auto" w:sz="0" w:space="0"/>
      </w:pBdr>
      <w:tabs>
        <w:tab w:val="left" w:pos="1959"/>
        <w:tab w:val="clear" w:pos="4153"/>
      </w:tabs>
      <w:jc w:val="both"/>
      <w:rPr>
        <w:rFonts w:hint="eastAsia"/>
      </w:rPr>
    </w:pPr>
    <w:r>
      <w:rPr>
        <w:rFonts w:hint="eastAsia"/>
      </w:rPr>
      <w:tab/>
    </w:r>
  </w:p>
  <w:p w14:paraId="0B43D117">
    <w:pPr>
      <w:pStyle w:val="22"/>
      <w:pBdr>
        <w:bottom w:val="none" w:color="auto" w:sz="0" w:space="0"/>
      </w:pBdr>
      <w:tabs>
        <w:tab w:val="left" w:pos="1959"/>
        <w:tab w:val="clear" w:pos="4153"/>
      </w:tabs>
      <w:jc w:val="both"/>
      <w:rPr>
        <w:rFonts w:hint="eastAsia"/>
      </w:rPr>
    </w:pPr>
  </w:p>
  <w:p w14:paraId="784C65D0">
    <w:pPr>
      <w:pStyle w:val="22"/>
      <w:pBdr>
        <w:bottom w:val="none" w:color="auto" w:sz="0" w:space="0"/>
      </w:pBdr>
      <w:tabs>
        <w:tab w:val="left" w:pos="1959"/>
        <w:tab w:val="clear" w:pos="4153"/>
      </w:tabs>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C3869">
    <w:pPr>
      <w:pStyle w:val="2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F564F">
    <w:pPr>
      <w:pStyle w:val="22"/>
      <w:pBdr>
        <w:bottom w:val="double" w:color="auto" w:sz="8"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DA66A"/>
    <w:multiLevelType w:val="multilevel"/>
    <w:tmpl w:val="A1FDA66A"/>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1704" w:hanging="864"/>
      </w:pPr>
      <w:rPr>
        <w:rFonts w:hint="default"/>
      </w:rPr>
    </w:lvl>
    <w:lvl w:ilvl="4" w:tentative="0">
      <w:start w:val="1"/>
      <w:numFmt w:val="decimal"/>
      <w:pStyle w:val="6"/>
      <w:lvlText w:val="%1.%2.%3.%4.%5."/>
      <w:lvlJc w:val="left"/>
      <w:pPr>
        <w:ind w:left="1290"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979F3F8"/>
    <w:multiLevelType w:val="singleLevel"/>
    <w:tmpl w:val="A979F3F8"/>
    <w:lvl w:ilvl="0" w:tentative="0">
      <w:start w:val="1"/>
      <w:numFmt w:val="decimal"/>
      <w:suff w:val="nothing"/>
      <w:lvlText w:val="%1、"/>
      <w:lvlJc w:val="left"/>
      <w:pPr>
        <w:ind w:left="-60"/>
      </w:pPr>
    </w:lvl>
  </w:abstractNum>
  <w:abstractNum w:abstractNumId="2">
    <w:nsid w:val="E23C37C2"/>
    <w:multiLevelType w:val="singleLevel"/>
    <w:tmpl w:val="E23C37C2"/>
    <w:lvl w:ilvl="0" w:tentative="0">
      <w:start w:val="2"/>
      <w:numFmt w:val="decimal"/>
      <w:suff w:val="nothing"/>
      <w:lvlText w:val="%1、"/>
      <w:lvlJc w:val="left"/>
    </w:lvl>
  </w:abstractNum>
  <w:abstractNum w:abstractNumId="3">
    <w:nsid w:val="E61FFB4C"/>
    <w:multiLevelType w:val="singleLevel"/>
    <w:tmpl w:val="E61FFB4C"/>
    <w:lvl w:ilvl="0" w:tentative="0">
      <w:start w:val="1"/>
      <w:numFmt w:val="decimal"/>
      <w:suff w:val="nothing"/>
      <w:lvlText w:val="%1、"/>
      <w:lvlJc w:val="left"/>
      <w:pPr>
        <w:ind w:left="-60"/>
      </w:pPr>
    </w:lvl>
  </w:abstractNum>
  <w:abstractNum w:abstractNumId="4">
    <w:nsid w:val="E71F3C9C"/>
    <w:multiLevelType w:val="singleLevel"/>
    <w:tmpl w:val="E71F3C9C"/>
    <w:lvl w:ilvl="0" w:tentative="0">
      <w:start w:val="1"/>
      <w:numFmt w:val="chineseCounting"/>
      <w:suff w:val="nothing"/>
      <w:lvlText w:val="%1、"/>
      <w:lvlJc w:val="left"/>
      <w:rPr>
        <w:rFonts w:hint="eastAsia"/>
      </w:rPr>
    </w:lvl>
  </w:abstractNum>
  <w:abstractNum w:abstractNumId="5">
    <w:nsid w:val="ED5AE459"/>
    <w:multiLevelType w:val="singleLevel"/>
    <w:tmpl w:val="ED5AE459"/>
    <w:lvl w:ilvl="0" w:tentative="0">
      <w:start w:val="5"/>
      <w:numFmt w:val="chineseCounting"/>
      <w:suff w:val="space"/>
      <w:lvlText w:val="第%1章"/>
      <w:lvlJc w:val="left"/>
      <w:rPr>
        <w:rFonts w:hint="eastAsia"/>
      </w:rPr>
    </w:lvl>
  </w:abstractNum>
  <w:abstractNum w:abstractNumId="6">
    <w:nsid w:val="F8AA6D0F"/>
    <w:multiLevelType w:val="singleLevel"/>
    <w:tmpl w:val="F8AA6D0F"/>
    <w:lvl w:ilvl="0" w:tentative="0">
      <w:start w:val="2"/>
      <w:numFmt w:val="decimal"/>
      <w:suff w:val="nothing"/>
      <w:lvlText w:val="%1．"/>
      <w:lvlJc w:val="left"/>
    </w:lvl>
  </w:abstractNum>
  <w:abstractNum w:abstractNumId="7">
    <w:nsid w:val="00000006"/>
    <w:multiLevelType w:val="singleLevel"/>
    <w:tmpl w:val="00000006"/>
    <w:lvl w:ilvl="0" w:tentative="0">
      <w:start w:val="1"/>
      <w:numFmt w:val="decimal"/>
      <w:suff w:val="nothing"/>
      <w:lvlText w:val="（%1）"/>
      <w:lvlJc w:val="left"/>
    </w:lvl>
  </w:abstractNum>
  <w:abstractNum w:abstractNumId="8">
    <w:nsid w:val="00000009"/>
    <w:multiLevelType w:val="multilevel"/>
    <w:tmpl w:val="00000009"/>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9">
    <w:nsid w:val="0000000B"/>
    <w:multiLevelType w:val="multilevel"/>
    <w:tmpl w:val="0000000B"/>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00000017"/>
    <w:multiLevelType w:val="multilevel"/>
    <w:tmpl w:val="00000017"/>
    <w:lvl w:ilvl="0" w:tentative="0">
      <w:start w:val="1"/>
      <w:numFmt w:val="decimal"/>
      <w:lvlText w:val="第%1章"/>
      <w:lvlJc w:val="left"/>
      <w:pPr>
        <w:tabs>
          <w:tab w:val="left" w:pos="1991"/>
        </w:tabs>
        <w:ind w:left="1838" w:hanging="1140"/>
      </w:pPr>
      <w:rPr>
        <w:rFonts w:hint="eastAsia"/>
      </w:rPr>
    </w:lvl>
    <w:lvl w:ilvl="1" w:tentative="0">
      <w:start w:val="1"/>
      <w:numFmt w:val="lowerLetter"/>
      <w:lvlText w:val="%2)"/>
      <w:lvlJc w:val="left"/>
      <w:pPr>
        <w:tabs>
          <w:tab w:val="left" w:pos="1691"/>
        </w:tabs>
        <w:ind w:left="-1341" w:hanging="420"/>
      </w:pPr>
      <w:rPr>
        <w:rFonts w:hint="eastAsia"/>
      </w:rPr>
    </w:lvl>
    <w:lvl w:ilvl="2" w:tentative="0">
      <w:start w:val="1"/>
      <w:numFmt w:val="lowerRoman"/>
      <w:lvlText w:val="%3."/>
      <w:lvlJc w:val="right"/>
      <w:pPr>
        <w:tabs>
          <w:tab w:val="left" w:pos="2111"/>
        </w:tabs>
        <w:ind w:left="-921" w:hanging="420"/>
      </w:pPr>
      <w:rPr>
        <w:rFonts w:hint="eastAsia"/>
      </w:rPr>
    </w:lvl>
    <w:lvl w:ilvl="3" w:tentative="0">
      <w:start w:val="1"/>
      <w:numFmt w:val="decimal"/>
      <w:lvlText w:val="%4."/>
      <w:lvlJc w:val="left"/>
      <w:pPr>
        <w:tabs>
          <w:tab w:val="left" w:pos="2531"/>
        </w:tabs>
        <w:ind w:left="-501" w:hanging="420"/>
      </w:pPr>
      <w:rPr>
        <w:rFonts w:hint="eastAsia"/>
      </w:rPr>
    </w:lvl>
    <w:lvl w:ilvl="4" w:tentative="0">
      <w:start w:val="1"/>
      <w:numFmt w:val="lowerLetter"/>
      <w:lvlText w:val="%5)"/>
      <w:lvlJc w:val="left"/>
      <w:pPr>
        <w:tabs>
          <w:tab w:val="left" w:pos="2951"/>
        </w:tabs>
        <w:ind w:left="-81" w:hanging="420"/>
      </w:pPr>
      <w:rPr>
        <w:rFonts w:hint="eastAsia"/>
      </w:rPr>
    </w:lvl>
    <w:lvl w:ilvl="5" w:tentative="0">
      <w:start w:val="1"/>
      <w:numFmt w:val="lowerRoman"/>
      <w:lvlText w:val="%6."/>
      <w:lvlJc w:val="right"/>
      <w:pPr>
        <w:tabs>
          <w:tab w:val="left" w:pos="3371"/>
        </w:tabs>
        <w:ind w:left="339" w:hanging="420"/>
      </w:pPr>
      <w:rPr>
        <w:rFonts w:hint="eastAsia"/>
      </w:rPr>
    </w:lvl>
    <w:lvl w:ilvl="6" w:tentative="0">
      <w:start w:val="1"/>
      <w:numFmt w:val="decimal"/>
      <w:lvlText w:val="%7."/>
      <w:lvlJc w:val="left"/>
      <w:pPr>
        <w:tabs>
          <w:tab w:val="left" w:pos="3791"/>
        </w:tabs>
        <w:ind w:left="759" w:hanging="420"/>
      </w:pPr>
      <w:rPr>
        <w:rFonts w:hint="eastAsia"/>
      </w:rPr>
    </w:lvl>
    <w:lvl w:ilvl="7" w:tentative="0">
      <w:start w:val="1"/>
      <w:numFmt w:val="lowerLetter"/>
      <w:lvlText w:val="%8)"/>
      <w:lvlJc w:val="left"/>
      <w:pPr>
        <w:tabs>
          <w:tab w:val="left" w:pos="4211"/>
        </w:tabs>
        <w:ind w:left="1179" w:hanging="420"/>
      </w:pPr>
      <w:rPr>
        <w:rFonts w:hint="eastAsia"/>
      </w:rPr>
    </w:lvl>
    <w:lvl w:ilvl="8" w:tentative="0">
      <w:start w:val="1"/>
      <w:numFmt w:val="lowerRoman"/>
      <w:lvlText w:val="%9."/>
      <w:lvlJc w:val="right"/>
      <w:pPr>
        <w:tabs>
          <w:tab w:val="left" w:pos="4631"/>
        </w:tabs>
        <w:ind w:left="1599" w:hanging="420"/>
      </w:pPr>
      <w:rPr>
        <w:rFonts w:hint="eastAsia"/>
      </w:rPr>
    </w:lvl>
  </w:abstractNum>
  <w:abstractNum w:abstractNumId="11">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2">
    <w:nsid w:val="3AA800C6"/>
    <w:multiLevelType w:val="multilevel"/>
    <w:tmpl w:val="3AA800C6"/>
    <w:lvl w:ilvl="0" w:tentative="0">
      <w:start w:val="1"/>
      <w:numFmt w:val="decimal"/>
      <w:pStyle w:val="130"/>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62687BB6"/>
    <w:multiLevelType w:val="multilevel"/>
    <w:tmpl w:val="62687BB6"/>
    <w:lvl w:ilvl="0" w:tentative="0">
      <w:start w:val="1"/>
      <w:numFmt w:val="decimal"/>
      <w:pStyle w:val="136"/>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5">
    <w:nsid w:val="64CDD898"/>
    <w:multiLevelType w:val="singleLevel"/>
    <w:tmpl w:val="64CDD898"/>
    <w:lvl w:ilvl="0" w:tentative="0">
      <w:start w:val="3"/>
      <w:numFmt w:val="chineseCounting"/>
      <w:suff w:val="nothing"/>
      <w:lvlText w:val="（%1）"/>
      <w:lvlJc w:val="left"/>
      <w:rPr>
        <w:rFonts w:hint="eastAsia"/>
      </w:rPr>
    </w:lvl>
  </w:abstractNum>
  <w:abstractNum w:abstractNumId="16">
    <w:nsid w:val="6AC75505"/>
    <w:multiLevelType w:val="singleLevel"/>
    <w:tmpl w:val="6AC75505"/>
    <w:lvl w:ilvl="0" w:tentative="0">
      <w:start w:val="2"/>
      <w:numFmt w:val="decimal"/>
      <w:suff w:val="nothing"/>
      <w:lvlText w:val="%1、"/>
      <w:lvlJc w:val="left"/>
    </w:lvl>
  </w:abstractNum>
  <w:abstractNum w:abstractNumId="17">
    <w:nsid w:val="6E87019F"/>
    <w:multiLevelType w:val="multilevel"/>
    <w:tmpl w:val="6E87019F"/>
    <w:lvl w:ilvl="0" w:tentative="0">
      <w:start w:val="1"/>
      <w:numFmt w:val="chineseCountingThousand"/>
      <w:pStyle w:val="128"/>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8">
    <w:nsid w:val="71CBC78F"/>
    <w:multiLevelType w:val="singleLevel"/>
    <w:tmpl w:val="71CBC78F"/>
    <w:lvl w:ilvl="0" w:tentative="0">
      <w:start w:val="6"/>
      <w:numFmt w:val="chineseCounting"/>
      <w:suff w:val="nothing"/>
      <w:lvlText w:val="%1、"/>
      <w:lvlJc w:val="left"/>
      <w:pPr>
        <w:ind w:left="210"/>
      </w:pPr>
      <w:rPr>
        <w:rFonts w:hint="eastAsia" w:ascii="宋体" w:hAnsi="宋体" w:eastAsia="宋体" w:cs="宋体"/>
        <w:b w:val="0"/>
        <w:bCs w:val="0"/>
        <w:sz w:val="24"/>
        <w:szCs w:val="24"/>
      </w:rPr>
    </w:lvl>
  </w:abstractNum>
  <w:abstractNum w:abstractNumId="19">
    <w:nsid w:val="754431B7"/>
    <w:multiLevelType w:val="singleLevel"/>
    <w:tmpl w:val="754431B7"/>
    <w:lvl w:ilvl="0" w:tentative="0">
      <w:start w:val="3"/>
      <w:numFmt w:val="decimal"/>
      <w:suff w:val="space"/>
      <w:lvlText w:val="%1）"/>
      <w:lvlJc w:val="left"/>
    </w:lvl>
  </w:abstractNum>
  <w:num w:numId="1">
    <w:abstractNumId w:val="0"/>
  </w:num>
  <w:num w:numId="2">
    <w:abstractNumId w:val="13"/>
  </w:num>
  <w:num w:numId="3">
    <w:abstractNumId w:val="17"/>
  </w:num>
  <w:num w:numId="4">
    <w:abstractNumId w:val="12"/>
  </w:num>
  <w:num w:numId="5">
    <w:abstractNumId w:val="11"/>
    <w:lvlOverride w:ilvl="0">
      <w:lvl w:ilvl="0" w:tentative="1">
        <w:start w:val="1"/>
        <w:numFmt w:val="decimal"/>
        <w:lvlText w:val="第%1条"/>
        <w:lvlJc w:val="left"/>
        <w:pPr>
          <w:ind w:left="0" w:firstLine="0"/>
        </w:pPr>
      </w:lvl>
    </w:lvlOverride>
    <w:lvlOverride w:ilvl="1">
      <w:lvl w:ilvl="1" w:tentative="1">
        <w:start w:val="1"/>
        <w:numFmt w:val="decimal"/>
        <w:pStyle w:val="131"/>
        <w:lvlText w:val="%1.%2"/>
        <w:lvlJc w:val="left"/>
        <w:pPr>
          <w:ind w:left="1843" w:firstLine="0"/>
        </w:pPr>
      </w:lvl>
    </w:lvlOverride>
    <w:lvlOverride w:ilvl="2">
      <w:lvl w:ilvl="2" w:tentative="1">
        <w:start w:val="1"/>
        <w:numFmt w:val="decimal"/>
        <w:pStyle w:val="132"/>
        <w:lvlText w:val="%1.%2.%3"/>
        <w:lvlJc w:val="left"/>
        <w:pPr>
          <w:ind w:left="2126" w:firstLine="0"/>
        </w:pPr>
      </w:lvl>
    </w:lvlOverride>
    <w:lvlOverride w:ilvl="3">
      <w:lvl w:ilvl="3" w:tentative="1">
        <w:start w:val="1"/>
        <w:numFmt w:val="decimal"/>
        <w:pStyle w:val="133"/>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6">
    <w:abstractNumId w:val="11"/>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134"/>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7">
    <w:abstractNumId w:val="14"/>
  </w:num>
  <w:num w:numId="8">
    <w:abstractNumId w:val="9"/>
  </w:num>
  <w:num w:numId="9">
    <w:abstractNumId w:val="10"/>
  </w:num>
  <w:num w:numId="10">
    <w:abstractNumId w:val="8"/>
  </w:num>
  <w:num w:numId="11">
    <w:abstractNumId w:val="6"/>
  </w:num>
  <w:num w:numId="12">
    <w:abstractNumId w:val="2"/>
  </w:num>
  <w:num w:numId="13">
    <w:abstractNumId w:val="19"/>
  </w:num>
  <w:num w:numId="14">
    <w:abstractNumId w:val="16"/>
  </w:num>
  <w:num w:numId="15">
    <w:abstractNumId w:val="18"/>
  </w:num>
  <w:num w:numId="16">
    <w:abstractNumId w:val="5"/>
  </w:num>
  <w:num w:numId="17">
    <w:abstractNumId w:val="4"/>
  </w:num>
  <w:num w:numId="18">
    <w:abstractNumId w:val="3"/>
  </w:num>
  <w:num w:numId="19">
    <w:abstractNumId w:val="15"/>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DU4NWM1MWRiNDY5MTY3ZTI2OTlmNDgyNWJmZTIifQ=="/>
  </w:docVars>
  <w:rsids>
    <w:rsidRoot w:val="00A5025E"/>
    <w:rsid w:val="000E4482"/>
    <w:rsid w:val="002C49F3"/>
    <w:rsid w:val="00410152"/>
    <w:rsid w:val="00411E09"/>
    <w:rsid w:val="00433A1F"/>
    <w:rsid w:val="00494FFB"/>
    <w:rsid w:val="004C7B52"/>
    <w:rsid w:val="005758DD"/>
    <w:rsid w:val="00996275"/>
    <w:rsid w:val="00A010BF"/>
    <w:rsid w:val="00A5025E"/>
    <w:rsid w:val="00A87F74"/>
    <w:rsid w:val="00B51D48"/>
    <w:rsid w:val="00E057EF"/>
    <w:rsid w:val="00E871B7"/>
    <w:rsid w:val="01352A01"/>
    <w:rsid w:val="01454723"/>
    <w:rsid w:val="015461DE"/>
    <w:rsid w:val="01617883"/>
    <w:rsid w:val="016C3255"/>
    <w:rsid w:val="01961F0B"/>
    <w:rsid w:val="01A95263"/>
    <w:rsid w:val="01BF0B46"/>
    <w:rsid w:val="01D231EC"/>
    <w:rsid w:val="01D803E5"/>
    <w:rsid w:val="01DA024B"/>
    <w:rsid w:val="020C4532"/>
    <w:rsid w:val="0227335D"/>
    <w:rsid w:val="022C2872"/>
    <w:rsid w:val="025246BE"/>
    <w:rsid w:val="025D057A"/>
    <w:rsid w:val="026F2E2E"/>
    <w:rsid w:val="027C3466"/>
    <w:rsid w:val="02907ECF"/>
    <w:rsid w:val="02A10DA6"/>
    <w:rsid w:val="02B32419"/>
    <w:rsid w:val="030071F2"/>
    <w:rsid w:val="030931FD"/>
    <w:rsid w:val="031D2DA9"/>
    <w:rsid w:val="03200295"/>
    <w:rsid w:val="032071C7"/>
    <w:rsid w:val="03216B0C"/>
    <w:rsid w:val="032A1344"/>
    <w:rsid w:val="033E64FA"/>
    <w:rsid w:val="03413436"/>
    <w:rsid w:val="035E129F"/>
    <w:rsid w:val="036D1000"/>
    <w:rsid w:val="036E122F"/>
    <w:rsid w:val="039962F1"/>
    <w:rsid w:val="03A964DC"/>
    <w:rsid w:val="03B10EED"/>
    <w:rsid w:val="03BF257C"/>
    <w:rsid w:val="03E96875"/>
    <w:rsid w:val="03EF1A15"/>
    <w:rsid w:val="03F253A2"/>
    <w:rsid w:val="040354C1"/>
    <w:rsid w:val="04104D25"/>
    <w:rsid w:val="04653DAA"/>
    <w:rsid w:val="04747431"/>
    <w:rsid w:val="048C0696"/>
    <w:rsid w:val="04DE4423"/>
    <w:rsid w:val="04DF323A"/>
    <w:rsid w:val="052213CB"/>
    <w:rsid w:val="053E79FB"/>
    <w:rsid w:val="053F1942"/>
    <w:rsid w:val="055200FB"/>
    <w:rsid w:val="055A01D8"/>
    <w:rsid w:val="057B51E1"/>
    <w:rsid w:val="05813759"/>
    <w:rsid w:val="05A86320"/>
    <w:rsid w:val="05B74A72"/>
    <w:rsid w:val="05C6459C"/>
    <w:rsid w:val="05E77AEA"/>
    <w:rsid w:val="05EB6EF4"/>
    <w:rsid w:val="05F250AD"/>
    <w:rsid w:val="06377C85"/>
    <w:rsid w:val="06475AB4"/>
    <w:rsid w:val="065A3328"/>
    <w:rsid w:val="06763CC4"/>
    <w:rsid w:val="06786C42"/>
    <w:rsid w:val="068648B3"/>
    <w:rsid w:val="068663E5"/>
    <w:rsid w:val="06964DEE"/>
    <w:rsid w:val="069A3EBB"/>
    <w:rsid w:val="069D6E7F"/>
    <w:rsid w:val="069F716E"/>
    <w:rsid w:val="06A72A7B"/>
    <w:rsid w:val="06C263EF"/>
    <w:rsid w:val="06CE5F6F"/>
    <w:rsid w:val="06F261AF"/>
    <w:rsid w:val="06FA5341"/>
    <w:rsid w:val="07117C62"/>
    <w:rsid w:val="07380D52"/>
    <w:rsid w:val="0742579C"/>
    <w:rsid w:val="07463D1F"/>
    <w:rsid w:val="078E1545"/>
    <w:rsid w:val="07972A1D"/>
    <w:rsid w:val="07995B9A"/>
    <w:rsid w:val="07A33243"/>
    <w:rsid w:val="07C3421A"/>
    <w:rsid w:val="07CE681E"/>
    <w:rsid w:val="07D13566"/>
    <w:rsid w:val="07D334D0"/>
    <w:rsid w:val="07E52D2F"/>
    <w:rsid w:val="07E56035"/>
    <w:rsid w:val="07EB3837"/>
    <w:rsid w:val="07F13FAE"/>
    <w:rsid w:val="07FB0FAF"/>
    <w:rsid w:val="0805286A"/>
    <w:rsid w:val="08056444"/>
    <w:rsid w:val="08276C7F"/>
    <w:rsid w:val="082B7863"/>
    <w:rsid w:val="08346748"/>
    <w:rsid w:val="08674270"/>
    <w:rsid w:val="08742190"/>
    <w:rsid w:val="089963F4"/>
    <w:rsid w:val="08B61143"/>
    <w:rsid w:val="08BA4CE8"/>
    <w:rsid w:val="08CE3B5E"/>
    <w:rsid w:val="08D824DF"/>
    <w:rsid w:val="08D8282D"/>
    <w:rsid w:val="08D87384"/>
    <w:rsid w:val="08E375DA"/>
    <w:rsid w:val="08E73603"/>
    <w:rsid w:val="08EA2077"/>
    <w:rsid w:val="08EA7CED"/>
    <w:rsid w:val="08F06BF4"/>
    <w:rsid w:val="08F2186C"/>
    <w:rsid w:val="08F501FF"/>
    <w:rsid w:val="09175C96"/>
    <w:rsid w:val="09224B94"/>
    <w:rsid w:val="09264847"/>
    <w:rsid w:val="09806D23"/>
    <w:rsid w:val="09A80A8D"/>
    <w:rsid w:val="09CF47C3"/>
    <w:rsid w:val="09D26061"/>
    <w:rsid w:val="09DF1E42"/>
    <w:rsid w:val="09E13402"/>
    <w:rsid w:val="09F00295"/>
    <w:rsid w:val="0A2E4453"/>
    <w:rsid w:val="0A3665F0"/>
    <w:rsid w:val="0A477B21"/>
    <w:rsid w:val="0A4E4EC4"/>
    <w:rsid w:val="0A4F339C"/>
    <w:rsid w:val="0A536929"/>
    <w:rsid w:val="0A5955BA"/>
    <w:rsid w:val="0A6C10CA"/>
    <w:rsid w:val="0A805ABD"/>
    <w:rsid w:val="0A960E3D"/>
    <w:rsid w:val="0A981059"/>
    <w:rsid w:val="0AB12F85"/>
    <w:rsid w:val="0AB24DA6"/>
    <w:rsid w:val="0AC2744D"/>
    <w:rsid w:val="0ACE4A7B"/>
    <w:rsid w:val="0AE53B72"/>
    <w:rsid w:val="0AF10769"/>
    <w:rsid w:val="0AFA373C"/>
    <w:rsid w:val="0B187CBC"/>
    <w:rsid w:val="0B23369E"/>
    <w:rsid w:val="0B2B1A64"/>
    <w:rsid w:val="0B2C51DF"/>
    <w:rsid w:val="0B302817"/>
    <w:rsid w:val="0B341128"/>
    <w:rsid w:val="0B3461BA"/>
    <w:rsid w:val="0B4631FF"/>
    <w:rsid w:val="0B494F05"/>
    <w:rsid w:val="0B6574A7"/>
    <w:rsid w:val="0B7006D8"/>
    <w:rsid w:val="0B865355"/>
    <w:rsid w:val="0BA31A63"/>
    <w:rsid w:val="0BA341BF"/>
    <w:rsid w:val="0BAE0864"/>
    <w:rsid w:val="0BBD42A6"/>
    <w:rsid w:val="0BE26C59"/>
    <w:rsid w:val="0BE95866"/>
    <w:rsid w:val="0C1B0AAD"/>
    <w:rsid w:val="0C437D3D"/>
    <w:rsid w:val="0C476893"/>
    <w:rsid w:val="0C541046"/>
    <w:rsid w:val="0C685AB4"/>
    <w:rsid w:val="0C767F41"/>
    <w:rsid w:val="0CCB0162"/>
    <w:rsid w:val="0CCC7B78"/>
    <w:rsid w:val="0CE16AB2"/>
    <w:rsid w:val="0CED3A6C"/>
    <w:rsid w:val="0D105505"/>
    <w:rsid w:val="0D152B5D"/>
    <w:rsid w:val="0D3876AA"/>
    <w:rsid w:val="0D3A7826"/>
    <w:rsid w:val="0D3F3A0E"/>
    <w:rsid w:val="0D4234FE"/>
    <w:rsid w:val="0D583128"/>
    <w:rsid w:val="0D647E70"/>
    <w:rsid w:val="0D6F0E9D"/>
    <w:rsid w:val="0DBC6E0C"/>
    <w:rsid w:val="0DFF63BE"/>
    <w:rsid w:val="0E1F02FF"/>
    <w:rsid w:val="0E2179FD"/>
    <w:rsid w:val="0E343328"/>
    <w:rsid w:val="0EB275A2"/>
    <w:rsid w:val="0EDD4F42"/>
    <w:rsid w:val="0EEF4FBF"/>
    <w:rsid w:val="0EF2691D"/>
    <w:rsid w:val="0EF679A5"/>
    <w:rsid w:val="0F071923"/>
    <w:rsid w:val="0F1179FE"/>
    <w:rsid w:val="0F1C170B"/>
    <w:rsid w:val="0F2560F7"/>
    <w:rsid w:val="0F257751"/>
    <w:rsid w:val="0F386A25"/>
    <w:rsid w:val="0F490B74"/>
    <w:rsid w:val="0F72062C"/>
    <w:rsid w:val="0FA60756"/>
    <w:rsid w:val="0FB33040"/>
    <w:rsid w:val="0FB774E5"/>
    <w:rsid w:val="0FC621C4"/>
    <w:rsid w:val="0FD77F2D"/>
    <w:rsid w:val="0FF57B9C"/>
    <w:rsid w:val="0FF67013"/>
    <w:rsid w:val="1016743D"/>
    <w:rsid w:val="10271096"/>
    <w:rsid w:val="103E0C89"/>
    <w:rsid w:val="1048764B"/>
    <w:rsid w:val="105F7FA2"/>
    <w:rsid w:val="108614E3"/>
    <w:rsid w:val="1088019F"/>
    <w:rsid w:val="10AF0EAA"/>
    <w:rsid w:val="10D443EA"/>
    <w:rsid w:val="10D4568C"/>
    <w:rsid w:val="10F7015B"/>
    <w:rsid w:val="111B3F66"/>
    <w:rsid w:val="112444A4"/>
    <w:rsid w:val="112B6CBA"/>
    <w:rsid w:val="114415F3"/>
    <w:rsid w:val="115B693C"/>
    <w:rsid w:val="11882AE6"/>
    <w:rsid w:val="118A7776"/>
    <w:rsid w:val="119157E6"/>
    <w:rsid w:val="11A06B39"/>
    <w:rsid w:val="11AC3235"/>
    <w:rsid w:val="11C91C80"/>
    <w:rsid w:val="11CF7A69"/>
    <w:rsid w:val="11D87F8D"/>
    <w:rsid w:val="11F73503"/>
    <w:rsid w:val="11FE01D1"/>
    <w:rsid w:val="120A1261"/>
    <w:rsid w:val="12100393"/>
    <w:rsid w:val="12116139"/>
    <w:rsid w:val="1218482D"/>
    <w:rsid w:val="12412884"/>
    <w:rsid w:val="12496B57"/>
    <w:rsid w:val="124A5988"/>
    <w:rsid w:val="12666A23"/>
    <w:rsid w:val="129B7074"/>
    <w:rsid w:val="12B529F7"/>
    <w:rsid w:val="12D5450B"/>
    <w:rsid w:val="12EA441C"/>
    <w:rsid w:val="12FA0EB2"/>
    <w:rsid w:val="12FD414F"/>
    <w:rsid w:val="13010F76"/>
    <w:rsid w:val="13064C62"/>
    <w:rsid w:val="13391FCB"/>
    <w:rsid w:val="1343289A"/>
    <w:rsid w:val="134A6C68"/>
    <w:rsid w:val="134B45F5"/>
    <w:rsid w:val="1356765C"/>
    <w:rsid w:val="13707073"/>
    <w:rsid w:val="13742674"/>
    <w:rsid w:val="137A2ACA"/>
    <w:rsid w:val="13D053C0"/>
    <w:rsid w:val="13EC4D37"/>
    <w:rsid w:val="13ED7CA3"/>
    <w:rsid w:val="140453EF"/>
    <w:rsid w:val="14221993"/>
    <w:rsid w:val="142C45C0"/>
    <w:rsid w:val="144B7DA9"/>
    <w:rsid w:val="144E46F9"/>
    <w:rsid w:val="148C4FD2"/>
    <w:rsid w:val="14D23751"/>
    <w:rsid w:val="14F450DE"/>
    <w:rsid w:val="14F926F4"/>
    <w:rsid w:val="15036D6B"/>
    <w:rsid w:val="150C0679"/>
    <w:rsid w:val="15131432"/>
    <w:rsid w:val="15192D96"/>
    <w:rsid w:val="153547D4"/>
    <w:rsid w:val="153A744A"/>
    <w:rsid w:val="153D1C95"/>
    <w:rsid w:val="15581B10"/>
    <w:rsid w:val="15793835"/>
    <w:rsid w:val="15836462"/>
    <w:rsid w:val="158B5094"/>
    <w:rsid w:val="15A72849"/>
    <w:rsid w:val="15A979C8"/>
    <w:rsid w:val="15B47A25"/>
    <w:rsid w:val="15D001C2"/>
    <w:rsid w:val="15D05B4B"/>
    <w:rsid w:val="15DC771F"/>
    <w:rsid w:val="16030A25"/>
    <w:rsid w:val="16040EAC"/>
    <w:rsid w:val="16162518"/>
    <w:rsid w:val="164200CB"/>
    <w:rsid w:val="164F335B"/>
    <w:rsid w:val="16692289"/>
    <w:rsid w:val="166B1B54"/>
    <w:rsid w:val="166C5148"/>
    <w:rsid w:val="16780592"/>
    <w:rsid w:val="16790155"/>
    <w:rsid w:val="168262A5"/>
    <w:rsid w:val="16A22622"/>
    <w:rsid w:val="16AA0F62"/>
    <w:rsid w:val="16B33E66"/>
    <w:rsid w:val="16B840F6"/>
    <w:rsid w:val="16BC1C2B"/>
    <w:rsid w:val="16BC6C65"/>
    <w:rsid w:val="16C71A0C"/>
    <w:rsid w:val="16DC22CD"/>
    <w:rsid w:val="16DC417F"/>
    <w:rsid w:val="16E66CA8"/>
    <w:rsid w:val="16F05D79"/>
    <w:rsid w:val="17196224"/>
    <w:rsid w:val="171B2DF6"/>
    <w:rsid w:val="17457EDB"/>
    <w:rsid w:val="175E1956"/>
    <w:rsid w:val="178E66CD"/>
    <w:rsid w:val="17982698"/>
    <w:rsid w:val="1799728D"/>
    <w:rsid w:val="17BD5D14"/>
    <w:rsid w:val="17C4179B"/>
    <w:rsid w:val="17C56B16"/>
    <w:rsid w:val="17C7360F"/>
    <w:rsid w:val="17D2722C"/>
    <w:rsid w:val="17E87B57"/>
    <w:rsid w:val="17FC05C3"/>
    <w:rsid w:val="18040539"/>
    <w:rsid w:val="18441CAA"/>
    <w:rsid w:val="1850765B"/>
    <w:rsid w:val="185F7323"/>
    <w:rsid w:val="1865223F"/>
    <w:rsid w:val="18833402"/>
    <w:rsid w:val="18846C47"/>
    <w:rsid w:val="1888270D"/>
    <w:rsid w:val="189866C8"/>
    <w:rsid w:val="18992A31"/>
    <w:rsid w:val="189B0FB3"/>
    <w:rsid w:val="18D117D2"/>
    <w:rsid w:val="18E8663C"/>
    <w:rsid w:val="18ED5050"/>
    <w:rsid w:val="18EF213D"/>
    <w:rsid w:val="1900745B"/>
    <w:rsid w:val="19254397"/>
    <w:rsid w:val="19467ED2"/>
    <w:rsid w:val="194E6270"/>
    <w:rsid w:val="19706A69"/>
    <w:rsid w:val="198F6993"/>
    <w:rsid w:val="19BC671E"/>
    <w:rsid w:val="19C846FD"/>
    <w:rsid w:val="1A167CE7"/>
    <w:rsid w:val="1A2308F8"/>
    <w:rsid w:val="1A3018B6"/>
    <w:rsid w:val="1A562B71"/>
    <w:rsid w:val="1A5669EA"/>
    <w:rsid w:val="1A650ADA"/>
    <w:rsid w:val="1AAC3ACB"/>
    <w:rsid w:val="1AC56532"/>
    <w:rsid w:val="1AC94917"/>
    <w:rsid w:val="1AD340FD"/>
    <w:rsid w:val="1AE849BA"/>
    <w:rsid w:val="1AF4544B"/>
    <w:rsid w:val="1AF6702A"/>
    <w:rsid w:val="1B013BA7"/>
    <w:rsid w:val="1B027E29"/>
    <w:rsid w:val="1B06607E"/>
    <w:rsid w:val="1B310782"/>
    <w:rsid w:val="1B391A9C"/>
    <w:rsid w:val="1B3D7BBC"/>
    <w:rsid w:val="1B3F2E2B"/>
    <w:rsid w:val="1B4A4FB8"/>
    <w:rsid w:val="1B5C1C2F"/>
    <w:rsid w:val="1B6247CE"/>
    <w:rsid w:val="1B7F1ECD"/>
    <w:rsid w:val="1B8D3B96"/>
    <w:rsid w:val="1B945485"/>
    <w:rsid w:val="1BB57A6D"/>
    <w:rsid w:val="1BE25AC8"/>
    <w:rsid w:val="1C2214FF"/>
    <w:rsid w:val="1C287AD2"/>
    <w:rsid w:val="1C575850"/>
    <w:rsid w:val="1C5D17BA"/>
    <w:rsid w:val="1C7A50D9"/>
    <w:rsid w:val="1C7C2837"/>
    <w:rsid w:val="1C816E0C"/>
    <w:rsid w:val="1C8477A0"/>
    <w:rsid w:val="1C936B9B"/>
    <w:rsid w:val="1CB17D58"/>
    <w:rsid w:val="1CB86FA4"/>
    <w:rsid w:val="1CBA3EAA"/>
    <w:rsid w:val="1CE02276"/>
    <w:rsid w:val="1CEA6564"/>
    <w:rsid w:val="1CFD2F9D"/>
    <w:rsid w:val="1CFD4D4B"/>
    <w:rsid w:val="1CFF2872"/>
    <w:rsid w:val="1D1D719C"/>
    <w:rsid w:val="1D2A0CBF"/>
    <w:rsid w:val="1D4500D1"/>
    <w:rsid w:val="1D47167B"/>
    <w:rsid w:val="1D504332"/>
    <w:rsid w:val="1D534248"/>
    <w:rsid w:val="1D62382E"/>
    <w:rsid w:val="1D666D95"/>
    <w:rsid w:val="1D73656D"/>
    <w:rsid w:val="1D74514B"/>
    <w:rsid w:val="1D7E072B"/>
    <w:rsid w:val="1D824E99"/>
    <w:rsid w:val="1D8447BE"/>
    <w:rsid w:val="1D943C66"/>
    <w:rsid w:val="1D960934"/>
    <w:rsid w:val="1DAB27B4"/>
    <w:rsid w:val="1DE53BD0"/>
    <w:rsid w:val="1DF76FC3"/>
    <w:rsid w:val="1E042BA5"/>
    <w:rsid w:val="1E093930"/>
    <w:rsid w:val="1E317F0F"/>
    <w:rsid w:val="1E546BED"/>
    <w:rsid w:val="1E730704"/>
    <w:rsid w:val="1E7E43A7"/>
    <w:rsid w:val="1E982792"/>
    <w:rsid w:val="1EBA1973"/>
    <w:rsid w:val="1ED16490"/>
    <w:rsid w:val="1ED51FDF"/>
    <w:rsid w:val="1EDA2A55"/>
    <w:rsid w:val="1EE12B77"/>
    <w:rsid w:val="1F0D5B45"/>
    <w:rsid w:val="1F1A213A"/>
    <w:rsid w:val="1F262338"/>
    <w:rsid w:val="1F31530D"/>
    <w:rsid w:val="1F3F670E"/>
    <w:rsid w:val="1F474A47"/>
    <w:rsid w:val="1F4A3FC8"/>
    <w:rsid w:val="1F7E297A"/>
    <w:rsid w:val="1F8416A5"/>
    <w:rsid w:val="1F896F13"/>
    <w:rsid w:val="1F94245B"/>
    <w:rsid w:val="1FA06536"/>
    <w:rsid w:val="1FB43AC0"/>
    <w:rsid w:val="1FC87893"/>
    <w:rsid w:val="1FCE5209"/>
    <w:rsid w:val="1FF3153E"/>
    <w:rsid w:val="200C5EF7"/>
    <w:rsid w:val="20254B96"/>
    <w:rsid w:val="204130D4"/>
    <w:rsid w:val="20494B3B"/>
    <w:rsid w:val="2072188F"/>
    <w:rsid w:val="207D68CF"/>
    <w:rsid w:val="20832C3C"/>
    <w:rsid w:val="209F4559"/>
    <w:rsid w:val="20E65407"/>
    <w:rsid w:val="20E82CD1"/>
    <w:rsid w:val="20F85F56"/>
    <w:rsid w:val="211F7986"/>
    <w:rsid w:val="212964E1"/>
    <w:rsid w:val="213D1BBA"/>
    <w:rsid w:val="216C4715"/>
    <w:rsid w:val="21851CF8"/>
    <w:rsid w:val="21B25047"/>
    <w:rsid w:val="21BE3625"/>
    <w:rsid w:val="21CC6D4C"/>
    <w:rsid w:val="21D46092"/>
    <w:rsid w:val="21E464DA"/>
    <w:rsid w:val="21FB3F4F"/>
    <w:rsid w:val="22126A3B"/>
    <w:rsid w:val="225F4599"/>
    <w:rsid w:val="227F1A68"/>
    <w:rsid w:val="22852193"/>
    <w:rsid w:val="228C7D9D"/>
    <w:rsid w:val="229F6D07"/>
    <w:rsid w:val="22A22B78"/>
    <w:rsid w:val="22A4235C"/>
    <w:rsid w:val="22A652CA"/>
    <w:rsid w:val="22C007AD"/>
    <w:rsid w:val="22C41E66"/>
    <w:rsid w:val="22DE117B"/>
    <w:rsid w:val="22E24C9F"/>
    <w:rsid w:val="23163BF2"/>
    <w:rsid w:val="23205D86"/>
    <w:rsid w:val="232F02B2"/>
    <w:rsid w:val="23411E36"/>
    <w:rsid w:val="23497FE2"/>
    <w:rsid w:val="236E206F"/>
    <w:rsid w:val="237101D1"/>
    <w:rsid w:val="2391160F"/>
    <w:rsid w:val="23DD1433"/>
    <w:rsid w:val="23FA3D93"/>
    <w:rsid w:val="2415047B"/>
    <w:rsid w:val="24402A32"/>
    <w:rsid w:val="24415E66"/>
    <w:rsid w:val="244B2840"/>
    <w:rsid w:val="24551647"/>
    <w:rsid w:val="24980257"/>
    <w:rsid w:val="24B0264B"/>
    <w:rsid w:val="24BA4F94"/>
    <w:rsid w:val="24E210C0"/>
    <w:rsid w:val="24E67340"/>
    <w:rsid w:val="24EA02AB"/>
    <w:rsid w:val="24F84EB5"/>
    <w:rsid w:val="250065F7"/>
    <w:rsid w:val="251832D1"/>
    <w:rsid w:val="25193A37"/>
    <w:rsid w:val="251A12BE"/>
    <w:rsid w:val="251D41DD"/>
    <w:rsid w:val="253A6130"/>
    <w:rsid w:val="255E0C3D"/>
    <w:rsid w:val="2578726D"/>
    <w:rsid w:val="257A61B0"/>
    <w:rsid w:val="2585504B"/>
    <w:rsid w:val="258B68FB"/>
    <w:rsid w:val="25945113"/>
    <w:rsid w:val="259D0E7A"/>
    <w:rsid w:val="25A82557"/>
    <w:rsid w:val="25AE3024"/>
    <w:rsid w:val="25EC679D"/>
    <w:rsid w:val="2604714B"/>
    <w:rsid w:val="260B7B36"/>
    <w:rsid w:val="261D2D79"/>
    <w:rsid w:val="262E5F76"/>
    <w:rsid w:val="263746A4"/>
    <w:rsid w:val="264A07E1"/>
    <w:rsid w:val="264F486A"/>
    <w:rsid w:val="2673757D"/>
    <w:rsid w:val="26750750"/>
    <w:rsid w:val="267730D5"/>
    <w:rsid w:val="26775B6F"/>
    <w:rsid w:val="267E4F6E"/>
    <w:rsid w:val="26812549"/>
    <w:rsid w:val="268673BB"/>
    <w:rsid w:val="26876723"/>
    <w:rsid w:val="2691785B"/>
    <w:rsid w:val="269A5092"/>
    <w:rsid w:val="26A83D2C"/>
    <w:rsid w:val="26C31CF7"/>
    <w:rsid w:val="26E6096C"/>
    <w:rsid w:val="26F47545"/>
    <w:rsid w:val="26FB7F9A"/>
    <w:rsid w:val="27097162"/>
    <w:rsid w:val="271C3F51"/>
    <w:rsid w:val="272B5813"/>
    <w:rsid w:val="272E05ED"/>
    <w:rsid w:val="27321D5D"/>
    <w:rsid w:val="27365875"/>
    <w:rsid w:val="2736592F"/>
    <w:rsid w:val="2739568C"/>
    <w:rsid w:val="273B094A"/>
    <w:rsid w:val="27435A51"/>
    <w:rsid w:val="276D1BF0"/>
    <w:rsid w:val="276F4EE1"/>
    <w:rsid w:val="278B7E6A"/>
    <w:rsid w:val="2794321C"/>
    <w:rsid w:val="27952750"/>
    <w:rsid w:val="27B8496C"/>
    <w:rsid w:val="27BD201A"/>
    <w:rsid w:val="27C52AAC"/>
    <w:rsid w:val="27C61229"/>
    <w:rsid w:val="27DE270A"/>
    <w:rsid w:val="27E92A9C"/>
    <w:rsid w:val="28081896"/>
    <w:rsid w:val="28100029"/>
    <w:rsid w:val="28194FC4"/>
    <w:rsid w:val="283C7F62"/>
    <w:rsid w:val="285534A0"/>
    <w:rsid w:val="285576FD"/>
    <w:rsid w:val="28604969"/>
    <w:rsid w:val="286D310E"/>
    <w:rsid w:val="289710C6"/>
    <w:rsid w:val="289E5D1B"/>
    <w:rsid w:val="28C64B8B"/>
    <w:rsid w:val="28CA642A"/>
    <w:rsid w:val="28CF7770"/>
    <w:rsid w:val="28D73648"/>
    <w:rsid w:val="28EE3903"/>
    <w:rsid w:val="29285E50"/>
    <w:rsid w:val="2932753D"/>
    <w:rsid w:val="294E4CA1"/>
    <w:rsid w:val="29610AE4"/>
    <w:rsid w:val="296C5733"/>
    <w:rsid w:val="296D4B09"/>
    <w:rsid w:val="297F5EFD"/>
    <w:rsid w:val="29F11140"/>
    <w:rsid w:val="29FB7ABE"/>
    <w:rsid w:val="2A06214C"/>
    <w:rsid w:val="2A065B1F"/>
    <w:rsid w:val="2A264078"/>
    <w:rsid w:val="2A664DE6"/>
    <w:rsid w:val="2A980AE0"/>
    <w:rsid w:val="2AB00DE1"/>
    <w:rsid w:val="2AB316EB"/>
    <w:rsid w:val="2ABA5686"/>
    <w:rsid w:val="2AD47242"/>
    <w:rsid w:val="2AF5758F"/>
    <w:rsid w:val="2B025CFE"/>
    <w:rsid w:val="2B210C49"/>
    <w:rsid w:val="2B263271"/>
    <w:rsid w:val="2B2F1324"/>
    <w:rsid w:val="2B4A26CA"/>
    <w:rsid w:val="2B4D3C2F"/>
    <w:rsid w:val="2B615B00"/>
    <w:rsid w:val="2B672A8E"/>
    <w:rsid w:val="2B792C16"/>
    <w:rsid w:val="2BA246D3"/>
    <w:rsid w:val="2BAB174C"/>
    <w:rsid w:val="2BBA2B57"/>
    <w:rsid w:val="2BDD490B"/>
    <w:rsid w:val="2BDF4558"/>
    <w:rsid w:val="2BE1026B"/>
    <w:rsid w:val="2C22129E"/>
    <w:rsid w:val="2C77072F"/>
    <w:rsid w:val="2C7733B1"/>
    <w:rsid w:val="2C7A5DE4"/>
    <w:rsid w:val="2C7F1AE9"/>
    <w:rsid w:val="2CA867A2"/>
    <w:rsid w:val="2CAC741C"/>
    <w:rsid w:val="2CB216AE"/>
    <w:rsid w:val="2CC338BC"/>
    <w:rsid w:val="2CD557C5"/>
    <w:rsid w:val="2CD878DD"/>
    <w:rsid w:val="2CEE4410"/>
    <w:rsid w:val="2D1664DB"/>
    <w:rsid w:val="2D2002CD"/>
    <w:rsid w:val="2D3D4BA4"/>
    <w:rsid w:val="2D3D7EDB"/>
    <w:rsid w:val="2D644D1B"/>
    <w:rsid w:val="2D741DE9"/>
    <w:rsid w:val="2D880661"/>
    <w:rsid w:val="2DA203C1"/>
    <w:rsid w:val="2DA83014"/>
    <w:rsid w:val="2DAC2E33"/>
    <w:rsid w:val="2DAC53BA"/>
    <w:rsid w:val="2DB05C63"/>
    <w:rsid w:val="2DB94CBF"/>
    <w:rsid w:val="2DBF7CBB"/>
    <w:rsid w:val="2DCF003E"/>
    <w:rsid w:val="2DDD6BFF"/>
    <w:rsid w:val="2DEA7DC1"/>
    <w:rsid w:val="2E061566"/>
    <w:rsid w:val="2E163860"/>
    <w:rsid w:val="2E2E0994"/>
    <w:rsid w:val="2E337C72"/>
    <w:rsid w:val="2E4722CA"/>
    <w:rsid w:val="2E4F30CC"/>
    <w:rsid w:val="2E67471B"/>
    <w:rsid w:val="2E6B3BD1"/>
    <w:rsid w:val="2E70537D"/>
    <w:rsid w:val="2E714505"/>
    <w:rsid w:val="2E7B1F74"/>
    <w:rsid w:val="2EB86E9F"/>
    <w:rsid w:val="2EDD4BD5"/>
    <w:rsid w:val="2EDD6B85"/>
    <w:rsid w:val="2EE15BD5"/>
    <w:rsid w:val="2F146650"/>
    <w:rsid w:val="2F307202"/>
    <w:rsid w:val="2F3D58B4"/>
    <w:rsid w:val="2F400A5D"/>
    <w:rsid w:val="2F43746D"/>
    <w:rsid w:val="2F550F81"/>
    <w:rsid w:val="2F6A2DDB"/>
    <w:rsid w:val="2F7A262F"/>
    <w:rsid w:val="2F815C0A"/>
    <w:rsid w:val="2F83649B"/>
    <w:rsid w:val="2F8635D0"/>
    <w:rsid w:val="2F936343"/>
    <w:rsid w:val="2FA80C51"/>
    <w:rsid w:val="2FAC2CB7"/>
    <w:rsid w:val="2FBF7A81"/>
    <w:rsid w:val="2FD5355C"/>
    <w:rsid w:val="2FE54B3C"/>
    <w:rsid w:val="2FEA4E52"/>
    <w:rsid w:val="2FEC4291"/>
    <w:rsid w:val="2FF57398"/>
    <w:rsid w:val="2FF81ACE"/>
    <w:rsid w:val="2FFC10C5"/>
    <w:rsid w:val="302019A1"/>
    <w:rsid w:val="30337F16"/>
    <w:rsid w:val="30491410"/>
    <w:rsid w:val="3057255B"/>
    <w:rsid w:val="30581E01"/>
    <w:rsid w:val="305E59C6"/>
    <w:rsid w:val="30662713"/>
    <w:rsid w:val="308172AC"/>
    <w:rsid w:val="30850E88"/>
    <w:rsid w:val="30D055DA"/>
    <w:rsid w:val="30D31682"/>
    <w:rsid w:val="30D760F0"/>
    <w:rsid w:val="30F272F1"/>
    <w:rsid w:val="30FE1366"/>
    <w:rsid w:val="31097D0B"/>
    <w:rsid w:val="311074C5"/>
    <w:rsid w:val="316211B7"/>
    <w:rsid w:val="316244E8"/>
    <w:rsid w:val="316311C9"/>
    <w:rsid w:val="31804B4A"/>
    <w:rsid w:val="318719DF"/>
    <w:rsid w:val="31B50ECC"/>
    <w:rsid w:val="31BC316D"/>
    <w:rsid w:val="31BC76F1"/>
    <w:rsid w:val="31C0279C"/>
    <w:rsid w:val="31C64AE7"/>
    <w:rsid w:val="31D82201"/>
    <w:rsid w:val="31F805DF"/>
    <w:rsid w:val="31F93244"/>
    <w:rsid w:val="32153476"/>
    <w:rsid w:val="322609F5"/>
    <w:rsid w:val="322C7E9A"/>
    <w:rsid w:val="322E5C7B"/>
    <w:rsid w:val="32362F63"/>
    <w:rsid w:val="323C78AD"/>
    <w:rsid w:val="327C612F"/>
    <w:rsid w:val="32A51D47"/>
    <w:rsid w:val="32AD6739"/>
    <w:rsid w:val="32B649B5"/>
    <w:rsid w:val="32CF334E"/>
    <w:rsid w:val="32DC5176"/>
    <w:rsid w:val="32ED4148"/>
    <w:rsid w:val="32FC4CAE"/>
    <w:rsid w:val="331E342F"/>
    <w:rsid w:val="3328520C"/>
    <w:rsid w:val="3344327C"/>
    <w:rsid w:val="335F2138"/>
    <w:rsid w:val="33717D02"/>
    <w:rsid w:val="3391614B"/>
    <w:rsid w:val="339A10EE"/>
    <w:rsid w:val="339D229B"/>
    <w:rsid w:val="339F04B3"/>
    <w:rsid w:val="33A53DEB"/>
    <w:rsid w:val="33A95A9E"/>
    <w:rsid w:val="33D60608"/>
    <w:rsid w:val="33DD73D0"/>
    <w:rsid w:val="33E34843"/>
    <w:rsid w:val="33E903B9"/>
    <w:rsid w:val="33F967A9"/>
    <w:rsid w:val="33FF7857"/>
    <w:rsid w:val="341112F7"/>
    <w:rsid w:val="34190265"/>
    <w:rsid w:val="34261ACE"/>
    <w:rsid w:val="3438129A"/>
    <w:rsid w:val="345304D8"/>
    <w:rsid w:val="345C5A16"/>
    <w:rsid w:val="347C5E38"/>
    <w:rsid w:val="34A82CE0"/>
    <w:rsid w:val="34B564CB"/>
    <w:rsid w:val="34EC3BCC"/>
    <w:rsid w:val="34FF35B2"/>
    <w:rsid w:val="351A7159"/>
    <w:rsid w:val="353E35F3"/>
    <w:rsid w:val="35471EBC"/>
    <w:rsid w:val="35485F7F"/>
    <w:rsid w:val="357A44A3"/>
    <w:rsid w:val="359C4C5A"/>
    <w:rsid w:val="35C0308E"/>
    <w:rsid w:val="35C414C7"/>
    <w:rsid w:val="35CC47EE"/>
    <w:rsid w:val="35E27DC6"/>
    <w:rsid w:val="35ED3383"/>
    <w:rsid w:val="35F05598"/>
    <w:rsid w:val="35F1059F"/>
    <w:rsid w:val="35F408C2"/>
    <w:rsid w:val="35FA5E74"/>
    <w:rsid w:val="36186944"/>
    <w:rsid w:val="36302304"/>
    <w:rsid w:val="363100A0"/>
    <w:rsid w:val="36403262"/>
    <w:rsid w:val="36427924"/>
    <w:rsid w:val="36511F38"/>
    <w:rsid w:val="367A38F8"/>
    <w:rsid w:val="36832BC5"/>
    <w:rsid w:val="368C0EED"/>
    <w:rsid w:val="36952011"/>
    <w:rsid w:val="36C601DD"/>
    <w:rsid w:val="36F32FEF"/>
    <w:rsid w:val="37092453"/>
    <w:rsid w:val="37181D47"/>
    <w:rsid w:val="37190521"/>
    <w:rsid w:val="37221266"/>
    <w:rsid w:val="37305D6C"/>
    <w:rsid w:val="37466584"/>
    <w:rsid w:val="37796E03"/>
    <w:rsid w:val="377D1977"/>
    <w:rsid w:val="37B7226F"/>
    <w:rsid w:val="37CC2D77"/>
    <w:rsid w:val="37CF0810"/>
    <w:rsid w:val="37E57ACF"/>
    <w:rsid w:val="37EA619F"/>
    <w:rsid w:val="380E20F3"/>
    <w:rsid w:val="38291122"/>
    <w:rsid w:val="382C24E9"/>
    <w:rsid w:val="383060FB"/>
    <w:rsid w:val="383371DE"/>
    <w:rsid w:val="38396761"/>
    <w:rsid w:val="383F6C78"/>
    <w:rsid w:val="38404012"/>
    <w:rsid w:val="3842422E"/>
    <w:rsid w:val="384640AF"/>
    <w:rsid w:val="38562C4E"/>
    <w:rsid w:val="386A11AA"/>
    <w:rsid w:val="387C7014"/>
    <w:rsid w:val="38CF5590"/>
    <w:rsid w:val="38D03095"/>
    <w:rsid w:val="38D27A21"/>
    <w:rsid w:val="38DB7EA0"/>
    <w:rsid w:val="39004832"/>
    <w:rsid w:val="39132BC2"/>
    <w:rsid w:val="393A6291"/>
    <w:rsid w:val="39445D3B"/>
    <w:rsid w:val="394A408C"/>
    <w:rsid w:val="394A6B08"/>
    <w:rsid w:val="39525507"/>
    <w:rsid w:val="39562F52"/>
    <w:rsid w:val="399B197F"/>
    <w:rsid w:val="399B3F70"/>
    <w:rsid w:val="399B58CF"/>
    <w:rsid w:val="39A9208B"/>
    <w:rsid w:val="39AD278C"/>
    <w:rsid w:val="39AF186F"/>
    <w:rsid w:val="39CA2BB7"/>
    <w:rsid w:val="39D15A37"/>
    <w:rsid w:val="39DD1909"/>
    <w:rsid w:val="39DF4E9C"/>
    <w:rsid w:val="39F011A8"/>
    <w:rsid w:val="39F1799A"/>
    <w:rsid w:val="39F62050"/>
    <w:rsid w:val="3A085004"/>
    <w:rsid w:val="3A156A42"/>
    <w:rsid w:val="3A1C3B56"/>
    <w:rsid w:val="3A305784"/>
    <w:rsid w:val="3A34347C"/>
    <w:rsid w:val="3A4A73BA"/>
    <w:rsid w:val="3A4F6E02"/>
    <w:rsid w:val="3A5029E0"/>
    <w:rsid w:val="3A644361"/>
    <w:rsid w:val="3A8F19C2"/>
    <w:rsid w:val="3A8F3032"/>
    <w:rsid w:val="3A966BFF"/>
    <w:rsid w:val="3AB8207A"/>
    <w:rsid w:val="3ABF316B"/>
    <w:rsid w:val="3ACA537E"/>
    <w:rsid w:val="3ACE298D"/>
    <w:rsid w:val="3AE875FD"/>
    <w:rsid w:val="3AFB116A"/>
    <w:rsid w:val="3B047888"/>
    <w:rsid w:val="3B16165C"/>
    <w:rsid w:val="3B1C530E"/>
    <w:rsid w:val="3B3F4A55"/>
    <w:rsid w:val="3B5312E1"/>
    <w:rsid w:val="3B5528EE"/>
    <w:rsid w:val="3BC46D08"/>
    <w:rsid w:val="3BCE6E72"/>
    <w:rsid w:val="3BD7112A"/>
    <w:rsid w:val="3BE21C16"/>
    <w:rsid w:val="3BFD7E2E"/>
    <w:rsid w:val="3BFE66BE"/>
    <w:rsid w:val="3C0A467F"/>
    <w:rsid w:val="3C1136A1"/>
    <w:rsid w:val="3C15056D"/>
    <w:rsid w:val="3C24035B"/>
    <w:rsid w:val="3C2459F9"/>
    <w:rsid w:val="3C2E5B77"/>
    <w:rsid w:val="3C4160C1"/>
    <w:rsid w:val="3C6F001B"/>
    <w:rsid w:val="3C8D4271"/>
    <w:rsid w:val="3C925AE2"/>
    <w:rsid w:val="3C9D12C0"/>
    <w:rsid w:val="3CA127CD"/>
    <w:rsid w:val="3CAC4926"/>
    <w:rsid w:val="3CBF4A0D"/>
    <w:rsid w:val="3CC35933"/>
    <w:rsid w:val="3CD4743B"/>
    <w:rsid w:val="3CDF7D60"/>
    <w:rsid w:val="3CE27104"/>
    <w:rsid w:val="3CEA09F1"/>
    <w:rsid w:val="3CED15CD"/>
    <w:rsid w:val="3CF47AC1"/>
    <w:rsid w:val="3D025B24"/>
    <w:rsid w:val="3D197528"/>
    <w:rsid w:val="3D1B6429"/>
    <w:rsid w:val="3D231DE6"/>
    <w:rsid w:val="3D244A4F"/>
    <w:rsid w:val="3D3140FB"/>
    <w:rsid w:val="3D413B21"/>
    <w:rsid w:val="3D763BD9"/>
    <w:rsid w:val="3D7A6218"/>
    <w:rsid w:val="3D91387D"/>
    <w:rsid w:val="3DAC32C6"/>
    <w:rsid w:val="3DBC33A0"/>
    <w:rsid w:val="3DC261DF"/>
    <w:rsid w:val="3DD2237F"/>
    <w:rsid w:val="3DD4014F"/>
    <w:rsid w:val="3DD54F21"/>
    <w:rsid w:val="3E115421"/>
    <w:rsid w:val="3E1758C2"/>
    <w:rsid w:val="3E481E73"/>
    <w:rsid w:val="3E603179"/>
    <w:rsid w:val="3E7932E4"/>
    <w:rsid w:val="3E7E7AE2"/>
    <w:rsid w:val="3E830E87"/>
    <w:rsid w:val="3E8A248B"/>
    <w:rsid w:val="3EA36997"/>
    <w:rsid w:val="3EA60A10"/>
    <w:rsid w:val="3EAB3D82"/>
    <w:rsid w:val="3EB96D62"/>
    <w:rsid w:val="3ED03C16"/>
    <w:rsid w:val="3ED35EFF"/>
    <w:rsid w:val="3ED51881"/>
    <w:rsid w:val="3EDE0C35"/>
    <w:rsid w:val="3EDE228D"/>
    <w:rsid w:val="3EF95EC6"/>
    <w:rsid w:val="3F00701C"/>
    <w:rsid w:val="3F1345A3"/>
    <w:rsid w:val="3F143684"/>
    <w:rsid w:val="3F217FA7"/>
    <w:rsid w:val="3F3026F0"/>
    <w:rsid w:val="3F583BD9"/>
    <w:rsid w:val="3F7A215C"/>
    <w:rsid w:val="3F7D7AEA"/>
    <w:rsid w:val="3F882C46"/>
    <w:rsid w:val="3FBE0E8C"/>
    <w:rsid w:val="3FBF6165"/>
    <w:rsid w:val="3FE21E53"/>
    <w:rsid w:val="3FE43E1D"/>
    <w:rsid w:val="3FEC2687"/>
    <w:rsid w:val="40291830"/>
    <w:rsid w:val="403A3A56"/>
    <w:rsid w:val="403C48D3"/>
    <w:rsid w:val="40515375"/>
    <w:rsid w:val="40783199"/>
    <w:rsid w:val="407B4DD5"/>
    <w:rsid w:val="408214A6"/>
    <w:rsid w:val="40BF5B86"/>
    <w:rsid w:val="40C672BD"/>
    <w:rsid w:val="40D156B3"/>
    <w:rsid w:val="40D81A9A"/>
    <w:rsid w:val="40E7153F"/>
    <w:rsid w:val="40FE77A8"/>
    <w:rsid w:val="410660A9"/>
    <w:rsid w:val="41160359"/>
    <w:rsid w:val="411B386E"/>
    <w:rsid w:val="41511BE0"/>
    <w:rsid w:val="41670F6D"/>
    <w:rsid w:val="416C7340"/>
    <w:rsid w:val="41717C87"/>
    <w:rsid w:val="41AA1130"/>
    <w:rsid w:val="41AF2209"/>
    <w:rsid w:val="41C30EF6"/>
    <w:rsid w:val="41C37841"/>
    <w:rsid w:val="41E11078"/>
    <w:rsid w:val="41EB39C1"/>
    <w:rsid w:val="41FF0A9A"/>
    <w:rsid w:val="41FF1169"/>
    <w:rsid w:val="421F4809"/>
    <w:rsid w:val="42334D0F"/>
    <w:rsid w:val="4234154C"/>
    <w:rsid w:val="423E4B0D"/>
    <w:rsid w:val="423F533B"/>
    <w:rsid w:val="4256053C"/>
    <w:rsid w:val="42AF682B"/>
    <w:rsid w:val="42B31885"/>
    <w:rsid w:val="42BF46CD"/>
    <w:rsid w:val="42C32E12"/>
    <w:rsid w:val="42F92708"/>
    <w:rsid w:val="43051884"/>
    <w:rsid w:val="43107B42"/>
    <w:rsid w:val="43135873"/>
    <w:rsid w:val="436118B0"/>
    <w:rsid w:val="43733C93"/>
    <w:rsid w:val="437C5E8D"/>
    <w:rsid w:val="43821D0C"/>
    <w:rsid w:val="43963680"/>
    <w:rsid w:val="43A51B15"/>
    <w:rsid w:val="43B6787E"/>
    <w:rsid w:val="43CB1323"/>
    <w:rsid w:val="43D9531B"/>
    <w:rsid w:val="43DC279B"/>
    <w:rsid w:val="43DE6563"/>
    <w:rsid w:val="43E146C9"/>
    <w:rsid w:val="43EA4F48"/>
    <w:rsid w:val="44101B13"/>
    <w:rsid w:val="4418046D"/>
    <w:rsid w:val="442040C5"/>
    <w:rsid w:val="4436451B"/>
    <w:rsid w:val="443B1BA5"/>
    <w:rsid w:val="443C196B"/>
    <w:rsid w:val="44450C02"/>
    <w:rsid w:val="445D2CFE"/>
    <w:rsid w:val="445E48BB"/>
    <w:rsid w:val="44635844"/>
    <w:rsid w:val="44983FC9"/>
    <w:rsid w:val="44BB6985"/>
    <w:rsid w:val="44BF21AC"/>
    <w:rsid w:val="44C63AF1"/>
    <w:rsid w:val="44D160BB"/>
    <w:rsid w:val="44DA134B"/>
    <w:rsid w:val="44DB0693"/>
    <w:rsid w:val="44F776BF"/>
    <w:rsid w:val="452A7324"/>
    <w:rsid w:val="45352498"/>
    <w:rsid w:val="455E635F"/>
    <w:rsid w:val="459D6299"/>
    <w:rsid w:val="45C06AEB"/>
    <w:rsid w:val="45D01D8F"/>
    <w:rsid w:val="45E701C3"/>
    <w:rsid w:val="462A36B6"/>
    <w:rsid w:val="467E5C22"/>
    <w:rsid w:val="46823724"/>
    <w:rsid w:val="468C18CD"/>
    <w:rsid w:val="46C10423"/>
    <w:rsid w:val="46CC7AD8"/>
    <w:rsid w:val="46DC1FBC"/>
    <w:rsid w:val="46E95792"/>
    <w:rsid w:val="47077ED8"/>
    <w:rsid w:val="474D3526"/>
    <w:rsid w:val="47517316"/>
    <w:rsid w:val="476E271F"/>
    <w:rsid w:val="477F15A5"/>
    <w:rsid w:val="47904ACF"/>
    <w:rsid w:val="479C19F6"/>
    <w:rsid w:val="47A04091"/>
    <w:rsid w:val="47A667CB"/>
    <w:rsid w:val="47A91793"/>
    <w:rsid w:val="47C06E5A"/>
    <w:rsid w:val="47C971D5"/>
    <w:rsid w:val="47D06A35"/>
    <w:rsid w:val="47EE10F5"/>
    <w:rsid w:val="47FB2E17"/>
    <w:rsid w:val="481972A9"/>
    <w:rsid w:val="482B755A"/>
    <w:rsid w:val="483671E0"/>
    <w:rsid w:val="48457423"/>
    <w:rsid w:val="48661A4C"/>
    <w:rsid w:val="487C2D69"/>
    <w:rsid w:val="487C7098"/>
    <w:rsid w:val="48837045"/>
    <w:rsid w:val="48867B01"/>
    <w:rsid w:val="48BC6DC4"/>
    <w:rsid w:val="48E94252"/>
    <w:rsid w:val="48FA63D5"/>
    <w:rsid w:val="4900423A"/>
    <w:rsid w:val="490A36DF"/>
    <w:rsid w:val="49123997"/>
    <w:rsid w:val="493125AB"/>
    <w:rsid w:val="493524DD"/>
    <w:rsid w:val="495C67D2"/>
    <w:rsid w:val="499323AD"/>
    <w:rsid w:val="499E7DB1"/>
    <w:rsid w:val="49A670C7"/>
    <w:rsid w:val="49A67A22"/>
    <w:rsid w:val="49AB57DD"/>
    <w:rsid w:val="49B70628"/>
    <w:rsid w:val="49BF1071"/>
    <w:rsid w:val="49FF640B"/>
    <w:rsid w:val="4A0649B9"/>
    <w:rsid w:val="4A206289"/>
    <w:rsid w:val="4A3B27D2"/>
    <w:rsid w:val="4A3C0D37"/>
    <w:rsid w:val="4A4F27DB"/>
    <w:rsid w:val="4A8F2BD7"/>
    <w:rsid w:val="4A954692"/>
    <w:rsid w:val="4A9B27FB"/>
    <w:rsid w:val="4A9C6CB8"/>
    <w:rsid w:val="4AA74182"/>
    <w:rsid w:val="4AC044FA"/>
    <w:rsid w:val="4AC226EB"/>
    <w:rsid w:val="4B00156B"/>
    <w:rsid w:val="4B0D2360"/>
    <w:rsid w:val="4B1A06F3"/>
    <w:rsid w:val="4B4B11F4"/>
    <w:rsid w:val="4B587455"/>
    <w:rsid w:val="4B8A6748"/>
    <w:rsid w:val="4B961FC8"/>
    <w:rsid w:val="4BA324B8"/>
    <w:rsid w:val="4BB70638"/>
    <w:rsid w:val="4BD41F9C"/>
    <w:rsid w:val="4BD64D3E"/>
    <w:rsid w:val="4BDC4B21"/>
    <w:rsid w:val="4BFE6267"/>
    <w:rsid w:val="4C0D3F5E"/>
    <w:rsid w:val="4C0E00B7"/>
    <w:rsid w:val="4C1A24A8"/>
    <w:rsid w:val="4C361E46"/>
    <w:rsid w:val="4C6B4FDD"/>
    <w:rsid w:val="4C6F3264"/>
    <w:rsid w:val="4C817E10"/>
    <w:rsid w:val="4C9149E5"/>
    <w:rsid w:val="4C9438DA"/>
    <w:rsid w:val="4CA26436"/>
    <w:rsid w:val="4CA51A3A"/>
    <w:rsid w:val="4CAC5CC3"/>
    <w:rsid w:val="4CBD5AB2"/>
    <w:rsid w:val="4CE135CF"/>
    <w:rsid w:val="4CE258DD"/>
    <w:rsid w:val="4CF3280B"/>
    <w:rsid w:val="4D0478AD"/>
    <w:rsid w:val="4D1C561F"/>
    <w:rsid w:val="4D201780"/>
    <w:rsid w:val="4D2C2BEC"/>
    <w:rsid w:val="4D573E80"/>
    <w:rsid w:val="4D950505"/>
    <w:rsid w:val="4DA61F88"/>
    <w:rsid w:val="4DC17EF8"/>
    <w:rsid w:val="4DE42FC2"/>
    <w:rsid w:val="4DEB45C9"/>
    <w:rsid w:val="4E037EBD"/>
    <w:rsid w:val="4E0B1E23"/>
    <w:rsid w:val="4E0D09E3"/>
    <w:rsid w:val="4E1C0C26"/>
    <w:rsid w:val="4E255E4C"/>
    <w:rsid w:val="4E274A1B"/>
    <w:rsid w:val="4E2E3285"/>
    <w:rsid w:val="4E2F2707"/>
    <w:rsid w:val="4E893569"/>
    <w:rsid w:val="4E921E5D"/>
    <w:rsid w:val="4EBC1C70"/>
    <w:rsid w:val="4EBD0706"/>
    <w:rsid w:val="4EBD73E8"/>
    <w:rsid w:val="4EC132A9"/>
    <w:rsid w:val="4EC70B92"/>
    <w:rsid w:val="4EEB2B76"/>
    <w:rsid w:val="4EFB083B"/>
    <w:rsid w:val="4F002F32"/>
    <w:rsid w:val="4F0A1BA9"/>
    <w:rsid w:val="4F3D7CC1"/>
    <w:rsid w:val="4F3E09E7"/>
    <w:rsid w:val="4F57409F"/>
    <w:rsid w:val="4F603245"/>
    <w:rsid w:val="4F6B71B9"/>
    <w:rsid w:val="4F9130F5"/>
    <w:rsid w:val="4F922410"/>
    <w:rsid w:val="4FAF7A60"/>
    <w:rsid w:val="4FB454F2"/>
    <w:rsid w:val="4FC94691"/>
    <w:rsid w:val="4FD572DE"/>
    <w:rsid w:val="4FE30142"/>
    <w:rsid w:val="4FE80CB1"/>
    <w:rsid w:val="4FEB4D65"/>
    <w:rsid w:val="500E1CA9"/>
    <w:rsid w:val="50413516"/>
    <w:rsid w:val="50416E46"/>
    <w:rsid w:val="50585DCF"/>
    <w:rsid w:val="506B379F"/>
    <w:rsid w:val="50753639"/>
    <w:rsid w:val="509739F1"/>
    <w:rsid w:val="509A76B5"/>
    <w:rsid w:val="50AD59A2"/>
    <w:rsid w:val="50CA4969"/>
    <w:rsid w:val="50D00177"/>
    <w:rsid w:val="50DB26D2"/>
    <w:rsid w:val="50DF27BA"/>
    <w:rsid w:val="513A4C55"/>
    <w:rsid w:val="513F7105"/>
    <w:rsid w:val="5154207D"/>
    <w:rsid w:val="5159573F"/>
    <w:rsid w:val="516C5916"/>
    <w:rsid w:val="519E40DE"/>
    <w:rsid w:val="51D0473A"/>
    <w:rsid w:val="51D556F8"/>
    <w:rsid w:val="51F82240"/>
    <w:rsid w:val="521C2FA3"/>
    <w:rsid w:val="522D4AC9"/>
    <w:rsid w:val="52335131"/>
    <w:rsid w:val="524E612F"/>
    <w:rsid w:val="524F2BB4"/>
    <w:rsid w:val="52606C48"/>
    <w:rsid w:val="5278001F"/>
    <w:rsid w:val="528A0BA1"/>
    <w:rsid w:val="52BA7F92"/>
    <w:rsid w:val="52BB35DC"/>
    <w:rsid w:val="52C235D0"/>
    <w:rsid w:val="52CB1154"/>
    <w:rsid w:val="52D64BC8"/>
    <w:rsid w:val="52E03F65"/>
    <w:rsid w:val="52EA38D1"/>
    <w:rsid w:val="532365B3"/>
    <w:rsid w:val="53407165"/>
    <w:rsid w:val="5350152D"/>
    <w:rsid w:val="53683555"/>
    <w:rsid w:val="537938ED"/>
    <w:rsid w:val="53C2401E"/>
    <w:rsid w:val="53C32668"/>
    <w:rsid w:val="53C54A08"/>
    <w:rsid w:val="53D61264"/>
    <w:rsid w:val="53DF103E"/>
    <w:rsid w:val="53EE035B"/>
    <w:rsid w:val="53FE2E25"/>
    <w:rsid w:val="54086242"/>
    <w:rsid w:val="54131FCB"/>
    <w:rsid w:val="5417555B"/>
    <w:rsid w:val="543736D8"/>
    <w:rsid w:val="543E5F58"/>
    <w:rsid w:val="54402BFA"/>
    <w:rsid w:val="544D7D8B"/>
    <w:rsid w:val="545657BD"/>
    <w:rsid w:val="54667539"/>
    <w:rsid w:val="54E16725"/>
    <w:rsid w:val="54E65AEA"/>
    <w:rsid w:val="54FA3343"/>
    <w:rsid w:val="55067F3A"/>
    <w:rsid w:val="551864CC"/>
    <w:rsid w:val="552774CE"/>
    <w:rsid w:val="552F123F"/>
    <w:rsid w:val="553D2107"/>
    <w:rsid w:val="55692572"/>
    <w:rsid w:val="5585424B"/>
    <w:rsid w:val="5592342B"/>
    <w:rsid w:val="559D089E"/>
    <w:rsid w:val="55A34512"/>
    <w:rsid w:val="55A439DB"/>
    <w:rsid w:val="55AC0589"/>
    <w:rsid w:val="55B17114"/>
    <w:rsid w:val="55D93E68"/>
    <w:rsid w:val="55E5165E"/>
    <w:rsid w:val="5618284E"/>
    <w:rsid w:val="561D2A52"/>
    <w:rsid w:val="56265249"/>
    <w:rsid w:val="5636241D"/>
    <w:rsid w:val="563630F9"/>
    <w:rsid w:val="56392D6C"/>
    <w:rsid w:val="56403669"/>
    <w:rsid w:val="56793A3B"/>
    <w:rsid w:val="56802899"/>
    <w:rsid w:val="56841BD7"/>
    <w:rsid w:val="56873363"/>
    <w:rsid w:val="56AB164B"/>
    <w:rsid w:val="56AE795E"/>
    <w:rsid w:val="56B54D14"/>
    <w:rsid w:val="56C35EA7"/>
    <w:rsid w:val="56E94AE9"/>
    <w:rsid w:val="56EA0A7F"/>
    <w:rsid w:val="56EF6E93"/>
    <w:rsid w:val="56F00EA2"/>
    <w:rsid w:val="574657F1"/>
    <w:rsid w:val="576378C6"/>
    <w:rsid w:val="576923C5"/>
    <w:rsid w:val="578F2469"/>
    <w:rsid w:val="57B4589A"/>
    <w:rsid w:val="57C03632"/>
    <w:rsid w:val="57EA0764"/>
    <w:rsid w:val="57F74752"/>
    <w:rsid w:val="580E21B5"/>
    <w:rsid w:val="582E1C82"/>
    <w:rsid w:val="58644AF2"/>
    <w:rsid w:val="586E0B53"/>
    <w:rsid w:val="58943172"/>
    <w:rsid w:val="58A67F17"/>
    <w:rsid w:val="58B101BD"/>
    <w:rsid w:val="58B14A34"/>
    <w:rsid w:val="58DE50A6"/>
    <w:rsid w:val="58DF2FE5"/>
    <w:rsid w:val="58E22385"/>
    <w:rsid w:val="58EA22FF"/>
    <w:rsid w:val="58ED0BBE"/>
    <w:rsid w:val="58FA5862"/>
    <w:rsid w:val="58FD0E74"/>
    <w:rsid w:val="590F6436"/>
    <w:rsid w:val="5975213F"/>
    <w:rsid w:val="597D4C6F"/>
    <w:rsid w:val="59883613"/>
    <w:rsid w:val="59A26483"/>
    <w:rsid w:val="59C90598"/>
    <w:rsid w:val="59E35F48"/>
    <w:rsid w:val="59EB1643"/>
    <w:rsid w:val="5A001186"/>
    <w:rsid w:val="5A080C07"/>
    <w:rsid w:val="5A1B4BD1"/>
    <w:rsid w:val="5A325E29"/>
    <w:rsid w:val="5A6D095E"/>
    <w:rsid w:val="5A983D7A"/>
    <w:rsid w:val="5AB635B5"/>
    <w:rsid w:val="5AD703AE"/>
    <w:rsid w:val="5AED3A61"/>
    <w:rsid w:val="5AF76A47"/>
    <w:rsid w:val="5B2F4184"/>
    <w:rsid w:val="5B394BC5"/>
    <w:rsid w:val="5B522930"/>
    <w:rsid w:val="5B640474"/>
    <w:rsid w:val="5B6B4F9B"/>
    <w:rsid w:val="5B9B27D2"/>
    <w:rsid w:val="5B9E71EA"/>
    <w:rsid w:val="5B9F7BC4"/>
    <w:rsid w:val="5BA02E96"/>
    <w:rsid w:val="5BCF72D8"/>
    <w:rsid w:val="5BDE4F6F"/>
    <w:rsid w:val="5BE53C35"/>
    <w:rsid w:val="5BF166F0"/>
    <w:rsid w:val="5C051017"/>
    <w:rsid w:val="5C3373B3"/>
    <w:rsid w:val="5C530A90"/>
    <w:rsid w:val="5C601985"/>
    <w:rsid w:val="5C7B2441"/>
    <w:rsid w:val="5C9522CF"/>
    <w:rsid w:val="5CA3732E"/>
    <w:rsid w:val="5CAC0B09"/>
    <w:rsid w:val="5CD74A1D"/>
    <w:rsid w:val="5CD92F19"/>
    <w:rsid w:val="5CDD5A24"/>
    <w:rsid w:val="5CE45B17"/>
    <w:rsid w:val="5CE80424"/>
    <w:rsid w:val="5CE96F65"/>
    <w:rsid w:val="5D192F00"/>
    <w:rsid w:val="5D1D5979"/>
    <w:rsid w:val="5D2418A5"/>
    <w:rsid w:val="5D3F34A3"/>
    <w:rsid w:val="5D430194"/>
    <w:rsid w:val="5D4934B7"/>
    <w:rsid w:val="5D7C7845"/>
    <w:rsid w:val="5D7F7DDA"/>
    <w:rsid w:val="5DB400E9"/>
    <w:rsid w:val="5DBC2649"/>
    <w:rsid w:val="5DC13A25"/>
    <w:rsid w:val="5DC7688B"/>
    <w:rsid w:val="5DD45079"/>
    <w:rsid w:val="5DDC53CE"/>
    <w:rsid w:val="5DDF7B22"/>
    <w:rsid w:val="5DF11DF8"/>
    <w:rsid w:val="5E0D0611"/>
    <w:rsid w:val="5E232E30"/>
    <w:rsid w:val="5E287173"/>
    <w:rsid w:val="5E2F24AC"/>
    <w:rsid w:val="5E3D2C1E"/>
    <w:rsid w:val="5E472EF4"/>
    <w:rsid w:val="5E4A70E9"/>
    <w:rsid w:val="5E4D221E"/>
    <w:rsid w:val="5E520D48"/>
    <w:rsid w:val="5E6115B7"/>
    <w:rsid w:val="5E7C2A95"/>
    <w:rsid w:val="5EAC28F8"/>
    <w:rsid w:val="5EB01642"/>
    <w:rsid w:val="5EB41A42"/>
    <w:rsid w:val="5EB915BA"/>
    <w:rsid w:val="5EB96BAB"/>
    <w:rsid w:val="5EC30B8B"/>
    <w:rsid w:val="5EF23E04"/>
    <w:rsid w:val="5F0C53C6"/>
    <w:rsid w:val="5F29259D"/>
    <w:rsid w:val="5F4B3119"/>
    <w:rsid w:val="5F4E641B"/>
    <w:rsid w:val="5F5C30E6"/>
    <w:rsid w:val="5F64242D"/>
    <w:rsid w:val="5F6F0DBF"/>
    <w:rsid w:val="5F7D44DA"/>
    <w:rsid w:val="5F8C48C8"/>
    <w:rsid w:val="5FA36662"/>
    <w:rsid w:val="60161979"/>
    <w:rsid w:val="601C30D6"/>
    <w:rsid w:val="601E25EE"/>
    <w:rsid w:val="6026223C"/>
    <w:rsid w:val="6039799E"/>
    <w:rsid w:val="60566D9F"/>
    <w:rsid w:val="60573893"/>
    <w:rsid w:val="606407EA"/>
    <w:rsid w:val="607320BB"/>
    <w:rsid w:val="608845BF"/>
    <w:rsid w:val="608F5287"/>
    <w:rsid w:val="60B306CE"/>
    <w:rsid w:val="60BB1D24"/>
    <w:rsid w:val="60C3531D"/>
    <w:rsid w:val="60D56D05"/>
    <w:rsid w:val="60D63EE6"/>
    <w:rsid w:val="60D95974"/>
    <w:rsid w:val="60DD2D37"/>
    <w:rsid w:val="60E4332B"/>
    <w:rsid w:val="60EE69CE"/>
    <w:rsid w:val="60F831EF"/>
    <w:rsid w:val="61184007"/>
    <w:rsid w:val="611F7591"/>
    <w:rsid w:val="61284891"/>
    <w:rsid w:val="612B47F8"/>
    <w:rsid w:val="613A01C3"/>
    <w:rsid w:val="616E30EF"/>
    <w:rsid w:val="61713194"/>
    <w:rsid w:val="619065EC"/>
    <w:rsid w:val="61A7469D"/>
    <w:rsid w:val="61B0518B"/>
    <w:rsid w:val="61BB6726"/>
    <w:rsid w:val="61D07906"/>
    <w:rsid w:val="61F5046E"/>
    <w:rsid w:val="61FC06FB"/>
    <w:rsid w:val="62031A89"/>
    <w:rsid w:val="620E29D3"/>
    <w:rsid w:val="622E3C79"/>
    <w:rsid w:val="622F3D0E"/>
    <w:rsid w:val="624A3A07"/>
    <w:rsid w:val="624B3430"/>
    <w:rsid w:val="626425D0"/>
    <w:rsid w:val="62775FD3"/>
    <w:rsid w:val="62840D7A"/>
    <w:rsid w:val="62856567"/>
    <w:rsid w:val="62B56103"/>
    <w:rsid w:val="631A37CF"/>
    <w:rsid w:val="633A6AF4"/>
    <w:rsid w:val="6361683D"/>
    <w:rsid w:val="636440F4"/>
    <w:rsid w:val="636B344F"/>
    <w:rsid w:val="6376714D"/>
    <w:rsid w:val="63901A42"/>
    <w:rsid w:val="639B207F"/>
    <w:rsid w:val="63B84AF5"/>
    <w:rsid w:val="63B875EE"/>
    <w:rsid w:val="63D06D5A"/>
    <w:rsid w:val="63E71F50"/>
    <w:rsid w:val="6401649C"/>
    <w:rsid w:val="64245C53"/>
    <w:rsid w:val="6435673D"/>
    <w:rsid w:val="643A083F"/>
    <w:rsid w:val="643A33F0"/>
    <w:rsid w:val="6441099E"/>
    <w:rsid w:val="6453469B"/>
    <w:rsid w:val="64583531"/>
    <w:rsid w:val="64683727"/>
    <w:rsid w:val="646B2DDB"/>
    <w:rsid w:val="647E2A40"/>
    <w:rsid w:val="64812965"/>
    <w:rsid w:val="64A66B3B"/>
    <w:rsid w:val="64B10406"/>
    <w:rsid w:val="64B17EC2"/>
    <w:rsid w:val="64B31516"/>
    <w:rsid w:val="64CA4AE0"/>
    <w:rsid w:val="64E01D20"/>
    <w:rsid w:val="64F30A07"/>
    <w:rsid w:val="651D6396"/>
    <w:rsid w:val="6535464F"/>
    <w:rsid w:val="654A1FEB"/>
    <w:rsid w:val="655446E6"/>
    <w:rsid w:val="65562338"/>
    <w:rsid w:val="655B40E6"/>
    <w:rsid w:val="655C29B9"/>
    <w:rsid w:val="65737F9E"/>
    <w:rsid w:val="65885B0D"/>
    <w:rsid w:val="65904317"/>
    <w:rsid w:val="659375C8"/>
    <w:rsid w:val="659A7FFB"/>
    <w:rsid w:val="65B75702"/>
    <w:rsid w:val="65B85DC7"/>
    <w:rsid w:val="65CB784E"/>
    <w:rsid w:val="65F44057"/>
    <w:rsid w:val="66152911"/>
    <w:rsid w:val="661E1587"/>
    <w:rsid w:val="66263F98"/>
    <w:rsid w:val="662F4DB5"/>
    <w:rsid w:val="66622458"/>
    <w:rsid w:val="666A0329"/>
    <w:rsid w:val="667176D7"/>
    <w:rsid w:val="6686712D"/>
    <w:rsid w:val="66A56021"/>
    <w:rsid w:val="66AF3F8D"/>
    <w:rsid w:val="66BC45A4"/>
    <w:rsid w:val="66CF1A78"/>
    <w:rsid w:val="66E14AAB"/>
    <w:rsid w:val="66FB0CD8"/>
    <w:rsid w:val="67001E82"/>
    <w:rsid w:val="67064D50"/>
    <w:rsid w:val="670E0B4F"/>
    <w:rsid w:val="672C768A"/>
    <w:rsid w:val="67306079"/>
    <w:rsid w:val="674737DC"/>
    <w:rsid w:val="674E6204"/>
    <w:rsid w:val="67692442"/>
    <w:rsid w:val="677671A1"/>
    <w:rsid w:val="67847F12"/>
    <w:rsid w:val="67864251"/>
    <w:rsid w:val="679553C9"/>
    <w:rsid w:val="67991C6E"/>
    <w:rsid w:val="67E81E4D"/>
    <w:rsid w:val="67EE4F89"/>
    <w:rsid w:val="67FB0669"/>
    <w:rsid w:val="6800613C"/>
    <w:rsid w:val="68065D7D"/>
    <w:rsid w:val="68126ECA"/>
    <w:rsid w:val="68204069"/>
    <w:rsid w:val="6829768C"/>
    <w:rsid w:val="684D6E28"/>
    <w:rsid w:val="68581BB4"/>
    <w:rsid w:val="686B315F"/>
    <w:rsid w:val="68780948"/>
    <w:rsid w:val="68815DFE"/>
    <w:rsid w:val="688716A3"/>
    <w:rsid w:val="688B27D8"/>
    <w:rsid w:val="689B1AB8"/>
    <w:rsid w:val="68A55712"/>
    <w:rsid w:val="68C74CFE"/>
    <w:rsid w:val="68C8445A"/>
    <w:rsid w:val="68DA551E"/>
    <w:rsid w:val="68EF3FF8"/>
    <w:rsid w:val="68F71C1C"/>
    <w:rsid w:val="690F605C"/>
    <w:rsid w:val="69305B3D"/>
    <w:rsid w:val="6936524D"/>
    <w:rsid w:val="69500D77"/>
    <w:rsid w:val="6952502B"/>
    <w:rsid w:val="695C0D52"/>
    <w:rsid w:val="695C1052"/>
    <w:rsid w:val="696D0B5D"/>
    <w:rsid w:val="69747710"/>
    <w:rsid w:val="69792142"/>
    <w:rsid w:val="697A5BAD"/>
    <w:rsid w:val="698652CC"/>
    <w:rsid w:val="69875FB7"/>
    <w:rsid w:val="698A2A90"/>
    <w:rsid w:val="699562F4"/>
    <w:rsid w:val="69990F25"/>
    <w:rsid w:val="69A202BC"/>
    <w:rsid w:val="69A753F0"/>
    <w:rsid w:val="69B83AA1"/>
    <w:rsid w:val="69C827EC"/>
    <w:rsid w:val="69C942CE"/>
    <w:rsid w:val="69F50851"/>
    <w:rsid w:val="6A0042F5"/>
    <w:rsid w:val="6A070843"/>
    <w:rsid w:val="6A171DE2"/>
    <w:rsid w:val="6A211A11"/>
    <w:rsid w:val="6A2164AA"/>
    <w:rsid w:val="6A2C4AA3"/>
    <w:rsid w:val="6A367106"/>
    <w:rsid w:val="6A3B7A6E"/>
    <w:rsid w:val="6A62713F"/>
    <w:rsid w:val="6A6C66BD"/>
    <w:rsid w:val="6A71544C"/>
    <w:rsid w:val="6A885341"/>
    <w:rsid w:val="6AA313D0"/>
    <w:rsid w:val="6AAB0F10"/>
    <w:rsid w:val="6ABB3747"/>
    <w:rsid w:val="6AC50DE0"/>
    <w:rsid w:val="6ACB27CD"/>
    <w:rsid w:val="6AFD6181"/>
    <w:rsid w:val="6AFE0B89"/>
    <w:rsid w:val="6B003260"/>
    <w:rsid w:val="6B2741E1"/>
    <w:rsid w:val="6B2F490A"/>
    <w:rsid w:val="6B5174F2"/>
    <w:rsid w:val="6B631F73"/>
    <w:rsid w:val="6B721B64"/>
    <w:rsid w:val="6B7E2492"/>
    <w:rsid w:val="6BA95690"/>
    <w:rsid w:val="6BAE4E87"/>
    <w:rsid w:val="6BB4692C"/>
    <w:rsid w:val="6BC26055"/>
    <w:rsid w:val="6BCD7C89"/>
    <w:rsid w:val="6BD111A8"/>
    <w:rsid w:val="6BD3071E"/>
    <w:rsid w:val="6C0905E4"/>
    <w:rsid w:val="6C1B45C4"/>
    <w:rsid w:val="6C1C1795"/>
    <w:rsid w:val="6C296E86"/>
    <w:rsid w:val="6C412D3D"/>
    <w:rsid w:val="6C4A02E6"/>
    <w:rsid w:val="6C584999"/>
    <w:rsid w:val="6C703274"/>
    <w:rsid w:val="6C885039"/>
    <w:rsid w:val="6CA537FA"/>
    <w:rsid w:val="6CC12C2C"/>
    <w:rsid w:val="6CC14D9F"/>
    <w:rsid w:val="6CC30793"/>
    <w:rsid w:val="6CD2167A"/>
    <w:rsid w:val="6CD81D64"/>
    <w:rsid w:val="6D014896"/>
    <w:rsid w:val="6D091D06"/>
    <w:rsid w:val="6D1F6511"/>
    <w:rsid w:val="6D1F6C74"/>
    <w:rsid w:val="6D226CED"/>
    <w:rsid w:val="6D3A657B"/>
    <w:rsid w:val="6D5C4743"/>
    <w:rsid w:val="6D647B33"/>
    <w:rsid w:val="6D6601E7"/>
    <w:rsid w:val="6D6A7C2B"/>
    <w:rsid w:val="6D7617FF"/>
    <w:rsid w:val="6D7E4409"/>
    <w:rsid w:val="6DAE1443"/>
    <w:rsid w:val="6DB80DE8"/>
    <w:rsid w:val="6DFF6A7F"/>
    <w:rsid w:val="6E0539CA"/>
    <w:rsid w:val="6E056B79"/>
    <w:rsid w:val="6E0E0D58"/>
    <w:rsid w:val="6E1030B4"/>
    <w:rsid w:val="6E264F3A"/>
    <w:rsid w:val="6E3322F3"/>
    <w:rsid w:val="6E496F01"/>
    <w:rsid w:val="6E813FCE"/>
    <w:rsid w:val="6E9D3265"/>
    <w:rsid w:val="6E9F5D73"/>
    <w:rsid w:val="6EA52E3A"/>
    <w:rsid w:val="6EA63EC8"/>
    <w:rsid w:val="6EB75C56"/>
    <w:rsid w:val="6EBF30CA"/>
    <w:rsid w:val="6EC44FEF"/>
    <w:rsid w:val="6EDB181E"/>
    <w:rsid w:val="6EEE3AC1"/>
    <w:rsid w:val="6EFF182A"/>
    <w:rsid w:val="6F0C1668"/>
    <w:rsid w:val="6F144E56"/>
    <w:rsid w:val="6F3C2A7E"/>
    <w:rsid w:val="6F647735"/>
    <w:rsid w:val="6FA47F4A"/>
    <w:rsid w:val="6FBF4D77"/>
    <w:rsid w:val="6FC95185"/>
    <w:rsid w:val="6FD6590D"/>
    <w:rsid w:val="6FF3138F"/>
    <w:rsid w:val="6FFD2050"/>
    <w:rsid w:val="70021F43"/>
    <w:rsid w:val="700659FC"/>
    <w:rsid w:val="70365B5E"/>
    <w:rsid w:val="704E1C68"/>
    <w:rsid w:val="70553766"/>
    <w:rsid w:val="70836408"/>
    <w:rsid w:val="70AA50FC"/>
    <w:rsid w:val="70B312E0"/>
    <w:rsid w:val="70B812AB"/>
    <w:rsid w:val="70B92CE2"/>
    <w:rsid w:val="70CB5B52"/>
    <w:rsid w:val="70CD09CE"/>
    <w:rsid w:val="70E069E7"/>
    <w:rsid w:val="71263F2E"/>
    <w:rsid w:val="71300A15"/>
    <w:rsid w:val="715F2808"/>
    <w:rsid w:val="716465CF"/>
    <w:rsid w:val="71813B02"/>
    <w:rsid w:val="71BD0EC0"/>
    <w:rsid w:val="71C240B4"/>
    <w:rsid w:val="71E16A3E"/>
    <w:rsid w:val="71ED1E0E"/>
    <w:rsid w:val="71ED57A2"/>
    <w:rsid w:val="723A5602"/>
    <w:rsid w:val="724F2866"/>
    <w:rsid w:val="724F4877"/>
    <w:rsid w:val="72771F9F"/>
    <w:rsid w:val="72783C6C"/>
    <w:rsid w:val="72964C89"/>
    <w:rsid w:val="72AB6AE0"/>
    <w:rsid w:val="72B050A2"/>
    <w:rsid w:val="72F2392E"/>
    <w:rsid w:val="72F83160"/>
    <w:rsid w:val="72FF7B02"/>
    <w:rsid w:val="73192E66"/>
    <w:rsid w:val="73411315"/>
    <w:rsid w:val="734F24FC"/>
    <w:rsid w:val="735C2E4B"/>
    <w:rsid w:val="737907EB"/>
    <w:rsid w:val="739156AC"/>
    <w:rsid w:val="73965909"/>
    <w:rsid w:val="73A40BF2"/>
    <w:rsid w:val="73AA445A"/>
    <w:rsid w:val="73AB0669"/>
    <w:rsid w:val="73AB1BCC"/>
    <w:rsid w:val="73AF7856"/>
    <w:rsid w:val="73BC295C"/>
    <w:rsid w:val="73C90A9B"/>
    <w:rsid w:val="73DC7820"/>
    <w:rsid w:val="73EA0CFB"/>
    <w:rsid w:val="73F27AF3"/>
    <w:rsid w:val="741663D7"/>
    <w:rsid w:val="74560DC5"/>
    <w:rsid w:val="74591B65"/>
    <w:rsid w:val="746552FB"/>
    <w:rsid w:val="74741C6B"/>
    <w:rsid w:val="74871362"/>
    <w:rsid w:val="748F6378"/>
    <w:rsid w:val="7499002B"/>
    <w:rsid w:val="74B03CF2"/>
    <w:rsid w:val="74CA2DB3"/>
    <w:rsid w:val="74DB6E01"/>
    <w:rsid w:val="74E0413E"/>
    <w:rsid w:val="74E04398"/>
    <w:rsid w:val="74EB6AD9"/>
    <w:rsid w:val="74EF75AF"/>
    <w:rsid w:val="74F241A9"/>
    <w:rsid w:val="7500666B"/>
    <w:rsid w:val="75342884"/>
    <w:rsid w:val="753E6BB5"/>
    <w:rsid w:val="75476CC6"/>
    <w:rsid w:val="75700620"/>
    <w:rsid w:val="75834F63"/>
    <w:rsid w:val="75835778"/>
    <w:rsid w:val="75891890"/>
    <w:rsid w:val="758E5BD6"/>
    <w:rsid w:val="759E6526"/>
    <w:rsid w:val="75B03C1A"/>
    <w:rsid w:val="75B84ADD"/>
    <w:rsid w:val="75D54A40"/>
    <w:rsid w:val="76061509"/>
    <w:rsid w:val="762152A3"/>
    <w:rsid w:val="763B62F9"/>
    <w:rsid w:val="764D08A4"/>
    <w:rsid w:val="766D79C1"/>
    <w:rsid w:val="76861A5E"/>
    <w:rsid w:val="768A40CF"/>
    <w:rsid w:val="769F0934"/>
    <w:rsid w:val="76A33AA3"/>
    <w:rsid w:val="76A8406F"/>
    <w:rsid w:val="76C90347"/>
    <w:rsid w:val="76C97CF9"/>
    <w:rsid w:val="76DD06A3"/>
    <w:rsid w:val="76DE616F"/>
    <w:rsid w:val="76F20812"/>
    <w:rsid w:val="77105D10"/>
    <w:rsid w:val="7726029C"/>
    <w:rsid w:val="773C7ABF"/>
    <w:rsid w:val="774B472E"/>
    <w:rsid w:val="775C13BB"/>
    <w:rsid w:val="777F7F72"/>
    <w:rsid w:val="77843BC2"/>
    <w:rsid w:val="779B2966"/>
    <w:rsid w:val="77A01E88"/>
    <w:rsid w:val="77B3120C"/>
    <w:rsid w:val="77BB3AE4"/>
    <w:rsid w:val="77BD2F6B"/>
    <w:rsid w:val="77C05AA3"/>
    <w:rsid w:val="77C646D6"/>
    <w:rsid w:val="77E51BF1"/>
    <w:rsid w:val="77E93077"/>
    <w:rsid w:val="77F8746D"/>
    <w:rsid w:val="77FA7697"/>
    <w:rsid w:val="781C169F"/>
    <w:rsid w:val="782F3A26"/>
    <w:rsid w:val="786716C2"/>
    <w:rsid w:val="786D3B04"/>
    <w:rsid w:val="7883171E"/>
    <w:rsid w:val="788415B7"/>
    <w:rsid w:val="78A9314B"/>
    <w:rsid w:val="78B657E9"/>
    <w:rsid w:val="78B673FD"/>
    <w:rsid w:val="78C57641"/>
    <w:rsid w:val="78CB1796"/>
    <w:rsid w:val="78CD67FB"/>
    <w:rsid w:val="78CF0669"/>
    <w:rsid w:val="78D75840"/>
    <w:rsid w:val="78E11678"/>
    <w:rsid w:val="78E95EAE"/>
    <w:rsid w:val="78EC53D5"/>
    <w:rsid w:val="790A14F7"/>
    <w:rsid w:val="790A6F7D"/>
    <w:rsid w:val="79102B4C"/>
    <w:rsid w:val="79185AE4"/>
    <w:rsid w:val="79191BBC"/>
    <w:rsid w:val="791F31F5"/>
    <w:rsid w:val="79240B36"/>
    <w:rsid w:val="792C1504"/>
    <w:rsid w:val="792F6877"/>
    <w:rsid w:val="79435153"/>
    <w:rsid w:val="79535359"/>
    <w:rsid w:val="795C61F7"/>
    <w:rsid w:val="795E4334"/>
    <w:rsid w:val="796A3A14"/>
    <w:rsid w:val="79722304"/>
    <w:rsid w:val="79B86AC2"/>
    <w:rsid w:val="79BA1D94"/>
    <w:rsid w:val="79E16ED7"/>
    <w:rsid w:val="79F506FB"/>
    <w:rsid w:val="7A1717BB"/>
    <w:rsid w:val="7A1C4144"/>
    <w:rsid w:val="7A3B6881"/>
    <w:rsid w:val="7A6C06BC"/>
    <w:rsid w:val="7A9509DA"/>
    <w:rsid w:val="7AA80FC8"/>
    <w:rsid w:val="7AAF67FA"/>
    <w:rsid w:val="7AC438D9"/>
    <w:rsid w:val="7ACB23B7"/>
    <w:rsid w:val="7AD00401"/>
    <w:rsid w:val="7AD22270"/>
    <w:rsid w:val="7ADD00EE"/>
    <w:rsid w:val="7AF44F42"/>
    <w:rsid w:val="7B031D9A"/>
    <w:rsid w:val="7B04779B"/>
    <w:rsid w:val="7B1472DC"/>
    <w:rsid w:val="7B2157BD"/>
    <w:rsid w:val="7B531EA8"/>
    <w:rsid w:val="7B566314"/>
    <w:rsid w:val="7B5E3EEB"/>
    <w:rsid w:val="7B62561B"/>
    <w:rsid w:val="7B9661CA"/>
    <w:rsid w:val="7B9B2881"/>
    <w:rsid w:val="7BA85CFD"/>
    <w:rsid w:val="7BAE439A"/>
    <w:rsid w:val="7BB928A6"/>
    <w:rsid w:val="7BCE1B90"/>
    <w:rsid w:val="7BD10E19"/>
    <w:rsid w:val="7BE90326"/>
    <w:rsid w:val="7BFF10BB"/>
    <w:rsid w:val="7C190986"/>
    <w:rsid w:val="7C1F350C"/>
    <w:rsid w:val="7C3109D7"/>
    <w:rsid w:val="7C5755CE"/>
    <w:rsid w:val="7C5C3558"/>
    <w:rsid w:val="7C6044FF"/>
    <w:rsid w:val="7C987ACC"/>
    <w:rsid w:val="7CA928B5"/>
    <w:rsid w:val="7CC11FFB"/>
    <w:rsid w:val="7CF05E18"/>
    <w:rsid w:val="7CF33EA9"/>
    <w:rsid w:val="7CF60F14"/>
    <w:rsid w:val="7D1312C2"/>
    <w:rsid w:val="7D147FD3"/>
    <w:rsid w:val="7D2F20BB"/>
    <w:rsid w:val="7D4A4C8E"/>
    <w:rsid w:val="7D624BF2"/>
    <w:rsid w:val="7D6C09FD"/>
    <w:rsid w:val="7D794B33"/>
    <w:rsid w:val="7D80594D"/>
    <w:rsid w:val="7D8772AF"/>
    <w:rsid w:val="7D8B45B0"/>
    <w:rsid w:val="7D950C85"/>
    <w:rsid w:val="7D9F5D43"/>
    <w:rsid w:val="7DAB451C"/>
    <w:rsid w:val="7DBB0105"/>
    <w:rsid w:val="7DBB6EE5"/>
    <w:rsid w:val="7DC15C5C"/>
    <w:rsid w:val="7DCE343B"/>
    <w:rsid w:val="7DD46260"/>
    <w:rsid w:val="7DDC75A2"/>
    <w:rsid w:val="7DDE3077"/>
    <w:rsid w:val="7DEE638C"/>
    <w:rsid w:val="7DFA7F06"/>
    <w:rsid w:val="7DFE21EB"/>
    <w:rsid w:val="7E09686E"/>
    <w:rsid w:val="7E402F77"/>
    <w:rsid w:val="7E8051DC"/>
    <w:rsid w:val="7E9D3653"/>
    <w:rsid w:val="7EAD6933"/>
    <w:rsid w:val="7ED95BF4"/>
    <w:rsid w:val="7F054C3B"/>
    <w:rsid w:val="7F2A46F7"/>
    <w:rsid w:val="7F5D4C05"/>
    <w:rsid w:val="7F6B2854"/>
    <w:rsid w:val="7F6D1951"/>
    <w:rsid w:val="7F736048"/>
    <w:rsid w:val="7F761D2F"/>
    <w:rsid w:val="7F8151D5"/>
    <w:rsid w:val="7F851FDA"/>
    <w:rsid w:val="7F987E78"/>
    <w:rsid w:val="7FD9339F"/>
    <w:rsid w:val="7FDE50A4"/>
    <w:rsid w:val="7FE43060"/>
    <w:rsid w:val="7FFC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unhideWhenUsed/>
    <w:qFormat/>
    <w:uiPriority w:val="0"/>
    <w:pPr>
      <w:keepNext/>
      <w:keepLines/>
      <w:numPr>
        <w:ilvl w:val="3"/>
        <w:numId w:val="1"/>
      </w:numPr>
      <w:tabs>
        <w:tab w:val="left" w:pos="0"/>
        <w:tab w:val="left" w:pos="840"/>
        <w:tab w:val="left" w:pos="1800"/>
      </w:tabs>
      <w:spacing w:line="360" w:lineRule="auto"/>
      <w:ind w:left="0" w:firstLine="0" w:firstLineChars="0"/>
      <w:outlineLvl w:val="3"/>
    </w:pPr>
    <w:rPr>
      <w:rFonts w:ascii="Arial" w:hAnsi="Arial" w:eastAsia="宋体"/>
      <w:b/>
      <w:sz w:val="28"/>
      <w:szCs w:val="20"/>
    </w:rPr>
  </w:style>
  <w:style w:type="paragraph" w:styleId="6">
    <w:name w:val="heading 5"/>
    <w:basedOn w:val="1"/>
    <w:next w:val="1"/>
    <w:unhideWhenUsed/>
    <w:qFormat/>
    <w:uiPriority w:val="0"/>
    <w:pPr>
      <w:keepNext/>
      <w:keepLines/>
      <w:numPr>
        <w:ilvl w:val="4"/>
        <w:numId w:val="1"/>
      </w:numPr>
      <w:tabs>
        <w:tab w:val="left" w:pos="1440"/>
      </w:tabs>
      <w:spacing w:line="372" w:lineRule="auto"/>
      <w:ind w:left="1008" w:hanging="1008" w:firstLineChars="0"/>
      <w:outlineLvl w:val="4"/>
    </w:pPr>
    <w:rPr>
      <w:rFonts w:eastAsia="仿宋"/>
      <w:b/>
    </w:rPr>
  </w:style>
  <w:style w:type="character" w:default="1" w:styleId="45">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2520" w:leftChars="1200"/>
    </w:pPr>
  </w:style>
  <w:style w:type="paragraph" w:styleId="8">
    <w:name w:val="Normal Indent"/>
    <w:basedOn w:val="1"/>
    <w:next w:val="9"/>
    <w:qFormat/>
    <w:uiPriority w:val="0"/>
    <w:pPr>
      <w:autoSpaceDE w:val="0"/>
      <w:autoSpaceDN w:val="0"/>
      <w:adjustRightInd w:val="0"/>
      <w:ind w:firstLine="420"/>
      <w:jc w:val="left"/>
    </w:pPr>
    <w:rPr>
      <w:rFonts w:ascii="宋体"/>
      <w:kern w:val="0"/>
      <w:sz w:val="24"/>
      <w:szCs w:val="20"/>
    </w:rPr>
  </w:style>
  <w:style w:type="paragraph" w:styleId="9">
    <w:name w:val="toa heading"/>
    <w:basedOn w:val="1"/>
    <w:next w:val="1"/>
    <w:qFormat/>
    <w:uiPriority w:val="0"/>
    <w:pPr>
      <w:widowControl/>
      <w:autoSpaceDE/>
      <w:autoSpaceDN/>
      <w:spacing w:before="120" w:after="0" w:line="240" w:lineRule="auto"/>
      <w:ind w:left="0" w:firstLine="3584"/>
    </w:pPr>
  </w:style>
  <w:style w:type="paragraph" w:styleId="10">
    <w:name w:val="annotation text"/>
    <w:basedOn w:val="1"/>
    <w:link w:val="79"/>
    <w:unhideWhenUsed/>
    <w:qFormat/>
    <w:uiPriority w:val="0"/>
    <w:pPr>
      <w:jc w:val="left"/>
    </w:pPr>
  </w:style>
  <w:style w:type="paragraph" w:styleId="11">
    <w:name w:val="Body Text"/>
    <w:basedOn w:val="1"/>
    <w:link w:val="66"/>
    <w:qFormat/>
    <w:uiPriority w:val="0"/>
    <w:pPr>
      <w:tabs>
        <w:tab w:val="left" w:pos="567"/>
      </w:tabs>
      <w:spacing w:before="120" w:line="22" w:lineRule="atLeast"/>
    </w:pPr>
    <w:rPr>
      <w:rFonts w:ascii="宋体" w:hAnsi="宋体"/>
      <w:sz w:val="24"/>
    </w:rPr>
  </w:style>
  <w:style w:type="paragraph" w:styleId="12">
    <w:name w:val="Body Text Indent"/>
    <w:basedOn w:val="1"/>
    <w:next w:val="13"/>
    <w:link w:val="84"/>
    <w:qFormat/>
    <w:uiPriority w:val="0"/>
    <w:pPr>
      <w:spacing w:line="360" w:lineRule="auto"/>
      <w:ind w:firstLine="570"/>
    </w:pPr>
    <w:rPr>
      <w:sz w:val="24"/>
    </w:rPr>
  </w:style>
  <w:style w:type="paragraph" w:styleId="13">
    <w:name w:val="Body Text First Indent 2"/>
    <w:basedOn w:val="12"/>
    <w:next w:val="8"/>
    <w:link w:val="93"/>
    <w:qFormat/>
    <w:uiPriority w:val="0"/>
    <w:pPr>
      <w:ind w:firstLine="420" w:firstLineChars="200"/>
    </w:pPr>
  </w:style>
  <w:style w:type="paragraph" w:styleId="14">
    <w:name w:val="toc 5"/>
    <w:basedOn w:val="1"/>
    <w:next w:val="1"/>
    <w:qFormat/>
    <w:uiPriority w:val="0"/>
    <w:pPr>
      <w:ind w:left="1680" w:leftChars="800"/>
    </w:pPr>
  </w:style>
  <w:style w:type="paragraph" w:styleId="15">
    <w:name w:val="toc 3"/>
    <w:basedOn w:val="1"/>
    <w:next w:val="1"/>
    <w:qFormat/>
    <w:uiPriority w:val="0"/>
    <w:pPr>
      <w:tabs>
        <w:tab w:val="left" w:pos="1260"/>
        <w:tab w:val="right" w:leader="dot" w:pos="8630"/>
      </w:tabs>
      <w:ind w:left="840" w:leftChars="400"/>
    </w:pPr>
  </w:style>
  <w:style w:type="paragraph" w:styleId="16">
    <w:name w:val="Plain Text"/>
    <w:basedOn w:val="1"/>
    <w:link w:val="78"/>
    <w:qFormat/>
    <w:uiPriority w:val="0"/>
    <w:rPr>
      <w:rFonts w:ascii="宋体" w:hAnsi="Courier New"/>
      <w:szCs w:val="22"/>
    </w:rPr>
  </w:style>
  <w:style w:type="paragraph" w:styleId="17">
    <w:name w:val="toc 8"/>
    <w:basedOn w:val="1"/>
    <w:next w:val="1"/>
    <w:qFormat/>
    <w:uiPriority w:val="0"/>
    <w:pPr>
      <w:ind w:left="2940" w:leftChars="1400"/>
    </w:pPr>
  </w:style>
  <w:style w:type="paragraph" w:styleId="18">
    <w:name w:val="Date"/>
    <w:basedOn w:val="1"/>
    <w:next w:val="1"/>
    <w:link w:val="62"/>
    <w:qFormat/>
    <w:uiPriority w:val="0"/>
    <w:pPr>
      <w:ind w:left="100" w:leftChars="2500"/>
    </w:pPr>
    <w:rPr>
      <w:rFonts w:ascii="仿宋_GB2312" w:hAnsi="宋体" w:eastAsia="仿宋_GB2312"/>
      <w:color w:val="000000"/>
      <w:sz w:val="24"/>
    </w:rPr>
  </w:style>
  <w:style w:type="paragraph" w:styleId="19">
    <w:name w:val="Body Text Indent 2"/>
    <w:basedOn w:val="1"/>
    <w:link w:val="85"/>
    <w:qFormat/>
    <w:uiPriority w:val="0"/>
    <w:pPr>
      <w:ind w:firstLine="480" w:firstLineChars="200"/>
    </w:pPr>
    <w:rPr>
      <w:rFonts w:ascii="仿宋_GB2312" w:eastAsia="仿宋_GB2312"/>
      <w:sz w:val="24"/>
    </w:rPr>
  </w:style>
  <w:style w:type="paragraph" w:styleId="20">
    <w:name w:val="Balloon Text"/>
    <w:basedOn w:val="1"/>
    <w:link w:val="64"/>
    <w:qFormat/>
    <w:uiPriority w:val="0"/>
    <w:rPr>
      <w:sz w:val="18"/>
      <w:szCs w:val="18"/>
    </w:rPr>
  </w:style>
  <w:style w:type="paragraph" w:styleId="21">
    <w:name w:val="footer"/>
    <w:basedOn w:val="1"/>
    <w:link w:val="65"/>
    <w:qFormat/>
    <w:uiPriority w:val="0"/>
    <w:pPr>
      <w:tabs>
        <w:tab w:val="center" w:pos="4153"/>
        <w:tab w:val="right" w:pos="8306"/>
      </w:tabs>
      <w:autoSpaceDE w:val="0"/>
      <w:autoSpaceDN w:val="0"/>
      <w:adjustRightInd w:val="0"/>
      <w:snapToGrid w:val="0"/>
      <w:jc w:val="left"/>
    </w:pPr>
    <w:rPr>
      <w:rFonts w:ascii="宋体"/>
      <w:sz w:val="18"/>
      <w:szCs w:val="22"/>
    </w:rPr>
  </w:style>
  <w:style w:type="paragraph" w:styleId="22">
    <w:name w:val="header"/>
    <w:basedOn w:val="1"/>
    <w:link w:val="72"/>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6">
    <w:name w:val="List"/>
    <w:basedOn w:val="1"/>
    <w:qFormat/>
    <w:uiPriority w:val="0"/>
    <w:pPr>
      <w:ind w:left="200" w:hanging="200" w:hangingChars="200"/>
      <w:jc w:val="both"/>
    </w:pPr>
    <w:rPr>
      <w:rFonts w:ascii="Times New Roman" w:hAnsi="Times New Roman"/>
      <w:kern w:val="2"/>
      <w:sz w:val="21"/>
      <w:szCs w:val="20"/>
      <w:lang w:eastAsia="zh-CN"/>
    </w:rPr>
  </w:style>
  <w:style w:type="paragraph" w:styleId="27">
    <w:name w:val="footnote text"/>
    <w:basedOn w:val="1"/>
    <w:link w:val="82"/>
    <w:qFormat/>
    <w:uiPriority w:val="0"/>
    <w:pPr>
      <w:snapToGrid w:val="0"/>
      <w:jc w:val="left"/>
    </w:pPr>
    <w:rPr>
      <w:sz w:val="18"/>
    </w:rPr>
  </w:style>
  <w:style w:type="paragraph" w:styleId="28">
    <w:name w:val="Body Text Indent 3"/>
    <w:basedOn w:val="1"/>
    <w:link w:val="8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9">
    <w:name w:val="index 7"/>
    <w:basedOn w:val="1"/>
    <w:next w:val="1"/>
    <w:unhideWhenUsed/>
    <w:qFormat/>
    <w:uiPriority w:val="0"/>
    <w:pPr>
      <w:adjustRightInd w:val="0"/>
      <w:spacing w:beforeLines="0" w:afterLines="0" w:line="315" w:lineRule="atLeast"/>
      <w:ind w:left="2520"/>
      <w:jc w:val="left"/>
      <w:textAlignment w:val="baseline"/>
    </w:pPr>
    <w:rPr>
      <w:rFonts w:hint="eastAsia" w:ascii="宋体"/>
      <w:kern w:val="0"/>
      <w:sz w:val="21"/>
    </w:rPr>
  </w:style>
  <w:style w:type="paragraph" w:styleId="30">
    <w:name w:val="toc 2"/>
    <w:basedOn w:val="1"/>
    <w:next w:val="1"/>
    <w:qFormat/>
    <w:uiPriority w:val="0"/>
    <w:pPr>
      <w:ind w:left="420" w:leftChars="200"/>
    </w:pPr>
  </w:style>
  <w:style w:type="paragraph" w:styleId="31">
    <w:name w:val="toc 9"/>
    <w:basedOn w:val="1"/>
    <w:next w:val="1"/>
    <w:qFormat/>
    <w:uiPriority w:val="0"/>
    <w:pPr>
      <w:ind w:left="3360" w:leftChars="1600"/>
    </w:pPr>
  </w:style>
  <w:style w:type="paragraph" w:styleId="32">
    <w:name w:val="Body Text 2"/>
    <w:basedOn w:val="1"/>
    <w:qFormat/>
    <w:uiPriority w:val="0"/>
    <w:pPr>
      <w:spacing w:after="120" w:line="480" w:lineRule="auto"/>
    </w:pPr>
    <w:rPr>
      <w:rFonts w:ascii="Times New Roman" w:hAnsi="Times New Roman" w:eastAsia="宋体" w:cs="Times New Roman"/>
    </w:rPr>
  </w:style>
  <w:style w:type="paragraph" w:styleId="33">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34">
    <w:name w:val="index 1"/>
    <w:basedOn w:val="1"/>
    <w:next w:val="1"/>
    <w:qFormat/>
    <w:uiPriority w:val="0"/>
    <w:rPr>
      <w:szCs w:val="20"/>
    </w:rPr>
  </w:style>
  <w:style w:type="paragraph" w:styleId="35">
    <w:name w:val="annotation subject"/>
    <w:basedOn w:val="10"/>
    <w:next w:val="10"/>
    <w:link w:val="74"/>
    <w:qFormat/>
    <w:uiPriority w:val="0"/>
    <w:rPr>
      <w:b/>
      <w:bCs/>
    </w:rPr>
  </w:style>
  <w:style w:type="paragraph" w:styleId="36">
    <w:name w:val="Body Text First Indent"/>
    <w:basedOn w:val="11"/>
    <w:unhideWhenUsed/>
    <w:qFormat/>
    <w:uiPriority w:val="99"/>
    <w:pPr>
      <w:ind w:firstLine="420" w:firstLineChars="100"/>
    </w:pPr>
  </w:style>
  <w:style w:type="table" w:styleId="38">
    <w:name w:val="Table Grid"/>
    <w:basedOn w:val="3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Medium Grid 3 Accent 1"/>
    <w:basedOn w:val="37"/>
    <w:qFormat/>
    <w:uiPriority w:val="0"/>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40">
    <w:name w:val="Medium Grid 3 Accent 2"/>
    <w:basedOn w:val="37"/>
    <w:qFormat/>
    <w:uiPriority w:val="0"/>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41">
    <w:name w:val="Medium Grid 3 Accent 3"/>
    <w:basedOn w:val="37"/>
    <w:qFormat/>
    <w:uiPriority w:val="0"/>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42">
    <w:name w:val="Medium Grid 3 Accent 4"/>
    <w:basedOn w:val="37"/>
    <w:qFormat/>
    <w:uiPriority w:val="0"/>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43">
    <w:name w:val="Medium Grid 3 Accent 5"/>
    <w:basedOn w:val="37"/>
    <w:qFormat/>
    <w:uiPriority w:val="0"/>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44">
    <w:name w:val="Medium Grid 3 Accent 6"/>
    <w:basedOn w:val="37"/>
    <w:qFormat/>
    <w:uiPriority w:val="0"/>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46">
    <w:name w:val="Strong"/>
    <w:basedOn w:val="45"/>
    <w:qFormat/>
    <w:uiPriority w:val="0"/>
    <w:rPr>
      <w:b/>
      <w:bCs/>
      <w:szCs w:val="21"/>
    </w:rPr>
  </w:style>
  <w:style w:type="character" w:styleId="47">
    <w:name w:val="page number"/>
    <w:basedOn w:val="45"/>
    <w:qFormat/>
    <w:uiPriority w:val="0"/>
    <w:rPr>
      <w:rFonts w:ascii="Times New Roman" w:hAnsi="Times New Roman" w:eastAsia="宋体" w:cs="Times New Roman"/>
    </w:rPr>
  </w:style>
  <w:style w:type="character" w:styleId="48">
    <w:name w:val="Hyperlink"/>
    <w:qFormat/>
    <w:uiPriority w:val="0"/>
    <w:rPr>
      <w:rFonts w:ascii="Times New Roman" w:hAnsi="Times New Roman" w:eastAsia="宋体" w:cs="Times New Roman"/>
      <w:color w:val="0000FF"/>
      <w:u w:val="single"/>
    </w:rPr>
  </w:style>
  <w:style w:type="character" w:styleId="49">
    <w:name w:val="annotation reference"/>
    <w:qFormat/>
    <w:uiPriority w:val="0"/>
    <w:rPr>
      <w:rFonts w:ascii="Times New Roman" w:hAnsi="Times New Roman" w:eastAsia="宋体" w:cs="Times New Roman"/>
      <w:sz w:val="21"/>
      <w:szCs w:val="21"/>
    </w:rPr>
  </w:style>
  <w:style w:type="paragraph" w:customStyle="1" w:styleId="50">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51">
    <w:name w:val="Default"/>
    <w:next w:val="29"/>
    <w:qFormat/>
    <w:uiPriority w:val="0"/>
    <w:pPr>
      <w:widowControl w:val="0"/>
      <w:autoSpaceDE w:val="0"/>
      <w:autoSpaceDN w:val="0"/>
    </w:pPr>
    <w:rPr>
      <w:rFonts w:ascii="宋体" w:hAnsi="Times New Roman" w:eastAsia="宋体" w:cs="宋体"/>
      <w:color w:val="000000"/>
      <w:kern w:val="0"/>
      <w:sz w:val="24"/>
      <w:szCs w:val="24"/>
      <w:lang w:val="en-US" w:eastAsia="zh-CN" w:bidi="ar-SA"/>
    </w:rPr>
  </w:style>
  <w:style w:type="paragraph" w:customStyle="1" w:styleId="52">
    <w:name w:val="目录 41"/>
    <w:next w:val="1"/>
    <w:qFormat/>
    <w:uiPriority w:val="0"/>
    <w:pPr>
      <w:wordWrap w:val="0"/>
      <w:ind w:left="1275"/>
      <w:jc w:val="both"/>
    </w:pPr>
    <w:rPr>
      <w:rFonts w:ascii="Times New Roman" w:hAnsi="Times New Roman" w:eastAsia="宋体" w:cs="Times New Roman"/>
      <w:kern w:val="0"/>
      <w:sz w:val="21"/>
      <w:szCs w:val="20"/>
      <w:lang w:val="en-US" w:eastAsia="zh-CN" w:bidi="ar-SA"/>
    </w:rPr>
  </w:style>
  <w:style w:type="paragraph" w:customStyle="1" w:styleId="53">
    <w:name w:val="UserStyle_0"/>
    <w:basedOn w:val="1"/>
    <w:next w:val="54"/>
    <w:qFormat/>
    <w:uiPriority w:val="0"/>
    <w:pPr>
      <w:spacing w:line="560" w:lineRule="exact"/>
      <w:ind w:firstLine="200" w:firstLineChars="200"/>
      <w:jc w:val="left"/>
      <w:textAlignment w:val="baseline"/>
    </w:pPr>
    <w:rPr>
      <w:rFonts w:ascii="仿宋_GB2312" w:hAnsi="仿宋_GB2312" w:eastAsia="仿宋_GB2312"/>
      <w:color w:val="000000"/>
      <w:kern w:val="0"/>
      <w:sz w:val="22"/>
      <w:szCs w:val="22"/>
      <w:lang w:val="zh-CN" w:eastAsia="zh-CN" w:bidi="zh-CN"/>
    </w:rPr>
  </w:style>
  <w:style w:type="paragraph" w:customStyle="1" w:styleId="54">
    <w:name w:val="HtmlNormal"/>
    <w:basedOn w:val="1"/>
    <w:qFormat/>
    <w:uiPriority w:val="0"/>
    <w:pPr>
      <w:widowControl/>
      <w:spacing w:before="100" w:beforeAutospacing="1" w:after="100" w:afterAutospacing="1" w:line="560" w:lineRule="exact"/>
      <w:ind w:firstLine="1687" w:firstLineChars="200"/>
      <w:jc w:val="left"/>
      <w:textAlignment w:val="baseline"/>
    </w:pPr>
    <w:rPr>
      <w:rFonts w:ascii="宋体" w:hAnsi="宋体" w:eastAsia="仿宋_GB2312"/>
      <w:kern w:val="0"/>
      <w:sz w:val="24"/>
      <w:szCs w:val="24"/>
      <w:lang w:val="en-US" w:eastAsia="zh-CN" w:bidi="ar-SA"/>
    </w:rPr>
  </w:style>
  <w:style w:type="paragraph" w:customStyle="1" w:styleId="55">
    <w:name w:val="标题 5（有编号）（绿盟科技）"/>
    <w:basedOn w:val="1"/>
    <w:next w:val="56"/>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5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57">
    <w:name w:val="标题 3 Char"/>
    <w:basedOn w:val="45"/>
    <w:link w:val="4"/>
    <w:qFormat/>
    <w:uiPriority w:val="0"/>
    <w:rPr>
      <w:rFonts w:ascii="宋体" w:hAnsi="Times New Roman" w:eastAsia="宋体" w:cs="Times New Roman"/>
      <w:b/>
      <w:kern w:val="0"/>
      <w:sz w:val="24"/>
      <w:szCs w:val="20"/>
      <w:u w:val="single"/>
    </w:rPr>
  </w:style>
  <w:style w:type="character" w:customStyle="1" w:styleId="58">
    <w:name w:val="标题 1 Char"/>
    <w:basedOn w:val="45"/>
    <w:link w:val="2"/>
    <w:qFormat/>
    <w:uiPriority w:val="0"/>
    <w:rPr>
      <w:rFonts w:ascii="宋体" w:hAnsi="Times New Roman" w:eastAsia="宋体" w:cs="Times New Roman"/>
      <w:b/>
      <w:kern w:val="44"/>
      <w:sz w:val="32"/>
      <w:szCs w:val="20"/>
    </w:rPr>
  </w:style>
  <w:style w:type="character" w:customStyle="1" w:styleId="59">
    <w:name w:val="标题 2 Char"/>
    <w:basedOn w:val="45"/>
    <w:link w:val="3"/>
    <w:qFormat/>
    <w:uiPriority w:val="0"/>
    <w:rPr>
      <w:rFonts w:ascii="Arial" w:hAnsi="Arial" w:eastAsia="黑体" w:cs="Times New Roman"/>
      <w:b/>
      <w:kern w:val="0"/>
      <w:sz w:val="30"/>
      <w:szCs w:val="20"/>
    </w:rPr>
  </w:style>
  <w:style w:type="character" w:customStyle="1" w:styleId="60">
    <w:name w:val="font01"/>
    <w:basedOn w:val="45"/>
    <w:qFormat/>
    <w:uiPriority w:val="0"/>
    <w:rPr>
      <w:rFonts w:hint="eastAsia" w:ascii="宋体" w:hAnsi="宋体" w:eastAsia="宋体" w:cs="宋体"/>
      <w:color w:val="000000"/>
      <w:sz w:val="24"/>
      <w:szCs w:val="24"/>
      <w:u w:val="none"/>
    </w:rPr>
  </w:style>
  <w:style w:type="character" w:customStyle="1" w:styleId="61">
    <w:name w:val="批注文字 Char1"/>
    <w:qFormat/>
    <w:uiPriority w:val="0"/>
    <w:rPr>
      <w:rFonts w:ascii="Times New Roman" w:hAnsi="Times New Roman" w:eastAsia="宋体" w:cs="Times New Roman"/>
      <w:kern w:val="2"/>
      <w:sz w:val="21"/>
      <w:szCs w:val="24"/>
    </w:rPr>
  </w:style>
  <w:style w:type="character" w:customStyle="1" w:styleId="62">
    <w:name w:val="日期 Char"/>
    <w:link w:val="18"/>
    <w:qFormat/>
    <w:uiPriority w:val="0"/>
    <w:rPr>
      <w:rFonts w:ascii="仿宋_GB2312" w:hAnsi="宋体" w:eastAsia="仿宋_GB2312" w:cs="Times New Roman"/>
      <w:color w:val="000000"/>
      <w:sz w:val="24"/>
      <w:szCs w:val="24"/>
    </w:rPr>
  </w:style>
  <w:style w:type="character" w:customStyle="1" w:styleId="63">
    <w:name w:val="font31"/>
    <w:basedOn w:val="45"/>
    <w:qFormat/>
    <w:uiPriority w:val="0"/>
    <w:rPr>
      <w:rFonts w:hint="default" w:ascii="Times New Roman" w:hAnsi="Times New Roman" w:cs="Times New Roman"/>
      <w:color w:val="000000"/>
      <w:sz w:val="20"/>
      <w:szCs w:val="20"/>
      <w:u w:val="none"/>
    </w:rPr>
  </w:style>
  <w:style w:type="character" w:customStyle="1" w:styleId="64">
    <w:name w:val="批注框文本 Char"/>
    <w:link w:val="20"/>
    <w:qFormat/>
    <w:uiPriority w:val="0"/>
    <w:rPr>
      <w:rFonts w:ascii="Times New Roman" w:hAnsi="Times New Roman" w:eastAsia="宋体" w:cs="Times New Roman"/>
      <w:sz w:val="18"/>
      <w:szCs w:val="18"/>
    </w:rPr>
  </w:style>
  <w:style w:type="character" w:customStyle="1" w:styleId="65">
    <w:name w:val="页脚 Char"/>
    <w:link w:val="21"/>
    <w:qFormat/>
    <w:uiPriority w:val="0"/>
    <w:rPr>
      <w:rFonts w:ascii="宋体" w:hAnsi="Times New Roman" w:eastAsia="宋体" w:cs="Times New Roman"/>
      <w:sz w:val="18"/>
    </w:rPr>
  </w:style>
  <w:style w:type="character" w:customStyle="1" w:styleId="66">
    <w:name w:val="正文文本 Char"/>
    <w:link w:val="11"/>
    <w:qFormat/>
    <w:uiPriority w:val="0"/>
    <w:rPr>
      <w:rFonts w:ascii="宋体" w:hAnsi="宋体" w:eastAsia="宋体" w:cs="Times New Roman"/>
      <w:sz w:val="24"/>
      <w:szCs w:val="24"/>
    </w:rPr>
  </w:style>
  <w:style w:type="character" w:customStyle="1" w:styleId="67">
    <w:name w:val="正文缩进 Char1"/>
    <w:link w:val="68"/>
    <w:qFormat/>
    <w:uiPriority w:val="0"/>
    <w:rPr>
      <w:rFonts w:ascii="宋体" w:hAnsi="Times New Roman" w:eastAsia="宋体" w:cs="Times New Roman"/>
      <w:sz w:val="24"/>
    </w:rPr>
  </w:style>
  <w:style w:type="paragraph" w:customStyle="1" w:styleId="68">
    <w:name w:val="正文缩进1"/>
    <w:basedOn w:val="1"/>
    <w:link w:val="67"/>
    <w:qFormat/>
    <w:uiPriority w:val="0"/>
    <w:pPr>
      <w:autoSpaceDE w:val="0"/>
      <w:autoSpaceDN w:val="0"/>
      <w:adjustRightInd w:val="0"/>
      <w:ind w:firstLine="420"/>
      <w:jc w:val="left"/>
    </w:pPr>
    <w:rPr>
      <w:rFonts w:ascii="宋体"/>
      <w:sz w:val="24"/>
      <w:szCs w:val="22"/>
    </w:rPr>
  </w:style>
  <w:style w:type="character" w:customStyle="1" w:styleId="69">
    <w:name w:val="批注文字 Char"/>
    <w:qFormat/>
    <w:uiPriority w:val="0"/>
    <w:rPr>
      <w:rFonts w:ascii="Times New Roman" w:hAnsi="Times New Roman" w:eastAsia="宋体" w:cs="Times New Roman"/>
      <w:kern w:val="2"/>
      <w:sz w:val="21"/>
      <w:szCs w:val="24"/>
    </w:rPr>
  </w:style>
  <w:style w:type="character" w:customStyle="1" w:styleId="70">
    <w:name w:val="font41"/>
    <w:qFormat/>
    <w:uiPriority w:val="0"/>
    <w:rPr>
      <w:rFonts w:hint="eastAsia" w:ascii="宋体" w:hAnsi="宋体" w:eastAsia="宋体"/>
      <w:color w:val="000000"/>
      <w:sz w:val="20"/>
      <w:szCs w:val="20"/>
      <w:u w:val="none"/>
    </w:rPr>
  </w:style>
  <w:style w:type="character" w:customStyle="1" w:styleId="71">
    <w:name w:val="批注框文本 Char1"/>
    <w:qFormat/>
    <w:uiPriority w:val="0"/>
    <w:rPr>
      <w:rFonts w:ascii="Times New Roman" w:hAnsi="Times New Roman" w:eastAsia="宋体" w:cs="Times New Roman"/>
      <w:kern w:val="2"/>
      <w:sz w:val="18"/>
      <w:szCs w:val="18"/>
    </w:rPr>
  </w:style>
  <w:style w:type="character" w:customStyle="1" w:styleId="72">
    <w:name w:val="页眉 Char"/>
    <w:link w:val="22"/>
    <w:qFormat/>
    <w:uiPriority w:val="0"/>
    <w:rPr>
      <w:rFonts w:ascii="Times New Roman" w:hAnsi="Times New Roman" w:eastAsia="宋体" w:cs="Times New Roman"/>
      <w:sz w:val="18"/>
      <w:szCs w:val="18"/>
    </w:rPr>
  </w:style>
  <w:style w:type="character" w:customStyle="1" w:styleId="73">
    <w:name w:val="页眉 Char1"/>
    <w:qFormat/>
    <w:uiPriority w:val="0"/>
    <w:rPr>
      <w:rFonts w:ascii="Times New Roman" w:hAnsi="Times New Roman" w:eastAsia="宋体" w:cs="Times New Roman"/>
      <w:kern w:val="2"/>
      <w:sz w:val="18"/>
      <w:szCs w:val="18"/>
    </w:rPr>
  </w:style>
  <w:style w:type="character" w:customStyle="1" w:styleId="74">
    <w:name w:val="批注主题 Char"/>
    <w:link w:val="35"/>
    <w:qFormat/>
    <w:uiPriority w:val="0"/>
    <w:rPr>
      <w:rFonts w:ascii="Times New Roman" w:hAnsi="Times New Roman" w:eastAsia="宋体" w:cs="Times New Roman"/>
      <w:b/>
      <w:bCs/>
      <w:szCs w:val="24"/>
    </w:rPr>
  </w:style>
  <w:style w:type="character" w:customStyle="1" w:styleId="75">
    <w:name w:val="纯文本 Char1"/>
    <w:link w:val="76"/>
    <w:qFormat/>
    <w:uiPriority w:val="99"/>
    <w:rPr>
      <w:rFonts w:ascii="宋体" w:hAnsi="Courier New" w:eastAsia="宋体" w:cs="Times New Roman"/>
    </w:rPr>
  </w:style>
  <w:style w:type="paragraph" w:customStyle="1" w:styleId="76">
    <w:name w:val="纯文本1"/>
    <w:basedOn w:val="1"/>
    <w:link w:val="75"/>
    <w:qFormat/>
    <w:uiPriority w:val="99"/>
    <w:rPr>
      <w:rFonts w:ascii="宋体" w:hAnsi="Courier New"/>
      <w:szCs w:val="22"/>
    </w:rPr>
  </w:style>
  <w:style w:type="character" w:customStyle="1" w:styleId="77">
    <w:name w:val="批注主题 Char1"/>
    <w:qFormat/>
    <w:uiPriority w:val="0"/>
    <w:rPr>
      <w:rFonts w:ascii="Times New Roman" w:hAnsi="Times New Roman" w:eastAsia="宋体" w:cs="Times New Roman"/>
      <w:b/>
      <w:bCs/>
      <w:kern w:val="2"/>
      <w:sz w:val="21"/>
      <w:szCs w:val="24"/>
    </w:rPr>
  </w:style>
  <w:style w:type="character" w:customStyle="1" w:styleId="78">
    <w:name w:val="纯文本 Char"/>
    <w:link w:val="16"/>
    <w:qFormat/>
    <w:uiPriority w:val="0"/>
    <w:rPr>
      <w:rFonts w:ascii="宋体" w:hAnsi="Courier New" w:eastAsia="宋体" w:cs="Times New Roman"/>
    </w:rPr>
  </w:style>
  <w:style w:type="character" w:customStyle="1" w:styleId="79">
    <w:name w:val="批注文字 Char2"/>
    <w:basedOn w:val="45"/>
    <w:link w:val="10"/>
    <w:semiHidden/>
    <w:qFormat/>
    <w:uiPriority w:val="99"/>
    <w:rPr>
      <w:rFonts w:ascii="Times New Roman" w:hAnsi="Times New Roman" w:eastAsia="宋体" w:cs="Times New Roman"/>
      <w:szCs w:val="24"/>
    </w:rPr>
  </w:style>
  <w:style w:type="character" w:customStyle="1" w:styleId="80">
    <w:name w:val="批注主题 Char2"/>
    <w:basedOn w:val="79"/>
    <w:semiHidden/>
    <w:qFormat/>
    <w:uiPriority w:val="99"/>
    <w:rPr>
      <w:rFonts w:ascii="Times New Roman" w:hAnsi="Times New Roman" w:eastAsia="宋体" w:cs="Times New Roman"/>
      <w:b/>
      <w:bCs/>
      <w:szCs w:val="24"/>
    </w:rPr>
  </w:style>
  <w:style w:type="character" w:customStyle="1" w:styleId="81">
    <w:name w:val="纯文本 Char2"/>
    <w:basedOn w:val="45"/>
    <w:semiHidden/>
    <w:qFormat/>
    <w:uiPriority w:val="99"/>
    <w:rPr>
      <w:rFonts w:ascii="宋体" w:hAnsi="Courier New" w:eastAsia="宋体" w:cs="Courier New"/>
      <w:szCs w:val="21"/>
    </w:rPr>
  </w:style>
  <w:style w:type="character" w:customStyle="1" w:styleId="82">
    <w:name w:val="脚注文本 Char"/>
    <w:basedOn w:val="45"/>
    <w:link w:val="27"/>
    <w:qFormat/>
    <w:uiPriority w:val="0"/>
    <w:rPr>
      <w:rFonts w:ascii="Times New Roman" w:hAnsi="Times New Roman" w:eastAsia="宋体" w:cs="Times New Roman"/>
      <w:sz w:val="18"/>
      <w:szCs w:val="24"/>
    </w:rPr>
  </w:style>
  <w:style w:type="character" w:customStyle="1" w:styleId="83">
    <w:name w:val="正文文本 Char1"/>
    <w:basedOn w:val="45"/>
    <w:semiHidden/>
    <w:qFormat/>
    <w:uiPriority w:val="99"/>
    <w:rPr>
      <w:rFonts w:ascii="Times New Roman" w:hAnsi="Times New Roman" w:eastAsia="宋体" w:cs="Times New Roman"/>
      <w:szCs w:val="24"/>
    </w:rPr>
  </w:style>
  <w:style w:type="character" w:customStyle="1" w:styleId="84">
    <w:name w:val="正文文本缩进 Char"/>
    <w:basedOn w:val="45"/>
    <w:link w:val="12"/>
    <w:qFormat/>
    <w:uiPriority w:val="0"/>
    <w:rPr>
      <w:rFonts w:ascii="Times New Roman" w:hAnsi="Times New Roman" w:eastAsia="宋体" w:cs="Times New Roman"/>
      <w:sz w:val="24"/>
      <w:szCs w:val="24"/>
    </w:rPr>
  </w:style>
  <w:style w:type="character" w:customStyle="1" w:styleId="85">
    <w:name w:val="正文文本缩进 2 Char"/>
    <w:basedOn w:val="45"/>
    <w:link w:val="19"/>
    <w:qFormat/>
    <w:uiPriority w:val="0"/>
    <w:rPr>
      <w:rFonts w:ascii="仿宋_GB2312" w:hAnsi="Times New Roman" w:eastAsia="仿宋_GB2312" w:cs="Times New Roman"/>
      <w:sz w:val="24"/>
      <w:szCs w:val="24"/>
    </w:rPr>
  </w:style>
  <w:style w:type="character" w:customStyle="1" w:styleId="86">
    <w:name w:val="正文文本缩进 3 Char"/>
    <w:basedOn w:val="45"/>
    <w:link w:val="28"/>
    <w:qFormat/>
    <w:uiPriority w:val="0"/>
    <w:rPr>
      <w:rFonts w:ascii="宋体" w:hAnsi="Times New Roman" w:eastAsia="宋体" w:cs="Times New Roman"/>
      <w:kern w:val="0"/>
      <w:sz w:val="24"/>
      <w:szCs w:val="20"/>
    </w:rPr>
  </w:style>
  <w:style w:type="character" w:customStyle="1" w:styleId="87">
    <w:name w:val="日期 Char1"/>
    <w:basedOn w:val="45"/>
    <w:semiHidden/>
    <w:qFormat/>
    <w:uiPriority w:val="99"/>
    <w:rPr>
      <w:rFonts w:ascii="Times New Roman" w:hAnsi="Times New Roman" w:eastAsia="宋体" w:cs="Times New Roman"/>
      <w:szCs w:val="24"/>
    </w:rPr>
  </w:style>
  <w:style w:type="character" w:customStyle="1" w:styleId="88">
    <w:name w:val="批注框文本 Char2"/>
    <w:basedOn w:val="45"/>
    <w:semiHidden/>
    <w:qFormat/>
    <w:uiPriority w:val="99"/>
    <w:rPr>
      <w:rFonts w:ascii="Times New Roman" w:hAnsi="Times New Roman" w:eastAsia="宋体" w:cs="Times New Roman"/>
      <w:sz w:val="18"/>
      <w:szCs w:val="18"/>
    </w:rPr>
  </w:style>
  <w:style w:type="character" w:customStyle="1" w:styleId="89">
    <w:name w:val="页脚 Char1"/>
    <w:basedOn w:val="45"/>
    <w:semiHidden/>
    <w:qFormat/>
    <w:uiPriority w:val="99"/>
    <w:rPr>
      <w:rFonts w:ascii="Times New Roman" w:hAnsi="Times New Roman" w:eastAsia="宋体" w:cs="Times New Roman"/>
      <w:sz w:val="18"/>
      <w:szCs w:val="18"/>
    </w:rPr>
  </w:style>
  <w:style w:type="character" w:customStyle="1" w:styleId="90">
    <w:name w:val="页眉 Char2"/>
    <w:basedOn w:val="45"/>
    <w:semiHidden/>
    <w:qFormat/>
    <w:uiPriority w:val="99"/>
    <w:rPr>
      <w:rFonts w:ascii="Times New Roman" w:hAnsi="Times New Roman" w:eastAsia="宋体" w:cs="Times New Roman"/>
      <w:sz w:val="18"/>
      <w:szCs w:val="18"/>
    </w:rPr>
  </w:style>
  <w:style w:type="paragraph" w:styleId="9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自定义正文"/>
    <w:basedOn w:val="1"/>
    <w:qFormat/>
    <w:uiPriority w:val="0"/>
    <w:pPr>
      <w:spacing w:after="156" w:afterLines="50"/>
      <w:ind w:firstLine="200" w:firstLineChars="200"/>
    </w:pPr>
    <w:rPr>
      <w:rFonts w:ascii="Calibri" w:hAnsi="Calibri"/>
    </w:rPr>
  </w:style>
  <w:style w:type="character" w:customStyle="1" w:styleId="93">
    <w:name w:val="正文首行缩进 2 Char"/>
    <w:basedOn w:val="84"/>
    <w:link w:val="13"/>
    <w:qFormat/>
    <w:uiPriority w:val="0"/>
    <w:rPr>
      <w:rFonts w:ascii="Times New Roman" w:hAnsi="Times New Roman" w:eastAsia="宋体" w:cs="Times New Roman"/>
      <w:sz w:val="24"/>
      <w:szCs w:val="24"/>
    </w:rPr>
  </w:style>
  <w:style w:type="paragraph" w:customStyle="1" w:styleId="94">
    <w:name w:val="WPSOffice手动目录 2"/>
    <w:qFormat/>
    <w:uiPriority w:val="0"/>
    <w:pPr>
      <w:ind w:leftChars="200"/>
    </w:pPr>
    <w:rPr>
      <w:rFonts w:ascii="Times New Roman" w:hAnsi="Times New Roman" w:eastAsia="宋体" w:cs="Times New Roman"/>
      <w:kern w:val="0"/>
      <w:sz w:val="20"/>
      <w:szCs w:val="20"/>
      <w:lang w:val="en-US" w:eastAsia="zh-CN" w:bidi="ar-SA"/>
    </w:rPr>
  </w:style>
  <w:style w:type="paragraph" w:customStyle="1" w:styleId="95">
    <w:name w:val="图例"/>
    <w:basedOn w:val="1"/>
    <w:qFormat/>
    <w:uiPriority w:val="0"/>
    <w:pPr>
      <w:spacing w:before="120" w:after="120"/>
      <w:jc w:val="center"/>
    </w:pPr>
    <w:rPr>
      <w:rFonts w:eastAsia="仿宋_GB2312"/>
      <w:b/>
      <w:szCs w:val="20"/>
    </w:rPr>
  </w:style>
  <w:style w:type="paragraph" w:customStyle="1" w:styleId="96">
    <w:name w:val="_Style 3"/>
    <w:basedOn w:val="1"/>
    <w:qFormat/>
    <w:uiPriority w:val="0"/>
    <w:pPr>
      <w:ind w:firstLine="420" w:firstLineChars="200"/>
    </w:pPr>
    <w:rPr>
      <w:rFonts w:ascii="Calibri" w:hAnsi="Calibri"/>
      <w:szCs w:val="22"/>
    </w:rPr>
  </w:style>
  <w:style w:type="paragraph" w:customStyle="1" w:styleId="97">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98">
    <w:name w:val="索引 11"/>
    <w:basedOn w:val="1"/>
    <w:next w:val="1"/>
    <w:qFormat/>
    <w:uiPriority w:val="0"/>
    <w:pPr>
      <w:spacing w:line="360" w:lineRule="auto"/>
    </w:pPr>
    <w:rPr>
      <w:rFonts w:ascii="仿宋_GB2312" w:eastAsia="仿宋_GB2312"/>
      <w:sz w:val="24"/>
      <w:szCs w:val="20"/>
    </w:rPr>
  </w:style>
  <w:style w:type="paragraph" w:customStyle="1" w:styleId="99">
    <w:name w:val=" Char Char Char Char"/>
    <w:basedOn w:val="1"/>
    <w:qFormat/>
    <w:uiPriority w:val="0"/>
    <w:pPr>
      <w:tabs>
        <w:tab w:val="left" w:pos="360"/>
      </w:tabs>
      <w:ind w:firstLine="420" w:firstLineChars="150"/>
    </w:pPr>
  </w:style>
  <w:style w:type="paragraph" w:styleId="100">
    <w:name w:val="List Paragraph"/>
    <w:basedOn w:val="1"/>
    <w:qFormat/>
    <w:uiPriority w:val="0"/>
    <w:pPr>
      <w:widowControl/>
      <w:ind w:firstLine="420" w:firstLineChars="200"/>
      <w:jc w:val="left"/>
    </w:pPr>
    <w:rPr>
      <w:kern w:val="0"/>
      <w:sz w:val="24"/>
    </w:rPr>
  </w:style>
  <w:style w:type="paragraph" w:customStyle="1" w:styleId="101">
    <w:name w:val="Char"/>
    <w:basedOn w:val="1"/>
    <w:qFormat/>
    <w:uiPriority w:val="0"/>
    <w:pPr>
      <w:tabs>
        <w:tab w:val="left" w:pos="360"/>
      </w:tabs>
    </w:pPr>
    <w:rPr>
      <w:sz w:val="24"/>
    </w:rPr>
  </w:style>
  <w:style w:type="paragraph" w:customStyle="1" w:styleId="102">
    <w:name w:val="列出段落1"/>
    <w:basedOn w:val="1"/>
    <w:qFormat/>
    <w:uiPriority w:val="0"/>
    <w:pPr>
      <w:ind w:firstLine="420" w:firstLineChars="200"/>
    </w:pPr>
    <w:rPr>
      <w:rFonts w:ascii="Calibri" w:hAnsi="Calibri"/>
      <w:szCs w:val="22"/>
    </w:rPr>
  </w:style>
  <w:style w:type="table" w:customStyle="1" w:styleId="103">
    <w:name w:val="中等深浅网格 31"/>
    <w:basedOn w:val="37"/>
    <w:qFormat/>
    <w:uiPriority w:val="0"/>
    <w:rPr>
      <w:rFonts w:ascii="Times New Roman" w:hAnsi="Times New Roman" w:eastAsia="宋体" w:cs="Times New Roman"/>
      <w:kern w:val="0"/>
      <w:sz w:val="20"/>
      <w:szCs w:val="20"/>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FFFFF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rPr>
        <w:b/>
        <w:bCs/>
        <w:i w:val="0"/>
        <w:iCs w:val="0"/>
        <w:color w:val="FFFFFF"/>
      </w:rPr>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rPr>
        <w:b/>
        <w:bCs/>
        <w:i w:val="0"/>
        <w:iCs w:val="0"/>
        <w:color w:val="FFFFFF"/>
      </w:rPr>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104">
    <w:name w:val="段"/>
    <w:next w:val="1"/>
    <w:qFormat/>
    <w:uiPriority w:val="0"/>
    <w:pPr>
      <w:autoSpaceDE w:val="0"/>
      <w:autoSpaceDN w:val="0"/>
      <w:ind w:firstLine="200"/>
      <w:jc w:val="both"/>
    </w:pPr>
    <w:rPr>
      <w:rFonts w:ascii="宋体" w:hAnsi="Times New Roman" w:eastAsia="宋体" w:cs="Times New Roman"/>
      <w:kern w:val="0"/>
      <w:sz w:val="21"/>
      <w:szCs w:val="20"/>
      <w:lang w:val="en-US" w:eastAsia="zh-CN" w:bidi="ar-SA"/>
    </w:rPr>
  </w:style>
  <w:style w:type="paragraph" w:customStyle="1" w:styleId="10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106">
    <w:name w:val="表格内容"/>
    <w:basedOn w:val="1"/>
    <w:next w:val="1"/>
    <w:qFormat/>
    <w:uiPriority w:val="0"/>
    <w:pPr>
      <w:spacing w:line="240" w:lineRule="auto"/>
    </w:pPr>
    <w:rPr>
      <w:rFonts w:ascii="Times New Roman" w:hAnsi="Times New Roman" w:eastAsia="仿宋" w:cs="Times New Roman"/>
      <w:kern w:val="0"/>
      <w:sz w:val="21"/>
      <w:szCs w:val="20"/>
    </w:rPr>
  </w:style>
  <w:style w:type="character" w:customStyle="1" w:styleId="107">
    <w:name w:val="font11"/>
    <w:basedOn w:val="45"/>
    <w:qFormat/>
    <w:uiPriority w:val="0"/>
    <w:rPr>
      <w:rFonts w:hint="eastAsia" w:ascii="仿宋" w:hAnsi="仿宋" w:eastAsia="仿宋" w:cs="仿宋"/>
      <w:color w:val="000000"/>
      <w:sz w:val="21"/>
      <w:szCs w:val="21"/>
      <w:u w:val="none"/>
    </w:rPr>
  </w:style>
  <w:style w:type="character" w:customStyle="1" w:styleId="108">
    <w:name w:val="font21"/>
    <w:basedOn w:val="45"/>
    <w:qFormat/>
    <w:uiPriority w:val="0"/>
    <w:rPr>
      <w:rFonts w:hint="default" w:ascii="Wingdings 2" w:hAnsi="Wingdings 2" w:eastAsia="Wingdings 2" w:cs="Wingdings 2"/>
      <w:color w:val="000000"/>
      <w:sz w:val="21"/>
      <w:szCs w:val="21"/>
      <w:u w:val="none"/>
    </w:rPr>
  </w:style>
  <w:style w:type="character" w:customStyle="1" w:styleId="109">
    <w:name w:val="font81"/>
    <w:basedOn w:val="45"/>
    <w:qFormat/>
    <w:uiPriority w:val="0"/>
    <w:rPr>
      <w:rFonts w:hint="eastAsia" w:ascii="宋体" w:hAnsi="宋体" w:eastAsia="宋体" w:cs="宋体"/>
      <w:color w:val="000000"/>
      <w:sz w:val="21"/>
      <w:szCs w:val="21"/>
      <w:u w:val="none"/>
    </w:rPr>
  </w:style>
  <w:style w:type="character" w:customStyle="1" w:styleId="110">
    <w:name w:val="font91"/>
    <w:basedOn w:val="45"/>
    <w:qFormat/>
    <w:uiPriority w:val="0"/>
    <w:rPr>
      <w:rFonts w:hint="default" w:ascii="Times New Roman" w:hAnsi="Times New Roman" w:cs="Times New Roman"/>
      <w:color w:val="000000"/>
      <w:sz w:val="22"/>
      <w:szCs w:val="22"/>
      <w:u w:val="none"/>
    </w:rPr>
  </w:style>
  <w:style w:type="character" w:customStyle="1" w:styleId="111">
    <w:name w:val="font112"/>
    <w:basedOn w:val="45"/>
    <w:qFormat/>
    <w:uiPriority w:val="0"/>
    <w:rPr>
      <w:rFonts w:hint="default" w:ascii="Times New Roman" w:hAnsi="Times New Roman" w:cs="Times New Roman"/>
      <w:color w:val="000000"/>
      <w:sz w:val="24"/>
      <w:szCs w:val="24"/>
      <w:u w:val="none"/>
    </w:rPr>
  </w:style>
  <w:style w:type="character" w:customStyle="1" w:styleId="112">
    <w:name w:val="font121"/>
    <w:basedOn w:val="45"/>
    <w:qFormat/>
    <w:uiPriority w:val="0"/>
    <w:rPr>
      <w:rFonts w:hint="eastAsia" w:ascii="宋体" w:hAnsi="宋体" w:eastAsia="宋体" w:cs="宋体"/>
      <w:color w:val="000000"/>
      <w:sz w:val="24"/>
      <w:szCs w:val="24"/>
      <w:u w:val="none"/>
    </w:rPr>
  </w:style>
  <w:style w:type="paragraph" w:customStyle="1" w:styleId="113">
    <w:name w:val="Normal"/>
    <w:basedOn w:val="1"/>
    <w:qFormat/>
    <w:uiPriority w:val="0"/>
    <w:pPr>
      <w:widowControl/>
      <w:spacing w:before="0" w:beforeAutospacing="0" w:after="0" w:afterAutospacing="0"/>
      <w:ind w:left="0" w:right="0"/>
      <w:jc w:val="left"/>
    </w:pPr>
    <w:rPr>
      <w:rFonts w:hint="default" w:ascii="Times New Roman" w:hAnsi="Times New Roman" w:cs="Times New Roman"/>
      <w:kern w:val="0"/>
      <w:sz w:val="24"/>
      <w:szCs w:val="24"/>
      <w:lang w:val="en-US" w:eastAsia="zh-CN" w:bidi="ar"/>
    </w:rPr>
  </w:style>
  <w:style w:type="paragraph" w:customStyle="1" w:styleId="114">
    <w:name w:val="正文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15">
    <w:name w:val="正文 New New New New New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character" w:customStyle="1" w:styleId="116">
    <w:name w:val="font61"/>
    <w:basedOn w:val="45"/>
    <w:qFormat/>
    <w:uiPriority w:val="0"/>
    <w:rPr>
      <w:rFonts w:hint="default" w:ascii="Calibri" w:hAnsi="Calibri" w:cs="Calibri"/>
      <w:color w:val="FF0000"/>
      <w:sz w:val="20"/>
      <w:szCs w:val="20"/>
      <w:u w:val="none"/>
    </w:rPr>
  </w:style>
  <w:style w:type="character" w:customStyle="1" w:styleId="117">
    <w:name w:val="font51"/>
    <w:basedOn w:val="45"/>
    <w:qFormat/>
    <w:uiPriority w:val="0"/>
    <w:rPr>
      <w:rFonts w:hint="default" w:ascii="Calibri" w:hAnsi="Calibri" w:cs="Calibri"/>
      <w:color w:val="000000"/>
      <w:sz w:val="20"/>
      <w:szCs w:val="20"/>
      <w:u w:val="none"/>
    </w:rPr>
  </w:style>
  <w:style w:type="character" w:customStyle="1" w:styleId="118">
    <w:name w:val="font71"/>
    <w:basedOn w:val="45"/>
    <w:qFormat/>
    <w:uiPriority w:val="0"/>
    <w:rPr>
      <w:rFonts w:hint="eastAsia" w:ascii="宋体" w:hAnsi="宋体" w:eastAsia="宋体" w:cs="宋体"/>
      <w:color w:val="000000"/>
      <w:sz w:val="18"/>
      <w:szCs w:val="18"/>
      <w:u w:val="none"/>
    </w:rPr>
  </w:style>
  <w:style w:type="character" w:customStyle="1" w:styleId="119">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120">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121">
    <w:name w:val="_Style 6"/>
    <w:basedOn w:val="2"/>
    <w:next w:val="1"/>
    <w:qFormat/>
    <w:uiPriority w:val="0"/>
    <w:pPr>
      <w:outlineLvl w:val="9"/>
    </w:pPr>
  </w:style>
  <w:style w:type="paragraph" w:customStyle="1" w:styleId="122">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123">
    <w:name w:val="样式 样式 样式 样式 标题 2 + 宋体 五号 非加粗 黑色 + 段前: 6 磅 段后: 0 磅 行距: 单倍行距 + 段前:..."/>
    <w:basedOn w:val="1"/>
    <w:qFormat/>
    <w:uiPriority w:val="0"/>
    <w:pPr>
      <w:keepNext/>
      <w:keepLines/>
      <w:adjustRightInd w:val="0"/>
      <w:spacing w:before="240" w:beforeLines="0"/>
      <w:textAlignment w:val="baseline"/>
      <w:outlineLvl w:val="1"/>
    </w:pPr>
    <w:rPr>
      <w:rFonts w:ascii="宋体" w:hAnsi="宋体" w:eastAsia="宋体" w:cs="Times New Roman"/>
      <w:b/>
      <w:bCs/>
      <w:kern w:val="0"/>
      <w:szCs w:val="20"/>
    </w:rPr>
  </w:style>
  <w:style w:type="paragraph" w:customStyle="1" w:styleId="124">
    <w:name w:val="Table Paragraph"/>
    <w:basedOn w:val="1"/>
    <w:qFormat/>
    <w:uiPriority w:val="1"/>
    <w:rPr>
      <w:rFonts w:ascii="Arial Unicode MS" w:hAnsi="Arial Unicode MS" w:eastAsia="Arial Unicode MS" w:cs="Arial Unicode MS"/>
      <w:lang w:val="zh-CN" w:eastAsia="zh-CN" w:bidi="zh-CN"/>
    </w:rPr>
  </w:style>
  <w:style w:type="paragraph" w:customStyle="1" w:styleId="12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lang w:bidi="ar-SA"/>
    </w:rPr>
  </w:style>
  <w:style w:type="paragraph" w:customStyle="1" w:styleId="126">
    <w:name w:val="样式 标题 3 + (中文) 黑体 小四 非加粗 段前: 7.8 磅 段后: 0 磅 行距: 固定值 20 磅"/>
    <w:basedOn w:val="4"/>
    <w:qFormat/>
    <w:uiPriority w:val="0"/>
    <w:pPr>
      <w:spacing w:before="0" w:after="0" w:line="400" w:lineRule="exact"/>
    </w:pPr>
    <w:rPr>
      <w:rFonts w:eastAsia="黑体" w:cs="宋体"/>
      <w:b w:val="0"/>
      <w:sz w:val="24"/>
      <w:szCs w:val="20"/>
      <w:lang w:bidi="ar-SA"/>
    </w:rPr>
  </w:style>
  <w:style w:type="paragraph" w:customStyle="1" w:styleId="127">
    <w:name w:val="TOC 标题2"/>
    <w:basedOn w:val="2"/>
    <w:next w:val="1"/>
    <w:qFormat/>
    <w:uiPriority w:val="0"/>
    <w:pPr>
      <w:keepNext/>
      <w:keepLines/>
      <w:widowControl w:val="0"/>
      <w:adjustRightInd/>
      <w:snapToGrid/>
      <w:spacing w:before="260" w:after="260" w:line="413" w:lineRule="auto"/>
    </w:pPr>
    <w:rPr>
      <w:rFonts w:ascii="宋体" w:hAnsi="宋体" w:eastAsia="宋体" w:cs="Times New Roman"/>
      <w:bCs/>
      <w:sz w:val="36"/>
      <w:szCs w:val="44"/>
      <w:lang w:val="zh-CN"/>
    </w:rPr>
  </w:style>
  <w:style w:type="paragraph" w:customStyle="1" w:styleId="128">
    <w:name w:val="协议书标题2"/>
    <w:basedOn w:val="3"/>
    <w:next w:val="1"/>
    <w:qFormat/>
    <w:uiPriority w:val="0"/>
    <w:pPr>
      <w:keepNext w:val="0"/>
      <w:keepLines w:val="0"/>
      <w:numPr>
        <w:ilvl w:val="0"/>
        <w:numId w:val="3"/>
      </w:numPr>
      <w:tabs>
        <w:tab w:val="left" w:pos="567"/>
      </w:tabs>
      <w:spacing w:line="360" w:lineRule="auto"/>
      <w:ind w:firstLine="0" w:firstLineChars="0"/>
      <w:jc w:val="left"/>
    </w:pPr>
    <w:rPr>
      <w:rFonts w:ascii="宋体" w:hAnsi="宋体" w:eastAsia="宋体"/>
      <w:sz w:val="24"/>
    </w:rPr>
  </w:style>
  <w:style w:type="paragraph" w:customStyle="1" w:styleId="129">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30">
    <w:name w:val="通用标题2"/>
    <w:basedOn w:val="3"/>
    <w:next w:val="1"/>
    <w:qFormat/>
    <w:uiPriority w:val="0"/>
    <w:pPr>
      <w:keepNext w:val="0"/>
      <w:keepLines w:val="0"/>
      <w:numPr>
        <w:ilvl w:val="0"/>
        <w:numId w:val="4"/>
      </w:numPr>
      <w:tabs>
        <w:tab w:val="left" w:pos="993"/>
      </w:tabs>
      <w:spacing w:line="360" w:lineRule="auto"/>
      <w:ind w:firstLineChars="0"/>
    </w:pPr>
    <w:rPr>
      <w:rFonts w:ascii="黑体" w:hAnsi="黑体"/>
    </w:rPr>
  </w:style>
  <w:style w:type="paragraph" w:customStyle="1" w:styleId="131">
    <w:name w:val="通用标题3"/>
    <w:next w:val="1"/>
    <w:qFormat/>
    <w:uiPriority w:val="0"/>
    <w:pPr>
      <w:widowControl w:val="0"/>
      <w:numPr>
        <w:ilvl w:val="1"/>
        <w:numId w:val="5"/>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132">
    <w:name w:val="通用标题4"/>
    <w:next w:val="1"/>
    <w:qFormat/>
    <w:uiPriority w:val="0"/>
    <w:pPr>
      <w:numPr>
        <w:ilvl w:val="2"/>
        <w:numId w:val="5"/>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133">
    <w:name w:val="通用标题5"/>
    <w:qFormat/>
    <w:uiPriority w:val="0"/>
    <w:pPr>
      <w:widowControl w:val="0"/>
      <w:numPr>
        <w:ilvl w:val="3"/>
        <w:numId w:val="5"/>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134">
    <w:name w:val="通用标题6"/>
    <w:basedOn w:val="1"/>
    <w:qFormat/>
    <w:uiPriority w:val="0"/>
    <w:pPr>
      <w:numPr>
        <w:ilvl w:val="4"/>
        <w:numId w:val="6"/>
      </w:numPr>
      <w:tabs>
        <w:tab w:val="left" w:pos="993"/>
      </w:tabs>
      <w:wordWrap/>
      <w:topLinePunct w:val="0"/>
      <w:ind w:firstLine="0" w:firstLineChars="0"/>
    </w:pPr>
  </w:style>
  <w:style w:type="paragraph" w:customStyle="1" w:styleId="135">
    <w:name w:val="专用标题2"/>
    <w:basedOn w:val="3"/>
    <w:next w:val="1"/>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136">
    <w:name w:val="附件标题"/>
    <w:basedOn w:val="3"/>
    <w:next w:val="1"/>
    <w:qFormat/>
    <w:uiPriority w:val="0"/>
    <w:pPr>
      <w:numPr>
        <w:ilvl w:val="0"/>
        <w:numId w:val="7"/>
      </w:numPr>
      <w:tabs>
        <w:tab w:val="left" w:pos="1134"/>
      </w:tabs>
      <w:spacing w:line="360" w:lineRule="auto"/>
      <w:ind w:firstLine="0" w:firstLineChars="0"/>
      <w:jc w:val="center"/>
    </w:pPr>
    <w:rPr>
      <w:rFonts w:ascii="黑体" w:hAnsi="黑体"/>
      <w:sz w:val="30"/>
      <w:szCs w:val="30"/>
    </w:rPr>
  </w:style>
  <w:style w:type="table" w:customStyle="1" w:styleId="137">
    <w:name w:val="Table Normal"/>
    <w:semiHidden/>
    <w:unhideWhenUsed/>
    <w:qFormat/>
    <w:uiPriority w:val="0"/>
    <w:tblPr>
      <w:tblCellMar>
        <w:top w:w="0" w:type="dxa"/>
        <w:left w:w="0" w:type="dxa"/>
        <w:bottom w:w="0" w:type="dxa"/>
        <w:right w:w="0" w:type="dxa"/>
      </w:tblCellMar>
    </w:tblPr>
  </w:style>
  <w:style w:type="paragraph" w:customStyle="1" w:styleId="13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5.wmf"/><Relationship Id="rId34" Type="http://schemas.openxmlformats.org/officeDocument/2006/relationships/oleObject" Target="embeddings/oleObject5.bin"/><Relationship Id="rId33" Type="http://schemas.openxmlformats.org/officeDocument/2006/relationships/image" Target="media/image4.wmf"/><Relationship Id="rId32" Type="http://schemas.openxmlformats.org/officeDocument/2006/relationships/oleObject" Target="embeddings/oleObject4.bin"/><Relationship Id="rId31" Type="http://schemas.openxmlformats.org/officeDocument/2006/relationships/image" Target="media/image3.wmf"/><Relationship Id="rId30" Type="http://schemas.openxmlformats.org/officeDocument/2006/relationships/oleObject" Target="embeddings/oleObject3.bin"/><Relationship Id="rId3" Type="http://schemas.openxmlformats.org/officeDocument/2006/relationships/header" Target="header1.xml"/><Relationship Id="rId29" Type="http://schemas.openxmlformats.org/officeDocument/2006/relationships/image" Target="media/image2.wmf"/><Relationship Id="rId28" Type="http://schemas.openxmlformats.org/officeDocument/2006/relationships/oleObject" Target="embeddings/oleObject2.bin"/><Relationship Id="rId27" Type="http://schemas.openxmlformats.org/officeDocument/2006/relationships/image" Target="media/image1.wmf"/><Relationship Id="rId26" Type="http://schemas.openxmlformats.org/officeDocument/2006/relationships/oleObject" Target="embeddings/oleObject1.bin"/><Relationship Id="rId25" Type="http://schemas.openxmlformats.org/officeDocument/2006/relationships/theme" Target="theme/theme1.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180</Pages>
  <Words>16893</Words>
  <Characters>17817</Characters>
  <Lines>448</Lines>
  <Paragraphs>126</Paragraphs>
  <TotalTime>357</TotalTime>
  <ScaleCrop>false</ScaleCrop>
  <LinksUpToDate>false</LinksUpToDate>
  <CharactersWithSpaces>19903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2020-05-12T03:25:00Z</dcterms:created>
  <dc:creator>JuneW</dc:creator>
  <cp:lastModifiedBy>好运连连</cp:lastModifiedBy>
  <cp:lastPrinted>2023-05-04T11:08:00Z</cp:lastPrinted>
  <dcterms:modified xsi:type="dcterms:W3CDTF">2025-07-02T02:52:56Z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F55D4AF858074140A5D33F6EC006ADC8_13</vt:lpwstr>
  </property>
  <property fmtid="{D5CDD505-2E9C-101B-9397-08002B2CF9AE}" pid="4" name="KSOTemplateDocerSaveRecord">
    <vt:lpwstr>eyJoZGlkIjoiMGU5Njk0YWU5MTQ5NjI5YzI5ZWQyNjFjNDNkZDVhY2MiLCJ1c2VySWQiOiIzMDU5NTczMjEifQ==</vt:lpwstr>
  </property>
</Properties>
</file>