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fonts/font32.odttf" ContentType="application/vnd.openxmlformats-officedocument.obfuscatedFont"/>
  <Override PartName="/word/fonts/font33.odttf" ContentType="application/vnd.openxmlformats-officedocument.obfuscatedFont"/>
  <Override PartName="/word/fonts/font34.odttf" ContentType="application/vnd.openxmlformats-officedocument.obfuscatedFont"/>
  <Override PartName="/word/fonts/font35.odttf" ContentType="application/vnd.openxmlformats-officedocument.obfuscatedFont"/>
  <Override PartName="/word/fonts/font36.odttf" ContentType="application/vnd.openxmlformats-officedocument.obfuscatedFont"/>
  <Override PartName="/word/fonts/font37.odttf" ContentType="application/vnd.openxmlformats-officedocument.obfuscatedFont"/>
  <Override PartName="/word/fonts/font38.odttf" ContentType="application/vnd.openxmlformats-officedocument.obfuscatedFont"/>
  <Override PartName="/word/fonts/font39.odttf" ContentType="application/vnd.openxmlformats-officedocument.obfuscatedFont"/>
  <Override PartName="/word/fonts/font4.odttf" ContentType="application/vnd.openxmlformats-officedocument.obfuscatedFont"/>
  <Override PartName="/word/fonts/font40.odttf" ContentType="application/vnd.openxmlformats-officedocument.obfuscatedFont"/>
  <Override PartName="/word/fonts/font41.odttf" ContentType="application/vnd.openxmlformats-officedocument.obfuscatedFont"/>
  <Override PartName="/word/fonts/font42.odttf" ContentType="application/vnd.openxmlformats-officedocument.obfuscatedFont"/>
  <Override PartName="/word/fonts/font43.odttf" ContentType="application/vnd.openxmlformats-officedocument.obfuscatedFont"/>
  <Override PartName="/word/fonts/font44.odttf" ContentType="application/vnd.openxmlformats-officedocument.obfuscatedFont"/>
  <Override PartName="/word/fonts/font45.odttf" ContentType="application/vnd.openxmlformats-officedocument.obfuscatedFont"/>
  <Override PartName="/word/fonts/font46.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0B5A0">
      <w:pPr>
        <w:pageBreakBefore w:val="0"/>
        <w:kinsoku/>
        <w:wordWrap/>
        <w:overflowPunct/>
        <w:topLinePunct w:val="0"/>
        <w:bidi w:val="0"/>
        <w:spacing w:line="360" w:lineRule="auto"/>
        <w:rPr>
          <w:b/>
          <w:bCs/>
          <w:color w:val="auto"/>
          <w:sz w:val="28"/>
          <w:szCs w:val="28"/>
          <w:highlight w:val="none"/>
        </w:rPr>
      </w:pPr>
    </w:p>
    <w:p w14:paraId="168B19D6">
      <w:pPr>
        <w:pageBreakBefore w:val="0"/>
        <w:kinsoku/>
        <w:wordWrap/>
        <w:overflowPunct/>
        <w:topLinePunct w:val="0"/>
        <w:bidi w:val="0"/>
        <w:spacing w:line="360" w:lineRule="auto"/>
        <w:rPr>
          <w:b/>
          <w:bCs/>
          <w:color w:val="auto"/>
          <w:sz w:val="28"/>
          <w:szCs w:val="28"/>
          <w:highlight w:val="none"/>
        </w:rPr>
      </w:pPr>
    </w:p>
    <w:p w14:paraId="59D7D524">
      <w:pPr>
        <w:pageBreakBefore w:val="0"/>
        <w:kinsoku/>
        <w:wordWrap/>
        <w:overflowPunct/>
        <w:topLinePunct w:val="0"/>
        <w:bidi w:val="0"/>
        <w:spacing w:line="360" w:lineRule="auto"/>
        <w:rPr>
          <w:b/>
          <w:bCs/>
          <w:color w:val="auto"/>
          <w:sz w:val="28"/>
          <w:szCs w:val="28"/>
          <w:highlight w:val="none"/>
        </w:rPr>
      </w:pPr>
    </w:p>
    <w:p w14:paraId="470C6983">
      <w:pPr>
        <w:pageBreakBefore w:val="0"/>
        <w:kinsoku/>
        <w:wordWrap/>
        <w:overflowPunct/>
        <w:topLinePunct w:val="0"/>
        <w:bidi w:val="0"/>
        <w:spacing w:line="360" w:lineRule="auto"/>
        <w:rPr>
          <w:b/>
          <w:bCs/>
          <w:color w:val="auto"/>
          <w:sz w:val="28"/>
          <w:szCs w:val="28"/>
          <w:highlight w:val="none"/>
        </w:rPr>
      </w:pPr>
    </w:p>
    <w:p w14:paraId="035CAA5D">
      <w:pPr>
        <w:pageBreakBefore w:val="0"/>
        <w:kinsoku/>
        <w:wordWrap/>
        <w:overflowPunct/>
        <w:topLinePunct w:val="0"/>
        <w:bidi w:val="0"/>
        <w:spacing w:line="360" w:lineRule="auto"/>
        <w:jc w:val="center"/>
        <w:rPr>
          <w:rFonts w:ascii="Times New Roman" w:hAnsi="Calibri" w:eastAsia="宋体" w:cs="Times New Roman"/>
          <w:color w:val="auto"/>
          <w:kern w:val="0"/>
          <w:sz w:val="72"/>
          <w:szCs w:val="21"/>
          <w:highlight w:val="none"/>
        </w:rPr>
      </w:pPr>
      <w:r>
        <w:rPr>
          <w:rFonts w:ascii="EETKVU+ËÎÌå" w:hAnsi="EETKVU+ËÎÌå" w:eastAsia="宋体" w:cs="EETKVU+ËÎÌå"/>
          <w:color w:val="auto"/>
          <w:spacing w:val="3"/>
          <w:kern w:val="0"/>
          <w:sz w:val="72"/>
          <w:szCs w:val="21"/>
          <w:highlight w:val="none"/>
        </w:rPr>
        <w:t>竞争性磋商文件</w:t>
      </w:r>
    </w:p>
    <w:p w14:paraId="57D1F7AB">
      <w:pPr>
        <w:pageBreakBefore w:val="0"/>
        <w:widowControl/>
        <w:kinsoku/>
        <w:wordWrap/>
        <w:overflowPunct/>
        <w:topLinePunct w:val="0"/>
        <w:bidi w:val="0"/>
        <w:spacing w:before="190" w:line="360" w:lineRule="auto"/>
        <w:jc w:val="left"/>
        <w:rPr>
          <w:rFonts w:hint="eastAsia" w:ascii="EETKVU+ËÎÌå" w:hAnsi="EETKVU+ËÎÌå" w:eastAsia="宋体" w:cs="EETKVU+ËÎÌå"/>
          <w:color w:val="auto"/>
          <w:spacing w:val="2"/>
          <w:kern w:val="0"/>
          <w:sz w:val="32"/>
          <w:szCs w:val="22"/>
          <w:highlight w:val="none"/>
          <w:lang w:val="en-US" w:eastAsia="zh-CN"/>
        </w:rPr>
      </w:pPr>
      <w:r>
        <w:rPr>
          <w:rFonts w:hint="eastAsia" w:ascii="EETKVU+ËÎÌå" w:hAnsi="EETKVU+ËÎÌå" w:eastAsia="宋体" w:cs="EETKVU+ËÎÌå"/>
          <w:color w:val="auto"/>
          <w:spacing w:val="2"/>
          <w:kern w:val="0"/>
          <w:sz w:val="32"/>
          <w:szCs w:val="22"/>
          <w:highlight w:val="none"/>
          <w:lang w:val="en-US" w:eastAsia="zh-CN"/>
        </w:rPr>
        <w:t xml:space="preserve"> </w:t>
      </w:r>
    </w:p>
    <w:p w14:paraId="7216BF17">
      <w:pPr>
        <w:pStyle w:val="11"/>
        <w:rPr>
          <w:rFonts w:hint="eastAsia"/>
          <w:color w:val="auto"/>
          <w:highlight w:val="none"/>
          <w:lang w:val="en-US" w:eastAsia="zh-CN"/>
        </w:rPr>
      </w:pPr>
      <w:bookmarkStart w:id="402" w:name="_GoBack"/>
      <w:bookmarkEnd w:id="402"/>
    </w:p>
    <w:p w14:paraId="17C60E08">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项目名称： 天山区东门街道区域养老服务中心改造项目（监理）</w:t>
      </w:r>
    </w:p>
    <w:p w14:paraId="2C57C70E">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项目编号：ZDJD2025-CS-019</w:t>
      </w:r>
    </w:p>
    <w:p w14:paraId="641D5135">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64A2D99F">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  购 人（盖章）：乌鲁木齐市天山区民政局 </w:t>
      </w:r>
    </w:p>
    <w:p w14:paraId="70F4A458">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 刘秧</w:t>
      </w:r>
    </w:p>
    <w:p w14:paraId="4F9F01A9">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联系电话： 0991-8885762</w:t>
      </w:r>
    </w:p>
    <w:p w14:paraId="46E57F2E">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联系地址：天山区碱泉二街199号7层</w:t>
      </w:r>
    </w:p>
    <w:p w14:paraId="0D52F6D8">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5FCFA13C">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采购代理机构（盖章）：新疆重道敬德招标咨询有限公司  </w:t>
      </w:r>
    </w:p>
    <w:p w14:paraId="14E44AA1">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人：张帅、宁珂馨</w:t>
      </w:r>
    </w:p>
    <w:p w14:paraId="2DCF5805">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联系电话：13139685270 </w:t>
      </w:r>
    </w:p>
    <w:p w14:paraId="5522B3E4">
      <w:pPr>
        <w:pageBreakBefore w:val="0"/>
        <w:kinsoku/>
        <w:wordWrap/>
        <w:overflowPunct/>
        <w:topLinePunct w:val="0"/>
        <w:bidi w:val="0"/>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
          <w:kern w:val="0"/>
          <w:sz w:val="28"/>
          <w:szCs w:val="21"/>
          <w:highlight w:val="none"/>
          <w:lang w:val="en-US" w:eastAsia="zh-CN"/>
        </w:rPr>
        <w:t xml:space="preserve">详细地址：新疆乌鲁木齐市沙依巴克区友好南路91号新疆石油学院12号楼一单元102室 </w:t>
      </w:r>
    </w:p>
    <w:p w14:paraId="5BDC287D">
      <w:pPr>
        <w:pageBreakBefore w:val="0"/>
        <w:kinsoku/>
        <w:wordWrap/>
        <w:overflowPunct/>
        <w:topLinePunct w:val="0"/>
        <w:bidi w:val="0"/>
        <w:adjustRightInd w:val="0"/>
        <w:snapToGrid w:val="0"/>
        <w:spacing w:line="360" w:lineRule="auto"/>
        <w:rPr>
          <w:rFonts w:ascii="宋体" w:hAnsi="宋体" w:eastAsia="宋体" w:cs="宋体"/>
          <w:color w:val="auto"/>
          <w:sz w:val="28"/>
          <w:szCs w:val="28"/>
          <w:highlight w:val="none"/>
        </w:rPr>
      </w:pPr>
    </w:p>
    <w:p w14:paraId="13AE8525">
      <w:pPr>
        <w:rPr>
          <w:rFonts w:ascii="宋体" w:hAnsi="宋体" w:eastAsia="宋体" w:cs="宋体"/>
          <w:color w:val="auto"/>
          <w:sz w:val="28"/>
          <w:szCs w:val="28"/>
          <w:highlight w:val="none"/>
        </w:rPr>
      </w:pPr>
      <w:r>
        <w:rPr>
          <w:rFonts w:ascii="宋体" w:hAnsi="宋体" w:eastAsia="宋体" w:cs="宋体"/>
          <w:color w:val="auto"/>
          <w:sz w:val="28"/>
          <w:szCs w:val="28"/>
          <w:highlight w:val="none"/>
        </w:rPr>
        <w:br w:type="page"/>
      </w:r>
    </w:p>
    <w:p w14:paraId="1263CD52">
      <w:pPr>
        <w:pStyle w:val="5"/>
        <w:rPr>
          <w:color w:val="auto"/>
          <w:highlight w:val="none"/>
        </w:rPr>
      </w:pPr>
    </w:p>
    <w:sdt>
      <w:sdtPr>
        <w:rPr>
          <w:rFonts w:ascii="宋体" w:hAnsi="宋体" w:eastAsia="宋体"/>
          <w:color w:val="auto"/>
          <w:sz w:val="28"/>
          <w:szCs w:val="28"/>
          <w:highlight w:val="none"/>
        </w:rPr>
        <w:id w:val="147466216"/>
        <w:docPartObj>
          <w:docPartGallery w:val="Table of Contents"/>
          <w:docPartUnique/>
        </w:docPartObj>
      </w:sdtPr>
      <w:sdtEndPr>
        <w:rPr>
          <w:rFonts w:hint="eastAsia" w:ascii="宋体" w:hAnsi="宋体" w:eastAsia="宋体" w:cs="宋体"/>
          <w:color w:val="auto"/>
          <w:sz w:val="28"/>
          <w:szCs w:val="28"/>
          <w:highlight w:val="none"/>
        </w:rPr>
      </w:sdtEndPr>
      <w:sdtContent>
        <w:p w14:paraId="5B43381C">
          <w:pPr>
            <w:pageBreakBefore w:val="0"/>
            <w:kinsoku/>
            <w:wordWrap/>
            <w:overflowPunct/>
            <w:topLinePunct w:val="0"/>
            <w:bidi w:val="0"/>
            <w:adjustRightInd w:val="0"/>
            <w:snapToGri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    录</w:t>
          </w:r>
        </w:p>
        <w:p w14:paraId="286201CE">
          <w:pPr>
            <w:pStyle w:val="19"/>
            <w:tabs>
              <w:tab w:val="right" w:leader="dot" w:pos="9746"/>
            </w:tabs>
            <w:rPr>
              <w:color w:val="auto"/>
              <w:highlight w:val="none"/>
            </w:rPr>
          </w:pPr>
          <w:r>
            <w:rPr>
              <w:rFonts w:hint="eastAsia" w:ascii="宋体" w:hAnsi="宋体" w:eastAsia="宋体" w:cs="宋体"/>
              <w:i/>
              <w:color w:val="auto"/>
              <w:sz w:val="28"/>
              <w:szCs w:val="28"/>
              <w:highlight w:val="none"/>
            </w:rPr>
            <w:fldChar w:fldCharType="begin"/>
          </w:r>
          <w:r>
            <w:rPr>
              <w:rFonts w:hint="eastAsia" w:ascii="宋体" w:hAnsi="宋体" w:eastAsia="宋体" w:cs="宋体"/>
              <w:i/>
              <w:color w:val="auto"/>
              <w:sz w:val="28"/>
              <w:szCs w:val="28"/>
              <w:highlight w:val="none"/>
            </w:rPr>
            <w:instrText xml:space="preserve">TOC \o "1-3" \h \u </w:instrText>
          </w:r>
          <w:r>
            <w:rPr>
              <w:rFonts w:hint="eastAsia" w:ascii="宋体" w:hAnsi="宋体" w:eastAsia="宋体" w:cs="宋体"/>
              <w:i/>
              <w:color w:val="auto"/>
              <w:sz w:val="28"/>
              <w:szCs w:val="28"/>
              <w:highlight w:val="none"/>
            </w:rPr>
            <w:fldChar w:fldCharType="separate"/>
          </w: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_Toc29847 </w:instrText>
          </w:r>
          <w:r>
            <w:rPr>
              <w:rFonts w:hint="eastAsia" w:ascii="宋体" w:hAnsi="宋体" w:eastAsia="宋体" w:cs="宋体"/>
              <w:i/>
              <w:color w:val="auto"/>
              <w:szCs w:val="28"/>
              <w:highlight w:val="none"/>
            </w:rPr>
            <w:fldChar w:fldCharType="separate"/>
          </w:r>
          <w:r>
            <w:rPr>
              <w:rFonts w:hint="eastAsia"/>
              <w:color w:val="auto"/>
              <w:highlight w:val="none"/>
            </w:rPr>
            <w:t>第一章 采购邀请</w:t>
          </w:r>
          <w:r>
            <w:rPr>
              <w:color w:val="auto"/>
              <w:highlight w:val="none"/>
            </w:rPr>
            <w:tab/>
          </w:r>
          <w:r>
            <w:rPr>
              <w:color w:val="auto"/>
              <w:highlight w:val="none"/>
            </w:rPr>
            <w:fldChar w:fldCharType="begin"/>
          </w:r>
          <w:r>
            <w:rPr>
              <w:color w:val="auto"/>
              <w:highlight w:val="none"/>
            </w:rPr>
            <w:instrText xml:space="preserve"> PAGEREF _Toc29847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i/>
              <w:color w:val="auto"/>
              <w:szCs w:val="28"/>
              <w:highlight w:val="none"/>
            </w:rPr>
            <w:fldChar w:fldCharType="end"/>
          </w:r>
        </w:p>
        <w:p w14:paraId="056A110D">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_Toc24528 </w:instrText>
          </w:r>
          <w:r>
            <w:rPr>
              <w:rFonts w:hint="eastAsia" w:ascii="宋体" w:hAnsi="宋体" w:eastAsia="宋体" w:cs="宋体"/>
              <w:i/>
              <w:color w:val="auto"/>
              <w:szCs w:val="28"/>
              <w:highlight w:val="none"/>
            </w:rPr>
            <w:fldChar w:fldCharType="separate"/>
          </w:r>
          <w:r>
            <w:rPr>
              <w:rFonts w:hint="eastAsia" w:ascii="宋体" w:hAnsi="宋体" w:cs="宋体"/>
              <w:bCs w:val="0"/>
              <w:color w:val="auto"/>
              <w:szCs w:val="32"/>
              <w:highlight w:val="none"/>
            </w:rPr>
            <w:t>第二章</w:t>
          </w:r>
          <w:r>
            <w:rPr>
              <w:rFonts w:hint="eastAsia" w:ascii="宋体" w:hAnsi="宋体" w:cs="宋体"/>
              <w:bCs w:val="0"/>
              <w:color w:val="auto"/>
              <w:szCs w:val="32"/>
              <w:highlight w:val="none"/>
              <w:lang w:val="en-US" w:eastAsia="zh-CN"/>
            </w:rPr>
            <w:t xml:space="preserve"> </w:t>
          </w:r>
          <w:r>
            <w:rPr>
              <w:rFonts w:hint="eastAsia" w:ascii="宋体" w:hAnsi="宋体" w:cs="宋体"/>
              <w:bCs w:val="0"/>
              <w:color w:val="auto"/>
              <w:szCs w:val="32"/>
              <w:highlight w:val="none"/>
            </w:rPr>
            <w:t>磋商文件前附表</w:t>
          </w:r>
          <w:r>
            <w:rPr>
              <w:color w:val="auto"/>
              <w:highlight w:val="none"/>
            </w:rPr>
            <w:tab/>
          </w:r>
          <w:r>
            <w:rPr>
              <w:color w:val="auto"/>
              <w:highlight w:val="none"/>
            </w:rPr>
            <w:fldChar w:fldCharType="begin"/>
          </w:r>
          <w:r>
            <w:rPr>
              <w:color w:val="auto"/>
              <w:highlight w:val="none"/>
            </w:rPr>
            <w:instrText xml:space="preserve"> PAGEREF _Toc24528 \h </w:instrText>
          </w:r>
          <w:r>
            <w:rPr>
              <w:color w:val="auto"/>
              <w:highlight w:val="none"/>
            </w:rPr>
            <w:fldChar w:fldCharType="separate"/>
          </w:r>
          <w:r>
            <w:rPr>
              <w:color w:val="auto"/>
              <w:highlight w:val="none"/>
            </w:rPr>
            <w:t>6</w:t>
          </w:r>
          <w:r>
            <w:rPr>
              <w:color w:val="auto"/>
              <w:highlight w:val="none"/>
            </w:rPr>
            <w:fldChar w:fldCharType="end"/>
          </w:r>
          <w:r>
            <w:rPr>
              <w:rFonts w:hint="eastAsia" w:ascii="宋体" w:hAnsi="宋体" w:eastAsia="宋体" w:cs="宋体"/>
              <w:i/>
              <w:color w:val="auto"/>
              <w:szCs w:val="28"/>
              <w:highlight w:val="none"/>
            </w:rPr>
            <w:fldChar w:fldCharType="end"/>
          </w:r>
        </w:p>
        <w:p w14:paraId="04A50F27">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_Toc23011 </w:instrText>
          </w:r>
          <w:r>
            <w:rPr>
              <w:rFonts w:hint="eastAsia" w:ascii="宋体" w:hAnsi="宋体" w:eastAsia="宋体" w:cs="宋体"/>
              <w:i/>
              <w:color w:val="auto"/>
              <w:szCs w:val="28"/>
              <w:highlight w:val="none"/>
            </w:rPr>
            <w:fldChar w:fldCharType="separate"/>
          </w:r>
          <w:r>
            <w:rPr>
              <w:rFonts w:ascii="NVQPQH+ËÎÌå" w:hAnsi="NVQPQH+ËÎÌå" w:eastAsia="宋体" w:cs="NVQPQH+ËÎÌå"/>
              <w:color w:val="auto"/>
              <w:spacing w:val="2"/>
              <w:kern w:val="0"/>
              <w:szCs w:val="22"/>
              <w:highlight w:val="none"/>
            </w:rPr>
            <w:t>第三章</w:t>
          </w:r>
          <w:r>
            <w:rPr>
              <w:rFonts w:hint="eastAsia" w:ascii="NVQPQH+ËÎÌå" w:hAnsi="NVQPQH+ËÎÌå" w:eastAsia="宋体" w:cs="NVQPQH+ËÎÌå"/>
              <w:color w:val="auto"/>
              <w:spacing w:val="2"/>
              <w:kern w:val="0"/>
              <w:szCs w:val="22"/>
              <w:highlight w:val="none"/>
              <w:lang w:val="en-US" w:eastAsia="zh-CN"/>
            </w:rPr>
            <w:t xml:space="preserve"> </w:t>
          </w:r>
          <w:r>
            <w:rPr>
              <w:rFonts w:ascii="NVQPQH+ËÎÌå" w:hAnsi="NVQPQH+ËÎÌå" w:eastAsia="宋体" w:cs="NVQPQH+ËÎÌå"/>
              <w:color w:val="auto"/>
              <w:spacing w:val="2"/>
              <w:kern w:val="0"/>
              <w:szCs w:val="22"/>
              <w:highlight w:val="none"/>
            </w:rPr>
            <w:t>供应商须知</w:t>
          </w:r>
          <w:r>
            <w:rPr>
              <w:color w:val="auto"/>
              <w:highlight w:val="none"/>
            </w:rPr>
            <w:tab/>
          </w:r>
          <w:r>
            <w:rPr>
              <w:color w:val="auto"/>
              <w:highlight w:val="none"/>
            </w:rPr>
            <w:fldChar w:fldCharType="begin"/>
          </w:r>
          <w:r>
            <w:rPr>
              <w:color w:val="auto"/>
              <w:highlight w:val="none"/>
            </w:rPr>
            <w:instrText xml:space="preserve"> PAGEREF _Toc23011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i/>
              <w:color w:val="auto"/>
              <w:szCs w:val="28"/>
              <w:highlight w:val="none"/>
            </w:rPr>
            <w:fldChar w:fldCharType="end"/>
          </w:r>
        </w:p>
        <w:p w14:paraId="4E6C6C9C">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_Toc22378 </w:instrText>
          </w:r>
          <w:r>
            <w:rPr>
              <w:rFonts w:hint="eastAsia" w:ascii="宋体" w:hAnsi="宋体" w:eastAsia="宋体" w:cs="宋体"/>
              <w:i/>
              <w:color w:val="auto"/>
              <w:szCs w:val="28"/>
              <w:highlight w:val="none"/>
            </w:rPr>
            <w:fldChar w:fldCharType="separate"/>
          </w:r>
          <w:r>
            <w:rPr>
              <w:rFonts w:ascii="TKEBTB+ËÎÌå" w:hAnsi="TKEBTB+ËÎÌå" w:cs="TKEBTB+ËÎÌå"/>
              <w:bCs/>
              <w:color w:val="auto"/>
              <w:spacing w:val="2"/>
              <w:szCs w:val="22"/>
              <w:highlight w:val="none"/>
            </w:rPr>
            <w:t>第四章</w:t>
          </w:r>
          <w:r>
            <w:rPr>
              <w:rFonts w:hint="eastAsia" w:ascii="TKEBTB+ËÎÌå" w:hAnsi="TKEBTB+ËÎÌå" w:cs="TKEBTB+ËÎÌå"/>
              <w:bCs/>
              <w:color w:val="auto"/>
              <w:spacing w:val="2"/>
              <w:szCs w:val="22"/>
              <w:highlight w:val="none"/>
              <w:lang w:val="en-US" w:eastAsia="zh-CN"/>
            </w:rPr>
            <w:t xml:space="preserve"> </w:t>
          </w:r>
          <w:r>
            <w:rPr>
              <w:rFonts w:ascii="TKEBTB+ËÎÌå" w:hAnsi="TKEBTB+ËÎÌå" w:cs="TKEBTB+ËÎÌå"/>
              <w:bCs/>
              <w:color w:val="auto"/>
              <w:spacing w:val="2"/>
              <w:szCs w:val="22"/>
              <w:highlight w:val="none"/>
            </w:rPr>
            <w:t>采购合同</w:t>
          </w:r>
          <w:r>
            <w:rPr>
              <w:color w:val="auto"/>
              <w:highlight w:val="none"/>
            </w:rPr>
            <w:tab/>
          </w:r>
          <w:r>
            <w:rPr>
              <w:color w:val="auto"/>
              <w:highlight w:val="none"/>
            </w:rPr>
            <w:fldChar w:fldCharType="begin"/>
          </w:r>
          <w:r>
            <w:rPr>
              <w:color w:val="auto"/>
              <w:highlight w:val="none"/>
            </w:rPr>
            <w:instrText xml:space="preserve"> PAGEREF _Toc22378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i/>
              <w:color w:val="auto"/>
              <w:szCs w:val="28"/>
              <w:highlight w:val="none"/>
            </w:rPr>
            <w:fldChar w:fldCharType="end"/>
          </w:r>
        </w:p>
        <w:p w14:paraId="2A4FF4E8">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_Toc518 </w:instrText>
          </w:r>
          <w:r>
            <w:rPr>
              <w:rFonts w:hint="eastAsia" w:ascii="宋体" w:hAnsi="宋体" w:eastAsia="宋体" w:cs="宋体"/>
              <w:i/>
              <w:color w:val="auto"/>
              <w:szCs w:val="28"/>
              <w:highlight w:val="none"/>
            </w:rPr>
            <w:fldChar w:fldCharType="separate"/>
          </w:r>
          <w:r>
            <w:rPr>
              <w:rFonts w:ascii="JALHGD+ËÎÌå" w:hAnsi="JALHGD+ËÎÌå" w:cs="JALHGD+ËÎÌå"/>
              <w:bCs/>
              <w:color w:val="auto"/>
              <w:spacing w:val="2"/>
              <w:szCs w:val="22"/>
              <w:highlight w:val="none"/>
            </w:rPr>
            <w:t>第五章</w:t>
          </w:r>
          <w:r>
            <w:rPr>
              <w:rFonts w:hint="eastAsia" w:ascii="JALHGD+ËÎÌå" w:hAnsi="JALHGD+ËÎÌå" w:cs="JALHGD+ËÎÌå"/>
              <w:bCs/>
              <w:color w:val="auto"/>
              <w:spacing w:val="2"/>
              <w:szCs w:val="22"/>
              <w:highlight w:val="none"/>
              <w:lang w:val="en-US" w:eastAsia="zh-CN"/>
            </w:rPr>
            <w:t xml:space="preserve"> </w:t>
          </w:r>
          <w:r>
            <w:rPr>
              <w:rFonts w:ascii="JALHGD+ËÎÌå" w:hAnsi="JALHGD+ËÎÌå" w:cs="JALHGD+ËÎÌå"/>
              <w:bCs/>
              <w:color w:val="auto"/>
              <w:spacing w:val="2"/>
              <w:szCs w:val="22"/>
              <w:highlight w:val="none"/>
            </w:rPr>
            <w:t>综合评审方法</w:t>
          </w:r>
          <w:r>
            <w:rPr>
              <w:color w:val="auto"/>
              <w:highlight w:val="none"/>
            </w:rPr>
            <w:tab/>
          </w:r>
          <w:r>
            <w:rPr>
              <w:color w:val="auto"/>
              <w:highlight w:val="none"/>
            </w:rPr>
            <w:fldChar w:fldCharType="begin"/>
          </w:r>
          <w:r>
            <w:rPr>
              <w:color w:val="auto"/>
              <w:highlight w:val="none"/>
            </w:rPr>
            <w:instrText xml:space="preserve"> PAGEREF _Toc518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i/>
              <w:color w:val="auto"/>
              <w:szCs w:val="28"/>
              <w:highlight w:val="none"/>
            </w:rPr>
            <w:fldChar w:fldCharType="end"/>
          </w:r>
        </w:p>
        <w:p w14:paraId="1F73C72A">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_Toc693 </w:instrText>
          </w:r>
          <w:r>
            <w:rPr>
              <w:rFonts w:hint="eastAsia" w:ascii="宋体" w:hAnsi="宋体" w:eastAsia="宋体" w:cs="宋体"/>
              <w:i/>
              <w:color w:val="auto"/>
              <w:szCs w:val="28"/>
              <w:highlight w:val="none"/>
            </w:rPr>
            <w:fldChar w:fldCharType="separate"/>
          </w:r>
          <w:r>
            <w:rPr>
              <w:rFonts w:hint="eastAsia"/>
              <w:color w:val="auto"/>
              <w:szCs w:val="32"/>
              <w:highlight w:val="none"/>
              <w:lang w:val="en-US" w:eastAsia="zh-CN"/>
            </w:rPr>
            <w:t>第六章</w:t>
          </w:r>
          <w:r>
            <w:rPr>
              <w:rFonts w:hint="eastAsia"/>
              <w:color w:val="auto"/>
              <w:szCs w:val="32"/>
              <w:highlight w:val="none"/>
            </w:rPr>
            <w:t xml:space="preserve"> 采购需求</w:t>
          </w:r>
          <w:r>
            <w:rPr>
              <w:color w:val="auto"/>
              <w:highlight w:val="none"/>
            </w:rPr>
            <w:tab/>
          </w:r>
          <w:r>
            <w:rPr>
              <w:color w:val="auto"/>
              <w:highlight w:val="none"/>
            </w:rPr>
            <w:fldChar w:fldCharType="begin"/>
          </w:r>
          <w:r>
            <w:rPr>
              <w:color w:val="auto"/>
              <w:highlight w:val="none"/>
            </w:rPr>
            <w:instrText xml:space="preserve"> PAGEREF _Toc693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eastAsia="宋体" w:cs="宋体"/>
              <w:i/>
              <w:color w:val="auto"/>
              <w:szCs w:val="28"/>
              <w:highlight w:val="none"/>
            </w:rPr>
            <w:fldChar w:fldCharType="end"/>
          </w:r>
        </w:p>
        <w:p w14:paraId="39F2F23B">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_Toc15906 </w:instrText>
          </w:r>
          <w:r>
            <w:rPr>
              <w:rFonts w:hint="eastAsia" w:ascii="宋体" w:hAnsi="宋体" w:eastAsia="宋体" w:cs="宋体"/>
              <w:i/>
              <w:color w:val="auto"/>
              <w:szCs w:val="28"/>
              <w:highlight w:val="none"/>
            </w:rPr>
            <w:fldChar w:fldCharType="separate"/>
          </w:r>
          <w:r>
            <w:rPr>
              <w:rFonts w:hint="eastAsia"/>
              <w:color w:val="auto"/>
              <w:szCs w:val="32"/>
              <w:highlight w:val="none"/>
              <w:lang w:val="en-US" w:eastAsia="zh-CN"/>
            </w:rPr>
            <w:t>第七章 响应文件格式与要求</w:t>
          </w:r>
          <w:r>
            <w:rPr>
              <w:color w:val="auto"/>
              <w:highlight w:val="none"/>
            </w:rPr>
            <w:tab/>
          </w:r>
          <w:r>
            <w:rPr>
              <w:color w:val="auto"/>
              <w:highlight w:val="none"/>
            </w:rPr>
            <w:fldChar w:fldCharType="begin"/>
          </w:r>
          <w:r>
            <w:rPr>
              <w:color w:val="auto"/>
              <w:highlight w:val="none"/>
            </w:rPr>
            <w:instrText xml:space="preserve"> PAGEREF _Toc15906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i/>
              <w:color w:val="auto"/>
              <w:szCs w:val="28"/>
              <w:highlight w:val="none"/>
            </w:rPr>
            <w:fldChar w:fldCharType="end"/>
          </w:r>
        </w:p>
        <w:p w14:paraId="1AB86BD9">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_Toc30560 </w:instrText>
          </w:r>
          <w:r>
            <w:rPr>
              <w:rFonts w:hint="eastAsia" w:ascii="宋体" w:hAnsi="宋体" w:eastAsia="宋体" w:cs="宋体"/>
              <w:i/>
              <w:color w:val="auto"/>
              <w:szCs w:val="28"/>
              <w:highlight w:val="none"/>
            </w:rPr>
            <w:fldChar w:fldCharType="separate"/>
          </w:r>
          <w:r>
            <w:rPr>
              <w:rFonts w:hint="eastAsia" w:ascii="宋体" w:hAnsi="宋体" w:cs="宋体"/>
              <w:color w:val="auto"/>
              <w:highlight w:val="none"/>
            </w:rPr>
            <w:t>一、响应文件封面示例</w:t>
          </w:r>
          <w:r>
            <w:rPr>
              <w:color w:val="auto"/>
              <w:highlight w:val="none"/>
            </w:rPr>
            <w:tab/>
          </w:r>
          <w:r>
            <w:rPr>
              <w:color w:val="auto"/>
              <w:highlight w:val="none"/>
            </w:rPr>
            <w:fldChar w:fldCharType="begin"/>
          </w:r>
          <w:r>
            <w:rPr>
              <w:color w:val="auto"/>
              <w:highlight w:val="none"/>
            </w:rPr>
            <w:instrText xml:space="preserve"> PAGEREF _Toc30560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i/>
              <w:color w:val="auto"/>
              <w:szCs w:val="28"/>
              <w:highlight w:val="none"/>
            </w:rPr>
            <w:fldChar w:fldCharType="end"/>
          </w:r>
        </w:p>
        <w:p w14:paraId="5F9B41EA">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_Toc2215 </w:instrText>
          </w:r>
          <w:r>
            <w:rPr>
              <w:rFonts w:hint="eastAsia" w:ascii="宋体" w:hAnsi="宋体" w:eastAsia="宋体" w:cs="宋体"/>
              <w:i/>
              <w:color w:val="auto"/>
              <w:szCs w:val="28"/>
              <w:highlight w:val="none"/>
            </w:rPr>
            <w:fldChar w:fldCharType="separate"/>
          </w:r>
          <w:r>
            <w:rPr>
              <w:rFonts w:hint="eastAsia" w:ascii="NTAFTU+ËÎÌå" w:hAnsi="NTAFTU+ËÎÌå" w:cs="NTAFTU+ËÎÌå"/>
              <w:color w:val="auto"/>
              <w:szCs w:val="22"/>
              <w:highlight w:val="none"/>
            </w:rPr>
            <w:t>二</w:t>
          </w:r>
          <w:r>
            <w:rPr>
              <w:rFonts w:ascii="NTAFTU+ËÎÌå" w:hAnsi="NTAFTU+ËÎÌå" w:cs="NTAFTU+ËÎÌå"/>
              <w:color w:val="auto"/>
              <w:szCs w:val="22"/>
              <w:highlight w:val="none"/>
            </w:rPr>
            <w:t>、资格证明文件封面</w:t>
          </w:r>
          <w:r>
            <w:rPr>
              <w:color w:val="auto"/>
              <w:highlight w:val="none"/>
            </w:rPr>
            <w:tab/>
          </w:r>
          <w:r>
            <w:rPr>
              <w:color w:val="auto"/>
              <w:highlight w:val="none"/>
            </w:rPr>
            <w:fldChar w:fldCharType="begin"/>
          </w:r>
          <w:r>
            <w:rPr>
              <w:color w:val="auto"/>
              <w:highlight w:val="none"/>
            </w:rPr>
            <w:instrText xml:space="preserve"> PAGEREF _Toc2215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i/>
              <w:color w:val="auto"/>
              <w:szCs w:val="28"/>
              <w:highlight w:val="none"/>
            </w:rPr>
            <w:fldChar w:fldCharType="end"/>
          </w:r>
        </w:p>
        <w:p w14:paraId="5C187AE6">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_Toc20817 </w:instrText>
          </w:r>
          <w:r>
            <w:rPr>
              <w:rFonts w:hint="eastAsia" w:ascii="宋体" w:hAnsi="宋体" w:eastAsia="宋体" w:cs="宋体"/>
              <w:i/>
              <w:color w:val="auto"/>
              <w:szCs w:val="28"/>
              <w:highlight w:val="none"/>
            </w:rPr>
            <w:fldChar w:fldCharType="separate"/>
          </w:r>
          <w:r>
            <w:rPr>
              <w:color w:val="auto"/>
              <w:szCs w:val="24"/>
              <w:highlight w:val="none"/>
            </w:rPr>
            <w:t>三、营业执照</w:t>
          </w:r>
          <w:r>
            <w:rPr>
              <w:color w:val="auto"/>
              <w:highlight w:val="none"/>
            </w:rPr>
            <w:tab/>
          </w:r>
          <w:r>
            <w:rPr>
              <w:color w:val="auto"/>
              <w:highlight w:val="none"/>
            </w:rPr>
            <w:fldChar w:fldCharType="begin"/>
          </w:r>
          <w:r>
            <w:rPr>
              <w:color w:val="auto"/>
              <w:highlight w:val="none"/>
            </w:rPr>
            <w:instrText xml:space="preserve"> PAGEREF _Toc20817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i/>
              <w:color w:val="auto"/>
              <w:szCs w:val="28"/>
              <w:highlight w:val="none"/>
            </w:rPr>
            <w:fldChar w:fldCharType="end"/>
          </w:r>
        </w:p>
        <w:p w14:paraId="370A830F">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_Toc16887 </w:instrText>
          </w:r>
          <w:r>
            <w:rPr>
              <w:rFonts w:hint="eastAsia" w:ascii="宋体" w:hAnsi="宋体" w:eastAsia="宋体" w:cs="宋体"/>
              <w:i/>
              <w:color w:val="auto"/>
              <w:szCs w:val="28"/>
              <w:highlight w:val="none"/>
            </w:rPr>
            <w:fldChar w:fldCharType="separate"/>
          </w:r>
          <w:r>
            <w:rPr>
              <w:color w:val="auto"/>
              <w:szCs w:val="24"/>
              <w:highlight w:val="none"/>
            </w:rPr>
            <w:t>四、法定代表人</w:t>
          </w:r>
          <w:r>
            <w:rPr>
              <w:rFonts w:hint="eastAsia"/>
              <w:color w:val="auto"/>
              <w:szCs w:val="24"/>
              <w:highlight w:val="none"/>
            </w:rPr>
            <w:t>身份证明</w:t>
          </w:r>
          <w:r>
            <w:rPr>
              <w:color w:val="auto"/>
              <w:highlight w:val="none"/>
            </w:rPr>
            <w:tab/>
          </w:r>
          <w:r>
            <w:rPr>
              <w:color w:val="auto"/>
              <w:highlight w:val="none"/>
            </w:rPr>
            <w:fldChar w:fldCharType="begin"/>
          </w:r>
          <w:r>
            <w:rPr>
              <w:color w:val="auto"/>
              <w:highlight w:val="none"/>
            </w:rPr>
            <w:instrText xml:space="preserve"> PAGEREF _Toc16887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i/>
              <w:color w:val="auto"/>
              <w:szCs w:val="28"/>
              <w:highlight w:val="none"/>
            </w:rPr>
            <w:fldChar w:fldCharType="end"/>
          </w:r>
        </w:p>
        <w:p w14:paraId="1DFAD738">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_Toc9605 </w:instrText>
          </w:r>
          <w:r>
            <w:rPr>
              <w:rFonts w:hint="eastAsia" w:ascii="宋体" w:hAnsi="宋体" w:eastAsia="宋体" w:cs="宋体"/>
              <w:i/>
              <w:color w:val="auto"/>
              <w:szCs w:val="28"/>
              <w:highlight w:val="none"/>
            </w:rPr>
            <w:fldChar w:fldCharType="separate"/>
          </w:r>
          <w:r>
            <w:rPr>
              <w:color w:val="auto"/>
              <w:szCs w:val="24"/>
              <w:highlight w:val="none"/>
            </w:rPr>
            <w:t>五</w:t>
          </w:r>
          <w:r>
            <w:rPr>
              <w:rFonts w:hint="eastAsia"/>
              <w:color w:val="auto"/>
              <w:szCs w:val="24"/>
              <w:highlight w:val="none"/>
            </w:rPr>
            <w:t>．</w:t>
          </w:r>
          <w:r>
            <w:rPr>
              <w:color w:val="auto"/>
              <w:szCs w:val="24"/>
              <w:highlight w:val="none"/>
            </w:rPr>
            <w:t>法定代表人授权委托书</w:t>
          </w:r>
          <w:r>
            <w:rPr>
              <w:color w:val="auto"/>
              <w:highlight w:val="none"/>
            </w:rPr>
            <w:tab/>
          </w:r>
          <w:r>
            <w:rPr>
              <w:color w:val="auto"/>
              <w:highlight w:val="none"/>
            </w:rPr>
            <w:fldChar w:fldCharType="begin"/>
          </w:r>
          <w:r>
            <w:rPr>
              <w:color w:val="auto"/>
              <w:highlight w:val="none"/>
            </w:rPr>
            <w:instrText xml:space="preserve"> PAGEREF _Toc9605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i/>
              <w:color w:val="auto"/>
              <w:szCs w:val="28"/>
              <w:highlight w:val="none"/>
            </w:rPr>
            <w:fldChar w:fldCharType="end"/>
          </w:r>
        </w:p>
        <w:p w14:paraId="1067C6E6">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_Toc11393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七、</w:t>
          </w:r>
          <w:r>
            <w:rPr>
              <w:rFonts w:hAnsi="Calibri" w:asciiTheme="minorHAnsi"/>
              <w:color w:val="auto"/>
              <w:szCs w:val="24"/>
              <w:highlight w:val="none"/>
            </w:rPr>
            <w:t xml:space="preserve"> </w:t>
          </w:r>
          <w:r>
            <w:rPr>
              <w:rFonts w:asciiTheme="minorHAnsi"/>
              <w:color w:val="auto"/>
              <w:szCs w:val="24"/>
              <w:highlight w:val="none"/>
            </w:rPr>
            <w:t>反商业贿赂承诺书</w:t>
          </w:r>
          <w:r>
            <w:rPr>
              <w:color w:val="auto"/>
              <w:highlight w:val="none"/>
            </w:rPr>
            <w:tab/>
          </w:r>
          <w:r>
            <w:rPr>
              <w:color w:val="auto"/>
              <w:highlight w:val="none"/>
            </w:rPr>
            <w:fldChar w:fldCharType="begin"/>
          </w:r>
          <w:r>
            <w:rPr>
              <w:color w:val="auto"/>
              <w:highlight w:val="none"/>
            </w:rPr>
            <w:instrText xml:space="preserve"> PAGEREF _Toc11393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eastAsia="宋体" w:cs="宋体"/>
              <w:i/>
              <w:color w:val="auto"/>
              <w:szCs w:val="28"/>
              <w:highlight w:val="none"/>
            </w:rPr>
            <w:fldChar w:fldCharType="end"/>
          </w:r>
        </w:p>
        <w:p w14:paraId="121D190F">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_Toc4413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八、参加政府采购活动前三年内在经营活动中无重大违法记录的书面声明</w:t>
          </w:r>
          <w:r>
            <w:rPr>
              <w:color w:val="auto"/>
              <w:highlight w:val="none"/>
            </w:rPr>
            <w:tab/>
          </w:r>
          <w:r>
            <w:rPr>
              <w:color w:val="auto"/>
              <w:highlight w:val="none"/>
            </w:rPr>
            <w:fldChar w:fldCharType="begin"/>
          </w:r>
          <w:r>
            <w:rPr>
              <w:color w:val="auto"/>
              <w:highlight w:val="none"/>
            </w:rPr>
            <w:instrText xml:space="preserve"> PAGEREF _Toc4413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i/>
              <w:color w:val="auto"/>
              <w:szCs w:val="28"/>
              <w:highlight w:val="none"/>
            </w:rPr>
            <w:fldChar w:fldCharType="end"/>
          </w:r>
        </w:p>
        <w:p w14:paraId="3CB5E4CC">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_Toc531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九</w:t>
          </w:r>
          <w:r>
            <w:rPr>
              <w:rFonts w:hint="eastAsia" w:asciiTheme="minorHAnsi"/>
              <w:color w:val="auto"/>
              <w:szCs w:val="24"/>
              <w:highlight w:val="none"/>
            </w:rPr>
            <w:t>、 响应函</w:t>
          </w:r>
          <w:r>
            <w:rPr>
              <w:color w:val="auto"/>
              <w:highlight w:val="none"/>
            </w:rPr>
            <w:tab/>
          </w:r>
          <w:r>
            <w:rPr>
              <w:color w:val="auto"/>
              <w:highlight w:val="none"/>
            </w:rPr>
            <w:fldChar w:fldCharType="begin"/>
          </w:r>
          <w:r>
            <w:rPr>
              <w:color w:val="auto"/>
              <w:highlight w:val="none"/>
            </w:rPr>
            <w:instrText xml:space="preserve"> PAGEREF _Toc531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i/>
              <w:color w:val="auto"/>
              <w:szCs w:val="28"/>
              <w:highlight w:val="none"/>
            </w:rPr>
            <w:fldChar w:fldCharType="end"/>
          </w:r>
        </w:p>
        <w:p w14:paraId="3C69FCA0">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_Toc20642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十、报价表 （开标一览表）</w:t>
          </w:r>
          <w:r>
            <w:rPr>
              <w:color w:val="auto"/>
              <w:highlight w:val="none"/>
            </w:rPr>
            <w:tab/>
          </w:r>
          <w:r>
            <w:rPr>
              <w:color w:val="auto"/>
              <w:highlight w:val="none"/>
            </w:rPr>
            <w:fldChar w:fldCharType="begin"/>
          </w:r>
          <w:r>
            <w:rPr>
              <w:color w:val="auto"/>
              <w:highlight w:val="none"/>
            </w:rPr>
            <w:instrText xml:space="preserve"> PAGEREF _Toc20642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i/>
              <w:color w:val="auto"/>
              <w:szCs w:val="28"/>
              <w:highlight w:val="none"/>
            </w:rPr>
            <w:fldChar w:fldCharType="end"/>
          </w:r>
        </w:p>
        <w:p w14:paraId="66363D8D">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_Toc18221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color w:val="auto"/>
              <w:szCs w:val="24"/>
              <w:highlight w:val="none"/>
              <w:lang w:val="en-US" w:eastAsia="zh-CN"/>
            </w:rPr>
            <w:t>一</w:t>
          </w:r>
          <w:r>
            <w:rPr>
              <w:rFonts w:hint="eastAsia" w:asciiTheme="minorHAnsi"/>
              <w:color w:val="auto"/>
              <w:szCs w:val="24"/>
              <w:highlight w:val="none"/>
            </w:rPr>
            <w:t>、业绩资料</w:t>
          </w:r>
          <w:r>
            <w:rPr>
              <w:color w:val="auto"/>
              <w:highlight w:val="none"/>
            </w:rPr>
            <w:tab/>
          </w:r>
          <w:r>
            <w:rPr>
              <w:color w:val="auto"/>
              <w:highlight w:val="none"/>
            </w:rPr>
            <w:fldChar w:fldCharType="begin"/>
          </w:r>
          <w:r>
            <w:rPr>
              <w:color w:val="auto"/>
              <w:highlight w:val="none"/>
            </w:rPr>
            <w:instrText xml:space="preserve"> PAGEREF _Toc18221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eastAsia="宋体" w:cs="宋体"/>
              <w:i/>
              <w:color w:val="auto"/>
              <w:szCs w:val="28"/>
              <w:highlight w:val="none"/>
            </w:rPr>
            <w:fldChar w:fldCharType="end"/>
          </w:r>
        </w:p>
        <w:p w14:paraId="6D81FFF0">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_Toc11411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二</w:t>
          </w:r>
          <w:r>
            <w:rPr>
              <w:rFonts w:hint="eastAsia" w:asciiTheme="minorHAnsi"/>
              <w:color w:val="auto"/>
              <w:szCs w:val="24"/>
              <w:highlight w:val="none"/>
            </w:rPr>
            <w:t>、商务响应/偏离表</w:t>
          </w:r>
          <w:r>
            <w:rPr>
              <w:color w:val="auto"/>
              <w:highlight w:val="none"/>
            </w:rPr>
            <w:tab/>
          </w:r>
          <w:r>
            <w:rPr>
              <w:color w:val="auto"/>
              <w:highlight w:val="none"/>
            </w:rPr>
            <w:fldChar w:fldCharType="begin"/>
          </w:r>
          <w:r>
            <w:rPr>
              <w:color w:val="auto"/>
              <w:highlight w:val="none"/>
            </w:rPr>
            <w:instrText xml:space="preserve"> PAGEREF _Toc11411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i/>
              <w:color w:val="auto"/>
              <w:szCs w:val="28"/>
              <w:highlight w:val="none"/>
            </w:rPr>
            <w:fldChar w:fldCharType="end"/>
          </w:r>
        </w:p>
        <w:p w14:paraId="152FC6A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_Toc4668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三</w:t>
          </w:r>
          <w:r>
            <w:rPr>
              <w:rFonts w:hint="eastAsia" w:asciiTheme="minorHAnsi"/>
              <w:color w:val="auto"/>
              <w:szCs w:val="24"/>
              <w:highlight w:val="none"/>
            </w:rPr>
            <w:t>、其他证明文件</w:t>
          </w:r>
          <w:r>
            <w:rPr>
              <w:color w:val="auto"/>
              <w:highlight w:val="none"/>
            </w:rPr>
            <w:tab/>
          </w:r>
          <w:r>
            <w:rPr>
              <w:color w:val="auto"/>
              <w:highlight w:val="none"/>
            </w:rPr>
            <w:fldChar w:fldCharType="begin"/>
          </w:r>
          <w:r>
            <w:rPr>
              <w:color w:val="auto"/>
              <w:highlight w:val="none"/>
            </w:rPr>
            <w:instrText xml:space="preserve"> PAGEREF _Toc4668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i/>
              <w:color w:val="auto"/>
              <w:szCs w:val="28"/>
              <w:highlight w:val="none"/>
            </w:rPr>
            <w:fldChar w:fldCharType="end"/>
          </w:r>
        </w:p>
        <w:p w14:paraId="1CF35EBA">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_Toc3302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四</w:t>
          </w:r>
          <w:r>
            <w:rPr>
              <w:rFonts w:hint="eastAsia" w:asciiTheme="minorHAnsi"/>
              <w:color w:val="auto"/>
              <w:szCs w:val="24"/>
              <w:highlight w:val="none"/>
            </w:rPr>
            <w:t>、分项价格表</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_Toc3302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i/>
              <w:color w:val="auto"/>
              <w:szCs w:val="28"/>
              <w:highlight w:val="none"/>
            </w:rPr>
            <w:fldChar w:fldCharType="end"/>
          </w:r>
        </w:p>
        <w:p w14:paraId="527C48BC">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_Toc4718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五</w:t>
          </w:r>
          <w:r>
            <w:rPr>
              <w:rFonts w:hint="eastAsia" w:asciiTheme="minorHAnsi"/>
              <w:color w:val="auto"/>
              <w:szCs w:val="24"/>
              <w:highlight w:val="none"/>
            </w:rPr>
            <w:t xml:space="preserve">、拟投入主要设备  </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_Toc4718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i/>
              <w:color w:val="auto"/>
              <w:szCs w:val="28"/>
              <w:highlight w:val="none"/>
            </w:rPr>
            <w:fldChar w:fldCharType="end"/>
          </w:r>
        </w:p>
        <w:p w14:paraId="15556EB8">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_Toc30708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六</w:t>
          </w:r>
          <w:r>
            <w:rPr>
              <w:rFonts w:hint="eastAsia" w:asciiTheme="minorHAnsi"/>
              <w:color w:val="auto"/>
              <w:szCs w:val="24"/>
              <w:highlight w:val="none"/>
            </w:rPr>
            <w:t>、技术响应/偏离表</w:t>
          </w:r>
          <w:r>
            <w:rPr>
              <w:color w:val="auto"/>
              <w:highlight w:val="none"/>
            </w:rPr>
            <w:tab/>
          </w:r>
          <w:r>
            <w:rPr>
              <w:color w:val="auto"/>
              <w:highlight w:val="none"/>
            </w:rPr>
            <w:fldChar w:fldCharType="begin"/>
          </w:r>
          <w:r>
            <w:rPr>
              <w:color w:val="auto"/>
              <w:highlight w:val="none"/>
            </w:rPr>
            <w:instrText xml:space="preserve"> PAGEREF _Toc30708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eastAsia="宋体" w:cs="宋体"/>
              <w:i/>
              <w:color w:val="auto"/>
              <w:szCs w:val="28"/>
              <w:highlight w:val="none"/>
            </w:rPr>
            <w:fldChar w:fldCharType="end"/>
          </w:r>
        </w:p>
        <w:p w14:paraId="07BB7F5D">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_Toc8439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十七</w:t>
          </w:r>
          <w:r>
            <w:rPr>
              <w:rFonts w:hint="eastAsia" w:asciiTheme="minorHAnsi"/>
              <w:color w:val="auto"/>
              <w:szCs w:val="24"/>
              <w:highlight w:val="none"/>
            </w:rPr>
            <w:t>、项目负责人</w:t>
          </w:r>
          <w:r>
            <w:rPr>
              <w:color w:val="auto"/>
              <w:highlight w:val="none"/>
            </w:rPr>
            <w:tab/>
          </w:r>
          <w:r>
            <w:rPr>
              <w:color w:val="auto"/>
              <w:highlight w:val="none"/>
            </w:rPr>
            <w:fldChar w:fldCharType="begin"/>
          </w:r>
          <w:r>
            <w:rPr>
              <w:color w:val="auto"/>
              <w:highlight w:val="none"/>
            </w:rPr>
            <w:instrText xml:space="preserve"> PAGEREF _Toc8439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eastAsia="宋体" w:cs="宋体"/>
              <w:i/>
              <w:color w:val="auto"/>
              <w:szCs w:val="28"/>
              <w:highlight w:val="none"/>
            </w:rPr>
            <w:fldChar w:fldCharType="end"/>
          </w:r>
        </w:p>
        <w:p w14:paraId="443E3D27">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_Toc9565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十八</w:t>
          </w:r>
          <w:r>
            <w:rPr>
              <w:rFonts w:hint="eastAsia" w:asciiTheme="minorHAnsi"/>
              <w:color w:val="auto"/>
              <w:szCs w:val="24"/>
              <w:highlight w:val="none"/>
            </w:rPr>
            <w:t xml:space="preserve">、拟投入本项目的主要成员表 </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_Toc9565 \h </w:instrText>
          </w:r>
          <w:r>
            <w:rPr>
              <w:color w:val="auto"/>
              <w:highlight w:val="none"/>
            </w:rPr>
            <w:fldChar w:fldCharType="separate"/>
          </w:r>
          <w:r>
            <w:rPr>
              <w:color w:val="auto"/>
              <w:highlight w:val="none"/>
            </w:rPr>
            <w:t>79</w:t>
          </w:r>
          <w:r>
            <w:rPr>
              <w:color w:val="auto"/>
              <w:highlight w:val="none"/>
            </w:rPr>
            <w:fldChar w:fldCharType="end"/>
          </w:r>
          <w:r>
            <w:rPr>
              <w:rFonts w:hint="eastAsia" w:ascii="宋体" w:hAnsi="宋体" w:eastAsia="宋体" w:cs="宋体"/>
              <w:i/>
              <w:color w:val="auto"/>
              <w:szCs w:val="28"/>
              <w:highlight w:val="none"/>
            </w:rPr>
            <w:fldChar w:fldCharType="end"/>
          </w:r>
        </w:p>
        <w:p w14:paraId="70949825">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_Toc13644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九</w:t>
          </w:r>
          <w:r>
            <w:rPr>
              <w:rFonts w:hint="eastAsia" w:asciiTheme="minorHAnsi"/>
              <w:color w:val="auto"/>
              <w:szCs w:val="24"/>
              <w:highlight w:val="none"/>
            </w:rPr>
            <w:t>、重大违法记录的声明函</w:t>
          </w:r>
          <w:r>
            <w:rPr>
              <w:color w:val="auto"/>
              <w:highlight w:val="none"/>
            </w:rPr>
            <w:tab/>
          </w:r>
          <w:r>
            <w:rPr>
              <w:color w:val="auto"/>
              <w:highlight w:val="none"/>
            </w:rPr>
            <w:fldChar w:fldCharType="begin"/>
          </w:r>
          <w:r>
            <w:rPr>
              <w:color w:val="auto"/>
              <w:highlight w:val="none"/>
            </w:rPr>
            <w:instrText xml:space="preserve"> PAGEREF _Toc13644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eastAsia="宋体" w:cs="宋体"/>
              <w:i/>
              <w:color w:val="auto"/>
              <w:szCs w:val="28"/>
              <w:highlight w:val="none"/>
            </w:rPr>
            <w:fldChar w:fldCharType="end"/>
          </w:r>
        </w:p>
        <w:p w14:paraId="078482F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_Toc7120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二十、</w:t>
          </w:r>
          <w:r>
            <w:rPr>
              <w:rFonts w:hint="eastAsia" w:asciiTheme="minorHAnsi"/>
              <w:bCs/>
              <w:color w:val="auto"/>
              <w:highlight w:val="none"/>
            </w:rPr>
            <w:t>中小企业声明函</w:t>
          </w:r>
          <w:r>
            <w:rPr>
              <w:color w:val="auto"/>
              <w:highlight w:val="none"/>
            </w:rPr>
            <w:tab/>
          </w:r>
          <w:r>
            <w:rPr>
              <w:color w:val="auto"/>
              <w:highlight w:val="none"/>
            </w:rPr>
            <w:fldChar w:fldCharType="begin"/>
          </w:r>
          <w:r>
            <w:rPr>
              <w:color w:val="auto"/>
              <w:highlight w:val="none"/>
            </w:rPr>
            <w:instrText xml:space="preserve"> PAGEREF _Toc7120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eastAsia="宋体" w:cs="宋体"/>
              <w:i/>
              <w:color w:val="auto"/>
              <w:szCs w:val="28"/>
              <w:highlight w:val="none"/>
            </w:rPr>
            <w:fldChar w:fldCharType="end"/>
          </w:r>
        </w:p>
        <w:p w14:paraId="1126B78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_Toc20055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二十</w:t>
          </w:r>
          <w:r>
            <w:rPr>
              <w:rFonts w:hint="eastAsia"/>
              <w:color w:val="auto"/>
              <w:szCs w:val="24"/>
              <w:highlight w:val="none"/>
              <w:lang w:val="en-US" w:eastAsia="zh-CN"/>
            </w:rPr>
            <w:t>一</w:t>
          </w:r>
          <w:r>
            <w:rPr>
              <w:rFonts w:asciiTheme="minorHAnsi"/>
              <w:color w:val="auto"/>
              <w:szCs w:val="24"/>
              <w:highlight w:val="none"/>
            </w:rPr>
            <w:t>、其他文件</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_Toc20055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eastAsia="宋体" w:cs="宋体"/>
              <w:i/>
              <w:color w:val="auto"/>
              <w:szCs w:val="28"/>
              <w:highlight w:val="none"/>
            </w:rPr>
            <w:fldChar w:fldCharType="end"/>
          </w:r>
        </w:p>
        <w:p w14:paraId="642B2690">
          <w:pPr>
            <w:pageBreakBefore w:val="0"/>
            <w:kinsoku/>
            <w:wordWrap/>
            <w:overflowPunct/>
            <w:topLinePunct w:val="0"/>
            <w:bidi w:val="0"/>
            <w:adjustRightInd w:val="0"/>
            <w:snapToGrid w:val="0"/>
            <w:spacing w:line="360" w:lineRule="auto"/>
            <w:jc w:val="center"/>
            <w:rPr>
              <w:rFonts w:ascii="宋体" w:hAnsi="宋体" w:eastAsia="宋体" w:cs="宋体"/>
              <w:color w:val="auto"/>
              <w:sz w:val="28"/>
              <w:szCs w:val="28"/>
              <w:highlight w:val="none"/>
            </w:rPr>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pPr>
          <w:r>
            <w:rPr>
              <w:rFonts w:hint="eastAsia" w:ascii="宋体" w:hAnsi="宋体" w:eastAsia="宋体" w:cs="宋体"/>
              <w:i/>
              <w:color w:val="auto"/>
              <w:szCs w:val="28"/>
              <w:highlight w:val="none"/>
            </w:rPr>
            <w:fldChar w:fldCharType="end"/>
          </w:r>
        </w:p>
      </w:sdtContent>
    </w:sdt>
    <w:p w14:paraId="1A7D724B">
      <w:pPr>
        <w:jc w:val="center"/>
        <w:rPr>
          <w:rFonts w:hint="default" w:eastAsia="宋体"/>
          <w:color w:val="auto"/>
          <w:sz w:val="24"/>
          <w:highlight w:val="none"/>
          <w:lang w:val="en-US" w:eastAsia="zh-CN"/>
        </w:rPr>
      </w:pPr>
      <w:r>
        <w:rPr>
          <w:rFonts w:hint="eastAsia" w:ascii="宋体" w:hAnsi="宋体" w:eastAsia="宋体" w:cs="宋体"/>
          <w:color w:val="auto"/>
          <w:spacing w:val="2"/>
          <w:kern w:val="0"/>
          <w:sz w:val="32"/>
          <w:szCs w:val="22"/>
          <w:highlight w:val="none"/>
          <w:lang w:val="en-US" w:eastAsia="zh-CN"/>
        </w:rPr>
        <w:t>天山区东门街道区域养老服务中心改造项目（监理）竞争性磋商公告</w:t>
      </w:r>
    </w:p>
    <w:p w14:paraId="7118B37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项目概况</w:t>
      </w:r>
    </w:p>
    <w:p w14:paraId="18838679">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lang w:eastAsia="zh-CN"/>
        </w:rPr>
        <w:t>天山区东门街道区域养老服务中心改造项目（监理）</w:t>
      </w:r>
      <w:r>
        <w:rPr>
          <w:rFonts w:hint="eastAsia"/>
          <w:color w:val="auto"/>
          <w:sz w:val="24"/>
          <w:highlight w:val="none"/>
        </w:rPr>
        <w:t>的潜在投标人应在供应商登录政采云平台https://www.zcygov.cn/在线申请获取招标文件（进入“项目采购”应用，在获取采购文件菜单中选择项目，申请免费获取招标文件。）获取招标文件，并于202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07</w:t>
      </w:r>
      <w:r>
        <w:rPr>
          <w:rFonts w:hint="eastAsia"/>
          <w:color w:val="auto"/>
          <w:sz w:val="24"/>
          <w:highlight w:val="none"/>
        </w:rPr>
        <w:t>月</w:t>
      </w:r>
      <w:r>
        <w:rPr>
          <w:rFonts w:hint="eastAsia"/>
          <w:color w:val="auto"/>
          <w:sz w:val="24"/>
          <w:highlight w:val="none"/>
          <w:lang w:val="en-US" w:eastAsia="zh-CN"/>
        </w:rPr>
        <w:t>21</w:t>
      </w:r>
      <w:r>
        <w:rPr>
          <w:rFonts w:hint="eastAsia"/>
          <w:color w:val="auto"/>
          <w:sz w:val="24"/>
          <w:highlight w:val="none"/>
        </w:rPr>
        <w:t>日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0（北京时间）前递交投标文件。</w:t>
      </w:r>
    </w:p>
    <w:p w14:paraId="1775E64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p>
    <w:p w14:paraId="0EB31EE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一、项目基本情况</w:t>
      </w:r>
    </w:p>
    <w:p w14:paraId="50876F43">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sz w:val="24"/>
          <w:highlight w:val="none"/>
          <w:lang w:val="en-US" w:eastAsia="zh-CN"/>
        </w:rPr>
      </w:pPr>
      <w:r>
        <w:rPr>
          <w:rFonts w:hint="eastAsia"/>
          <w:color w:val="auto"/>
          <w:sz w:val="24"/>
          <w:highlight w:val="none"/>
        </w:rPr>
        <w:t>项目编号：</w:t>
      </w:r>
      <w:r>
        <w:rPr>
          <w:rFonts w:hint="eastAsia"/>
          <w:color w:val="auto"/>
          <w:sz w:val="24"/>
          <w:highlight w:val="none"/>
          <w:lang w:eastAsia="zh-CN"/>
        </w:rPr>
        <w:t>ZDJD2025-CS-019</w:t>
      </w:r>
    </w:p>
    <w:p w14:paraId="4B377D71">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sz w:val="24"/>
          <w:highlight w:val="none"/>
          <w:lang w:eastAsia="zh-CN"/>
        </w:rPr>
      </w:pPr>
      <w:r>
        <w:rPr>
          <w:rFonts w:hint="eastAsia"/>
          <w:color w:val="auto"/>
          <w:sz w:val="24"/>
          <w:highlight w:val="none"/>
        </w:rPr>
        <w:t>项目名称：</w:t>
      </w:r>
      <w:r>
        <w:rPr>
          <w:rFonts w:hint="eastAsia"/>
          <w:color w:val="auto"/>
          <w:sz w:val="24"/>
          <w:highlight w:val="none"/>
          <w:lang w:eastAsia="zh-CN"/>
        </w:rPr>
        <w:t>天山区东门街道区域养老服务中心改造项目（监理）</w:t>
      </w:r>
    </w:p>
    <w:p w14:paraId="2A58478A">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采购方式：</w:t>
      </w:r>
      <w:r>
        <w:rPr>
          <w:rFonts w:hint="eastAsia"/>
          <w:color w:val="auto"/>
          <w:sz w:val="24"/>
          <w:highlight w:val="none"/>
          <w:lang w:val="en-US" w:eastAsia="zh-CN"/>
        </w:rPr>
        <w:t xml:space="preserve"> 竞争性磋商</w:t>
      </w:r>
    </w:p>
    <w:p w14:paraId="2694D44C">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预算金额（元）：</w:t>
      </w:r>
      <w:r>
        <w:rPr>
          <w:rFonts w:hint="eastAsia"/>
          <w:color w:val="auto"/>
          <w:sz w:val="24"/>
          <w:highlight w:val="none"/>
          <w:lang w:val="en-US" w:eastAsia="zh-CN"/>
        </w:rPr>
        <w:t>120000</w:t>
      </w:r>
    </w:p>
    <w:p w14:paraId="42CBDAF7">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最高限价（元）：</w:t>
      </w:r>
      <w:r>
        <w:rPr>
          <w:rFonts w:hint="eastAsia"/>
          <w:color w:val="auto"/>
          <w:sz w:val="24"/>
          <w:highlight w:val="none"/>
          <w:lang w:val="en-US" w:eastAsia="zh-CN"/>
        </w:rPr>
        <w:t>120000</w:t>
      </w:r>
    </w:p>
    <w:p w14:paraId="739DD60E">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采购需求：天山区东门街道区域养老服务中心改造项目全部施工工作范围内的监理咨询工作。</w:t>
      </w:r>
    </w:p>
    <w:p w14:paraId="3E45C295">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备注：</w:t>
      </w:r>
    </w:p>
    <w:p w14:paraId="5055B51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lang w:val="en-US" w:eastAsia="zh-CN"/>
        </w:rPr>
      </w:pPr>
      <w:r>
        <w:rPr>
          <w:rFonts w:hint="eastAsia"/>
          <w:color w:val="auto"/>
          <w:sz w:val="24"/>
          <w:highlight w:val="none"/>
        </w:rPr>
        <w:t xml:space="preserve">合同履约期限：自合同签订之日至工程竣工验收、结算审计、竣工档案移交完成截止。 </w:t>
      </w:r>
    </w:p>
    <w:p w14:paraId="6355855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本项目（否）接受联合体投标。</w:t>
      </w:r>
    </w:p>
    <w:p w14:paraId="684B2BDD">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二、申请人的资格要求：</w:t>
      </w:r>
    </w:p>
    <w:p w14:paraId="400089C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1.满足《中华人民共和国政府采购法》第二十二条规定；</w:t>
      </w:r>
    </w:p>
    <w:p w14:paraId="24C2188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2.落实政府采购政策需满足的资格要求：本项目为专门面向</w:t>
      </w:r>
      <w:r>
        <w:rPr>
          <w:rFonts w:hint="eastAsia"/>
          <w:color w:val="auto"/>
          <w:sz w:val="24"/>
          <w:highlight w:val="none"/>
          <w:lang w:val="en-US" w:eastAsia="zh-CN"/>
        </w:rPr>
        <w:t>中小微</w:t>
      </w:r>
      <w:r>
        <w:rPr>
          <w:rFonts w:hint="eastAsia"/>
          <w:color w:val="auto"/>
          <w:sz w:val="24"/>
          <w:highlight w:val="none"/>
        </w:rPr>
        <w:t>企业采购的项目，投标人应均为中小微企业或监狱企业或残疾人福利性单位。</w:t>
      </w:r>
    </w:p>
    <w:p w14:paraId="7C69B952">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lang w:val="en-US" w:eastAsia="zh-CN"/>
        </w:rPr>
      </w:pPr>
      <w:r>
        <w:rPr>
          <w:rFonts w:hint="eastAsia"/>
          <w:color w:val="auto"/>
          <w:sz w:val="24"/>
          <w:highlight w:val="none"/>
        </w:rPr>
        <w:t>3.本项目的特定资格要求：</w:t>
      </w:r>
      <w:r>
        <w:rPr>
          <w:rFonts w:hint="eastAsia"/>
          <w:color w:val="auto"/>
          <w:sz w:val="24"/>
          <w:highlight w:val="none"/>
          <w:lang w:val="en-US" w:eastAsia="zh-CN"/>
        </w:rPr>
        <w:t>（1）供应商提供有效的资质证书且具备工程监理综合资质或房屋建筑工程（专业类监理企业资质）丙级及以上资质，加盖公章。</w:t>
      </w:r>
    </w:p>
    <w:p w14:paraId="685590AD">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highlight w:val="none"/>
          <w:lang w:val="en-US" w:eastAsia="zh-CN"/>
        </w:rPr>
      </w:pPr>
      <w:r>
        <w:rPr>
          <w:rFonts w:hint="eastAsia"/>
          <w:color w:val="auto"/>
          <w:sz w:val="24"/>
          <w:highlight w:val="none"/>
          <w:lang w:val="en-US" w:eastAsia="zh-CN"/>
        </w:rPr>
        <w:t>（2）供应商提供项目总监的国家注册监理工程师注册证书（房屋建筑工程专业），本单位注册，且在有效期内；现阶段在监项目少于三项。（须提供承诺）</w:t>
      </w:r>
    </w:p>
    <w:p w14:paraId="575A352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三、获取招标文件</w:t>
      </w:r>
    </w:p>
    <w:p w14:paraId="34EB0EE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时间：202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07</w:t>
      </w:r>
      <w:r>
        <w:rPr>
          <w:rFonts w:hint="eastAsia"/>
          <w:color w:val="auto"/>
          <w:sz w:val="24"/>
          <w:highlight w:val="none"/>
        </w:rPr>
        <w:t>月</w:t>
      </w:r>
      <w:r>
        <w:rPr>
          <w:rFonts w:hint="eastAsia"/>
          <w:color w:val="auto"/>
          <w:sz w:val="24"/>
          <w:highlight w:val="none"/>
          <w:lang w:val="en-US" w:eastAsia="zh-CN"/>
        </w:rPr>
        <w:t>09</w:t>
      </w:r>
      <w:r>
        <w:rPr>
          <w:rFonts w:hint="eastAsia"/>
          <w:color w:val="auto"/>
          <w:sz w:val="24"/>
          <w:highlight w:val="none"/>
        </w:rPr>
        <w:t>日至202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07</w:t>
      </w:r>
      <w:r>
        <w:rPr>
          <w:rFonts w:hint="eastAsia"/>
          <w:color w:val="auto"/>
          <w:sz w:val="24"/>
          <w:highlight w:val="none"/>
        </w:rPr>
        <w:t>月</w:t>
      </w:r>
      <w:r>
        <w:rPr>
          <w:rFonts w:hint="eastAsia"/>
          <w:color w:val="auto"/>
          <w:sz w:val="24"/>
          <w:highlight w:val="none"/>
          <w:lang w:val="en-US" w:eastAsia="zh-CN"/>
        </w:rPr>
        <w:t>16</w:t>
      </w:r>
      <w:r>
        <w:rPr>
          <w:rFonts w:hint="eastAsia"/>
          <w:color w:val="auto"/>
          <w:sz w:val="24"/>
          <w:highlight w:val="none"/>
        </w:rPr>
        <w:t>日，每天上午00:00至12:00，下午12:00至</w:t>
      </w:r>
      <w:r>
        <w:rPr>
          <w:rFonts w:hint="eastAsia"/>
          <w:color w:val="auto"/>
          <w:sz w:val="24"/>
          <w:highlight w:val="none"/>
          <w:lang w:val="en-US" w:eastAsia="zh-CN"/>
        </w:rPr>
        <w:t>23</w:t>
      </w:r>
      <w:r>
        <w:rPr>
          <w:rFonts w:hint="eastAsia"/>
          <w:color w:val="auto"/>
          <w:sz w:val="24"/>
          <w:highlight w:val="none"/>
        </w:rPr>
        <w:t>:</w:t>
      </w:r>
      <w:r>
        <w:rPr>
          <w:rFonts w:hint="eastAsia"/>
          <w:color w:val="auto"/>
          <w:sz w:val="24"/>
          <w:highlight w:val="none"/>
          <w:lang w:val="en-US" w:eastAsia="zh-CN"/>
        </w:rPr>
        <w:t>59</w:t>
      </w:r>
      <w:r>
        <w:rPr>
          <w:rFonts w:hint="eastAsia"/>
          <w:color w:val="auto"/>
          <w:sz w:val="24"/>
          <w:highlight w:val="none"/>
        </w:rPr>
        <w:t>（北京时间）</w:t>
      </w:r>
    </w:p>
    <w:p w14:paraId="0F51310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地点：供应商登录政采云平台https://www.zcygov.cn/在线申请获取招标文件（进入“项目采购”应用，在获取采购文件菜单中选择项目，申请免费获取招标文件。）</w:t>
      </w:r>
    </w:p>
    <w:p w14:paraId="536FB22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方式：供应商登录政采云平台https://www.zcygov.cn/在线申请获取采购文件（进入“项目采购”应用，在获取采购文件菜单中选择项目，申请获取采购文件）</w:t>
      </w:r>
    </w:p>
    <w:p w14:paraId="021C593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售价（元）：0</w:t>
      </w:r>
    </w:p>
    <w:p w14:paraId="267F11DD">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四、提交投标文件截止时间、开标时间和地点</w:t>
      </w:r>
    </w:p>
    <w:p w14:paraId="0D4BCC58">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提交投标文件截止时间：202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07</w:t>
      </w:r>
      <w:r>
        <w:rPr>
          <w:rFonts w:hint="eastAsia"/>
          <w:color w:val="auto"/>
          <w:sz w:val="24"/>
          <w:highlight w:val="none"/>
        </w:rPr>
        <w:t>月</w:t>
      </w:r>
      <w:r>
        <w:rPr>
          <w:rFonts w:hint="eastAsia"/>
          <w:color w:val="auto"/>
          <w:sz w:val="24"/>
          <w:highlight w:val="none"/>
          <w:lang w:val="en-US" w:eastAsia="zh-CN"/>
        </w:rPr>
        <w:t>21</w:t>
      </w:r>
      <w:r>
        <w:rPr>
          <w:rFonts w:hint="eastAsia"/>
          <w:color w:val="auto"/>
          <w:sz w:val="24"/>
          <w:highlight w:val="none"/>
        </w:rPr>
        <w:t>日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w:t>
      </w:r>
    </w:p>
    <w:p w14:paraId="6E7B4832">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投标地点：政采云平台（https://www.zcygov.cn/）</w:t>
      </w:r>
    </w:p>
    <w:p w14:paraId="4CD75DFA">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开标时间：202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07</w:t>
      </w:r>
      <w:r>
        <w:rPr>
          <w:rFonts w:hint="eastAsia"/>
          <w:color w:val="auto"/>
          <w:sz w:val="24"/>
          <w:highlight w:val="none"/>
        </w:rPr>
        <w:t>月</w:t>
      </w:r>
      <w:r>
        <w:rPr>
          <w:rFonts w:hint="eastAsia"/>
          <w:color w:val="auto"/>
          <w:sz w:val="24"/>
          <w:highlight w:val="none"/>
          <w:lang w:val="en-US" w:eastAsia="zh-CN"/>
        </w:rPr>
        <w:t>21</w:t>
      </w:r>
      <w:r>
        <w:rPr>
          <w:rFonts w:hint="eastAsia"/>
          <w:color w:val="auto"/>
          <w:sz w:val="24"/>
          <w:highlight w:val="none"/>
        </w:rPr>
        <w:t>日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w:t>
      </w:r>
    </w:p>
    <w:p w14:paraId="3070723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开标地点：政采云平台（https://www.zcygov.cn/）</w:t>
      </w:r>
    </w:p>
    <w:p w14:paraId="3F2EC6B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五、公告期限</w:t>
      </w:r>
    </w:p>
    <w:p w14:paraId="6643CBB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自本公告发布之日起</w:t>
      </w:r>
      <w:r>
        <w:rPr>
          <w:rFonts w:hint="eastAsia"/>
          <w:color w:val="auto"/>
          <w:sz w:val="24"/>
          <w:highlight w:val="none"/>
          <w:lang w:val="en-US" w:eastAsia="zh-CN"/>
        </w:rPr>
        <w:t>3</w:t>
      </w:r>
      <w:r>
        <w:rPr>
          <w:rFonts w:hint="eastAsia"/>
          <w:color w:val="auto"/>
          <w:sz w:val="24"/>
          <w:highlight w:val="none"/>
        </w:rPr>
        <w:t>个工作日。</w:t>
      </w:r>
    </w:p>
    <w:p w14:paraId="0043C04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六、其他补充事宜</w:t>
      </w:r>
    </w:p>
    <w:p w14:paraId="3C264CC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1、本项目采用全流程不见面电子开评标，供应商需要使用CA加密设备，供应商可通过新疆数字证书认证中心官网（https://www.xjca.com.cn/）或下载“新疆政务通”APP自行进行申领。</w:t>
      </w:r>
    </w:p>
    <w:p w14:paraId="43C0672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2、本项目实行网上投标，采用加密电子投标响应文件(供应商须使用CA加密设备通过政采云电子投标客户端制作投标响应文件)。若供应商参与投标，自行承担投标一切费用。</w:t>
      </w:r>
    </w:p>
    <w:p w14:paraId="453019B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3、各投标人在开标前应确保成为新疆政府采购网正式注册入库供应商，并完成CA数字证书申领。因未注册入库、未办理CA数字证书等原因造成无法投标或投标失败等后果由供应商自行承担。</w:t>
      </w:r>
    </w:p>
    <w:p w14:paraId="6B6BA73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4、投标人将政采云电子交易客户端下载、安装完成后，可通过账号密码或CA登录客户端进行投标响应文件制作。在使用政采云投标客户端时，建议使用WIN7及以上操作系统。客户端请至政采云平台（https://login.zcygov.cn/user-login/#/login）下载专区查看，如有问题可拨打政采云客户服务热线</w:t>
      </w:r>
      <w:r>
        <w:rPr>
          <w:rFonts w:hint="eastAsia"/>
          <w:color w:val="auto"/>
          <w:sz w:val="24"/>
          <w:highlight w:val="none"/>
          <w:lang w:val="en-US" w:eastAsia="zh-CN"/>
        </w:rPr>
        <w:t>95763</w:t>
      </w:r>
      <w:r>
        <w:rPr>
          <w:rFonts w:hint="eastAsia"/>
          <w:color w:val="auto"/>
          <w:sz w:val="24"/>
          <w:highlight w:val="none"/>
        </w:rPr>
        <w:t>进行咨询。</w:t>
      </w:r>
    </w:p>
    <w:p w14:paraId="18456F02">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5、投标人在开标时须使用制作加密电子投标响应文件所使用的CA锁及电脑，电脑须提前配置好浏览器，以便开标时解锁。如因供应商自身原因导致在规定时间内无法正常解密的（如：浏览器故障、未安装相关驱动、网络故障、加密CA与解密CA不一致等），采购代理机构不予异常处理，视为供应商自动弃标。</w:t>
      </w:r>
    </w:p>
    <w:p w14:paraId="100F8E1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2739A68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特别提示：</w:t>
      </w:r>
    </w:p>
    <w:p w14:paraId="7F318C9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1、采购限额标准以上，200万元以下的货物和服务采购项目、400万元以下的工程采购项目，适宜由中小企业提供的，采购人应当专门面向中小企业采购。</w:t>
      </w:r>
    </w:p>
    <w:p w14:paraId="5349D6EA">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2、超过200万元的货物和服务采购项目、超过400万元的工程采购项目中适宜由中小企业提供的，预留该部分采购项目预算总额的30%以上专门面向中小企业采购，其中预留给小微企业的比例不低于60%。</w:t>
      </w:r>
    </w:p>
    <w:p w14:paraId="40DFDA9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8CA109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671352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七、对本次采购提出询问，请按以下方式联系</w:t>
      </w:r>
    </w:p>
    <w:p w14:paraId="44DF003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1.采购人信息</w:t>
      </w:r>
    </w:p>
    <w:p w14:paraId="3D032A8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名 称：</w:t>
      </w:r>
      <w:r>
        <w:rPr>
          <w:rFonts w:hint="eastAsia"/>
          <w:color w:val="auto"/>
          <w:sz w:val="24"/>
          <w:highlight w:val="none"/>
          <w:lang w:eastAsia="zh-CN"/>
        </w:rPr>
        <w:t>乌鲁木齐市天山区民政局</w:t>
      </w:r>
      <w:r>
        <w:rPr>
          <w:rFonts w:hint="eastAsia"/>
          <w:color w:val="auto"/>
          <w:sz w:val="24"/>
          <w:highlight w:val="none"/>
          <w:lang w:val="en-US" w:eastAsia="zh-CN"/>
        </w:rPr>
        <w:t xml:space="preserve"> </w:t>
      </w:r>
      <w:r>
        <w:rPr>
          <w:rFonts w:hint="eastAsia"/>
          <w:color w:val="auto"/>
          <w:sz w:val="24"/>
          <w:highlight w:val="none"/>
        </w:rPr>
        <w:t>　　　　　</w:t>
      </w:r>
    </w:p>
    <w:p w14:paraId="6C33886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地址：</w:t>
      </w:r>
      <w:r>
        <w:rPr>
          <w:rFonts w:hint="eastAsia"/>
          <w:color w:val="auto"/>
          <w:sz w:val="24"/>
          <w:highlight w:val="none"/>
          <w:lang w:eastAsia="zh-CN"/>
        </w:rPr>
        <w:t>天山区碱泉二街199号7层</w:t>
      </w:r>
      <w:r>
        <w:rPr>
          <w:rFonts w:hint="eastAsia"/>
          <w:color w:val="auto"/>
          <w:sz w:val="24"/>
          <w:highlight w:val="none"/>
          <w:lang w:val="en-US" w:eastAsia="zh-CN"/>
        </w:rPr>
        <w:t xml:space="preserve"> </w:t>
      </w:r>
      <w:r>
        <w:rPr>
          <w:rFonts w:hint="eastAsia"/>
          <w:color w:val="auto"/>
          <w:sz w:val="24"/>
          <w:highlight w:val="none"/>
        </w:rPr>
        <w:t>　　　　　　　</w:t>
      </w:r>
    </w:p>
    <w:p w14:paraId="5392097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联系</w:t>
      </w:r>
      <w:r>
        <w:rPr>
          <w:rFonts w:hint="eastAsia"/>
          <w:color w:val="auto"/>
          <w:sz w:val="24"/>
          <w:highlight w:val="none"/>
          <w:lang w:val="en-US" w:eastAsia="zh-CN"/>
        </w:rPr>
        <w:t>方式</w:t>
      </w:r>
      <w:r>
        <w:rPr>
          <w:rFonts w:hint="eastAsia"/>
          <w:color w:val="auto"/>
          <w:sz w:val="24"/>
          <w:highlight w:val="none"/>
        </w:rPr>
        <w:t>：</w:t>
      </w:r>
      <w:r>
        <w:rPr>
          <w:rFonts w:hint="eastAsia"/>
          <w:color w:val="auto"/>
          <w:sz w:val="24"/>
          <w:highlight w:val="none"/>
          <w:lang w:eastAsia="zh-CN"/>
        </w:rPr>
        <w:t>刘秧</w:t>
      </w:r>
      <w:r>
        <w:rPr>
          <w:rFonts w:hint="eastAsia"/>
          <w:color w:val="auto"/>
          <w:sz w:val="24"/>
          <w:highlight w:val="none"/>
          <w:lang w:val="en-US" w:eastAsia="zh-CN"/>
        </w:rPr>
        <w:t xml:space="preserve"> 0991-8885762 </w:t>
      </w:r>
      <w:r>
        <w:rPr>
          <w:rFonts w:hint="eastAsia"/>
          <w:color w:val="auto"/>
          <w:sz w:val="24"/>
          <w:highlight w:val="none"/>
        </w:rPr>
        <w:t>　</w:t>
      </w:r>
    </w:p>
    <w:p w14:paraId="2D72CBA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采购代理机构信息</w:t>
      </w:r>
    </w:p>
    <w:p w14:paraId="3984960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名 称：新疆重道敬德招标咨询有限公司</w:t>
      </w:r>
    </w:p>
    <w:p w14:paraId="71727948">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 xml:space="preserve">地 址：新疆乌鲁木齐市沙依巴克区友好南路91号新疆石油学院12号楼一单元102室 </w:t>
      </w:r>
    </w:p>
    <w:p w14:paraId="2003E77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 xml:space="preserve">联系方式：13139685270 </w:t>
      </w:r>
    </w:p>
    <w:p w14:paraId="57827FD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3.项目联系方式</w:t>
      </w:r>
    </w:p>
    <w:p w14:paraId="2F78383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项目联系人： 张帅、宁珂馨</w:t>
      </w:r>
    </w:p>
    <w:p w14:paraId="422EC099">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电 话：13139685270</w:t>
      </w:r>
      <w:r>
        <w:rPr>
          <w:rFonts w:hint="eastAsia"/>
          <w:color w:val="auto"/>
          <w:sz w:val="24"/>
          <w:highlight w:val="none"/>
        </w:rPr>
        <w:br w:type="page"/>
      </w:r>
    </w:p>
    <w:p w14:paraId="2AAB680E">
      <w:pPr>
        <w:pStyle w:val="2"/>
        <w:pageBreakBefore w:val="0"/>
        <w:kinsoku/>
        <w:wordWrap/>
        <w:overflowPunct/>
        <w:topLinePunct w:val="0"/>
        <w:bidi w:val="0"/>
        <w:spacing w:line="360" w:lineRule="auto"/>
        <w:ind w:firstLine="3373" w:firstLineChars="1400"/>
        <w:rPr>
          <w:color w:val="auto"/>
          <w:sz w:val="24"/>
          <w:highlight w:val="none"/>
        </w:rPr>
      </w:pPr>
      <w:bookmarkStart w:id="0" w:name="_Toc29847"/>
      <w:r>
        <w:rPr>
          <w:rFonts w:hint="eastAsia"/>
          <w:color w:val="auto"/>
          <w:sz w:val="24"/>
          <w:highlight w:val="none"/>
        </w:rPr>
        <w:t>第一章     采购邀请</w:t>
      </w:r>
      <w:bookmarkEnd w:id="0"/>
    </w:p>
    <w:tbl>
      <w:tblPr>
        <w:tblStyle w:val="27"/>
        <w:tblpPr w:leftFromText="180" w:rightFromText="180" w:vertAnchor="text" w:tblpX="10934" w:tblpY="360"/>
        <w:tblOverlap w:val="never"/>
        <w:tblW w:w="1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tblGrid>
      <w:tr w14:paraId="0781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21" w:type="dxa"/>
          </w:tcPr>
          <w:p w14:paraId="3417EBDE">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p w14:paraId="1BA38028">
      <w:pPr>
        <w:pageBreakBefore w:val="0"/>
        <w:widowControl/>
        <w:kinsoku/>
        <w:wordWrap/>
        <w:overflowPunct/>
        <w:topLinePunct w:val="0"/>
        <w:bidi w:val="0"/>
        <w:spacing w:before="190"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新疆重道敬德招标咨询有限公司受</w:t>
      </w:r>
      <w:r>
        <w:rPr>
          <w:rFonts w:hint="eastAsia" w:ascii="宋体" w:hAnsi="宋体" w:eastAsia="宋体" w:cs="宋体"/>
          <w:color w:val="auto"/>
          <w:sz w:val="24"/>
          <w:highlight w:val="none"/>
          <w:lang w:val="en-US" w:eastAsia="zh-CN"/>
        </w:rPr>
        <w:t>乌鲁木齐市天山区民政局</w:t>
      </w:r>
      <w:r>
        <w:rPr>
          <w:rFonts w:hint="eastAsia" w:ascii="宋体" w:hAnsi="宋体" w:eastAsia="宋体" w:cs="宋体"/>
          <w:color w:val="auto"/>
          <w:sz w:val="24"/>
          <w:highlight w:val="none"/>
        </w:rPr>
        <w:t>的委托，对</w:t>
      </w:r>
      <w:r>
        <w:rPr>
          <w:rFonts w:hint="eastAsia" w:ascii="宋体" w:hAnsi="宋体" w:eastAsia="宋体" w:cs="宋体"/>
          <w:color w:val="auto"/>
          <w:sz w:val="24"/>
          <w:highlight w:val="none"/>
          <w:lang w:val="en-US" w:eastAsia="zh-CN"/>
        </w:rPr>
        <w:t>天山区东门街道区域养老服务中心改造项目（监理）</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ZDJD2025-CS-019</w:t>
      </w:r>
      <w:r>
        <w:rPr>
          <w:rFonts w:hint="eastAsia" w:ascii="宋体" w:hAnsi="宋体" w:eastAsia="宋体" w:cs="宋体"/>
          <w:color w:val="auto"/>
          <w:sz w:val="24"/>
          <w:highlight w:val="none"/>
        </w:rPr>
        <w:t>）进行竞争性磋商方式采购，欢迎符合资格条件的供应商响应。</w:t>
      </w:r>
    </w:p>
    <w:tbl>
      <w:tblPr>
        <w:tblStyle w:val="27"/>
        <w:tblpPr w:leftFromText="180" w:rightFromText="180" w:vertAnchor="text" w:tblpX="10934" w:tblpY="414"/>
        <w:tblOverlap w:val="never"/>
        <w:tblW w:w="1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tblGrid>
      <w:tr w14:paraId="4C18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56" w:type="dxa"/>
          </w:tcPr>
          <w:p w14:paraId="42E30FD0">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tbl>
      <w:tblPr>
        <w:tblStyle w:val="27"/>
        <w:tblpPr w:leftFromText="180" w:rightFromText="180" w:vertAnchor="text" w:tblpX="10934" w:tblpY="324"/>
        <w:tblOverlap w:val="never"/>
        <w:tblW w:w="1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tblGrid>
      <w:tr w14:paraId="2981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5563192C">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r w14:paraId="5DC1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6A7E3CB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tbl>
      <w:tblPr>
        <w:tblStyle w:val="27"/>
        <w:tblpPr w:leftFromText="180" w:rightFromText="180" w:vertAnchor="text" w:tblpX="10934" w:tblpY="309"/>
        <w:tblOverlap w:val="never"/>
        <w:tblW w:w="1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tblGrid>
      <w:tr w14:paraId="29E2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78C97B67">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p w14:paraId="4661D336">
      <w:pPr>
        <w:pStyle w:val="20"/>
        <w:pageBreakBefore w:val="0"/>
        <w:kinsoku/>
        <w:wordWrap/>
        <w:overflowPunct/>
        <w:topLinePunct w:val="0"/>
        <w:bidi w:val="0"/>
        <w:spacing w:line="360" w:lineRule="auto"/>
        <w:ind w:firstLine="480" w:firstLineChars="200"/>
        <w:jc w:val="both"/>
        <w:rPr>
          <w:b w:val="0"/>
          <w:bCs w:val="0"/>
          <w:color w:val="auto"/>
          <w:sz w:val="24"/>
          <w:szCs w:val="24"/>
          <w:highlight w:val="none"/>
        </w:rPr>
      </w:pPr>
      <w:bookmarkStart w:id="1" w:name="_Toc32618"/>
      <w:bookmarkStart w:id="2" w:name="_Toc9115"/>
      <w:bookmarkStart w:id="3" w:name="_Toc13696"/>
      <w:bookmarkStart w:id="4" w:name="_Toc25828"/>
      <w:bookmarkStart w:id="5" w:name="_Toc30505"/>
      <w:r>
        <w:rPr>
          <w:rFonts w:hint="eastAsia"/>
          <w:b w:val="0"/>
          <w:bCs w:val="0"/>
          <w:color w:val="auto"/>
          <w:sz w:val="24"/>
          <w:szCs w:val="24"/>
          <w:highlight w:val="none"/>
        </w:rPr>
        <w:t>一、项目概况：</w:t>
      </w:r>
      <w:bookmarkEnd w:id="1"/>
      <w:bookmarkEnd w:id="2"/>
      <w:bookmarkEnd w:id="3"/>
      <w:bookmarkEnd w:id="4"/>
      <w:bookmarkEnd w:id="5"/>
    </w:p>
    <w:tbl>
      <w:tblPr>
        <w:tblStyle w:val="27"/>
        <w:tblpPr w:leftFromText="180" w:rightFromText="180" w:vertAnchor="text" w:tblpX="10934" w:tblpY="22"/>
        <w:tblOverlap w:val="never"/>
        <w:tblW w:w="2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tblGrid>
      <w:tr w14:paraId="182D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081" w:type="dxa"/>
          </w:tcPr>
          <w:p w14:paraId="34CCE8B8">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tbl>
      <w:tblPr>
        <w:tblStyle w:val="26"/>
        <w:tblW w:w="9195"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2482"/>
        <w:gridCol w:w="1110"/>
        <w:gridCol w:w="1155"/>
        <w:gridCol w:w="2115"/>
      </w:tblGrid>
      <w:tr w14:paraId="2883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333" w:type="dxa"/>
            <w:vAlign w:val="center"/>
          </w:tcPr>
          <w:p w14:paraId="2E261FCC">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项目编号</w:t>
            </w:r>
          </w:p>
        </w:tc>
        <w:tc>
          <w:tcPr>
            <w:tcW w:w="2482" w:type="dxa"/>
            <w:vAlign w:val="center"/>
          </w:tcPr>
          <w:p w14:paraId="627A6CC7">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项目名称</w:t>
            </w:r>
          </w:p>
        </w:tc>
        <w:tc>
          <w:tcPr>
            <w:tcW w:w="1110" w:type="dxa"/>
            <w:vAlign w:val="center"/>
          </w:tcPr>
          <w:p w14:paraId="159A5EEC">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单位</w:t>
            </w:r>
          </w:p>
        </w:tc>
        <w:tc>
          <w:tcPr>
            <w:tcW w:w="1155" w:type="dxa"/>
            <w:vAlign w:val="center"/>
          </w:tcPr>
          <w:p w14:paraId="457B71FE">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数量</w:t>
            </w:r>
          </w:p>
        </w:tc>
        <w:tc>
          <w:tcPr>
            <w:tcW w:w="2115" w:type="dxa"/>
            <w:vAlign w:val="center"/>
          </w:tcPr>
          <w:p w14:paraId="7F4D4BD8">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预算金额</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元</w:t>
            </w:r>
            <w:r>
              <w:rPr>
                <w:rFonts w:hint="eastAsia" w:ascii="宋体" w:hAnsi="宋体" w:eastAsia="宋体" w:cs="宋体"/>
                <w:snapToGrid w:val="0"/>
                <w:color w:val="auto"/>
                <w:sz w:val="24"/>
                <w:szCs w:val="24"/>
                <w:highlight w:val="none"/>
                <w:lang w:eastAsia="zh-CN"/>
              </w:rPr>
              <w:t>）</w:t>
            </w:r>
          </w:p>
        </w:tc>
      </w:tr>
      <w:tr w14:paraId="5C17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333" w:type="dxa"/>
            <w:vAlign w:val="center"/>
          </w:tcPr>
          <w:p w14:paraId="704FEC70">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rPr>
            </w:pPr>
            <w:r>
              <w:rPr>
                <w:rFonts w:hint="eastAsia" w:asciiTheme="minorHAnsi" w:hAnsiTheme="minorHAnsi" w:eastAsiaTheme="minorEastAsia" w:cstheme="minorBidi"/>
                <w:color w:val="auto"/>
                <w:spacing w:val="0"/>
                <w:kern w:val="2"/>
                <w:sz w:val="24"/>
                <w:szCs w:val="24"/>
                <w:highlight w:val="none"/>
                <w:lang w:val="en-US" w:eastAsia="zh-CN" w:bidi="ar-SA"/>
              </w:rPr>
              <w:t>ZDJD2025-CS-019</w:t>
            </w:r>
          </w:p>
        </w:tc>
        <w:tc>
          <w:tcPr>
            <w:tcW w:w="2482" w:type="dxa"/>
            <w:vAlign w:val="center"/>
          </w:tcPr>
          <w:p w14:paraId="487A33C7">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天山区东门街道区域养老服务中心改造项目（监理）</w:t>
            </w:r>
          </w:p>
        </w:tc>
        <w:tc>
          <w:tcPr>
            <w:tcW w:w="1110" w:type="dxa"/>
            <w:vAlign w:val="center"/>
          </w:tcPr>
          <w:p w14:paraId="5E1723A4">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w:t>
            </w:r>
          </w:p>
        </w:tc>
        <w:tc>
          <w:tcPr>
            <w:tcW w:w="1155" w:type="dxa"/>
            <w:vAlign w:val="center"/>
          </w:tcPr>
          <w:p w14:paraId="2C2DF9D7">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p>
        </w:tc>
        <w:tc>
          <w:tcPr>
            <w:tcW w:w="2115" w:type="dxa"/>
            <w:vAlign w:val="center"/>
          </w:tcPr>
          <w:p w14:paraId="6C6DE5F1">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120000</w:t>
            </w:r>
          </w:p>
        </w:tc>
      </w:tr>
    </w:tbl>
    <w:tbl>
      <w:tblPr>
        <w:tblStyle w:val="27"/>
        <w:tblpPr w:leftFromText="180" w:rightFromText="180" w:vertAnchor="text" w:tblpX="10934" w:tblpY="-3441"/>
        <w:tblOverlap w:val="never"/>
        <w:tblW w:w="2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tblGrid>
      <w:tr w14:paraId="4D43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156" w:type="dxa"/>
          </w:tcPr>
          <w:p w14:paraId="5D2FF218">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tbl>
      <w:tblPr>
        <w:tblStyle w:val="27"/>
        <w:tblpPr w:leftFromText="180" w:rightFromText="180" w:vertAnchor="text" w:tblpX="10934" w:tblpY="-1107"/>
        <w:tblOverlap w:val="never"/>
        <w:tblW w:w="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tblGrid>
      <w:tr w14:paraId="748F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86" w:type="dxa"/>
          </w:tcPr>
          <w:p w14:paraId="71A11987">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p w14:paraId="7E19707A">
      <w:pPr>
        <w:pStyle w:val="20"/>
        <w:pageBreakBefore w:val="0"/>
        <w:kinsoku/>
        <w:wordWrap/>
        <w:overflowPunct/>
        <w:topLinePunct w:val="0"/>
        <w:bidi w:val="0"/>
        <w:spacing w:line="360" w:lineRule="auto"/>
        <w:jc w:val="both"/>
        <w:rPr>
          <w:b w:val="0"/>
          <w:bCs w:val="0"/>
          <w:color w:val="auto"/>
          <w:sz w:val="24"/>
          <w:szCs w:val="24"/>
          <w:highlight w:val="none"/>
        </w:rPr>
      </w:pPr>
      <w:bookmarkStart w:id="6" w:name="_Toc21122"/>
      <w:bookmarkStart w:id="7" w:name="_Toc9438"/>
      <w:bookmarkStart w:id="8" w:name="_Toc14249"/>
      <w:bookmarkStart w:id="9" w:name="_Toc18596"/>
      <w:bookmarkStart w:id="10" w:name="_Toc25488"/>
      <w:r>
        <w:rPr>
          <w:rFonts w:hint="eastAsia"/>
          <w:b w:val="0"/>
          <w:bCs w:val="0"/>
          <w:color w:val="auto"/>
          <w:sz w:val="24"/>
          <w:szCs w:val="24"/>
          <w:highlight w:val="none"/>
        </w:rPr>
        <w:t>二、供应商参加政府采购活动应当具备下列条件：</w:t>
      </w:r>
      <w:bookmarkEnd w:id="6"/>
      <w:bookmarkEnd w:id="7"/>
      <w:bookmarkEnd w:id="8"/>
      <w:bookmarkEnd w:id="9"/>
      <w:bookmarkEnd w:id="10"/>
    </w:p>
    <w:p w14:paraId="56411E47">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11" w:name="_Toc6363"/>
      <w:bookmarkStart w:id="12" w:name="_Toc4040"/>
      <w:bookmarkStart w:id="13" w:name="_Toc3946"/>
      <w:bookmarkStart w:id="14" w:name="_Toc24516"/>
      <w:bookmarkStart w:id="15" w:name="_Toc13005"/>
      <w:bookmarkStart w:id="16" w:name="_Toc24397"/>
      <w:bookmarkStart w:id="17" w:name="_Toc18766"/>
      <w:bookmarkStart w:id="18" w:name="_Toc28263"/>
      <w:bookmarkStart w:id="19" w:name="_Toc5490"/>
      <w:r>
        <w:rPr>
          <w:rFonts w:hint="eastAsia" w:ascii="宋体" w:hAnsi="宋体" w:eastAsia="宋体" w:cs="宋体"/>
          <w:color w:val="auto"/>
          <w:sz w:val="24"/>
          <w:highlight w:val="none"/>
        </w:rPr>
        <w:t>1、具有独立承担民事责任的能力；</w:t>
      </w:r>
      <w:bookmarkEnd w:id="11"/>
      <w:bookmarkEnd w:id="12"/>
      <w:bookmarkEnd w:id="13"/>
      <w:bookmarkEnd w:id="14"/>
      <w:bookmarkEnd w:id="15"/>
      <w:bookmarkEnd w:id="16"/>
      <w:bookmarkEnd w:id="17"/>
      <w:bookmarkEnd w:id="18"/>
      <w:bookmarkEnd w:id="19"/>
    </w:p>
    <w:p w14:paraId="30B896E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20" w:name="_Toc11417"/>
      <w:bookmarkStart w:id="21" w:name="_Toc23651"/>
      <w:bookmarkStart w:id="22" w:name="_Toc16513"/>
      <w:bookmarkStart w:id="23" w:name="_Toc31977"/>
      <w:bookmarkStart w:id="24" w:name="_Toc25037"/>
      <w:bookmarkStart w:id="25" w:name="_Toc22064"/>
      <w:bookmarkStart w:id="26" w:name="_Toc29593"/>
      <w:bookmarkStart w:id="27" w:name="_Toc12522"/>
      <w:bookmarkStart w:id="28" w:name="_Toc17384"/>
      <w:r>
        <w:rPr>
          <w:rFonts w:hint="eastAsia" w:ascii="宋体" w:hAnsi="宋体" w:eastAsia="宋体" w:cs="宋体"/>
          <w:color w:val="auto"/>
          <w:sz w:val="24"/>
          <w:highlight w:val="none"/>
        </w:rPr>
        <w:t>2、具有良好的商业信誉和健全的财务会计制度；</w:t>
      </w:r>
      <w:bookmarkEnd w:id="20"/>
      <w:bookmarkEnd w:id="21"/>
      <w:bookmarkEnd w:id="22"/>
      <w:bookmarkEnd w:id="23"/>
      <w:bookmarkEnd w:id="24"/>
      <w:bookmarkEnd w:id="25"/>
      <w:bookmarkEnd w:id="26"/>
      <w:bookmarkEnd w:id="27"/>
      <w:bookmarkEnd w:id="28"/>
    </w:p>
    <w:p w14:paraId="3748AA1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29" w:name="_Toc28017"/>
      <w:bookmarkStart w:id="30" w:name="_Toc23876"/>
      <w:bookmarkStart w:id="31" w:name="_Toc25761"/>
      <w:bookmarkStart w:id="32" w:name="_Toc32595"/>
      <w:bookmarkStart w:id="33" w:name="_Toc19311"/>
      <w:bookmarkStart w:id="34" w:name="_Toc16190"/>
      <w:bookmarkStart w:id="35" w:name="_Toc26967"/>
      <w:bookmarkStart w:id="36" w:name="_Toc15057"/>
      <w:bookmarkStart w:id="37" w:name="_Toc9388"/>
      <w:r>
        <w:rPr>
          <w:rFonts w:hint="eastAsia" w:ascii="宋体" w:hAnsi="宋体" w:eastAsia="宋体" w:cs="宋体"/>
          <w:color w:val="auto"/>
          <w:sz w:val="24"/>
          <w:highlight w:val="none"/>
        </w:rPr>
        <w:t>3、具有履行合同所必需的设备和专业技术能力；</w:t>
      </w:r>
      <w:bookmarkEnd w:id="29"/>
      <w:bookmarkEnd w:id="30"/>
      <w:bookmarkEnd w:id="31"/>
      <w:bookmarkEnd w:id="32"/>
      <w:bookmarkEnd w:id="33"/>
      <w:bookmarkEnd w:id="34"/>
      <w:bookmarkEnd w:id="35"/>
      <w:bookmarkEnd w:id="36"/>
      <w:bookmarkEnd w:id="37"/>
    </w:p>
    <w:p w14:paraId="760835C3">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38" w:name="_Toc22861"/>
      <w:bookmarkStart w:id="39" w:name="_Toc7614"/>
      <w:bookmarkStart w:id="40" w:name="_Toc18522"/>
      <w:bookmarkStart w:id="41" w:name="_Toc29354"/>
      <w:bookmarkStart w:id="42" w:name="_Toc14047"/>
      <w:bookmarkStart w:id="43" w:name="_Toc21444"/>
      <w:bookmarkStart w:id="44" w:name="_Toc18796"/>
      <w:bookmarkStart w:id="45" w:name="_Toc29938"/>
      <w:bookmarkStart w:id="46" w:name="_Toc32766"/>
      <w:r>
        <w:rPr>
          <w:rFonts w:hint="eastAsia" w:ascii="宋体" w:hAnsi="宋体" w:eastAsia="宋体" w:cs="宋体"/>
          <w:color w:val="auto"/>
          <w:sz w:val="24"/>
          <w:highlight w:val="none"/>
        </w:rPr>
        <w:t>4、有依法缴纳税收和社会保障资金的良好记录；</w:t>
      </w:r>
      <w:bookmarkEnd w:id="38"/>
      <w:bookmarkEnd w:id="39"/>
      <w:bookmarkEnd w:id="40"/>
      <w:bookmarkEnd w:id="41"/>
      <w:bookmarkEnd w:id="42"/>
      <w:bookmarkEnd w:id="43"/>
      <w:bookmarkEnd w:id="44"/>
      <w:bookmarkEnd w:id="45"/>
      <w:bookmarkEnd w:id="46"/>
    </w:p>
    <w:p w14:paraId="10CF375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47" w:name="_Toc1891"/>
      <w:bookmarkStart w:id="48" w:name="_Toc13775"/>
      <w:bookmarkStart w:id="49" w:name="_Toc24344"/>
      <w:bookmarkStart w:id="50" w:name="_Toc12876"/>
      <w:bookmarkStart w:id="51" w:name="_Toc30595"/>
      <w:bookmarkStart w:id="52" w:name="_Toc7679"/>
      <w:bookmarkStart w:id="53" w:name="_Toc25365"/>
      <w:bookmarkStart w:id="54" w:name="_Toc11955"/>
      <w:bookmarkStart w:id="55" w:name="_Toc32005"/>
      <w:r>
        <w:rPr>
          <w:rFonts w:hint="eastAsia" w:ascii="宋体" w:hAnsi="宋体" w:eastAsia="宋体" w:cs="宋体"/>
          <w:color w:val="auto"/>
          <w:sz w:val="24"/>
          <w:highlight w:val="none"/>
        </w:rPr>
        <w:t>5、参加政府采购活动前三年内，在经营活动中无重大违法记录；</w:t>
      </w:r>
      <w:bookmarkEnd w:id="47"/>
      <w:bookmarkEnd w:id="48"/>
      <w:bookmarkEnd w:id="49"/>
      <w:bookmarkEnd w:id="50"/>
      <w:bookmarkEnd w:id="51"/>
      <w:bookmarkEnd w:id="52"/>
      <w:bookmarkEnd w:id="53"/>
      <w:bookmarkEnd w:id="54"/>
      <w:bookmarkEnd w:id="55"/>
    </w:p>
    <w:p w14:paraId="14F3C5EB">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56" w:name="_Toc13873"/>
      <w:bookmarkStart w:id="57" w:name="_Toc3920"/>
      <w:bookmarkStart w:id="58" w:name="_Toc23562"/>
      <w:bookmarkStart w:id="59" w:name="_Toc17544"/>
      <w:bookmarkStart w:id="60" w:name="_Toc15498"/>
      <w:bookmarkStart w:id="61" w:name="_Toc25775"/>
      <w:bookmarkStart w:id="62" w:name="_Toc6751"/>
      <w:bookmarkStart w:id="63" w:name="_Toc19702"/>
      <w:bookmarkStart w:id="64" w:name="_Toc27370"/>
      <w:r>
        <w:rPr>
          <w:rFonts w:hint="eastAsia" w:ascii="宋体" w:hAnsi="宋体" w:eastAsia="宋体" w:cs="宋体"/>
          <w:color w:val="auto"/>
          <w:sz w:val="24"/>
          <w:highlight w:val="none"/>
        </w:rPr>
        <w:t>6、落实政府采购政策需满足的要求：</w:t>
      </w:r>
      <w:bookmarkEnd w:id="56"/>
      <w:bookmarkEnd w:id="57"/>
      <w:bookmarkEnd w:id="58"/>
      <w:bookmarkEnd w:id="59"/>
      <w:bookmarkEnd w:id="60"/>
      <w:bookmarkEnd w:id="61"/>
      <w:bookmarkEnd w:id="62"/>
      <w:bookmarkEnd w:id="63"/>
      <w:bookmarkEnd w:id="64"/>
    </w:p>
    <w:p w14:paraId="6A7925FD">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1）（财政部、工业和信息化部《关于印发《政府采购促进中小企业发展管理办法》的通知》（财库〔2020〕46号文）；（2）财政部、民政部、中国残疾人联合会《关于促进残疾人就业政府采购政策的通知》（财库[2017]141号）； （3）财政部、司法部《关于政府采购支持监狱企业发展有关问题的通知》（财库[2014]68号文），（中小企业优惠、监狱企业、节能产品、环境标志产品等）。</w:t>
      </w:r>
    </w:p>
    <w:p w14:paraId="6F8AE734">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65" w:name="_Toc25602"/>
      <w:bookmarkStart w:id="66" w:name="_Toc23748"/>
      <w:bookmarkStart w:id="67" w:name="_Toc28467"/>
      <w:bookmarkStart w:id="68" w:name="_Toc32738"/>
      <w:bookmarkStart w:id="69" w:name="_Toc6640"/>
      <w:bookmarkStart w:id="70" w:name="_Toc30532"/>
      <w:bookmarkStart w:id="71" w:name="_Toc2747"/>
      <w:bookmarkStart w:id="72" w:name="_Toc4856"/>
      <w:bookmarkStart w:id="73" w:name="_Toc15177"/>
      <w:r>
        <w:rPr>
          <w:rFonts w:hint="eastAsia" w:ascii="宋体" w:hAnsi="宋体" w:eastAsia="宋体" w:cs="宋体"/>
          <w:color w:val="auto"/>
          <w:sz w:val="24"/>
          <w:highlight w:val="none"/>
        </w:rPr>
        <w:t>7、其他说明:</w:t>
      </w:r>
      <w:bookmarkEnd w:id="65"/>
      <w:bookmarkEnd w:id="66"/>
      <w:bookmarkEnd w:id="67"/>
      <w:bookmarkEnd w:id="68"/>
      <w:bookmarkEnd w:id="69"/>
      <w:bookmarkEnd w:id="70"/>
      <w:bookmarkEnd w:id="71"/>
      <w:bookmarkEnd w:id="72"/>
      <w:bookmarkEnd w:id="73"/>
      <w:r>
        <w:rPr>
          <w:rFonts w:hint="eastAsia" w:ascii="宋体" w:hAnsi="宋体" w:eastAsia="宋体" w:cs="宋体"/>
          <w:color w:val="auto"/>
          <w:sz w:val="24"/>
          <w:highlight w:val="none"/>
        </w:rPr>
        <w:t xml:space="preserve"> </w:t>
      </w:r>
    </w:p>
    <w:p w14:paraId="19C220AE">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(1) 与采购人存在利害关系可能影响采购公正性的法人、其他组织或者个人，不得参加投标:</w:t>
      </w:r>
    </w:p>
    <w:p w14:paraId="7D2F012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(2) 单位负责人为同一人或者存在控股、管理关系的不同单位，不得参加同一合同项下的项目投标。违反上述两款规定的，相关投标均无效；</w:t>
      </w:r>
    </w:p>
    <w:p w14:paraId="23DBB868">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（3）法人参加的需提供：法定代表人身份证、法定代表人资格证明书；</w:t>
      </w:r>
    </w:p>
    <w:p w14:paraId="2C3AE9F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（4）法人授权委托人参加的需提供：授权委托人身份证、法人代表授权委托书、法定代表人身份证复印件加盖公章。</w:t>
      </w:r>
    </w:p>
    <w:p w14:paraId="0EC2CCEC">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（5）本项目不接受联合体投标。</w:t>
      </w:r>
    </w:p>
    <w:p w14:paraId="461AF6E4">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74" w:name="_Toc17898"/>
      <w:bookmarkStart w:id="75" w:name="_Toc20818"/>
      <w:bookmarkStart w:id="76" w:name="_Toc26019"/>
      <w:bookmarkStart w:id="77" w:name="_Toc12426"/>
      <w:bookmarkStart w:id="78" w:name="_Toc17740"/>
      <w:bookmarkStart w:id="79" w:name="_Toc10193"/>
      <w:bookmarkStart w:id="80" w:name="_Toc12955"/>
      <w:bookmarkStart w:id="81" w:name="_Toc6916"/>
      <w:bookmarkStart w:id="82" w:name="_Toc13899"/>
      <w:r>
        <w:rPr>
          <w:rFonts w:hint="eastAsia" w:ascii="宋体" w:hAnsi="宋体" w:eastAsia="宋体" w:cs="宋体"/>
          <w:color w:val="auto"/>
          <w:sz w:val="24"/>
          <w:highlight w:val="none"/>
        </w:rPr>
        <w:t>8、法律、行政法规规定的其他条件。</w:t>
      </w:r>
      <w:bookmarkEnd w:id="74"/>
      <w:bookmarkEnd w:id="75"/>
      <w:bookmarkEnd w:id="76"/>
      <w:bookmarkEnd w:id="77"/>
      <w:bookmarkEnd w:id="78"/>
      <w:bookmarkEnd w:id="79"/>
      <w:bookmarkEnd w:id="80"/>
      <w:bookmarkEnd w:id="81"/>
      <w:bookmarkEnd w:id="82"/>
    </w:p>
    <w:p w14:paraId="53BB9965">
      <w:pPr>
        <w:pageBreakBefore w:val="0"/>
        <w:numPr>
          <w:ilvl w:val="0"/>
          <w:numId w:val="0"/>
        </w:numPr>
        <w:kinsoku/>
        <w:wordWrap/>
        <w:overflowPunct/>
        <w:topLinePunct w:val="0"/>
        <w:bidi w:val="0"/>
        <w:adjustRightInd w:val="0"/>
        <w:snapToGrid w:val="0"/>
        <w:spacing w:line="360" w:lineRule="auto"/>
        <w:outlineLvl w:val="2"/>
        <w:rPr>
          <w:rFonts w:hint="eastAsia"/>
          <w:color w:val="auto"/>
          <w:sz w:val="24"/>
          <w:highlight w:val="none"/>
        </w:rPr>
      </w:pPr>
      <w:bookmarkStart w:id="83" w:name="_Toc17702"/>
      <w:bookmarkStart w:id="84" w:name="_Toc4691"/>
      <w:bookmarkStart w:id="85" w:name="_Toc3065"/>
      <w:bookmarkStart w:id="86" w:name="_Toc28621"/>
      <w:bookmarkStart w:id="87" w:name="_Toc4713"/>
      <w:r>
        <w:rPr>
          <w:rFonts w:hint="eastAsia"/>
          <w:b/>
          <w:bCs/>
          <w:color w:val="auto"/>
          <w:sz w:val="24"/>
          <w:highlight w:val="none"/>
          <w:lang w:val="en-US" w:eastAsia="zh-CN"/>
        </w:rPr>
        <w:t>三、</w:t>
      </w:r>
      <w:r>
        <w:rPr>
          <w:rFonts w:hint="eastAsia"/>
          <w:b/>
          <w:bCs/>
          <w:color w:val="auto"/>
          <w:sz w:val="24"/>
          <w:highlight w:val="none"/>
        </w:rPr>
        <w:t>供应商的资格审查要求</w:t>
      </w:r>
      <w:r>
        <w:rPr>
          <w:rFonts w:hint="eastAsia"/>
          <w:color w:val="auto"/>
          <w:sz w:val="24"/>
          <w:highlight w:val="none"/>
        </w:rPr>
        <w:t>：</w:t>
      </w:r>
      <w:bookmarkEnd w:id="83"/>
      <w:bookmarkEnd w:id="84"/>
      <w:bookmarkEnd w:id="85"/>
      <w:bookmarkEnd w:id="86"/>
      <w:bookmarkEnd w:id="87"/>
      <w:bookmarkStart w:id="88" w:name="_Toc15610"/>
      <w:bookmarkStart w:id="89" w:name="_Toc13234"/>
    </w:p>
    <w:tbl>
      <w:tblPr>
        <w:tblStyle w:val="26"/>
        <w:tblpPr w:leftFromText="180" w:rightFromText="180" w:vertAnchor="text" w:horzAnchor="page" w:tblpX="1111"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7451"/>
      </w:tblGrid>
      <w:tr w14:paraId="435D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tcPr>
          <w:p w14:paraId="280C5A67">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4"/>
                <w:highlight w:val="none"/>
              </w:rPr>
            </w:pPr>
            <w:bookmarkStart w:id="90" w:name="_Toc25730"/>
            <w:bookmarkStart w:id="91" w:name="_Toc28357"/>
            <w:bookmarkStart w:id="92" w:name="_Toc10514"/>
            <w:r>
              <w:rPr>
                <w:rFonts w:hint="eastAsia" w:ascii="宋体" w:hAnsi="宋体" w:eastAsia="宋体" w:cs="宋体"/>
                <w:snapToGrid w:val="0"/>
                <w:color w:val="auto"/>
                <w:sz w:val="24"/>
                <w:szCs w:val="24"/>
                <w:highlight w:val="none"/>
                <w:lang w:val="en-US" w:eastAsia="zh-CN"/>
              </w:rPr>
              <w:t>天山区东门街道区域养老服务中心改造项目（监理）</w:t>
            </w:r>
            <w:r>
              <w:rPr>
                <w:rFonts w:hint="eastAsia"/>
                <w:color w:val="auto"/>
                <w:sz w:val="24"/>
                <w:highlight w:val="none"/>
              </w:rPr>
              <w:t>(</w:t>
            </w:r>
            <w:r>
              <w:rPr>
                <w:rFonts w:hint="eastAsia"/>
                <w:color w:val="auto"/>
                <w:sz w:val="24"/>
                <w:highlight w:val="none"/>
                <w:lang w:eastAsia="zh-CN"/>
              </w:rPr>
              <w:t>ZDJD2025-CS-019</w:t>
            </w:r>
            <w:r>
              <w:rPr>
                <w:rFonts w:hint="eastAsia"/>
                <w:color w:val="auto"/>
                <w:sz w:val="24"/>
                <w:highlight w:val="none"/>
              </w:rPr>
              <w:t>)</w:t>
            </w:r>
          </w:p>
        </w:tc>
      </w:tr>
      <w:tr w14:paraId="236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32" w:type="dxa"/>
          </w:tcPr>
          <w:p w14:paraId="1E90AE90">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序号</w:t>
            </w:r>
          </w:p>
        </w:tc>
        <w:tc>
          <w:tcPr>
            <w:tcW w:w="8155" w:type="dxa"/>
          </w:tcPr>
          <w:p w14:paraId="61D63075">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审查内容</w:t>
            </w:r>
          </w:p>
        </w:tc>
      </w:tr>
      <w:tr w14:paraId="010D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32" w:type="dxa"/>
            <w:vAlign w:val="center"/>
          </w:tcPr>
          <w:p w14:paraId="59905DC8">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1</w:t>
            </w:r>
          </w:p>
        </w:tc>
        <w:tc>
          <w:tcPr>
            <w:tcW w:w="8155" w:type="dxa"/>
          </w:tcPr>
          <w:p w14:paraId="4068B167">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提供有效的营业执照或事业单位法人证书等证明材料(加盖单位公章);自然人需提供身份证明。</w:t>
            </w:r>
          </w:p>
        </w:tc>
      </w:tr>
      <w:tr w14:paraId="171D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32" w:type="dxa"/>
            <w:vAlign w:val="center"/>
          </w:tcPr>
          <w:p w14:paraId="73D414C7">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2</w:t>
            </w:r>
          </w:p>
        </w:tc>
        <w:tc>
          <w:tcPr>
            <w:tcW w:w="8155" w:type="dxa"/>
          </w:tcPr>
          <w:p w14:paraId="79638578">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法定代表人身份证明书或法定代表人授权委托书</w:t>
            </w:r>
          </w:p>
        </w:tc>
      </w:tr>
      <w:tr w14:paraId="202F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32" w:type="dxa"/>
            <w:vAlign w:val="center"/>
          </w:tcPr>
          <w:p w14:paraId="44EC3A63">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3</w:t>
            </w:r>
          </w:p>
        </w:tc>
        <w:tc>
          <w:tcPr>
            <w:tcW w:w="8155" w:type="dxa"/>
          </w:tcPr>
          <w:p w14:paraId="686DA706">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法定代表人身份证或授权代表身份证</w:t>
            </w:r>
          </w:p>
        </w:tc>
      </w:tr>
      <w:tr w14:paraId="7F7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156F7100">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4</w:t>
            </w:r>
          </w:p>
        </w:tc>
        <w:tc>
          <w:tcPr>
            <w:tcW w:w="8155" w:type="dxa"/>
          </w:tcPr>
          <w:p w14:paraId="0B24D65E">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响应保证金</w:t>
            </w:r>
          </w:p>
        </w:tc>
      </w:tr>
      <w:tr w14:paraId="204A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76BB9DCB">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5</w:t>
            </w:r>
          </w:p>
        </w:tc>
        <w:tc>
          <w:tcPr>
            <w:tcW w:w="8155" w:type="dxa"/>
          </w:tcPr>
          <w:p w14:paraId="6147FE64">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中小企业声明函</w:t>
            </w:r>
          </w:p>
        </w:tc>
      </w:tr>
      <w:tr w14:paraId="1151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08410985">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6</w:t>
            </w:r>
          </w:p>
        </w:tc>
        <w:tc>
          <w:tcPr>
            <w:tcW w:w="8155" w:type="dxa"/>
          </w:tcPr>
          <w:p w14:paraId="40AEDCC3">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供应商须具备有效的工程监理综合资质证书或房屋建筑工程（专业类监理企业资质）丙级及以上资质证书；</w:t>
            </w:r>
          </w:p>
        </w:tc>
      </w:tr>
      <w:tr w14:paraId="0B5F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0C20179B">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7</w:t>
            </w:r>
          </w:p>
        </w:tc>
        <w:tc>
          <w:tcPr>
            <w:tcW w:w="8155" w:type="dxa"/>
          </w:tcPr>
          <w:p w14:paraId="18CA7A4A">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供应商拟派总监理工程师须具有国家注册监理工程师注册证书（房屋建筑工程专业），本单位注册，且在有效期内；现阶段在监项目少于三项（须提供承诺）。</w:t>
            </w:r>
          </w:p>
        </w:tc>
      </w:tr>
    </w:tbl>
    <w:p w14:paraId="42DC6B86">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3EE8ABCD">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09BDEFB2">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2B64A997">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5A9C4932">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2F3FE012">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6009A670">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3EA83513">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58A23FEE">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306B45E6">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1C55F935">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68DA72B9">
      <w:pPr>
        <w:pStyle w:val="15"/>
        <w:keepNext w:val="0"/>
        <w:keepLines w:val="0"/>
        <w:pageBreakBefore w:val="0"/>
        <w:kinsoku/>
        <w:wordWrap/>
        <w:overflowPunct/>
        <w:topLinePunct w:val="0"/>
        <w:bidi w:val="0"/>
        <w:spacing w:line="400" w:lineRule="exact"/>
        <w:outlineLvl w:val="1"/>
        <w:rPr>
          <w:rFonts w:hint="eastAsia"/>
          <w:color w:val="auto"/>
          <w:sz w:val="24"/>
          <w:highlight w:val="none"/>
        </w:rPr>
      </w:pPr>
    </w:p>
    <w:p w14:paraId="022C04AE">
      <w:pPr>
        <w:pStyle w:val="15"/>
        <w:keepNext w:val="0"/>
        <w:keepLines w:val="0"/>
        <w:pageBreakBefore w:val="0"/>
        <w:kinsoku/>
        <w:wordWrap/>
        <w:overflowPunct/>
        <w:topLinePunct w:val="0"/>
        <w:bidi w:val="0"/>
        <w:spacing w:line="400" w:lineRule="exact"/>
        <w:outlineLvl w:val="1"/>
        <w:rPr>
          <w:color w:val="auto"/>
          <w:sz w:val="24"/>
          <w:highlight w:val="none"/>
        </w:rPr>
      </w:pPr>
      <w:r>
        <w:rPr>
          <w:rFonts w:hint="eastAsia"/>
          <w:color w:val="auto"/>
          <w:sz w:val="24"/>
          <w:highlight w:val="none"/>
        </w:rPr>
        <w:t>四、获取竞争性磋商文件及响应事宜：</w:t>
      </w:r>
      <w:bookmarkEnd w:id="88"/>
      <w:bookmarkEnd w:id="89"/>
      <w:bookmarkEnd w:id="90"/>
      <w:bookmarkEnd w:id="91"/>
      <w:bookmarkEnd w:id="92"/>
    </w:p>
    <w:p w14:paraId="58374A5D">
      <w:pPr>
        <w:keepNext w:val="0"/>
        <w:keepLines w:val="0"/>
        <w:pageBreakBefore w:val="0"/>
        <w:kinsoku/>
        <w:wordWrap/>
        <w:overflowPunct/>
        <w:topLinePunct w:val="0"/>
        <w:bidi w:val="0"/>
        <w:adjustRightInd w:val="0"/>
        <w:snapToGrid w:val="0"/>
        <w:spacing w:line="400" w:lineRule="exact"/>
        <w:ind w:left="239" w:leftChars="114"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1、获取本项目竞争性磋商文件（以下简称磋商文件）的时间：20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09</w:t>
      </w:r>
      <w:r>
        <w:rPr>
          <w:rFonts w:hint="eastAsia" w:ascii="宋体" w:hAnsi="宋体" w:eastAsia="宋体" w:cs="宋体"/>
          <w:color w:val="auto"/>
          <w:sz w:val="24"/>
          <w:highlight w:val="none"/>
        </w:rPr>
        <w:t>日至20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16</w:t>
      </w:r>
      <w:r>
        <w:rPr>
          <w:rFonts w:hint="eastAsia" w:ascii="宋体" w:hAnsi="宋体" w:eastAsia="宋体" w:cs="宋体"/>
          <w:color w:val="auto"/>
          <w:sz w:val="24"/>
          <w:highlight w:val="none"/>
        </w:rPr>
        <w:t>日，每天上午</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0至1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highlight w:val="none"/>
        </w:rPr>
        <w:t>，下午</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val="en-US" w:eastAsia="zh-CN"/>
        </w:rPr>
        <w:t>23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59</w:t>
      </w:r>
      <w:r>
        <w:rPr>
          <w:rFonts w:hint="eastAsia" w:ascii="宋体" w:hAnsi="宋体" w:eastAsia="宋体" w:cs="宋体"/>
          <w:color w:val="auto"/>
          <w:sz w:val="24"/>
          <w:highlight w:val="none"/>
        </w:rPr>
        <w:t>（北京时间）</w:t>
      </w:r>
    </w:p>
    <w:p w14:paraId="2BD2C415">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2、地点：政采云平台线上获取</w:t>
      </w:r>
    </w:p>
    <w:p w14:paraId="2D7FF888">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方式：供应商登录政采云平台https://www.zcygov.cn/在线申请获取采购文件（进入“项目采购”应用，在获取采购文件菜单中选择项目，申请获取采购文件）</w:t>
      </w:r>
    </w:p>
    <w:p w14:paraId="6102EF58">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、磋商文件售价（元）：</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元；</w:t>
      </w:r>
    </w:p>
    <w:p w14:paraId="3375E0C7">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、供应商若对磋商文件有疑问需要澄清的，应于响应文件递交截止时间</w:t>
      </w:r>
      <w:r>
        <w:rPr>
          <w:rFonts w:hint="eastAsia" w:ascii="宋体" w:hAnsi="宋体" w:eastAsia="宋体" w:cs="宋体"/>
          <w:color w:val="auto"/>
          <w:sz w:val="24"/>
          <w:highlight w:val="none"/>
          <w:lang w:val="en-US" w:eastAsia="zh-CN"/>
        </w:rPr>
        <w:t>之</w:t>
      </w:r>
      <w:r>
        <w:rPr>
          <w:rFonts w:hint="eastAsia" w:ascii="宋体" w:hAnsi="宋体" w:eastAsia="宋体" w:cs="宋体"/>
          <w:color w:val="auto"/>
          <w:sz w:val="24"/>
          <w:highlight w:val="none"/>
        </w:rPr>
        <w:t>前，以书面形式向招标代理机构提出质疑；招标代理机构在收到书面质疑后尽快</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答复，并以书面形式通知质疑投标人。</w:t>
      </w:r>
    </w:p>
    <w:p w14:paraId="1F98FA12">
      <w:pPr>
        <w:keepNext w:val="0"/>
        <w:keepLines w:val="0"/>
        <w:pageBreakBefore w:val="0"/>
        <w:kinsoku/>
        <w:wordWrap/>
        <w:overflowPunct/>
        <w:topLinePunct w:val="0"/>
        <w:bidi w:val="0"/>
        <w:adjustRightInd w:val="0"/>
        <w:snapToGrid w:val="0"/>
        <w:spacing w:line="400" w:lineRule="exact"/>
        <w:ind w:firstLine="480" w:firstLineChars="200"/>
        <w:outlineLvl w:val="1"/>
        <w:rPr>
          <w:rFonts w:ascii="宋体" w:hAnsi="宋体" w:eastAsia="宋体" w:cs="宋体"/>
          <w:color w:val="auto"/>
          <w:highlight w:val="none"/>
        </w:rPr>
      </w:pPr>
      <w:bookmarkStart w:id="93" w:name="_Toc2188"/>
      <w:bookmarkStart w:id="94" w:name="_Toc1690"/>
      <w:bookmarkStart w:id="95" w:name="_Toc19918"/>
      <w:bookmarkStart w:id="96" w:name="_Toc16013"/>
      <w:bookmarkStart w:id="97" w:name="_Toc6798"/>
      <w:r>
        <w:rPr>
          <w:rFonts w:hint="eastAsia"/>
          <w:color w:val="auto"/>
          <w:sz w:val="24"/>
          <w:highlight w:val="none"/>
        </w:rPr>
        <w:t>五、开标时间与地点：</w:t>
      </w:r>
      <w:bookmarkEnd w:id="93"/>
      <w:bookmarkEnd w:id="94"/>
      <w:bookmarkEnd w:id="95"/>
      <w:bookmarkEnd w:id="96"/>
      <w:bookmarkEnd w:id="97"/>
    </w:p>
    <w:p w14:paraId="2F335AF3">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1、响应文件提交截止时间：202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日1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2CC0F7AA">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2、保证金到账截止时间（投标截止时间）：202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日1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712D81DA">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3、开</w:t>
      </w:r>
      <w:r>
        <w:rPr>
          <w:rFonts w:hint="eastAsia" w:ascii="宋体" w:hAnsi="宋体" w:eastAsia="宋体" w:cs="宋体"/>
          <w:color w:val="auto"/>
          <w:sz w:val="24"/>
          <w:highlight w:val="none"/>
          <w:lang w:val="en-US" w:eastAsia="zh-CN"/>
        </w:rPr>
        <w:t>启</w:t>
      </w:r>
      <w:r>
        <w:rPr>
          <w:rFonts w:hint="eastAsia" w:ascii="宋体" w:hAnsi="宋体" w:eastAsia="宋体" w:cs="宋体"/>
          <w:color w:val="auto"/>
          <w:sz w:val="24"/>
          <w:highlight w:val="none"/>
        </w:rPr>
        <w:t>时间：202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日1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285B3F89">
      <w:pPr>
        <w:keepNext w:val="0"/>
        <w:keepLines w:val="0"/>
        <w:pageBreakBefore w:val="0"/>
        <w:kinsoku/>
        <w:wordWrap/>
        <w:overflowPunct/>
        <w:topLinePunct w:val="0"/>
        <w:bidi w:val="0"/>
        <w:adjustRightInd w:val="0"/>
        <w:snapToGrid w:val="0"/>
        <w:spacing w:line="400" w:lineRule="exact"/>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4、开标地点：</w:t>
      </w:r>
      <w:r>
        <w:rPr>
          <w:rFonts w:hint="eastAsia" w:ascii="宋体" w:hAnsi="宋体" w:eastAsia="宋体" w:cs="宋体"/>
          <w:color w:val="auto"/>
          <w:sz w:val="24"/>
          <w:highlight w:val="none"/>
          <w:lang w:val="en-US" w:eastAsia="zh-CN"/>
        </w:rPr>
        <w:t>政采云平台</w:t>
      </w:r>
    </w:p>
    <w:p w14:paraId="2AC3D3FC">
      <w:pPr>
        <w:keepNext w:val="0"/>
        <w:keepLines w:val="0"/>
        <w:pageBreakBefore w:val="0"/>
        <w:kinsoku/>
        <w:wordWrap/>
        <w:overflowPunct/>
        <w:topLinePunct w:val="0"/>
        <w:bidi w:val="0"/>
        <w:adjustRightInd w:val="0"/>
        <w:snapToGrid w:val="0"/>
        <w:spacing w:line="400" w:lineRule="exact"/>
        <w:ind w:firstLine="480" w:firstLineChars="200"/>
        <w:outlineLvl w:val="1"/>
        <w:rPr>
          <w:color w:val="auto"/>
          <w:sz w:val="24"/>
          <w:highlight w:val="none"/>
        </w:rPr>
      </w:pPr>
      <w:bookmarkStart w:id="98" w:name="_Toc2198"/>
      <w:bookmarkStart w:id="99" w:name="_Toc6698"/>
      <w:bookmarkStart w:id="100" w:name="_Toc9794"/>
      <w:bookmarkStart w:id="101" w:name="_Toc15589"/>
      <w:bookmarkStart w:id="102" w:name="_Toc23083"/>
      <w:r>
        <w:rPr>
          <w:rFonts w:hint="eastAsia"/>
          <w:color w:val="auto"/>
          <w:sz w:val="24"/>
          <w:highlight w:val="none"/>
        </w:rPr>
        <w:t>六、采购人及联系方式：</w:t>
      </w:r>
      <w:bookmarkEnd w:id="98"/>
      <w:bookmarkEnd w:id="99"/>
      <w:bookmarkEnd w:id="100"/>
      <w:bookmarkEnd w:id="101"/>
      <w:bookmarkEnd w:id="102"/>
    </w:p>
    <w:p w14:paraId="265908A2">
      <w:pPr>
        <w:pStyle w:val="21"/>
        <w:keepNext w:val="0"/>
        <w:keepLines w:val="0"/>
        <w:pageBreakBefore w:val="0"/>
        <w:kinsoku/>
        <w:wordWrap/>
        <w:overflowPunct/>
        <w:topLinePunct w:val="0"/>
        <w:bidi w:val="0"/>
        <w:spacing w:line="400" w:lineRule="exact"/>
        <w:rPr>
          <w:rFonts w:hint="eastAsia"/>
          <w:color w:val="auto"/>
          <w:sz w:val="24"/>
          <w:highlight w:val="none"/>
        </w:rPr>
      </w:pPr>
      <w:bookmarkStart w:id="103" w:name="_Toc89950749"/>
      <w:r>
        <w:rPr>
          <w:rFonts w:hint="eastAsia"/>
          <w:color w:val="auto"/>
          <w:sz w:val="24"/>
          <w:highlight w:val="none"/>
        </w:rPr>
        <w:t>名 称：</w:t>
      </w:r>
      <w:r>
        <w:rPr>
          <w:rFonts w:hint="eastAsia"/>
          <w:color w:val="auto"/>
          <w:sz w:val="24"/>
          <w:highlight w:val="none"/>
          <w:lang w:eastAsia="zh-CN"/>
        </w:rPr>
        <w:t>乌鲁木齐市天山区民政局</w:t>
      </w:r>
      <w:r>
        <w:rPr>
          <w:rFonts w:hint="eastAsia"/>
          <w:color w:val="auto"/>
          <w:sz w:val="24"/>
          <w:highlight w:val="none"/>
        </w:rPr>
        <w:t>　　　　　</w:t>
      </w:r>
    </w:p>
    <w:p w14:paraId="6A5A3DE8">
      <w:pPr>
        <w:pStyle w:val="21"/>
        <w:keepNext w:val="0"/>
        <w:keepLines w:val="0"/>
        <w:pageBreakBefore w:val="0"/>
        <w:kinsoku/>
        <w:wordWrap/>
        <w:overflowPunct/>
        <w:topLinePunct w:val="0"/>
        <w:bidi w:val="0"/>
        <w:spacing w:line="400" w:lineRule="exact"/>
        <w:rPr>
          <w:rFonts w:hint="eastAsia"/>
          <w:color w:val="auto"/>
          <w:sz w:val="24"/>
          <w:highlight w:val="none"/>
        </w:rPr>
      </w:pPr>
      <w:r>
        <w:rPr>
          <w:rFonts w:hint="eastAsia"/>
          <w:color w:val="auto"/>
          <w:sz w:val="24"/>
          <w:highlight w:val="none"/>
        </w:rPr>
        <w:t>地址：</w:t>
      </w:r>
      <w:r>
        <w:rPr>
          <w:rFonts w:hint="eastAsia"/>
          <w:color w:val="auto"/>
          <w:sz w:val="24"/>
          <w:highlight w:val="none"/>
          <w:lang w:val="en-US" w:eastAsia="zh-CN"/>
        </w:rPr>
        <w:t>天山区碱泉二街199号7层</w:t>
      </w:r>
      <w:r>
        <w:rPr>
          <w:rFonts w:hint="eastAsia"/>
          <w:color w:val="auto"/>
          <w:sz w:val="24"/>
          <w:highlight w:val="none"/>
        </w:rPr>
        <w:t>　　　　　　　　</w:t>
      </w:r>
    </w:p>
    <w:p w14:paraId="77C8C82B">
      <w:pPr>
        <w:pStyle w:val="21"/>
        <w:keepNext w:val="0"/>
        <w:keepLines w:val="0"/>
        <w:pageBreakBefore w:val="0"/>
        <w:kinsoku/>
        <w:wordWrap/>
        <w:overflowPunct/>
        <w:topLinePunct w:val="0"/>
        <w:bidi w:val="0"/>
        <w:spacing w:line="400" w:lineRule="exact"/>
        <w:rPr>
          <w:rFonts w:hint="eastAsia"/>
          <w:color w:val="auto"/>
          <w:sz w:val="24"/>
          <w:highlight w:val="none"/>
        </w:rPr>
      </w:pPr>
      <w:r>
        <w:rPr>
          <w:rFonts w:hint="eastAsia"/>
          <w:color w:val="auto"/>
          <w:sz w:val="24"/>
          <w:highlight w:val="none"/>
        </w:rPr>
        <w:t>联系方式：</w:t>
      </w:r>
      <w:r>
        <w:rPr>
          <w:rFonts w:hint="eastAsia"/>
          <w:color w:val="auto"/>
          <w:sz w:val="24"/>
          <w:highlight w:val="none"/>
          <w:lang w:val="en-US" w:eastAsia="zh-CN"/>
        </w:rPr>
        <w:t xml:space="preserve"> 刘秧 0991-8885762</w:t>
      </w:r>
    </w:p>
    <w:p w14:paraId="15DDB3F5">
      <w:pPr>
        <w:keepNext w:val="0"/>
        <w:keepLines w:val="0"/>
        <w:pageBreakBefore w:val="0"/>
        <w:kinsoku/>
        <w:wordWrap/>
        <w:overflowPunct/>
        <w:topLinePunct w:val="0"/>
        <w:bidi w:val="0"/>
        <w:spacing w:before="141" w:line="400" w:lineRule="exact"/>
        <w:rPr>
          <w:b w:val="0"/>
          <w:bCs w:val="0"/>
          <w:color w:val="auto"/>
          <w:sz w:val="24"/>
          <w:szCs w:val="24"/>
          <w:highlight w:val="none"/>
        </w:rPr>
      </w:pPr>
      <w:r>
        <w:rPr>
          <w:rFonts w:hint="eastAsia"/>
          <w:color w:val="auto"/>
          <w:sz w:val="24"/>
          <w:highlight w:val="none"/>
        </w:rPr>
        <w:t>　</w:t>
      </w:r>
      <w:bookmarkStart w:id="104" w:name="_Toc32632"/>
      <w:bookmarkStart w:id="105" w:name="_Toc905"/>
      <w:bookmarkStart w:id="106" w:name="_Toc17501"/>
      <w:bookmarkStart w:id="107" w:name="_Toc11827"/>
      <w:bookmarkStart w:id="108" w:name="_Toc13881"/>
      <w:r>
        <w:rPr>
          <w:rFonts w:hint="eastAsia"/>
          <w:b w:val="0"/>
          <w:bCs w:val="0"/>
          <w:color w:val="auto"/>
          <w:sz w:val="24"/>
          <w:szCs w:val="24"/>
          <w:highlight w:val="none"/>
        </w:rPr>
        <w:t>七、采购代理机构信息</w:t>
      </w:r>
      <w:bookmarkEnd w:id="103"/>
      <w:bookmarkEnd w:id="104"/>
      <w:bookmarkEnd w:id="105"/>
      <w:bookmarkEnd w:id="106"/>
      <w:bookmarkEnd w:id="107"/>
      <w:bookmarkEnd w:id="108"/>
    </w:p>
    <w:p w14:paraId="66791CCB">
      <w:pPr>
        <w:pStyle w:val="21"/>
        <w:keepNext w:val="0"/>
        <w:keepLines w:val="0"/>
        <w:pageBreakBefore w:val="0"/>
        <w:kinsoku/>
        <w:wordWrap/>
        <w:overflowPunct/>
        <w:topLinePunct w:val="0"/>
        <w:bidi w:val="0"/>
        <w:spacing w:line="400" w:lineRule="exact"/>
        <w:rPr>
          <w:color w:val="auto"/>
          <w:sz w:val="24"/>
          <w:highlight w:val="none"/>
        </w:rPr>
      </w:pPr>
      <w:r>
        <w:rPr>
          <w:rFonts w:hint="eastAsia"/>
          <w:color w:val="auto"/>
          <w:sz w:val="24"/>
          <w:highlight w:val="none"/>
        </w:rPr>
        <w:t xml:space="preserve">名    </w:t>
      </w:r>
      <w:r>
        <w:rPr>
          <w:rFonts w:hint="eastAsia"/>
          <w:color w:val="auto"/>
          <w:sz w:val="24"/>
          <w:highlight w:val="none"/>
          <w:lang w:val="en-US" w:eastAsia="zh-CN"/>
        </w:rPr>
        <w:t xml:space="preserve"> </w:t>
      </w:r>
      <w:r>
        <w:rPr>
          <w:rFonts w:hint="eastAsia"/>
          <w:color w:val="auto"/>
          <w:sz w:val="24"/>
          <w:highlight w:val="none"/>
        </w:rPr>
        <w:t>称：新疆重道敬德招标咨询有限公司</w:t>
      </w:r>
    </w:p>
    <w:p w14:paraId="5B9BA843">
      <w:pPr>
        <w:pStyle w:val="21"/>
        <w:keepNext w:val="0"/>
        <w:keepLines w:val="0"/>
        <w:pageBreakBefore w:val="0"/>
        <w:kinsoku/>
        <w:wordWrap/>
        <w:overflowPunct/>
        <w:topLinePunct w:val="0"/>
        <w:bidi w:val="0"/>
        <w:spacing w:line="400" w:lineRule="exact"/>
        <w:rPr>
          <w:color w:val="auto"/>
          <w:sz w:val="24"/>
          <w:highlight w:val="none"/>
        </w:rPr>
      </w:pPr>
      <w:r>
        <w:rPr>
          <w:rFonts w:hint="eastAsia"/>
          <w:color w:val="auto"/>
          <w:sz w:val="24"/>
          <w:highlight w:val="none"/>
        </w:rPr>
        <w:t>地　　</w:t>
      </w:r>
      <w:r>
        <w:rPr>
          <w:rFonts w:hint="eastAsia"/>
          <w:color w:val="auto"/>
          <w:sz w:val="24"/>
          <w:highlight w:val="none"/>
          <w:lang w:val="en-US" w:eastAsia="zh-CN"/>
        </w:rPr>
        <w:t xml:space="preserve"> </w:t>
      </w:r>
      <w:r>
        <w:rPr>
          <w:rFonts w:hint="eastAsia"/>
          <w:color w:val="auto"/>
          <w:sz w:val="24"/>
          <w:highlight w:val="none"/>
        </w:rPr>
        <w:t>址：新疆乌鲁木齐市沙依巴克区友好南路91号新疆石油学院12号楼一单元102室</w:t>
      </w:r>
    </w:p>
    <w:p w14:paraId="58327CF1">
      <w:pPr>
        <w:pStyle w:val="21"/>
        <w:keepNext w:val="0"/>
        <w:keepLines w:val="0"/>
        <w:pageBreakBefore w:val="0"/>
        <w:kinsoku/>
        <w:wordWrap/>
        <w:overflowPunct/>
        <w:topLinePunct w:val="0"/>
        <w:bidi w:val="0"/>
        <w:spacing w:line="400" w:lineRule="exact"/>
        <w:rPr>
          <w:rFonts w:hint="default" w:eastAsiaTheme="minorEastAsia"/>
          <w:color w:val="auto"/>
          <w:sz w:val="24"/>
          <w:highlight w:val="none"/>
          <w:lang w:val="en-US" w:eastAsia="zh-CN"/>
        </w:rPr>
      </w:pPr>
      <w:r>
        <w:rPr>
          <w:rFonts w:hint="eastAsia"/>
          <w:color w:val="auto"/>
          <w:sz w:val="24"/>
          <w:highlight w:val="none"/>
        </w:rPr>
        <w:t>项目联系人</w:t>
      </w:r>
      <w:r>
        <w:rPr>
          <w:rFonts w:hint="eastAsia"/>
          <w:color w:val="auto"/>
          <w:sz w:val="24"/>
          <w:highlight w:val="none"/>
          <w:lang w:eastAsia="zh-CN"/>
        </w:rPr>
        <w:t>：</w:t>
      </w:r>
      <w:r>
        <w:rPr>
          <w:rFonts w:hint="eastAsia"/>
          <w:color w:val="auto"/>
          <w:sz w:val="24"/>
          <w:highlight w:val="none"/>
          <w:lang w:val="en-US" w:eastAsia="zh-CN"/>
        </w:rPr>
        <w:t>张帅、宁珂馨</w:t>
      </w:r>
    </w:p>
    <w:p w14:paraId="0A3F0CC2">
      <w:pPr>
        <w:pStyle w:val="21"/>
        <w:keepNext w:val="0"/>
        <w:keepLines w:val="0"/>
        <w:pageBreakBefore w:val="0"/>
        <w:kinsoku/>
        <w:wordWrap/>
        <w:overflowPunct/>
        <w:topLinePunct w:val="0"/>
        <w:bidi w:val="0"/>
        <w:spacing w:line="400" w:lineRule="exact"/>
        <w:rPr>
          <w:b w:val="0"/>
          <w:bCs w:val="0"/>
          <w:color w:val="auto"/>
          <w:sz w:val="24"/>
          <w:highlight w:val="none"/>
        </w:rPr>
      </w:pPr>
      <w:r>
        <w:rPr>
          <w:rFonts w:hint="eastAsia"/>
          <w:color w:val="auto"/>
          <w:sz w:val="24"/>
          <w:highlight w:val="none"/>
        </w:rPr>
        <w:t>联</w:t>
      </w:r>
      <w:r>
        <w:rPr>
          <w:rFonts w:hint="eastAsia"/>
          <w:color w:val="auto"/>
          <w:sz w:val="24"/>
          <w:highlight w:val="none"/>
          <w:lang w:val="en-US" w:eastAsia="zh-CN"/>
        </w:rPr>
        <w:t xml:space="preserve"> </w:t>
      </w:r>
      <w:r>
        <w:rPr>
          <w:rFonts w:hint="eastAsia"/>
          <w:color w:val="auto"/>
          <w:sz w:val="24"/>
          <w:highlight w:val="none"/>
        </w:rPr>
        <w:t>系</w:t>
      </w:r>
      <w:r>
        <w:rPr>
          <w:rFonts w:hint="eastAsia"/>
          <w:color w:val="auto"/>
          <w:sz w:val="24"/>
          <w:highlight w:val="none"/>
          <w:lang w:val="en-US" w:eastAsia="zh-CN"/>
        </w:rPr>
        <w:t xml:space="preserve"> </w:t>
      </w:r>
      <w:r>
        <w:rPr>
          <w:rFonts w:hint="eastAsia"/>
          <w:color w:val="auto"/>
          <w:sz w:val="24"/>
          <w:highlight w:val="none"/>
        </w:rPr>
        <w:t>方式：</w:t>
      </w:r>
      <w:r>
        <w:rPr>
          <w:rFonts w:hint="eastAsia"/>
          <w:b w:val="0"/>
          <w:bCs w:val="0"/>
          <w:color w:val="auto"/>
          <w:sz w:val="24"/>
          <w:highlight w:val="none"/>
        </w:rPr>
        <w:t>0991-4515557</w:t>
      </w:r>
    </w:p>
    <w:p w14:paraId="52B4D036">
      <w:pPr>
        <w:pStyle w:val="25"/>
        <w:pageBreakBefore w:val="0"/>
        <w:kinsoku/>
        <w:wordWrap/>
        <w:overflowPunct/>
        <w:topLinePunct w:val="0"/>
        <w:bidi w:val="0"/>
        <w:spacing w:line="360" w:lineRule="auto"/>
        <w:ind w:firstLine="2168" w:firstLineChars="900"/>
        <w:jc w:val="both"/>
        <w:rPr>
          <w:rStyle w:val="29"/>
          <w:rFonts w:ascii="宋体" w:hAnsi="宋体" w:cs="宋体"/>
          <w:b/>
          <w:bCs w:val="0"/>
          <w:color w:val="auto"/>
          <w:sz w:val="24"/>
          <w:szCs w:val="24"/>
          <w:highlight w:val="none"/>
        </w:rPr>
      </w:pPr>
    </w:p>
    <w:p w14:paraId="723790F2">
      <w:pPr>
        <w:rPr>
          <w:rStyle w:val="29"/>
          <w:rFonts w:hint="eastAsia" w:ascii="宋体" w:hAnsi="宋体" w:cs="宋体"/>
          <w:b/>
          <w:bCs w:val="0"/>
          <w:color w:val="auto"/>
          <w:sz w:val="24"/>
          <w:szCs w:val="24"/>
          <w:highlight w:val="none"/>
        </w:rPr>
      </w:pPr>
      <w:r>
        <w:rPr>
          <w:rStyle w:val="29"/>
          <w:rFonts w:hint="eastAsia" w:ascii="宋体" w:hAnsi="宋体" w:cs="宋体"/>
          <w:b/>
          <w:bCs w:val="0"/>
          <w:color w:val="auto"/>
          <w:sz w:val="24"/>
          <w:szCs w:val="24"/>
          <w:highlight w:val="none"/>
        </w:rPr>
        <w:br w:type="page"/>
      </w:r>
    </w:p>
    <w:p w14:paraId="7DE9893D">
      <w:pPr>
        <w:pStyle w:val="25"/>
        <w:pageBreakBefore w:val="0"/>
        <w:kinsoku/>
        <w:wordWrap/>
        <w:overflowPunct/>
        <w:topLinePunct w:val="0"/>
        <w:bidi w:val="0"/>
        <w:spacing w:line="360" w:lineRule="auto"/>
        <w:jc w:val="center"/>
        <w:rPr>
          <w:color w:val="auto"/>
          <w:sz w:val="32"/>
          <w:szCs w:val="40"/>
          <w:highlight w:val="none"/>
        </w:rPr>
      </w:pPr>
      <w:bookmarkStart w:id="109" w:name="_Toc24528"/>
      <w:r>
        <w:rPr>
          <w:rStyle w:val="29"/>
          <w:rFonts w:hint="eastAsia" w:ascii="宋体" w:hAnsi="宋体" w:cs="宋体"/>
          <w:b/>
          <w:bCs w:val="0"/>
          <w:color w:val="auto"/>
          <w:sz w:val="32"/>
          <w:szCs w:val="32"/>
          <w:highlight w:val="none"/>
        </w:rPr>
        <w:t>第二章       磋商文件前附表</w:t>
      </w:r>
      <w:bookmarkEnd w:id="109"/>
    </w:p>
    <w:tbl>
      <w:tblPr>
        <w:tblStyle w:val="26"/>
        <w:tblpPr w:leftFromText="180" w:rightFromText="180" w:vertAnchor="text" w:horzAnchor="page" w:tblpX="1251" w:tblpY="314"/>
        <w:tblOverlap w:val="never"/>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418"/>
        <w:gridCol w:w="7732"/>
      </w:tblGrid>
      <w:tr w14:paraId="0CCA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460" w:type="dxa"/>
            <w:vAlign w:val="center"/>
          </w:tcPr>
          <w:p w14:paraId="36279E5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序号</w:t>
            </w:r>
          </w:p>
        </w:tc>
        <w:tc>
          <w:tcPr>
            <w:tcW w:w="1418" w:type="dxa"/>
            <w:vAlign w:val="center"/>
          </w:tcPr>
          <w:p w14:paraId="1CF2C0A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Ansi="宋体" w:cs="宋体" w:asciiTheme="minorHAnsi"/>
                <w:color w:val="auto"/>
                <w:kern w:val="2"/>
                <w:highlight w:val="none"/>
              </w:rPr>
              <w:t>名称</w:t>
            </w:r>
          </w:p>
        </w:tc>
        <w:tc>
          <w:tcPr>
            <w:tcW w:w="7732" w:type="dxa"/>
            <w:vAlign w:val="center"/>
          </w:tcPr>
          <w:p w14:paraId="3C64ADF0">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内容规定</w:t>
            </w:r>
          </w:p>
        </w:tc>
      </w:tr>
      <w:tr w14:paraId="4037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87CD337">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1</w:t>
            </w:r>
          </w:p>
        </w:tc>
        <w:tc>
          <w:tcPr>
            <w:tcW w:w="1418" w:type="dxa"/>
            <w:vAlign w:val="center"/>
          </w:tcPr>
          <w:p w14:paraId="422A812C">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Ansi="宋体" w:eastAsia="宋体" w:cs="宋体"/>
                <w:color w:val="auto"/>
                <w:kern w:val="0"/>
                <w:sz w:val="24"/>
                <w:highlight w:val="none"/>
              </w:rPr>
              <w:t>项目概况</w:t>
            </w:r>
          </w:p>
        </w:tc>
        <w:tc>
          <w:tcPr>
            <w:tcW w:w="7732" w:type="dxa"/>
          </w:tcPr>
          <w:p w14:paraId="0EB7AB0E">
            <w:pPr>
              <w:pageBreakBefore w:val="0"/>
              <w:widowControl/>
              <w:wordWrap/>
              <w:overflowPunct/>
              <w:topLinePunct w:val="0"/>
              <w:bidi w:val="0"/>
              <w:adjustRightInd w:val="0"/>
              <w:snapToGrid w:val="0"/>
              <w:spacing w:line="360" w:lineRule="auto"/>
              <w:ind w:left="1200" w:hanging="1200" w:hangingChars="500"/>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项 目 名 称：</w:t>
            </w:r>
            <w:r>
              <w:rPr>
                <w:rFonts w:hint="eastAsia" w:ascii="宋体" w:hAnsi="宋体" w:eastAsia="宋体" w:cs="宋体"/>
                <w:color w:val="auto"/>
                <w:kern w:val="0"/>
                <w:sz w:val="24"/>
                <w:highlight w:val="none"/>
                <w:lang w:eastAsia="zh-CN" w:bidi="ar"/>
              </w:rPr>
              <w:t>天山区东门街道区域养老服务中心改造项目（监理）</w:t>
            </w:r>
          </w:p>
          <w:p w14:paraId="4AC58D7C">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lang w:val="en-US" w:eastAsia="zh-CN"/>
              </w:rPr>
            </w:pPr>
            <w:r>
              <w:rPr>
                <w:rFonts w:hint="eastAsia" w:hAnsi="宋体" w:eastAsia="宋体" w:cs="宋体"/>
                <w:color w:val="auto"/>
                <w:kern w:val="0"/>
                <w:sz w:val="24"/>
                <w:highlight w:val="none"/>
              </w:rPr>
              <w:t>项 目 编 号：</w:t>
            </w:r>
            <w:r>
              <w:rPr>
                <w:rFonts w:hint="eastAsia" w:hAnsi="宋体" w:eastAsia="宋体" w:cs="宋体"/>
                <w:color w:val="auto"/>
                <w:kern w:val="0"/>
                <w:sz w:val="24"/>
                <w:highlight w:val="none"/>
                <w:lang w:eastAsia="zh-CN"/>
              </w:rPr>
              <w:t>ZDJD2025-CS-019</w:t>
            </w:r>
          </w:p>
          <w:p w14:paraId="2B81F682">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lang w:val="en-US" w:eastAsia="zh-CN"/>
              </w:rPr>
            </w:pPr>
            <w:r>
              <w:rPr>
                <w:rFonts w:hint="eastAsia" w:hAnsi="宋体" w:eastAsia="宋体" w:cs="宋体"/>
                <w:color w:val="auto"/>
                <w:kern w:val="0"/>
                <w:sz w:val="24"/>
                <w:highlight w:val="none"/>
              </w:rPr>
              <w:t>项目总预算金额</w:t>
            </w:r>
            <w:r>
              <w:rPr>
                <w:rFonts w:hint="eastAsia" w:hAnsi="宋体" w:eastAsia="宋体" w:cs="宋体"/>
                <w:color w:val="auto"/>
                <w:kern w:val="0"/>
                <w:sz w:val="24"/>
                <w:highlight w:val="none"/>
                <w:lang w:eastAsia="zh-CN"/>
              </w:rPr>
              <w:t>：</w:t>
            </w:r>
            <w:r>
              <w:rPr>
                <w:rFonts w:hint="eastAsia"/>
                <w:color w:val="auto"/>
                <w:sz w:val="24"/>
                <w:highlight w:val="none"/>
                <w:lang w:val="en-US" w:eastAsia="zh-CN"/>
              </w:rPr>
              <w:t xml:space="preserve"> 120000</w:t>
            </w:r>
            <w:r>
              <w:rPr>
                <w:rFonts w:hint="eastAsia" w:hAnsi="宋体" w:eastAsia="宋体" w:cs="宋体"/>
                <w:color w:val="auto"/>
                <w:kern w:val="0"/>
                <w:sz w:val="24"/>
                <w:highlight w:val="none"/>
              </w:rPr>
              <w:t>元</w:t>
            </w:r>
            <w:r>
              <w:rPr>
                <w:rFonts w:hint="eastAsia" w:hAnsi="宋体" w:eastAsia="宋体" w:cs="宋体"/>
                <w:color w:val="auto"/>
                <w:kern w:val="0"/>
                <w:sz w:val="24"/>
                <w:highlight w:val="none"/>
                <w:lang w:val="en-US" w:eastAsia="zh-CN"/>
              </w:rPr>
              <w:t xml:space="preserve"> </w:t>
            </w:r>
          </w:p>
          <w:p w14:paraId="7844E1D9">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采   购    人：</w:t>
            </w:r>
            <w:r>
              <w:rPr>
                <w:rFonts w:hint="eastAsia" w:ascii="宋体" w:hAnsi="宋体" w:eastAsia="宋体" w:cs="宋体"/>
                <w:color w:val="auto"/>
                <w:kern w:val="0"/>
                <w:sz w:val="24"/>
                <w:highlight w:val="none"/>
                <w:lang w:eastAsia="zh-CN" w:bidi="ar"/>
              </w:rPr>
              <w:t>乌鲁木齐市天山区民政局</w:t>
            </w:r>
          </w:p>
        </w:tc>
      </w:tr>
      <w:tr w14:paraId="6EDA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460" w:type="dxa"/>
            <w:vAlign w:val="center"/>
          </w:tcPr>
          <w:p w14:paraId="59484F3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2</w:t>
            </w:r>
          </w:p>
        </w:tc>
        <w:tc>
          <w:tcPr>
            <w:tcW w:w="1418" w:type="dxa"/>
            <w:vAlign w:val="center"/>
          </w:tcPr>
          <w:p w14:paraId="0BF97FCE">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p>
          <w:p w14:paraId="3743C4A1">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招标代理</w:t>
            </w:r>
          </w:p>
          <w:p w14:paraId="65E5844C">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机构</w:t>
            </w:r>
          </w:p>
        </w:tc>
        <w:tc>
          <w:tcPr>
            <w:tcW w:w="7732" w:type="dxa"/>
          </w:tcPr>
          <w:p w14:paraId="71174EF4">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名      称：新疆重道敬德招标咨询有限公司</w:t>
            </w:r>
          </w:p>
          <w:p w14:paraId="1591BBD3">
            <w:pPr>
              <w:pStyle w:val="15"/>
              <w:pageBreakBefore w:val="0"/>
              <w:wordWrap/>
              <w:overflowPunct/>
              <w:topLinePunct w:val="0"/>
              <w:bidi w:val="0"/>
              <w:spacing w:line="360" w:lineRule="auto"/>
              <w:ind w:left="1440" w:hanging="1440" w:hangingChars="600"/>
              <w:rPr>
                <w:rFonts w:asciiTheme="minorHAnsi"/>
                <w:color w:val="auto"/>
                <w:sz w:val="24"/>
                <w:highlight w:val="none"/>
              </w:rPr>
            </w:pPr>
            <w:r>
              <w:rPr>
                <w:rFonts w:hint="eastAsia" w:eastAsia="宋体" w:cs="宋体" w:asciiTheme="minorHAnsi"/>
                <w:color w:val="auto"/>
                <w:kern w:val="0"/>
                <w:sz w:val="24"/>
                <w:highlight w:val="none"/>
              </w:rPr>
              <w:t>地　　  址：</w:t>
            </w:r>
            <w:r>
              <w:rPr>
                <w:rFonts w:hint="eastAsia" w:eastAsia="宋体" w:asciiTheme="minorHAnsi"/>
                <w:color w:val="auto"/>
                <w:sz w:val="24"/>
                <w:highlight w:val="none"/>
                <w:lang w:eastAsia="zh-CN"/>
              </w:rPr>
              <w:t>新疆乌鲁木齐市沙依巴克区友好南路91号新疆石油学院12号楼一单元102室</w:t>
            </w:r>
            <w:r>
              <w:rPr>
                <w:rFonts w:hint="eastAsia" w:asciiTheme="minorHAnsi"/>
                <w:color w:val="auto"/>
                <w:sz w:val="24"/>
                <w:highlight w:val="none"/>
              </w:rPr>
              <w:t>。</w:t>
            </w:r>
          </w:p>
          <w:p w14:paraId="361164FB">
            <w:pPr>
              <w:pageBreakBefore w:val="0"/>
              <w:widowControl/>
              <w:wordWrap/>
              <w:overflowPunct/>
              <w:topLinePunct w:val="0"/>
              <w:bidi w:val="0"/>
              <w:adjustRightInd w:val="0"/>
              <w:snapToGrid w:val="0"/>
              <w:spacing w:line="360" w:lineRule="auto"/>
              <w:rPr>
                <w:rFonts w:hint="default" w:hAnsi="宋体" w:eastAsia="宋体" w:cs="宋体"/>
                <w:color w:val="auto"/>
                <w:kern w:val="0"/>
                <w:sz w:val="24"/>
                <w:highlight w:val="none"/>
                <w:lang w:val="en-US"/>
              </w:rPr>
            </w:pPr>
            <w:r>
              <w:rPr>
                <w:rFonts w:hint="eastAsia" w:hAnsi="宋体" w:eastAsia="宋体" w:cs="宋体"/>
                <w:color w:val="auto"/>
                <w:kern w:val="0"/>
                <w:sz w:val="24"/>
                <w:highlight w:val="none"/>
              </w:rPr>
              <w:t>项目联系人：</w:t>
            </w:r>
            <w:r>
              <w:rPr>
                <w:rFonts w:hint="eastAsia" w:hAnsi="宋体" w:eastAsia="宋体" w:cs="宋体"/>
                <w:color w:val="auto"/>
                <w:kern w:val="0"/>
                <w:sz w:val="24"/>
                <w:highlight w:val="none"/>
                <w:lang w:val="en-US" w:eastAsia="zh-CN"/>
              </w:rPr>
              <w:t xml:space="preserve"> 张帅、宁珂馨</w:t>
            </w:r>
          </w:p>
          <w:p w14:paraId="4A3E6E9C">
            <w:pPr>
              <w:pageBreakBefore w:val="0"/>
              <w:wordWrap/>
              <w:overflowPunct/>
              <w:topLinePunct w:val="0"/>
              <w:bidi w:val="0"/>
              <w:adjustRightInd w:val="0"/>
              <w:snapToGrid w:val="0"/>
              <w:spacing w:line="360" w:lineRule="auto"/>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rPr>
              <w:t>联 系 方 式：</w:t>
            </w:r>
            <w:r>
              <w:rPr>
                <w:rFonts w:hint="eastAsia" w:hAnsi="宋体" w:eastAsia="宋体" w:cs="宋体"/>
                <w:color w:val="auto"/>
                <w:kern w:val="0"/>
                <w:sz w:val="24"/>
                <w:highlight w:val="none"/>
                <w:lang w:val="en-US" w:eastAsia="zh-CN"/>
              </w:rPr>
              <w:t>13139685270</w:t>
            </w:r>
          </w:p>
        </w:tc>
      </w:tr>
      <w:tr w14:paraId="6C99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F6BDC7B">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3</w:t>
            </w:r>
          </w:p>
        </w:tc>
        <w:tc>
          <w:tcPr>
            <w:tcW w:w="1418" w:type="dxa"/>
            <w:vAlign w:val="center"/>
          </w:tcPr>
          <w:p w14:paraId="0AB12E83">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资格审查要求</w:t>
            </w:r>
          </w:p>
        </w:tc>
        <w:tc>
          <w:tcPr>
            <w:tcW w:w="7732" w:type="dxa"/>
          </w:tcPr>
          <w:p w14:paraId="36C86764">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按第一章“三、投标人的资格审查要求”提供资格审查资料。</w:t>
            </w:r>
          </w:p>
        </w:tc>
      </w:tr>
      <w:tr w14:paraId="3A2C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60" w:type="dxa"/>
            <w:vAlign w:val="center"/>
          </w:tcPr>
          <w:p w14:paraId="7559316F">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4</w:t>
            </w:r>
          </w:p>
        </w:tc>
        <w:tc>
          <w:tcPr>
            <w:tcW w:w="1418" w:type="dxa"/>
            <w:vAlign w:val="center"/>
          </w:tcPr>
          <w:p w14:paraId="2CDB5C9C">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信用信息</w:t>
            </w:r>
          </w:p>
          <w:p w14:paraId="374AB89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查询</w:t>
            </w:r>
          </w:p>
        </w:tc>
        <w:tc>
          <w:tcPr>
            <w:tcW w:w="7732" w:type="dxa"/>
          </w:tcPr>
          <w:p w14:paraId="3736C7FD">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lang w:val="en-US" w:eastAsia="zh-CN"/>
              </w:rPr>
              <w:t>以符合性审查表中信誉情况要求为准</w:t>
            </w:r>
            <w:r>
              <w:rPr>
                <w:rFonts w:hint="eastAsia" w:hAnsi="宋体" w:eastAsia="宋体" w:cs="宋体"/>
                <w:color w:val="auto"/>
                <w:kern w:val="0"/>
                <w:sz w:val="24"/>
                <w:highlight w:val="none"/>
              </w:rPr>
              <w:t>。</w:t>
            </w:r>
          </w:p>
        </w:tc>
      </w:tr>
      <w:tr w14:paraId="43E5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60" w:type="dxa"/>
            <w:vAlign w:val="center"/>
          </w:tcPr>
          <w:p w14:paraId="5DDE477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5</w:t>
            </w:r>
          </w:p>
        </w:tc>
        <w:tc>
          <w:tcPr>
            <w:tcW w:w="1418" w:type="dxa"/>
            <w:vAlign w:val="center"/>
          </w:tcPr>
          <w:p w14:paraId="3726E6A0">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响应保证金的缴纳</w:t>
            </w:r>
          </w:p>
        </w:tc>
        <w:tc>
          <w:tcPr>
            <w:tcW w:w="7732" w:type="dxa"/>
          </w:tcPr>
          <w:p w14:paraId="7DAC3D80">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应当采用支票、汇票、本票或者金融机构、担保机构出具的保函等非现金形式缴纳。</w:t>
            </w:r>
          </w:p>
          <w:p w14:paraId="35A34B47">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为人民币：</w:t>
            </w:r>
            <w:r>
              <w:rPr>
                <w:rFonts w:hint="eastAsia" w:ascii="宋体" w:hAnsi="宋体" w:eastAsia="宋体" w:cs="宋体"/>
                <w:color w:val="auto"/>
                <w:sz w:val="24"/>
                <w:szCs w:val="24"/>
                <w:highlight w:val="none"/>
                <w:lang w:val="en-US" w:eastAsia="zh-CN"/>
              </w:rPr>
              <w:t>2000</w:t>
            </w:r>
            <w:r>
              <w:rPr>
                <w:rFonts w:hint="eastAsia" w:ascii="宋体" w:hAnsi="宋体" w:eastAsia="宋体" w:cs="宋体"/>
                <w:color w:val="auto"/>
                <w:sz w:val="24"/>
                <w:szCs w:val="24"/>
                <w:highlight w:val="none"/>
              </w:rPr>
              <w:t>（大写：人民币贰仟元整）；提交方式为</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基本账户以网银或银行电汇形式，在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截止时间之前汇至本公司账户，否则其响应文件将被拒绝评审，</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应充分考虑资金在途时间。</w:t>
            </w:r>
          </w:p>
          <w:p w14:paraId="3B17D109">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户 信 息：新疆重道敬德招标咨询有限公司</w:t>
            </w:r>
          </w:p>
          <w:p w14:paraId="7D2C8FE2">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  户   行：交通银行股份有限公司乌鲁木齐明园西路支行</w:t>
            </w:r>
          </w:p>
          <w:p w14:paraId="63F55D46">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 行 账 号：651651023013000775115</w:t>
            </w:r>
          </w:p>
          <w:p w14:paraId="50F4DD45">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 行行号：301881000202</w:t>
            </w:r>
          </w:p>
          <w:p w14:paraId="10545FF2">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注：以电汇方式递交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须在电汇凭据附言栏中写明项目名称简称及用途(保证金)，由于未按要求注明信息而导致的一切后果由投标人承担。</w:t>
            </w:r>
          </w:p>
          <w:p w14:paraId="015FF633">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ascii="宋体" w:hAnsi="宋体" w:eastAsia="宋体" w:cs="宋体"/>
                <w:color w:val="auto"/>
                <w:sz w:val="24"/>
                <w:szCs w:val="24"/>
                <w:highlight w:val="none"/>
              </w:rPr>
              <w:t>本单位财务联系方式：</w:t>
            </w:r>
            <w:r>
              <w:rPr>
                <w:rFonts w:hint="eastAsia" w:ascii="宋体" w:hAnsi="宋体" w:eastAsia="宋体" w:cs="宋体"/>
                <w:color w:val="auto"/>
                <w:sz w:val="24"/>
                <w:szCs w:val="24"/>
                <w:highlight w:val="none"/>
                <w:lang w:val="en-US" w:eastAsia="zh-CN"/>
              </w:rPr>
              <w:t>0991-4515557</w:t>
            </w:r>
          </w:p>
        </w:tc>
      </w:tr>
      <w:tr w14:paraId="563F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60" w:type="dxa"/>
            <w:vAlign w:val="center"/>
          </w:tcPr>
          <w:p w14:paraId="392B5F9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6</w:t>
            </w:r>
          </w:p>
        </w:tc>
        <w:tc>
          <w:tcPr>
            <w:tcW w:w="1418" w:type="dxa"/>
            <w:vAlign w:val="center"/>
          </w:tcPr>
          <w:p w14:paraId="7459D70F">
            <w:pPr>
              <w:pageBreakBefore w:val="0"/>
              <w:widowControl/>
              <w:wordWrap/>
              <w:overflowPunct/>
              <w:topLinePunct w:val="0"/>
              <w:bidi w:val="0"/>
              <w:adjustRightInd w:val="0"/>
              <w:snapToGrid w:val="0"/>
              <w:spacing w:line="360" w:lineRule="auto"/>
              <w:jc w:val="center"/>
              <w:rPr>
                <w:rFonts w:asciiTheme="minorHAnsi"/>
                <w:color w:val="auto"/>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文件的编制与提交</w:t>
            </w:r>
          </w:p>
        </w:tc>
        <w:tc>
          <w:tcPr>
            <w:tcW w:w="7732" w:type="dxa"/>
          </w:tcPr>
          <w:p w14:paraId="59016053">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hAnsi="宋体" w:eastAsia="宋体" w:cs="宋体"/>
                <w:color w:val="auto"/>
                <w:kern w:val="0"/>
                <w:sz w:val="24"/>
                <w:highlight w:val="none"/>
              </w:rPr>
              <w:t>电子响应文件使用政采云平台响应文件制作工具以及磋商文件要求进行制作编制。响应文件制作时，按照磋商文件中明确的响应文件目录和格式进行编制，保证目录清晰、内容完整。</w:t>
            </w:r>
          </w:p>
          <w:p w14:paraId="0719A7F0">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投标文件的数量：加密的电子响应文件壹份(.jmbs格式)在政采云平台指定位置上传。</w:t>
            </w:r>
          </w:p>
        </w:tc>
      </w:tr>
      <w:tr w14:paraId="668F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60" w:type="dxa"/>
            <w:vAlign w:val="center"/>
          </w:tcPr>
          <w:p w14:paraId="18CFE664">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7</w:t>
            </w:r>
          </w:p>
        </w:tc>
        <w:tc>
          <w:tcPr>
            <w:tcW w:w="1418" w:type="dxa"/>
            <w:vAlign w:val="center"/>
          </w:tcPr>
          <w:p w14:paraId="4311205D">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文件的签字和签章</w:t>
            </w:r>
          </w:p>
        </w:tc>
        <w:tc>
          <w:tcPr>
            <w:tcW w:w="7732" w:type="dxa"/>
          </w:tcPr>
          <w:p w14:paraId="0F1EFCA2">
            <w:pPr>
              <w:pageBreakBefore w:val="0"/>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电子响应文件须使用供应商电子公章及法定代表人的电子签名。若无电子签章和签名，则视为无效响应。</w:t>
            </w:r>
          </w:p>
        </w:tc>
      </w:tr>
      <w:tr w14:paraId="474E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60" w:type="dxa"/>
            <w:vAlign w:val="center"/>
          </w:tcPr>
          <w:p w14:paraId="6EEC0B7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8</w:t>
            </w:r>
          </w:p>
        </w:tc>
        <w:tc>
          <w:tcPr>
            <w:tcW w:w="1418" w:type="dxa"/>
            <w:vAlign w:val="center"/>
          </w:tcPr>
          <w:p w14:paraId="25ECCE96">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标前答疑会</w:t>
            </w:r>
          </w:p>
        </w:tc>
        <w:tc>
          <w:tcPr>
            <w:tcW w:w="7732" w:type="dxa"/>
          </w:tcPr>
          <w:p w14:paraId="328ED095">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否</w:t>
            </w:r>
          </w:p>
        </w:tc>
      </w:tr>
      <w:tr w14:paraId="5847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60" w:type="dxa"/>
            <w:vAlign w:val="center"/>
          </w:tcPr>
          <w:p w14:paraId="42C52FA8">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9</w:t>
            </w:r>
          </w:p>
        </w:tc>
        <w:tc>
          <w:tcPr>
            <w:tcW w:w="1418" w:type="dxa"/>
            <w:vAlign w:val="center"/>
          </w:tcPr>
          <w:p w14:paraId="417D547D">
            <w:pPr>
              <w:pageBreakBefore w:val="0"/>
              <w:widowControl/>
              <w:wordWrap/>
              <w:overflowPunct/>
              <w:topLinePunct w:val="0"/>
              <w:bidi w:val="0"/>
              <w:adjustRightInd w:val="0"/>
              <w:snapToGrid w:val="0"/>
              <w:spacing w:line="360" w:lineRule="auto"/>
              <w:ind w:firstLine="240" w:firstLineChars="100"/>
              <w:jc w:val="center"/>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开</w:t>
            </w:r>
            <w:r>
              <w:rPr>
                <w:rFonts w:hint="eastAsia" w:hAnsi="宋体" w:eastAsia="宋体" w:cs="宋体"/>
                <w:color w:val="auto"/>
                <w:kern w:val="0"/>
                <w:sz w:val="24"/>
                <w:highlight w:val="none"/>
                <w:lang w:eastAsia="zh-CN"/>
              </w:rPr>
              <w:t>启</w:t>
            </w:r>
          </w:p>
          <w:p w14:paraId="7743320F">
            <w:pPr>
              <w:pStyle w:val="21"/>
              <w:pageBreakBefore w:val="0"/>
              <w:wordWrap/>
              <w:overflowPunct/>
              <w:topLinePunct w:val="0"/>
              <w:bidi w:val="0"/>
              <w:spacing w:line="360" w:lineRule="auto"/>
              <w:jc w:val="center"/>
              <w:rPr>
                <w:rFonts w:asciiTheme="minorHAnsi"/>
                <w:color w:val="auto"/>
                <w:sz w:val="24"/>
                <w:highlight w:val="none"/>
              </w:rPr>
            </w:pPr>
          </w:p>
        </w:tc>
        <w:tc>
          <w:tcPr>
            <w:tcW w:w="7732" w:type="dxa"/>
          </w:tcPr>
          <w:p w14:paraId="411B349B">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开</w:t>
            </w:r>
            <w:r>
              <w:rPr>
                <w:rFonts w:hint="eastAsia" w:hAnsi="宋体" w:eastAsia="宋体" w:cs="宋体"/>
                <w:color w:val="auto"/>
                <w:kern w:val="0"/>
                <w:sz w:val="24"/>
                <w:highlight w:val="none"/>
                <w:lang w:eastAsia="zh-CN"/>
              </w:rPr>
              <w:t>启</w:t>
            </w:r>
            <w:r>
              <w:rPr>
                <w:rFonts w:hint="eastAsia" w:hAnsi="宋体" w:eastAsia="宋体" w:cs="宋体"/>
                <w:color w:val="auto"/>
                <w:kern w:val="0"/>
                <w:sz w:val="24"/>
                <w:highlight w:val="none"/>
              </w:rPr>
              <w:t>时间：202</w:t>
            </w:r>
            <w:r>
              <w:rPr>
                <w:rFonts w:hint="eastAsia" w:hAnsi="宋体" w:eastAsia="宋体" w:cs="宋体"/>
                <w:color w:val="auto"/>
                <w:kern w:val="0"/>
                <w:sz w:val="24"/>
                <w:highlight w:val="none"/>
                <w:lang w:val="en-US" w:eastAsia="zh-CN"/>
              </w:rPr>
              <w:t>5</w:t>
            </w:r>
            <w:r>
              <w:rPr>
                <w:rFonts w:hint="eastAsia" w:hAnsi="宋体" w:eastAsia="宋体" w:cs="宋体"/>
                <w:color w:val="auto"/>
                <w:kern w:val="0"/>
                <w:sz w:val="24"/>
                <w:highlight w:val="none"/>
              </w:rPr>
              <w:t>年</w:t>
            </w:r>
            <w:r>
              <w:rPr>
                <w:rFonts w:hint="eastAsia" w:hAnsi="宋体" w:eastAsia="宋体" w:cs="宋体"/>
                <w:color w:val="auto"/>
                <w:kern w:val="0"/>
                <w:sz w:val="24"/>
                <w:highlight w:val="none"/>
                <w:lang w:val="en-US" w:eastAsia="zh-CN"/>
              </w:rPr>
              <w:t>07</w:t>
            </w:r>
            <w:r>
              <w:rPr>
                <w:rFonts w:hint="eastAsia" w:hAnsi="宋体" w:eastAsia="宋体" w:cs="宋体"/>
                <w:color w:val="auto"/>
                <w:kern w:val="0"/>
                <w:sz w:val="24"/>
                <w:highlight w:val="none"/>
              </w:rPr>
              <w:t>月</w:t>
            </w:r>
            <w:r>
              <w:rPr>
                <w:rFonts w:hint="eastAsia" w:hAnsi="宋体" w:eastAsia="宋体" w:cs="宋体"/>
                <w:color w:val="auto"/>
                <w:kern w:val="0"/>
                <w:sz w:val="24"/>
                <w:highlight w:val="none"/>
                <w:lang w:val="en-US" w:eastAsia="zh-CN"/>
              </w:rPr>
              <w:t>21</w:t>
            </w:r>
            <w:r>
              <w:rPr>
                <w:rFonts w:hint="eastAsia" w:hAnsi="宋体" w:eastAsia="宋体" w:cs="宋体"/>
                <w:color w:val="auto"/>
                <w:kern w:val="0"/>
                <w:sz w:val="24"/>
                <w:highlight w:val="none"/>
              </w:rPr>
              <w:t>日</w:t>
            </w:r>
            <w:r>
              <w:rPr>
                <w:rFonts w:hint="eastAsia" w:hAnsi="宋体" w:eastAsia="宋体" w:cs="宋体"/>
                <w:color w:val="auto"/>
                <w:kern w:val="0"/>
                <w:sz w:val="24"/>
                <w:highlight w:val="none"/>
                <w:lang w:val="en-US" w:eastAsia="zh-CN"/>
              </w:rPr>
              <w:t>11:00</w:t>
            </w:r>
            <w:r>
              <w:rPr>
                <w:rFonts w:hint="eastAsia" w:hAnsi="宋体" w:eastAsia="宋体" w:cs="宋体"/>
                <w:color w:val="auto"/>
                <w:kern w:val="0"/>
                <w:sz w:val="24"/>
                <w:highlight w:val="none"/>
              </w:rPr>
              <w:t>（北京时间）</w:t>
            </w:r>
          </w:p>
          <w:p w14:paraId="329FDF52">
            <w:pPr>
              <w:pStyle w:val="15"/>
              <w:pageBreakBefore w:val="0"/>
              <w:wordWrap/>
              <w:overflowPunct/>
              <w:topLinePunct w:val="0"/>
              <w:bidi w:val="0"/>
              <w:spacing w:line="360" w:lineRule="auto"/>
              <w:rPr>
                <w:rFonts w:eastAsia="宋体" w:cs="宋体"/>
                <w:color w:val="auto"/>
                <w:kern w:val="0"/>
                <w:sz w:val="24"/>
                <w:highlight w:val="none"/>
              </w:rPr>
            </w:pPr>
            <w:r>
              <w:rPr>
                <w:rFonts w:hint="eastAsia" w:eastAsia="宋体" w:cs="宋体" w:asciiTheme="minorHAnsi"/>
                <w:color w:val="auto"/>
                <w:kern w:val="0"/>
                <w:sz w:val="24"/>
                <w:highlight w:val="none"/>
              </w:rPr>
              <w:t>开</w:t>
            </w:r>
            <w:r>
              <w:rPr>
                <w:rFonts w:hint="eastAsia" w:eastAsia="宋体" w:cs="宋体" w:asciiTheme="minorHAnsi"/>
                <w:color w:val="auto"/>
                <w:kern w:val="0"/>
                <w:sz w:val="24"/>
                <w:highlight w:val="none"/>
                <w:lang w:eastAsia="zh-CN"/>
              </w:rPr>
              <w:t>启</w:t>
            </w:r>
            <w:r>
              <w:rPr>
                <w:rFonts w:hint="eastAsia" w:eastAsia="宋体" w:cs="宋体" w:asciiTheme="minorHAnsi"/>
                <w:color w:val="auto"/>
                <w:kern w:val="0"/>
                <w:sz w:val="24"/>
                <w:highlight w:val="none"/>
              </w:rPr>
              <w:t>地点：政采云平台（https://www.zcygov.cn/）</w:t>
            </w:r>
          </w:p>
        </w:tc>
      </w:tr>
      <w:tr w14:paraId="703C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60" w:type="dxa"/>
            <w:vAlign w:val="center"/>
          </w:tcPr>
          <w:p w14:paraId="1E1DD18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0</w:t>
            </w:r>
          </w:p>
        </w:tc>
        <w:tc>
          <w:tcPr>
            <w:tcW w:w="1418" w:type="dxa"/>
            <w:vAlign w:val="center"/>
          </w:tcPr>
          <w:p w14:paraId="4212E12D">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有效期</w:t>
            </w:r>
          </w:p>
        </w:tc>
        <w:tc>
          <w:tcPr>
            <w:tcW w:w="7732" w:type="dxa"/>
          </w:tcPr>
          <w:p w14:paraId="303769FA">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自提交投标文件的截止之日起 90 日。</w:t>
            </w:r>
          </w:p>
        </w:tc>
      </w:tr>
      <w:tr w14:paraId="34A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350B27E9">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1</w:t>
            </w:r>
          </w:p>
        </w:tc>
        <w:tc>
          <w:tcPr>
            <w:tcW w:w="1418" w:type="dxa"/>
            <w:vAlign w:val="center"/>
          </w:tcPr>
          <w:p w14:paraId="4FC0EE34">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评标</w:t>
            </w:r>
            <w:r>
              <w:rPr>
                <w:rFonts w:hint="eastAsia" w:hAnsi="宋体" w:eastAsia="宋体" w:cs="宋体"/>
                <w:color w:val="auto"/>
                <w:kern w:val="0"/>
                <w:sz w:val="24"/>
                <w:highlight w:val="none"/>
                <w:lang w:val="en-US" w:eastAsia="zh-CN"/>
              </w:rPr>
              <w:t>方法</w:t>
            </w:r>
          </w:p>
        </w:tc>
        <w:tc>
          <w:tcPr>
            <w:tcW w:w="7732" w:type="dxa"/>
          </w:tcPr>
          <w:p w14:paraId="6CF10BCB">
            <w:pPr>
              <w:keepNext w:val="0"/>
              <w:keepLines w:val="0"/>
              <w:pageBreakBefore w:val="0"/>
              <w:widowControl/>
              <w:kinsoku/>
              <w:wordWrap/>
              <w:overflowPunct/>
              <w:topLinePunct w:val="0"/>
              <w:autoSpaceDE/>
              <w:autoSpaceDN/>
              <w:bidi w:val="0"/>
              <w:adjustRightInd w:val="0"/>
              <w:snapToGrid w:val="0"/>
              <w:spacing w:line="360" w:lineRule="auto"/>
              <w:textAlignment w:val="auto"/>
              <w:rPr>
                <w:color w:val="auto"/>
                <w:sz w:val="24"/>
                <w:highlight w:val="none"/>
              </w:rPr>
            </w:pPr>
            <w:r>
              <w:rPr>
                <w:rFonts w:hint="eastAsia" w:hAnsi="VGFCIT+·ÂËÎ" w:cs="VGFCIT+·ÂËÎ"/>
                <w:color w:val="auto"/>
                <w:sz w:val="24"/>
                <w:highlight w:val="none"/>
              </w:rPr>
              <w:t>综合评分法</w:t>
            </w:r>
          </w:p>
        </w:tc>
      </w:tr>
      <w:tr w14:paraId="4F1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60" w:type="dxa"/>
            <w:vAlign w:val="center"/>
          </w:tcPr>
          <w:p w14:paraId="44551115">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2</w:t>
            </w:r>
          </w:p>
        </w:tc>
        <w:tc>
          <w:tcPr>
            <w:tcW w:w="1418" w:type="dxa"/>
            <w:vAlign w:val="center"/>
          </w:tcPr>
          <w:p w14:paraId="7F231AED">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服务期</w:t>
            </w:r>
          </w:p>
        </w:tc>
        <w:tc>
          <w:tcPr>
            <w:tcW w:w="7732" w:type="dxa"/>
          </w:tcPr>
          <w:p w14:paraId="285A23A5">
            <w:pPr>
              <w:pageBreakBefore w:val="0"/>
              <w:widowControl/>
              <w:wordWrap/>
              <w:overflowPunct/>
              <w:topLinePunct w:val="0"/>
              <w:bidi w:val="0"/>
              <w:adjustRightInd w:val="0"/>
              <w:snapToGrid w:val="0"/>
              <w:spacing w:line="360" w:lineRule="auto"/>
              <w:rPr>
                <w:rFonts w:hint="default" w:eastAsia="宋体"/>
                <w:color w:val="auto"/>
                <w:sz w:val="24"/>
                <w:highlight w:val="none"/>
                <w:lang w:val="en-US" w:eastAsia="zh-CN"/>
              </w:rPr>
            </w:pPr>
            <w:r>
              <w:rPr>
                <w:rFonts w:hint="default" w:eastAsia="宋体"/>
                <w:color w:val="auto"/>
                <w:sz w:val="24"/>
                <w:highlight w:val="none"/>
                <w:lang w:val="en-US" w:eastAsia="zh-CN"/>
              </w:rPr>
              <w:t>自合同签订之日至工程竣工验收、结算审计、竣工档案移交完成截止。</w:t>
            </w:r>
          </w:p>
        </w:tc>
      </w:tr>
      <w:tr w14:paraId="12B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5357A80A">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3</w:t>
            </w:r>
          </w:p>
        </w:tc>
        <w:tc>
          <w:tcPr>
            <w:tcW w:w="1418" w:type="dxa"/>
            <w:vAlign w:val="center"/>
          </w:tcPr>
          <w:p w14:paraId="141F987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说明</w:t>
            </w:r>
          </w:p>
        </w:tc>
        <w:tc>
          <w:tcPr>
            <w:tcW w:w="7732" w:type="dxa"/>
            <w:vAlign w:val="center"/>
          </w:tcPr>
          <w:p w14:paraId="54A617D0">
            <w:pPr>
              <w:pageBreakBefore w:val="0"/>
              <w:widowControl/>
              <w:wordWrap/>
              <w:overflowPunct/>
              <w:topLinePunct w:val="0"/>
              <w:bidi w:val="0"/>
              <w:adjustRightInd w:val="0"/>
              <w:snapToGrid w:val="0"/>
              <w:spacing w:line="360" w:lineRule="auto"/>
              <w:jc w:val="both"/>
              <w:rPr>
                <w:rFonts w:hAnsi="宋体" w:eastAsia="宋体" w:cs="宋体"/>
                <w:color w:val="auto"/>
                <w:kern w:val="0"/>
                <w:sz w:val="24"/>
                <w:highlight w:val="none"/>
              </w:rPr>
            </w:pPr>
            <w:r>
              <w:rPr>
                <w:rFonts w:hint="eastAsia" w:hAnsi="宋体" w:eastAsia="宋体" w:cs="宋体"/>
                <w:color w:val="auto"/>
                <w:kern w:val="0"/>
                <w:sz w:val="24"/>
                <w:highlight w:val="none"/>
              </w:rPr>
              <w:t>本招标文件中提到的日期、时间均为公历、北京时间。</w:t>
            </w:r>
          </w:p>
        </w:tc>
      </w:tr>
      <w:tr w14:paraId="7F6E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19625138">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14</w:t>
            </w:r>
          </w:p>
        </w:tc>
        <w:tc>
          <w:tcPr>
            <w:tcW w:w="1418" w:type="dxa"/>
            <w:vAlign w:val="center"/>
          </w:tcPr>
          <w:p w14:paraId="3605B6B8">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现场踏勘</w:t>
            </w:r>
          </w:p>
        </w:tc>
        <w:tc>
          <w:tcPr>
            <w:tcW w:w="7732" w:type="dxa"/>
            <w:vAlign w:val="center"/>
          </w:tcPr>
          <w:p w14:paraId="50884CF7">
            <w:pPr>
              <w:pageBreakBefore w:val="0"/>
              <w:widowControl/>
              <w:wordWrap/>
              <w:overflowPunct/>
              <w:topLinePunct w:val="0"/>
              <w:bidi w:val="0"/>
              <w:adjustRightInd w:val="0"/>
              <w:snapToGrid w:val="0"/>
              <w:spacing w:line="360" w:lineRule="auto"/>
              <w:jc w:val="both"/>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不组织，由供应商自行对项目现场和其周围环境进行考察</w:t>
            </w:r>
            <w:r>
              <w:rPr>
                <w:rFonts w:hint="eastAsia" w:hAnsi="宋体" w:eastAsia="宋体" w:cs="宋体"/>
                <w:color w:val="auto"/>
                <w:kern w:val="0"/>
                <w:sz w:val="24"/>
                <w:highlight w:val="none"/>
                <w:lang w:eastAsia="zh-CN"/>
              </w:rPr>
              <w:t>；</w:t>
            </w:r>
            <w:r>
              <w:rPr>
                <w:rFonts w:hint="eastAsia" w:hAnsi="宋体" w:eastAsia="宋体" w:cs="宋体"/>
                <w:color w:val="auto"/>
                <w:kern w:val="0"/>
                <w:sz w:val="24"/>
                <w:highlight w:val="none"/>
              </w:rPr>
              <w:t>如因供应商未到现场进行考察所造成的一切后果由供应商</w:t>
            </w:r>
            <w:r>
              <w:rPr>
                <w:rFonts w:hint="eastAsia" w:hAnsi="宋体" w:eastAsia="宋体" w:cs="宋体"/>
                <w:color w:val="auto"/>
                <w:kern w:val="0"/>
                <w:sz w:val="24"/>
                <w:highlight w:val="none"/>
                <w:lang w:eastAsia="zh-CN"/>
              </w:rPr>
              <w:t>自负；</w:t>
            </w:r>
          </w:p>
        </w:tc>
      </w:tr>
      <w:tr w14:paraId="30C9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 w:type="dxa"/>
            <w:vAlign w:val="center"/>
          </w:tcPr>
          <w:p w14:paraId="39647F49">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15</w:t>
            </w:r>
          </w:p>
        </w:tc>
        <w:tc>
          <w:tcPr>
            <w:tcW w:w="1418" w:type="dxa"/>
            <w:vAlign w:val="center"/>
          </w:tcPr>
          <w:p w14:paraId="387E6D33">
            <w:pPr>
              <w:pageBreakBefore w:val="0"/>
              <w:widowControl/>
              <w:wordWrap/>
              <w:overflowPunct/>
              <w:topLinePunct w:val="0"/>
              <w:bidi w:val="0"/>
              <w:adjustRightInd w:val="0"/>
              <w:snapToGrid w:val="0"/>
              <w:spacing w:line="360" w:lineRule="auto"/>
              <w:jc w:val="both"/>
              <w:rPr>
                <w:rFonts w:hAnsi="宋体" w:eastAsia="宋体" w:cs="宋体"/>
                <w:color w:val="auto"/>
                <w:kern w:val="0"/>
                <w:sz w:val="24"/>
                <w:highlight w:val="none"/>
              </w:rPr>
            </w:pPr>
            <w:r>
              <w:rPr>
                <w:rFonts w:hint="eastAsia" w:hAnsi="宋体" w:eastAsia="宋体" w:cs="宋体"/>
                <w:color w:val="auto"/>
                <w:kern w:val="0"/>
                <w:sz w:val="24"/>
                <w:highlight w:val="none"/>
              </w:rPr>
              <w:t>采购进口产品</w:t>
            </w:r>
          </w:p>
        </w:tc>
        <w:tc>
          <w:tcPr>
            <w:tcW w:w="7732" w:type="dxa"/>
          </w:tcPr>
          <w:p w14:paraId="0D30FFAF">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□是</w:t>
            </w:r>
            <w:r>
              <w:rPr>
                <w:rFonts w:hint="eastAsia" w:hAnsi="宋体" w:eastAsia="宋体" w:cs="宋体"/>
                <w:color w:val="auto"/>
                <w:kern w:val="0"/>
                <w:sz w:val="24"/>
                <w:highlight w:val="none"/>
                <w:lang w:val="en-US" w:eastAsia="zh-CN"/>
              </w:rPr>
              <w:t xml:space="preserve">       </w:t>
            </w:r>
            <w:r>
              <w:rPr>
                <w:rFonts w:hint="eastAsia" w:hAnsi="MS Gothic" w:eastAsia="MS Gothic" w:cs="MS Gothic"/>
                <w:color w:val="auto"/>
                <w:kern w:val="0"/>
                <w:sz w:val="24"/>
                <w:highlight w:val="none"/>
              </w:rPr>
              <w:t>☑</w:t>
            </w:r>
            <w:r>
              <w:rPr>
                <w:rFonts w:hint="eastAsia" w:hAnsi="宋体" w:eastAsia="宋体" w:cs="宋体"/>
                <w:color w:val="auto"/>
                <w:kern w:val="0"/>
                <w:sz w:val="24"/>
                <w:highlight w:val="none"/>
              </w:rPr>
              <w:t>否</w:t>
            </w:r>
          </w:p>
        </w:tc>
      </w:tr>
      <w:tr w14:paraId="6AA8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460" w:type="dxa"/>
            <w:vAlign w:val="center"/>
          </w:tcPr>
          <w:p w14:paraId="10D1B68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16</w:t>
            </w:r>
          </w:p>
        </w:tc>
        <w:tc>
          <w:tcPr>
            <w:tcW w:w="1418" w:type="dxa"/>
            <w:vAlign w:val="center"/>
          </w:tcPr>
          <w:p w14:paraId="2F1608EB">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联合体投标</w:t>
            </w:r>
          </w:p>
          <w:p w14:paraId="56D7EA13">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p>
          <w:p w14:paraId="7D441564">
            <w:pPr>
              <w:pStyle w:val="21"/>
              <w:pageBreakBefore w:val="0"/>
              <w:wordWrap/>
              <w:overflowPunct/>
              <w:topLinePunct w:val="0"/>
              <w:bidi w:val="0"/>
              <w:spacing w:line="360" w:lineRule="auto"/>
              <w:jc w:val="center"/>
              <w:rPr>
                <w:rFonts w:asciiTheme="minorHAnsi"/>
                <w:color w:val="auto"/>
                <w:sz w:val="24"/>
                <w:highlight w:val="none"/>
              </w:rPr>
            </w:pPr>
          </w:p>
        </w:tc>
        <w:tc>
          <w:tcPr>
            <w:tcW w:w="7732" w:type="dxa"/>
          </w:tcPr>
          <w:p w14:paraId="714DA501">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□接受</w:t>
            </w:r>
            <w:r>
              <w:rPr>
                <w:rFonts w:hint="eastAsia" w:hAnsi="宋体" w:eastAsia="宋体" w:cs="宋体"/>
                <w:color w:val="auto"/>
                <w:kern w:val="0"/>
                <w:sz w:val="24"/>
                <w:highlight w:val="none"/>
                <w:lang w:val="en-US" w:eastAsia="zh-CN"/>
              </w:rPr>
              <w:t xml:space="preserve">     </w:t>
            </w:r>
            <w:r>
              <w:rPr>
                <w:rFonts w:hint="eastAsia" w:hAnsi="MS Gothic" w:eastAsia="MS Gothic" w:cs="MS Gothic"/>
                <w:color w:val="auto"/>
                <w:kern w:val="0"/>
                <w:sz w:val="24"/>
                <w:highlight w:val="none"/>
              </w:rPr>
              <w:t>☑</w:t>
            </w:r>
            <w:r>
              <w:rPr>
                <w:rFonts w:hint="eastAsia" w:hAnsi="宋体" w:eastAsia="宋体" w:cs="宋体"/>
                <w:color w:val="auto"/>
                <w:kern w:val="0"/>
                <w:sz w:val="24"/>
                <w:highlight w:val="none"/>
              </w:rPr>
              <w:t>不接受</w:t>
            </w:r>
          </w:p>
        </w:tc>
      </w:tr>
      <w:tr w14:paraId="7CDE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460" w:type="dxa"/>
            <w:vAlign w:val="center"/>
          </w:tcPr>
          <w:p w14:paraId="579FD47B">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17</w:t>
            </w:r>
          </w:p>
        </w:tc>
        <w:tc>
          <w:tcPr>
            <w:tcW w:w="1418" w:type="dxa"/>
            <w:vAlign w:val="center"/>
          </w:tcPr>
          <w:p w14:paraId="45B5FB4D">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签署合同</w:t>
            </w:r>
          </w:p>
          <w:p w14:paraId="004654B6">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时间</w:t>
            </w:r>
          </w:p>
        </w:tc>
        <w:tc>
          <w:tcPr>
            <w:tcW w:w="7732" w:type="dxa"/>
            <w:vAlign w:val="center"/>
          </w:tcPr>
          <w:p w14:paraId="5D582319">
            <w:pPr>
              <w:pageBreakBefore w:val="0"/>
              <w:widowControl/>
              <w:wordWrap/>
              <w:overflowPunct/>
              <w:topLinePunct w:val="0"/>
              <w:bidi w:val="0"/>
              <w:adjustRightInd w:val="0"/>
              <w:snapToGrid w:val="0"/>
              <w:spacing w:line="360" w:lineRule="auto"/>
              <w:jc w:val="both"/>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中标通知书发出后30日内，中标人与采购人签署</w:t>
            </w:r>
            <w:r>
              <w:rPr>
                <w:rFonts w:hint="eastAsia" w:hAnsi="宋体" w:eastAsia="宋体" w:cs="宋体"/>
                <w:color w:val="auto"/>
                <w:kern w:val="0"/>
                <w:sz w:val="24"/>
                <w:highlight w:val="none"/>
                <w:lang w:val="en-US" w:eastAsia="zh-CN"/>
              </w:rPr>
              <w:t>合同</w:t>
            </w:r>
          </w:p>
        </w:tc>
      </w:tr>
      <w:tr w14:paraId="790C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exact"/>
        </w:trPr>
        <w:tc>
          <w:tcPr>
            <w:tcW w:w="460" w:type="dxa"/>
            <w:vAlign w:val="center"/>
          </w:tcPr>
          <w:p w14:paraId="53394F0A">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18</w:t>
            </w:r>
          </w:p>
        </w:tc>
        <w:tc>
          <w:tcPr>
            <w:tcW w:w="1418" w:type="dxa"/>
            <w:vAlign w:val="center"/>
          </w:tcPr>
          <w:p w14:paraId="74D7DDFC">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lang w:eastAsia="zh-CN"/>
              </w:rPr>
              <w:t>采购</w:t>
            </w:r>
            <w:r>
              <w:rPr>
                <w:rFonts w:hint="eastAsia" w:hAnsi="宋体" w:eastAsia="宋体" w:cs="宋体"/>
                <w:color w:val="auto"/>
                <w:kern w:val="0"/>
                <w:sz w:val="24"/>
                <w:highlight w:val="none"/>
              </w:rPr>
              <w:t>代理</w:t>
            </w:r>
          </w:p>
          <w:p w14:paraId="1A80AD6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服务费</w:t>
            </w:r>
          </w:p>
        </w:tc>
        <w:tc>
          <w:tcPr>
            <w:tcW w:w="7732" w:type="dxa"/>
          </w:tcPr>
          <w:p w14:paraId="59551A1A">
            <w:pPr>
              <w:pageBreakBefore w:val="0"/>
              <w:widowControl/>
              <w:wordWrap/>
              <w:overflowPunct/>
              <w:topLinePunct w:val="0"/>
              <w:bidi w:val="0"/>
              <w:adjustRightInd w:val="0"/>
              <w:snapToGrid w:val="0"/>
              <w:spacing w:line="360" w:lineRule="auto"/>
              <w:ind w:firstLine="480" w:firstLineChars="200"/>
              <w:rPr>
                <w:rFonts w:hAnsi="宋体" w:eastAsia="宋体" w:cs="宋体"/>
                <w:color w:val="auto"/>
                <w:kern w:val="0"/>
                <w:sz w:val="24"/>
                <w:highlight w:val="none"/>
              </w:rPr>
            </w:pPr>
            <w:r>
              <w:rPr>
                <w:rFonts w:hint="eastAsia" w:hAnsi="宋体" w:eastAsia="宋体" w:cs="宋体"/>
                <w:color w:val="auto"/>
                <w:kern w:val="0"/>
                <w:sz w:val="24"/>
                <w:highlight w:val="none"/>
              </w:rPr>
              <w:t>根据国家现行收费政策计算本项目招标代理费为：1、执行国家现行收费标准，以中标金额为计算依据，采用差额定率累进计费方式计算；向中标投标人收取代理服务费。2、</w:t>
            </w:r>
            <w:r>
              <w:rPr>
                <w:rFonts w:hint="eastAsia" w:ascii="宋体" w:hAnsi="宋体" w:eastAsia="宋体" w:cs="宋体"/>
                <w:bCs/>
                <w:color w:val="auto"/>
                <w:sz w:val="24"/>
                <w:highlight w:val="none"/>
              </w:rPr>
              <w:t>参照《招标代理服务收费管理暂行办法》的通知”（计价格[2002]1980号）和“国家发展改革委办公厅关于招标代理服务收费有关问题的通知”（发改价格[2011]534号）文件规定，不足</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000元按照</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000元计取。</w:t>
            </w:r>
          </w:p>
        </w:tc>
      </w:tr>
      <w:tr w14:paraId="2A70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trPr>
        <w:tc>
          <w:tcPr>
            <w:tcW w:w="460" w:type="dxa"/>
            <w:vAlign w:val="center"/>
          </w:tcPr>
          <w:p w14:paraId="4A0F0D71">
            <w:pPr>
              <w:pStyle w:val="34"/>
              <w:pageBreakBefore w:val="0"/>
              <w:wordWrap/>
              <w:overflowPunct/>
              <w:topLinePunct w:val="0"/>
              <w:bidi w:val="0"/>
              <w:snapToGrid w:val="0"/>
              <w:spacing w:line="360" w:lineRule="auto"/>
              <w:jc w:val="center"/>
              <w:rPr>
                <w:rFonts w:hint="default" w:hAnsi="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19</w:t>
            </w:r>
          </w:p>
        </w:tc>
        <w:tc>
          <w:tcPr>
            <w:tcW w:w="1418" w:type="dxa"/>
            <w:vAlign w:val="center"/>
          </w:tcPr>
          <w:p w14:paraId="52529FF6">
            <w:pPr>
              <w:pStyle w:val="21"/>
              <w:pageBreakBefore w:val="0"/>
              <w:wordWrap/>
              <w:overflowPunct/>
              <w:topLinePunct w:val="0"/>
              <w:bidi w:val="0"/>
              <w:spacing w:line="360" w:lineRule="auto"/>
              <w:jc w:val="center"/>
              <w:rPr>
                <w:rFonts w:hint="eastAsia" w:hAnsi="宋体" w:eastAsia="宋体" w:cs="宋体"/>
                <w:color w:val="auto"/>
                <w:kern w:val="0"/>
                <w:sz w:val="24"/>
                <w:highlight w:val="none"/>
              </w:rPr>
            </w:pPr>
            <w:r>
              <w:rPr>
                <w:rFonts w:hint="eastAsia" w:ascii="宋体" w:hAnsi="宋体" w:eastAsia="宋体" w:cs="宋体"/>
                <w:color w:val="auto"/>
                <w:sz w:val="24"/>
                <w:szCs w:val="24"/>
                <w:highlight w:val="none"/>
              </w:rPr>
              <w:t>是否选择政府优惠政策</w:t>
            </w:r>
          </w:p>
        </w:tc>
        <w:tc>
          <w:tcPr>
            <w:tcW w:w="7732" w:type="dxa"/>
            <w:vAlign w:val="top"/>
          </w:tcPr>
          <w:p w14:paraId="258937C2">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39D5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trPr>
        <w:tc>
          <w:tcPr>
            <w:tcW w:w="460" w:type="dxa"/>
            <w:vAlign w:val="center"/>
          </w:tcPr>
          <w:p w14:paraId="7D698389">
            <w:pPr>
              <w:pStyle w:val="34"/>
              <w:pageBreakBefore w:val="0"/>
              <w:wordWrap/>
              <w:overflowPunct/>
              <w:topLinePunct w:val="0"/>
              <w:bidi w:val="0"/>
              <w:snapToGrid w:val="0"/>
              <w:spacing w:line="360" w:lineRule="auto"/>
              <w:jc w:val="center"/>
              <w:rPr>
                <w:rFonts w:hint="default" w:hAnsi="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20</w:t>
            </w:r>
          </w:p>
        </w:tc>
        <w:tc>
          <w:tcPr>
            <w:tcW w:w="1418" w:type="dxa"/>
            <w:vAlign w:val="center"/>
          </w:tcPr>
          <w:p w14:paraId="37F4B973">
            <w:pPr>
              <w:pStyle w:val="21"/>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扶持小微优惠政策</w:t>
            </w:r>
          </w:p>
        </w:tc>
        <w:tc>
          <w:tcPr>
            <w:tcW w:w="7732" w:type="dxa"/>
            <w:vAlign w:val="top"/>
          </w:tcPr>
          <w:p w14:paraId="27CB63D9">
            <w:pPr>
              <w:pageBreakBefore w:val="0"/>
              <w:widowControl/>
              <w:wordWrap/>
              <w:overflowPunct/>
              <w:topLinePunct w:val="0"/>
              <w:bidi w:val="0"/>
              <w:adjustRightInd w:val="0"/>
              <w:snapToGrid w:val="0"/>
              <w:spacing w:line="360" w:lineRule="auto"/>
              <w:rPr>
                <w:rFonts w:hint="eastAsia" w:hAnsi="MS Gothic" w:eastAsia="宋体" w:cs="MS Gothic"/>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26B1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exact"/>
        </w:trPr>
        <w:tc>
          <w:tcPr>
            <w:tcW w:w="9610" w:type="dxa"/>
            <w:gridSpan w:val="3"/>
            <w:vAlign w:val="center"/>
          </w:tcPr>
          <w:p w14:paraId="7060BACA">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1.货物、服务类采购项目，以对小微企业报价给予</w:t>
            </w:r>
            <w:r>
              <w:rPr>
                <w:rFonts w:hint="eastAsia" w:ascii="宋体" w:hAnsi="宋体" w:eastAsia="宋体" w:cs="宋体"/>
                <w:bCs/>
                <w:color w:val="auto"/>
                <w:sz w:val="24"/>
                <w:highlight w:val="none"/>
                <w:lang w:val="en-US" w:eastAsia="zh-CN"/>
              </w:rPr>
              <w:t>10</w:t>
            </w:r>
            <w:r>
              <w:rPr>
                <w:rFonts w:hint="eastAsia" w:ascii="宋体" w:hAnsi="宋体" w:eastAsia="宋体" w:cs="宋体"/>
                <w:bCs/>
                <w:color w:val="auto"/>
                <w:sz w:val="24"/>
                <w:highlight w:val="none"/>
              </w:rPr>
              <w:t>%的扣除后的价格参加评审，经济标基准值以下浮后（如有）的最低价为准，经济标满分为止。</w:t>
            </w:r>
          </w:p>
          <w:p w14:paraId="2D3799CF">
            <w:pPr>
              <w:pageBreakBefore w:val="0"/>
              <w:widowControl/>
              <w:wordWrap/>
              <w:overflowPunct/>
              <w:topLinePunct w:val="0"/>
              <w:bidi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本项目所属行业为：</w:t>
            </w:r>
            <w:r>
              <w:rPr>
                <w:rFonts w:hint="eastAsia" w:ascii="宋体" w:hAnsi="宋体" w:eastAsia="宋体" w:cs="宋体"/>
                <w:b/>
                <w:bCs w:val="0"/>
                <w:color w:val="auto"/>
                <w:sz w:val="24"/>
                <w:highlight w:val="none"/>
                <w:u w:val="single"/>
                <w:lang w:val="en-US" w:eastAsia="zh-CN"/>
              </w:rPr>
              <w:t>其他为列明行业</w:t>
            </w:r>
          </w:p>
          <w:p w14:paraId="5A441B13">
            <w:pPr>
              <w:pageBreakBefore w:val="0"/>
              <w:widowControl/>
              <w:wordWrap/>
              <w:overflowPunct/>
              <w:topLinePunct w:val="0"/>
              <w:bidi w:val="0"/>
              <w:adjustRightInd w:val="0"/>
              <w:snapToGrid w:val="0"/>
              <w:spacing w:line="360" w:lineRule="auto"/>
              <w:ind w:firstLine="480" w:firstLineChars="200"/>
              <w:rPr>
                <w:rFonts w:hint="eastAsia" w:hAnsi="MS Gothic" w:eastAsia="宋体" w:cs="MS Gothic"/>
                <w:color w:val="auto"/>
                <w:kern w:val="0"/>
                <w:sz w:val="24"/>
                <w:highlight w:val="none"/>
              </w:rPr>
            </w:pPr>
            <w:r>
              <w:rPr>
                <w:rFonts w:hint="eastAsia" w:ascii="宋体" w:hAnsi="宋体" w:eastAsia="宋体" w:cs="宋体"/>
                <w:bCs/>
                <w:color w:val="auto"/>
                <w:sz w:val="24"/>
                <w:highlight w:val="none"/>
              </w:rPr>
              <w:t>2.提供《中小企业声明函》；</w:t>
            </w:r>
          </w:p>
        </w:tc>
      </w:tr>
      <w:tr w14:paraId="3FFE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60" w:type="dxa"/>
            <w:vAlign w:val="center"/>
          </w:tcPr>
          <w:p w14:paraId="088C56C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21</w:t>
            </w:r>
          </w:p>
        </w:tc>
        <w:tc>
          <w:tcPr>
            <w:tcW w:w="1418" w:type="dxa"/>
            <w:vAlign w:val="center"/>
          </w:tcPr>
          <w:p w14:paraId="6A01DF5F">
            <w:pPr>
              <w:pStyle w:val="21"/>
              <w:pageBreakBefore w:val="0"/>
              <w:wordWrap/>
              <w:overflowPunct/>
              <w:topLinePunct w:val="0"/>
              <w:bidi w:val="0"/>
              <w:spacing w:line="360" w:lineRule="auto"/>
              <w:jc w:val="center"/>
              <w:rPr>
                <w:rFonts w:asciiTheme="minorHAnsi"/>
                <w:color w:val="auto"/>
                <w:sz w:val="24"/>
                <w:highlight w:val="none"/>
              </w:rPr>
            </w:pPr>
            <w:r>
              <w:rPr>
                <w:rFonts w:hint="eastAsia" w:ascii="宋体" w:hAnsi="宋体" w:eastAsia="宋体" w:cs="宋体"/>
                <w:color w:val="auto"/>
                <w:kern w:val="0"/>
                <w:sz w:val="24"/>
                <w:szCs w:val="24"/>
                <w:highlight w:val="none"/>
              </w:rPr>
              <w:t>残疾人福利性单位优惠政策</w:t>
            </w:r>
          </w:p>
        </w:tc>
        <w:tc>
          <w:tcPr>
            <w:tcW w:w="7732" w:type="dxa"/>
          </w:tcPr>
          <w:p w14:paraId="71D99701">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60D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610" w:type="dxa"/>
            <w:gridSpan w:val="3"/>
            <w:vAlign w:val="center"/>
          </w:tcPr>
          <w:p w14:paraId="7ABC80CE">
            <w:pPr>
              <w:pageBreakBefore w:val="0"/>
              <w:widowControl/>
              <w:wordWrap/>
              <w:overflowPunct/>
              <w:topLinePunct w:val="0"/>
              <w:bidi w:val="0"/>
              <w:adjustRightInd w:val="0"/>
              <w:snapToGrid w:val="0"/>
              <w:spacing w:line="360" w:lineRule="auto"/>
              <w:ind w:firstLine="480" w:firstLineChars="200"/>
              <w:rPr>
                <w:color w:val="auto"/>
                <w:highlight w:val="none"/>
              </w:rPr>
            </w:pPr>
            <w:r>
              <w:rPr>
                <w:rFonts w:hint="eastAsia" w:ascii="宋体" w:hAnsi="宋体" w:eastAsia="宋体" w:cs="宋体"/>
                <w:bCs/>
                <w:color w:val="auto"/>
                <w:sz w:val="24"/>
                <w:highlight w:val="none"/>
                <w:lang w:val="en-US" w:eastAsia="zh-CN"/>
              </w:rPr>
              <w:t>非专门面向残疾人福利单位采购（供应商如提供残疾人福利性单位生产的产品，响应文件必须按采购文件对残疾人福利性单位所列要求特别标注说明所投残疾人福利性单位生产的产品 所在品目、品牌、型号，否则评审时不予以考虑）： 残疾人福利性单位生产的产品的价格给予 6%的扣除，用扣除后的价格参与评审，本项 目具体扣除比例为：价格部分%。残疾人福利性单位属于小型、微型企业的，不重复享受扶持中小企业发展的优惠政策。详细填写以下附表。</w:t>
            </w:r>
          </w:p>
        </w:tc>
      </w:tr>
    </w:tbl>
    <w:p w14:paraId="01C6F7D9">
      <w:pPr>
        <w:rPr>
          <w:color w:val="auto"/>
          <w:sz w:val="24"/>
          <w:highlight w:val="none"/>
        </w:rPr>
      </w:pPr>
      <w:r>
        <w:rPr>
          <w:color w:val="auto"/>
          <w:sz w:val="24"/>
          <w:highlight w:val="none"/>
        </w:rPr>
        <w:br w:type="page"/>
      </w:r>
    </w:p>
    <w:p w14:paraId="7EF50FBD">
      <w:pPr>
        <w:pStyle w:val="24"/>
        <w:pageBreakBefore w:val="0"/>
        <w:widowControl/>
        <w:kinsoku/>
        <w:wordWrap/>
        <w:overflowPunct/>
        <w:topLinePunct w:val="0"/>
        <w:bidi w:val="0"/>
        <w:adjustRightInd w:val="0"/>
        <w:snapToGrid w:val="0"/>
        <w:spacing w:before="204" w:after="204" w:line="360" w:lineRule="auto"/>
        <w:outlineLvl w:val="1"/>
        <w:rPr>
          <w:rStyle w:val="29"/>
          <w:rFonts w:hint="default" w:ascii="宋体" w:hAnsi="宋体" w:eastAsia="宋体" w:cs="宋体"/>
          <w:color w:val="auto"/>
          <w:highlight w:val="none"/>
          <w:lang w:val="en-US" w:eastAsia="zh-CN"/>
        </w:rPr>
      </w:pPr>
      <w:bookmarkStart w:id="110" w:name="_Toc22936"/>
      <w:bookmarkStart w:id="111" w:name="_Toc22441"/>
      <w:bookmarkStart w:id="112" w:name="_Toc26145"/>
      <w:bookmarkStart w:id="113" w:name="_Toc31482"/>
      <w:bookmarkStart w:id="114" w:name="_Toc11881"/>
      <w:bookmarkStart w:id="115" w:name="_Toc10199"/>
      <w:bookmarkStart w:id="116" w:name="_Toc9159"/>
      <w:bookmarkStart w:id="117" w:name="_Toc30311"/>
      <w:bookmarkStart w:id="118" w:name="_Toc7042"/>
      <w:r>
        <w:rPr>
          <w:rStyle w:val="29"/>
          <w:rFonts w:hint="eastAsia" w:ascii="宋体" w:hAnsi="宋体" w:eastAsia="宋体" w:cs="宋体"/>
          <w:color w:val="auto"/>
          <w:highlight w:val="none"/>
        </w:rPr>
        <w:t>附表一：本项目所投中型企业产品清单</w:t>
      </w:r>
      <w:bookmarkEnd w:id="110"/>
      <w:bookmarkEnd w:id="111"/>
      <w:bookmarkEnd w:id="112"/>
      <w:bookmarkEnd w:id="113"/>
      <w:bookmarkEnd w:id="114"/>
      <w:bookmarkEnd w:id="115"/>
      <w:bookmarkEnd w:id="116"/>
      <w:bookmarkEnd w:id="117"/>
      <w:bookmarkEnd w:id="118"/>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1AA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25" w:type="dxa"/>
          </w:tcPr>
          <w:p w14:paraId="6D098B5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769FE795">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7B16B49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1A58E73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2BAC85D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EAE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125" w:type="dxa"/>
          </w:tcPr>
          <w:p w14:paraId="2A8D915B">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311793DD">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482E5A9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A45FA87">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5B959CD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145D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25" w:type="dxa"/>
          </w:tcPr>
          <w:p w14:paraId="4581DEA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749F79C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562E5A16">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4A900715">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0E6F4799">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1876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66" w:type="dxa"/>
            <w:gridSpan w:val="2"/>
          </w:tcPr>
          <w:p w14:paraId="15485B6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3DA5AE9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5E3A4568">
      <w:pPr>
        <w:pStyle w:val="24"/>
        <w:pageBreakBefore w:val="0"/>
        <w:widowControl/>
        <w:kinsoku/>
        <w:wordWrap/>
        <w:overflowPunct/>
        <w:topLinePunct w:val="0"/>
        <w:bidi w:val="0"/>
        <w:adjustRightInd w:val="0"/>
        <w:snapToGrid w:val="0"/>
        <w:spacing w:before="204" w:after="204" w:line="360" w:lineRule="auto"/>
        <w:ind w:firstLine="482" w:firstLineChars="200"/>
        <w:rPr>
          <w:rStyle w:val="29"/>
          <w:rFonts w:ascii="宋体" w:hAnsi="宋体" w:eastAsia="宋体" w:cs="宋体"/>
          <w:color w:val="auto"/>
          <w:highlight w:val="none"/>
        </w:rPr>
      </w:pPr>
      <w:r>
        <w:rPr>
          <w:rStyle w:val="29"/>
          <w:rFonts w:hint="eastAsia" w:ascii="宋体" w:hAnsi="宋体" w:eastAsia="宋体" w:cs="宋体"/>
          <w:color w:val="auto"/>
          <w:highlight w:val="none"/>
        </w:rPr>
        <w:t>注：1、中型企业产品和小微型企业产品必须分别列表；</w:t>
      </w:r>
    </w:p>
    <w:p w14:paraId="63519665">
      <w:pPr>
        <w:pStyle w:val="24"/>
        <w:pageBreakBefore w:val="0"/>
        <w:widowControl/>
        <w:kinsoku/>
        <w:wordWrap/>
        <w:overflowPunct/>
        <w:topLinePunct w:val="0"/>
        <w:bidi w:val="0"/>
        <w:adjustRightInd w:val="0"/>
        <w:snapToGrid w:val="0"/>
        <w:spacing w:before="204" w:after="204" w:line="360" w:lineRule="auto"/>
        <w:ind w:firstLine="964" w:firstLineChars="400"/>
        <w:rPr>
          <w:rStyle w:val="29"/>
          <w:rFonts w:ascii="宋体" w:hAnsi="宋体" w:eastAsia="宋体" w:cs="宋体"/>
          <w:color w:val="auto"/>
          <w:highlight w:val="none"/>
        </w:rPr>
      </w:pPr>
      <w:r>
        <w:rPr>
          <w:rStyle w:val="29"/>
          <w:rFonts w:hint="eastAsia" w:ascii="宋体" w:hAnsi="宋体" w:eastAsia="宋体" w:cs="宋体"/>
          <w:color w:val="auto"/>
          <w:highlight w:val="none"/>
        </w:rPr>
        <w:t>2、投标时应提供此表，未按此要 求提供的，评审时不予以考虑。</w:t>
      </w:r>
    </w:p>
    <w:p w14:paraId="0369A7A8">
      <w:pPr>
        <w:pStyle w:val="24"/>
        <w:pageBreakBefore w:val="0"/>
        <w:widowControl/>
        <w:kinsoku/>
        <w:wordWrap/>
        <w:overflowPunct/>
        <w:topLinePunct w:val="0"/>
        <w:bidi w:val="0"/>
        <w:adjustRightInd w:val="0"/>
        <w:snapToGrid w:val="0"/>
        <w:spacing w:before="204" w:after="204" w:line="360" w:lineRule="auto"/>
        <w:outlineLvl w:val="1"/>
        <w:rPr>
          <w:rStyle w:val="29"/>
          <w:rFonts w:hint="eastAsia" w:ascii="宋体" w:hAnsi="宋体" w:eastAsia="宋体" w:cs="宋体"/>
          <w:color w:val="auto"/>
          <w:highlight w:val="none"/>
        </w:rPr>
      </w:pPr>
      <w:bookmarkStart w:id="119" w:name="_Toc27978"/>
      <w:bookmarkStart w:id="120" w:name="_Toc20799"/>
      <w:bookmarkStart w:id="121" w:name="_Toc6271"/>
      <w:bookmarkStart w:id="122" w:name="_Toc16852"/>
      <w:bookmarkStart w:id="123" w:name="_Toc29990"/>
    </w:p>
    <w:p w14:paraId="732762B3">
      <w:pPr>
        <w:pStyle w:val="24"/>
        <w:pageBreakBefore w:val="0"/>
        <w:widowControl/>
        <w:kinsoku/>
        <w:wordWrap/>
        <w:overflowPunct/>
        <w:topLinePunct w:val="0"/>
        <w:bidi w:val="0"/>
        <w:adjustRightInd w:val="0"/>
        <w:snapToGrid w:val="0"/>
        <w:spacing w:before="204" w:after="204" w:line="360" w:lineRule="auto"/>
        <w:outlineLvl w:val="1"/>
        <w:rPr>
          <w:rStyle w:val="29"/>
          <w:rFonts w:hint="eastAsia" w:ascii="宋体" w:hAnsi="宋体" w:eastAsia="宋体" w:cs="宋体"/>
          <w:color w:val="auto"/>
          <w:highlight w:val="none"/>
          <w:lang w:eastAsia="zh-CN"/>
        </w:rPr>
      </w:pPr>
      <w:bookmarkStart w:id="124" w:name="_Toc20832"/>
      <w:bookmarkStart w:id="125" w:name="_Toc9182"/>
      <w:bookmarkStart w:id="126" w:name="_Toc21742"/>
      <w:bookmarkStart w:id="127" w:name="_Toc31450"/>
      <w:r>
        <w:rPr>
          <w:rStyle w:val="29"/>
          <w:rFonts w:hint="eastAsia" w:ascii="宋体" w:hAnsi="宋体" w:eastAsia="宋体" w:cs="宋体"/>
          <w:color w:val="auto"/>
          <w:highlight w:val="none"/>
        </w:rPr>
        <w:t>附表二：本项目所投小微企业产品清单</w:t>
      </w:r>
      <w:bookmarkEnd w:id="119"/>
      <w:bookmarkEnd w:id="120"/>
      <w:bookmarkEnd w:id="121"/>
      <w:bookmarkEnd w:id="122"/>
      <w:bookmarkEnd w:id="123"/>
      <w:bookmarkEnd w:id="124"/>
      <w:bookmarkEnd w:id="125"/>
      <w:bookmarkEnd w:id="126"/>
      <w:bookmarkEnd w:id="127"/>
      <w:r>
        <w:rPr>
          <w:rStyle w:val="29"/>
          <w:rFonts w:hint="eastAsia" w:ascii="宋体" w:hAnsi="宋体" w:eastAsia="宋体" w:cs="宋体"/>
          <w:color w:val="auto"/>
          <w:highlight w:val="none"/>
        </w:rPr>
        <w:t xml:space="preserve"> </w:t>
      </w:r>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7BB3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125" w:type="dxa"/>
          </w:tcPr>
          <w:p w14:paraId="6750592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7E9712D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73D392A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2CD53789">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4F3D3BE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857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25" w:type="dxa"/>
          </w:tcPr>
          <w:p w14:paraId="22A9ED8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4733870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15987C8B">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AFEB51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68D9992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22B0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25" w:type="dxa"/>
          </w:tcPr>
          <w:p w14:paraId="602BB37E">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71908DC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1B0B5D0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46A0915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2C8063E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77D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66" w:type="dxa"/>
            <w:gridSpan w:val="2"/>
          </w:tcPr>
          <w:p w14:paraId="61E8B4D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59C5F6D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05CBC21E">
      <w:pPr>
        <w:pStyle w:val="24"/>
        <w:pageBreakBefore w:val="0"/>
        <w:widowControl/>
        <w:kinsoku/>
        <w:wordWrap/>
        <w:overflowPunct/>
        <w:topLinePunct w:val="0"/>
        <w:bidi w:val="0"/>
        <w:adjustRightInd w:val="0"/>
        <w:snapToGrid w:val="0"/>
        <w:spacing w:before="204" w:after="204" w:line="360" w:lineRule="auto"/>
        <w:ind w:firstLine="482" w:firstLineChars="200"/>
        <w:rPr>
          <w:rStyle w:val="29"/>
          <w:rFonts w:ascii="宋体" w:hAnsi="宋体" w:eastAsia="宋体" w:cs="宋体"/>
          <w:color w:val="auto"/>
          <w:highlight w:val="none"/>
        </w:rPr>
      </w:pPr>
      <w:r>
        <w:rPr>
          <w:rStyle w:val="29"/>
          <w:rFonts w:hint="eastAsia" w:ascii="宋体" w:hAnsi="宋体" w:eastAsia="宋体" w:cs="宋体"/>
          <w:color w:val="auto"/>
          <w:highlight w:val="none"/>
        </w:rPr>
        <w:t>注：1、中型企业产品和小微型企业产品必须分别列表；</w:t>
      </w:r>
    </w:p>
    <w:p w14:paraId="4B3D8D67">
      <w:pPr>
        <w:pStyle w:val="24"/>
        <w:pageBreakBefore w:val="0"/>
        <w:widowControl/>
        <w:kinsoku/>
        <w:wordWrap/>
        <w:overflowPunct/>
        <w:topLinePunct w:val="0"/>
        <w:bidi w:val="0"/>
        <w:adjustRightInd w:val="0"/>
        <w:snapToGrid w:val="0"/>
        <w:spacing w:before="204" w:after="204" w:line="360" w:lineRule="auto"/>
        <w:ind w:firstLine="964" w:firstLineChars="400"/>
        <w:rPr>
          <w:rStyle w:val="29"/>
          <w:rFonts w:ascii="宋体" w:hAnsi="宋体" w:eastAsia="宋体" w:cs="宋体"/>
          <w:color w:val="auto"/>
          <w:highlight w:val="none"/>
        </w:rPr>
      </w:pPr>
      <w:r>
        <w:rPr>
          <w:rStyle w:val="29"/>
          <w:rFonts w:hint="eastAsia" w:ascii="宋体" w:hAnsi="宋体" w:eastAsia="宋体" w:cs="宋体"/>
          <w:color w:val="auto"/>
          <w:highlight w:val="none"/>
        </w:rPr>
        <w:t>2、投标时应提供此表，未按此要 求提供的，评审时不予以考虑。</w:t>
      </w:r>
    </w:p>
    <w:p w14:paraId="3A70128F">
      <w:pPr>
        <w:pStyle w:val="24"/>
        <w:pageBreakBefore w:val="0"/>
        <w:widowControl/>
        <w:kinsoku/>
        <w:wordWrap/>
        <w:overflowPunct/>
        <w:topLinePunct w:val="0"/>
        <w:bidi w:val="0"/>
        <w:adjustRightInd w:val="0"/>
        <w:snapToGrid w:val="0"/>
        <w:spacing w:before="204" w:after="204" w:line="360" w:lineRule="auto"/>
        <w:ind w:firstLine="241" w:firstLineChars="100"/>
        <w:outlineLvl w:val="1"/>
        <w:rPr>
          <w:rStyle w:val="29"/>
          <w:rFonts w:hint="eastAsia" w:ascii="宋体" w:hAnsi="宋体" w:eastAsia="宋体" w:cs="宋体"/>
          <w:color w:val="auto"/>
          <w:highlight w:val="none"/>
        </w:rPr>
      </w:pPr>
      <w:bookmarkStart w:id="128" w:name="_Toc2479"/>
      <w:bookmarkStart w:id="129" w:name="_Toc13770"/>
      <w:bookmarkStart w:id="130" w:name="_Toc11438"/>
      <w:bookmarkStart w:id="131" w:name="_Toc30285"/>
      <w:bookmarkStart w:id="132" w:name="_Toc18236"/>
    </w:p>
    <w:p w14:paraId="1CF7B09E">
      <w:pPr>
        <w:pStyle w:val="24"/>
        <w:pageBreakBefore w:val="0"/>
        <w:widowControl/>
        <w:kinsoku/>
        <w:wordWrap/>
        <w:overflowPunct/>
        <w:topLinePunct w:val="0"/>
        <w:bidi w:val="0"/>
        <w:adjustRightInd w:val="0"/>
        <w:snapToGrid w:val="0"/>
        <w:spacing w:before="204" w:after="204" w:line="360" w:lineRule="auto"/>
        <w:ind w:firstLine="241" w:firstLineChars="100"/>
        <w:outlineLvl w:val="1"/>
        <w:rPr>
          <w:rStyle w:val="29"/>
          <w:rFonts w:ascii="宋体" w:hAnsi="宋体" w:eastAsia="宋体" w:cs="宋体"/>
          <w:color w:val="auto"/>
          <w:highlight w:val="none"/>
        </w:rPr>
      </w:pPr>
      <w:bookmarkStart w:id="133" w:name="_Toc31626"/>
      <w:bookmarkStart w:id="134" w:name="_Toc24390"/>
      <w:bookmarkStart w:id="135" w:name="_Toc26888"/>
      <w:bookmarkStart w:id="136" w:name="_Toc8695"/>
      <w:r>
        <w:rPr>
          <w:rStyle w:val="29"/>
          <w:rFonts w:hint="eastAsia" w:ascii="宋体" w:hAnsi="宋体" w:eastAsia="宋体" w:cs="宋体"/>
          <w:color w:val="auto"/>
          <w:highlight w:val="none"/>
        </w:rPr>
        <w:t>附表三：本项目所投残疾人福利性单位产品清单</w:t>
      </w:r>
      <w:bookmarkEnd w:id="128"/>
      <w:bookmarkEnd w:id="129"/>
      <w:bookmarkEnd w:id="130"/>
      <w:bookmarkEnd w:id="131"/>
      <w:bookmarkEnd w:id="132"/>
      <w:bookmarkEnd w:id="133"/>
      <w:bookmarkEnd w:id="134"/>
      <w:bookmarkEnd w:id="135"/>
      <w:bookmarkEnd w:id="136"/>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64D2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25" w:type="dxa"/>
          </w:tcPr>
          <w:p w14:paraId="5FF26D7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1103638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30E151C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451C9B4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55EABD8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1B9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25" w:type="dxa"/>
          </w:tcPr>
          <w:p w14:paraId="7B1D266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3EC139B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48539A4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2312381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01E8934E">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3B3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25" w:type="dxa"/>
          </w:tcPr>
          <w:p w14:paraId="4DFF972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6BC4A41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0B733237">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275A92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19C5BA7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5491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66" w:type="dxa"/>
            <w:gridSpan w:val="2"/>
          </w:tcPr>
          <w:p w14:paraId="76C1DB2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00B6FE8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2BCDC7A2">
      <w:pPr>
        <w:pStyle w:val="24"/>
        <w:pageBreakBefore w:val="0"/>
        <w:widowControl/>
        <w:kinsoku/>
        <w:wordWrap/>
        <w:overflowPunct/>
        <w:topLinePunct w:val="0"/>
        <w:bidi w:val="0"/>
        <w:adjustRightInd w:val="0"/>
        <w:snapToGrid w:val="0"/>
        <w:spacing w:before="204" w:after="204" w:line="360" w:lineRule="auto"/>
        <w:rPr>
          <w:rStyle w:val="29"/>
          <w:rFonts w:ascii="宋体" w:hAnsi="宋体" w:eastAsia="宋体" w:cs="宋体"/>
          <w:color w:val="auto"/>
          <w:highlight w:val="none"/>
        </w:rPr>
      </w:pPr>
      <w:r>
        <w:rPr>
          <w:rStyle w:val="29"/>
          <w:rFonts w:hint="eastAsia" w:ascii="宋体" w:hAnsi="宋体" w:eastAsia="宋体" w:cs="宋体"/>
          <w:color w:val="auto"/>
          <w:highlight w:val="none"/>
        </w:rPr>
        <w:t>注：1、投标时应提供此表，未按此要求提供的，评审时不予以考虑。</w:t>
      </w:r>
    </w:p>
    <w:p w14:paraId="2EDA9A3E">
      <w:pPr>
        <w:rPr>
          <w:rFonts w:ascii="NVQPQH+ËÎÌå" w:hAnsi="NVQPQH+ËÎÌå" w:eastAsia="宋体" w:cs="NVQPQH+ËÎÌå"/>
          <w:color w:val="auto"/>
          <w:spacing w:val="2"/>
          <w:kern w:val="0"/>
          <w:sz w:val="32"/>
          <w:szCs w:val="22"/>
          <w:highlight w:val="none"/>
        </w:rPr>
      </w:pPr>
      <w:bookmarkStart w:id="137" w:name="_Toc23011"/>
      <w:r>
        <w:rPr>
          <w:rFonts w:ascii="NVQPQH+ËÎÌå" w:hAnsi="NVQPQH+ËÎÌå" w:eastAsia="宋体" w:cs="NVQPQH+ËÎÌå"/>
          <w:color w:val="auto"/>
          <w:spacing w:val="2"/>
          <w:kern w:val="0"/>
          <w:sz w:val="32"/>
          <w:szCs w:val="22"/>
          <w:highlight w:val="none"/>
        </w:rPr>
        <w:br w:type="page"/>
      </w:r>
    </w:p>
    <w:p w14:paraId="2A6E50B1">
      <w:pPr>
        <w:pStyle w:val="24"/>
        <w:pageBreakBefore w:val="0"/>
        <w:widowControl/>
        <w:kinsoku/>
        <w:wordWrap/>
        <w:overflowPunct/>
        <w:topLinePunct w:val="0"/>
        <w:bidi w:val="0"/>
        <w:adjustRightInd w:val="0"/>
        <w:snapToGrid w:val="0"/>
        <w:spacing w:before="204" w:after="204" w:line="360" w:lineRule="auto"/>
        <w:jc w:val="center"/>
        <w:outlineLvl w:val="0"/>
        <w:rPr>
          <w:rFonts w:ascii="Times New Roman" w:hAnsi="Calibri" w:eastAsia="宋体" w:cs="Times New Roman"/>
          <w:color w:val="auto"/>
          <w:kern w:val="0"/>
          <w:sz w:val="32"/>
          <w:szCs w:val="22"/>
          <w:highlight w:val="none"/>
        </w:rPr>
      </w:pPr>
      <w:r>
        <w:rPr>
          <w:rFonts w:ascii="NVQPQH+ËÎÌå" w:hAnsi="NVQPQH+ËÎÌå" w:eastAsia="宋体" w:cs="NVQPQH+ËÎÌå"/>
          <w:color w:val="auto"/>
          <w:spacing w:val="2"/>
          <w:kern w:val="0"/>
          <w:sz w:val="32"/>
          <w:szCs w:val="22"/>
          <w:highlight w:val="none"/>
        </w:rPr>
        <w:t>第三章</w:t>
      </w:r>
      <w:r>
        <w:rPr>
          <w:rFonts w:ascii="Times New Roman" w:hAnsi="Calibri" w:eastAsia="宋体" w:cs="Times New Roman"/>
          <w:color w:val="auto"/>
          <w:spacing w:val="78"/>
          <w:kern w:val="0"/>
          <w:sz w:val="32"/>
          <w:szCs w:val="22"/>
          <w:highlight w:val="none"/>
        </w:rPr>
        <w:t xml:space="preserve"> </w:t>
      </w:r>
      <w:r>
        <w:rPr>
          <w:rFonts w:ascii="NVQPQH+ËÎÌå" w:hAnsi="NVQPQH+ËÎÌå" w:eastAsia="宋体" w:cs="NVQPQH+ËÎÌå"/>
          <w:color w:val="auto"/>
          <w:spacing w:val="2"/>
          <w:kern w:val="0"/>
          <w:sz w:val="32"/>
          <w:szCs w:val="22"/>
          <w:highlight w:val="none"/>
        </w:rPr>
        <w:t>供应商须知</w:t>
      </w:r>
      <w:bookmarkEnd w:id="137"/>
    </w:p>
    <w:p w14:paraId="7686B31C">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outlineLvl w:val="1"/>
        <w:rPr>
          <w:rFonts w:ascii="Times New Roman" w:hAnsi="Calibri" w:eastAsia="宋体" w:cs="Times New Roman"/>
          <w:b/>
          <w:bCs/>
          <w:color w:val="auto"/>
          <w:kern w:val="0"/>
          <w:sz w:val="24"/>
          <w:szCs w:val="22"/>
          <w:highlight w:val="none"/>
        </w:rPr>
      </w:pPr>
      <w:bookmarkStart w:id="138" w:name="_Toc10810"/>
      <w:bookmarkStart w:id="139" w:name="_Toc27411"/>
      <w:bookmarkStart w:id="140" w:name="_Toc24164"/>
      <w:bookmarkStart w:id="141" w:name="_Toc21579"/>
      <w:bookmarkStart w:id="142" w:name="_Toc5614"/>
      <w:r>
        <w:rPr>
          <w:rFonts w:ascii="PGGCUS+·ÂËÎ" w:hAnsi="PGGCUS+·ÂËÎ" w:eastAsia="宋体" w:cs="PGGCUS+·ÂËÎ"/>
          <w:b/>
          <w:bCs/>
          <w:color w:val="auto"/>
          <w:spacing w:val="1"/>
          <w:kern w:val="0"/>
          <w:sz w:val="24"/>
          <w:szCs w:val="22"/>
          <w:highlight w:val="none"/>
        </w:rPr>
        <w:t>一、说明</w:t>
      </w:r>
      <w:bookmarkEnd w:id="138"/>
      <w:bookmarkEnd w:id="139"/>
      <w:bookmarkEnd w:id="140"/>
      <w:bookmarkEnd w:id="141"/>
      <w:bookmarkEnd w:id="142"/>
    </w:p>
    <w:p w14:paraId="34DC425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1.</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color w:val="auto"/>
          <w:spacing w:val="1"/>
          <w:kern w:val="0"/>
          <w:sz w:val="24"/>
          <w:szCs w:val="22"/>
          <w:highlight w:val="none"/>
        </w:rPr>
        <w:t>适用范围</w:t>
      </w:r>
    </w:p>
    <w:p w14:paraId="50D8198C">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kern w:val="0"/>
          <w:sz w:val="24"/>
          <w:szCs w:val="22"/>
          <w:highlight w:val="none"/>
        </w:rPr>
        <w:t>本磋商文件适用于“</w:t>
      </w:r>
      <w:r>
        <w:rPr>
          <w:rFonts w:ascii="PGGCUS+·ÂËÎ" w:hAnsi="PGGCUS+·ÂËÎ" w:eastAsia="宋体" w:cs="PGGCUS+·ÂËÎ"/>
          <w:b/>
          <w:bCs/>
          <w:color w:val="auto"/>
          <w:kern w:val="0"/>
          <w:sz w:val="24"/>
          <w:szCs w:val="22"/>
          <w:highlight w:val="none"/>
        </w:rPr>
        <w:t>采购邀请</w:t>
      </w:r>
      <w:r>
        <w:rPr>
          <w:rFonts w:ascii="PGGCUS+·ÂËÎ" w:hAnsi="PGGCUS+·ÂËÎ" w:eastAsia="宋体" w:cs="PGGCUS+·ÂËÎ"/>
          <w:color w:val="auto"/>
          <w:kern w:val="0"/>
          <w:sz w:val="24"/>
          <w:szCs w:val="22"/>
          <w:highlight w:val="none"/>
        </w:rPr>
        <w:t>”中所述采购项目。</w:t>
      </w:r>
    </w:p>
    <w:p w14:paraId="2BA271CF">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2.</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color w:val="auto"/>
          <w:spacing w:val="2"/>
          <w:kern w:val="0"/>
          <w:sz w:val="24"/>
          <w:szCs w:val="22"/>
          <w:highlight w:val="none"/>
        </w:rPr>
        <w:t>定义</w:t>
      </w:r>
    </w:p>
    <w:p w14:paraId="58C11E8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2.1</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4"/>
          <w:kern w:val="0"/>
          <w:sz w:val="24"/>
          <w:szCs w:val="22"/>
          <w:highlight w:val="none"/>
        </w:rPr>
        <w:t>“采购人”是指依法进行政府采购的国家机关、事业单位、团体组织。本采购项</w:t>
      </w:r>
      <w:r>
        <w:rPr>
          <w:rFonts w:ascii="PGGCUS+·ÂËÎ" w:hAnsi="PGGCUS+·ÂËÎ" w:eastAsia="宋体" w:cs="PGGCUS+·ÂËÎ"/>
          <w:color w:val="auto"/>
          <w:kern w:val="0"/>
          <w:sz w:val="24"/>
          <w:szCs w:val="22"/>
          <w:highlight w:val="none"/>
        </w:rPr>
        <w:t>目的采购人名称、地址、联系人及电话见</w:t>
      </w:r>
      <w:r>
        <w:rPr>
          <w:rFonts w:ascii="PGGCUS+·ÂËÎ" w:hAnsi="PGGCUS+·ÂËÎ" w:eastAsia="宋体" w:cs="PGGCUS+·ÂËÎ"/>
          <w:b/>
          <w:bCs/>
          <w:color w:val="auto"/>
          <w:kern w:val="0"/>
          <w:sz w:val="24"/>
          <w:szCs w:val="22"/>
          <w:highlight w:val="none"/>
        </w:rPr>
        <w:t>磋商文件前附表</w:t>
      </w:r>
      <w:r>
        <w:rPr>
          <w:rFonts w:ascii="PGGCUS+·ÂËÎ" w:hAnsi="PGGCUS+·ÂËÎ" w:eastAsia="宋体" w:cs="PGGCUS+·ÂËÎ"/>
          <w:color w:val="auto"/>
          <w:kern w:val="0"/>
          <w:sz w:val="24"/>
          <w:szCs w:val="22"/>
          <w:highlight w:val="none"/>
        </w:rPr>
        <w:t>。</w:t>
      </w:r>
    </w:p>
    <w:p w14:paraId="1EE583F6">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hint="eastAsia" w:ascii="Times New Roman" w:hAnsi="Calibri" w:eastAsia="宋体" w:cs="Times New Roman"/>
          <w:color w:val="auto"/>
          <w:kern w:val="0"/>
          <w:sz w:val="24"/>
          <w:szCs w:val="22"/>
          <w:highlight w:val="none"/>
        </w:rPr>
        <w:t>2.2“采购代理机构”是指集中采购机构以外，受采购人委托从事政府采购代理业务的社会中介机构。本磋商文件中采购代理机构是指新疆重道敬德招标咨询有限公司。</w:t>
      </w:r>
    </w:p>
    <w:p w14:paraId="6A3A502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 xml:space="preserve">2.3 </w:t>
      </w:r>
      <w:r>
        <w:rPr>
          <w:rFonts w:ascii="PGGCUS+·ÂËÎ" w:hAnsi="PGGCUS+·ÂËÎ" w:eastAsia="宋体" w:cs="PGGCUS+·ÂËÎ"/>
          <w:color w:val="auto"/>
          <w:kern w:val="0"/>
          <w:sz w:val="24"/>
          <w:szCs w:val="22"/>
          <w:highlight w:val="none"/>
        </w:rPr>
        <w:t>“供应商”是指向采购人提供货物或者服务的法人、其他组织或者自然人。</w:t>
      </w:r>
    </w:p>
    <w:p w14:paraId="78E87E40">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w:t>
      </w:r>
      <w:r>
        <w:rPr>
          <w:rFonts w:hint="eastAsia" w:ascii="Times New Roman" w:hAnsi="Calibri" w:eastAsia="宋体" w:cs="Times New Roman"/>
          <w:color w:val="auto"/>
          <w:kern w:val="0"/>
          <w:sz w:val="24"/>
          <w:szCs w:val="22"/>
          <w:highlight w:val="none"/>
        </w:rPr>
        <w:t>4</w:t>
      </w:r>
      <w:r>
        <w:rPr>
          <w:rFonts w:ascii="Times New Roman" w:hAnsi="Calibri" w:eastAsia="宋体" w:cs="Times New Roman"/>
          <w:color w:val="auto"/>
          <w:kern w:val="0"/>
          <w:sz w:val="24"/>
          <w:szCs w:val="22"/>
          <w:highlight w:val="none"/>
        </w:rPr>
        <w:t xml:space="preserve"> </w:t>
      </w:r>
      <w:r>
        <w:rPr>
          <w:rFonts w:ascii="PGGCUS+·ÂËÎ" w:hAnsi="PGGCUS+·ÂËÎ" w:eastAsia="宋体" w:cs="PGGCUS+·ÂËÎ"/>
          <w:color w:val="auto"/>
          <w:kern w:val="0"/>
          <w:sz w:val="24"/>
          <w:szCs w:val="22"/>
          <w:highlight w:val="none"/>
        </w:rPr>
        <w:t>“货物”是指各种形态和种类的物品，包括原材料、燃料、设备、产品等。</w:t>
      </w:r>
    </w:p>
    <w:p w14:paraId="053B401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w:t>
      </w:r>
      <w:r>
        <w:rPr>
          <w:rFonts w:hint="eastAsia" w:ascii="Times New Roman" w:hAnsi="Calibri" w:eastAsia="宋体" w:cs="Times New Roman"/>
          <w:color w:val="auto"/>
          <w:kern w:val="0"/>
          <w:sz w:val="24"/>
          <w:szCs w:val="22"/>
          <w:highlight w:val="none"/>
        </w:rPr>
        <w:t>5</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4"/>
          <w:kern w:val="0"/>
          <w:sz w:val="24"/>
          <w:szCs w:val="22"/>
          <w:highlight w:val="none"/>
        </w:rPr>
        <w:t>“服务”是指除货物和工程以外的其他政府采购对象（磋商文件规定供应商须承</w:t>
      </w:r>
      <w:r>
        <w:rPr>
          <w:rFonts w:ascii="PGGCUS+·ÂËÎ" w:hAnsi="PGGCUS+·ÂËÎ" w:eastAsia="宋体" w:cs="PGGCUS+·ÂËÎ"/>
          <w:color w:val="auto"/>
          <w:spacing w:val="1"/>
          <w:kern w:val="0"/>
          <w:sz w:val="24"/>
          <w:szCs w:val="22"/>
          <w:highlight w:val="none"/>
        </w:rPr>
        <w:t>担的系统集成、安装、调试、技术协助、校准、培训、物业、保安、保洁以及其他类似的</w:t>
      </w:r>
      <w:r>
        <w:rPr>
          <w:rFonts w:ascii="PGGCUS+·ÂËÎ" w:hAnsi="PGGCUS+·ÂËÎ" w:eastAsia="宋体" w:cs="PGGCUS+·ÂËÎ"/>
          <w:color w:val="auto"/>
          <w:kern w:val="0"/>
          <w:sz w:val="24"/>
          <w:szCs w:val="22"/>
          <w:highlight w:val="none"/>
        </w:rPr>
        <w:t>义务）。</w:t>
      </w:r>
    </w:p>
    <w:p w14:paraId="6E8809A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b/>
          <w:bCs/>
          <w:color w:val="auto"/>
          <w:kern w:val="0"/>
          <w:sz w:val="24"/>
          <w:szCs w:val="22"/>
          <w:highlight w:val="none"/>
        </w:rPr>
      </w:pPr>
      <w:r>
        <w:rPr>
          <w:rFonts w:ascii="Times New Roman" w:hAnsi="Calibri" w:eastAsia="宋体" w:cs="Times New Roman"/>
          <w:b/>
          <w:color w:val="auto"/>
          <w:kern w:val="0"/>
          <w:sz w:val="24"/>
          <w:szCs w:val="22"/>
          <w:highlight w:val="none"/>
        </w:rPr>
        <w:t>3.</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b/>
          <w:bCs/>
          <w:color w:val="auto"/>
          <w:spacing w:val="1"/>
          <w:kern w:val="0"/>
          <w:sz w:val="24"/>
          <w:szCs w:val="22"/>
          <w:highlight w:val="none"/>
        </w:rPr>
        <w:t>供应商的资格审查要求</w:t>
      </w:r>
    </w:p>
    <w:p w14:paraId="276AFC1F">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 xml:space="preserve">3.1 </w:t>
      </w:r>
      <w:r>
        <w:rPr>
          <w:rFonts w:ascii="PGGCUS+·ÂËÎ" w:hAnsi="PGGCUS+·ÂËÎ" w:eastAsia="宋体" w:cs="PGGCUS+·ÂËÎ"/>
          <w:color w:val="auto"/>
          <w:kern w:val="0"/>
          <w:sz w:val="24"/>
          <w:szCs w:val="22"/>
          <w:highlight w:val="none"/>
        </w:rPr>
        <w:t>供应商的资格审查要求：</w:t>
      </w:r>
    </w:p>
    <w:p w14:paraId="40711F0B">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spacing w:val="8"/>
          <w:kern w:val="0"/>
          <w:sz w:val="24"/>
          <w:szCs w:val="22"/>
          <w:highlight w:val="none"/>
        </w:rPr>
        <w:t>供应商应按第一章“三、供应商的资格审查要求”提供资格审查资料，须真实、有</w:t>
      </w:r>
      <w:r>
        <w:rPr>
          <w:rFonts w:ascii="PGGCUS+·ÂËÎ" w:hAnsi="PGGCUS+·ÂËÎ" w:eastAsia="宋体" w:cs="PGGCUS+·ÂËÎ"/>
          <w:color w:val="auto"/>
          <w:kern w:val="0"/>
          <w:sz w:val="24"/>
          <w:szCs w:val="22"/>
          <w:highlight w:val="none"/>
        </w:rPr>
        <w:t>效，如发现有虚假资料，取消其响应资格，同时对其进行严肃处理。</w:t>
      </w:r>
    </w:p>
    <w:p w14:paraId="5A5A5F00">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3.2</w:t>
      </w:r>
      <w:r>
        <w:rPr>
          <w:rFonts w:ascii="Times New Roman" w:hAnsi="Calibri" w:eastAsia="宋体" w:cs="Times New Roman"/>
          <w:color w:val="auto"/>
          <w:spacing w:val="60"/>
          <w:kern w:val="0"/>
          <w:sz w:val="24"/>
          <w:szCs w:val="22"/>
          <w:highlight w:val="none"/>
        </w:rPr>
        <w:t xml:space="preserve"> </w:t>
      </w:r>
      <w:r>
        <w:rPr>
          <w:rFonts w:ascii="PGGCUS+·ÂËÎ" w:hAnsi="PGGCUS+·ÂËÎ" w:eastAsia="宋体" w:cs="PGGCUS+·ÂËÎ"/>
          <w:color w:val="auto"/>
          <w:kern w:val="0"/>
          <w:sz w:val="24"/>
          <w:szCs w:val="22"/>
          <w:highlight w:val="none"/>
        </w:rPr>
        <w:t>供应商存在下列情形之一的，不得参加本项目采购活动：</w:t>
      </w:r>
    </w:p>
    <w:p w14:paraId="59DC069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kern w:val="0"/>
          <w:sz w:val="24"/>
          <w:szCs w:val="22"/>
          <w:highlight w:val="none"/>
        </w:rPr>
        <w:t>（</w:t>
      </w:r>
      <w:r>
        <w:rPr>
          <w:rFonts w:ascii="Times New Roman" w:hAnsi="Calibri" w:eastAsia="宋体" w:cs="Times New Roman"/>
          <w:color w:val="auto"/>
          <w:spacing w:val="1"/>
          <w:kern w:val="0"/>
          <w:sz w:val="24"/>
          <w:szCs w:val="22"/>
          <w:highlight w:val="none"/>
        </w:rPr>
        <w:t>l</w:t>
      </w:r>
      <w:r>
        <w:rPr>
          <w:rFonts w:ascii="PGGCUS+·ÂËÎ" w:hAnsi="PGGCUS+·ÂËÎ" w:eastAsia="宋体" w:cs="PGGCUS+·ÂËÎ"/>
          <w:color w:val="auto"/>
          <w:kern w:val="0"/>
          <w:sz w:val="24"/>
          <w:szCs w:val="22"/>
          <w:highlight w:val="none"/>
        </w:rPr>
        <w:t>）与采购人或</w:t>
      </w:r>
      <w:r>
        <w:rPr>
          <w:rFonts w:hint="eastAsia" w:ascii="PGGCUS+·ÂËÎ" w:hAnsi="PGGCUS+·ÂËÎ" w:eastAsia="宋体" w:cs="PGGCUS+·ÂËÎ"/>
          <w:color w:val="auto"/>
          <w:kern w:val="0"/>
          <w:sz w:val="24"/>
          <w:szCs w:val="22"/>
          <w:highlight w:val="none"/>
        </w:rPr>
        <w:t>采购代理机构</w:t>
      </w:r>
      <w:r>
        <w:rPr>
          <w:rFonts w:ascii="PGGCUS+·ÂËÎ" w:hAnsi="PGGCUS+·ÂËÎ" w:eastAsia="宋体" w:cs="PGGCUS+·ÂËÎ"/>
          <w:color w:val="auto"/>
          <w:kern w:val="0"/>
          <w:sz w:val="24"/>
          <w:szCs w:val="22"/>
          <w:highlight w:val="none"/>
        </w:rPr>
        <w:t>存在隶属关系或者其他利害关系。</w:t>
      </w:r>
    </w:p>
    <w:p w14:paraId="013F50E9">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spacing w:val="2"/>
          <w:kern w:val="0"/>
          <w:sz w:val="24"/>
          <w:szCs w:val="22"/>
          <w:highlight w:val="none"/>
        </w:rPr>
        <w:t>（</w:t>
      </w:r>
      <w:r>
        <w:rPr>
          <w:rFonts w:ascii="Times New Roman" w:hAnsi="Calibri" w:eastAsia="宋体" w:cs="Times New Roman"/>
          <w:color w:val="auto"/>
          <w:spacing w:val="2"/>
          <w:kern w:val="0"/>
          <w:sz w:val="24"/>
          <w:szCs w:val="22"/>
          <w:highlight w:val="none"/>
        </w:rPr>
        <w:t>2</w:t>
      </w:r>
      <w:r>
        <w:rPr>
          <w:rFonts w:ascii="PGGCUS+·ÂËÎ" w:hAnsi="PGGCUS+·ÂËÎ" w:eastAsia="宋体" w:cs="PGGCUS+·ÂËÎ"/>
          <w:color w:val="auto"/>
          <w:spacing w:val="2"/>
          <w:kern w:val="0"/>
          <w:sz w:val="24"/>
          <w:szCs w:val="22"/>
          <w:highlight w:val="none"/>
        </w:rPr>
        <w:t>）在参加本项目政府采购活动前</w:t>
      </w:r>
      <w:r>
        <w:rPr>
          <w:rFonts w:ascii="Times New Roman" w:hAnsi="Calibri" w:eastAsia="宋体" w:cs="Times New Roman"/>
          <w:color w:val="auto"/>
          <w:kern w:val="0"/>
          <w:sz w:val="24"/>
          <w:szCs w:val="22"/>
          <w:highlight w:val="none"/>
        </w:rPr>
        <w:t>3</w:t>
      </w:r>
      <w:r>
        <w:rPr>
          <w:rFonts w:ascii="PGGCUS+·ÂËÎ" w:hAnsi="PGGCUS+·ÂËÎ" w:eastAsia="宋体" w:cs="PGGCUS+·ÂËÎ"/>
          <w:color w:val="auto"/>
          <w:spacing w:val="2"/>
          <w:kern w:val="0"/>
          <w:sz w:val="24"/>
          <w:szCs w:val="22"/>
          <w:highlight w:val="none"/>
        </w:rPr>
        <w:t>年内，在经营活动中因违法经营受到刑事处罚</w:t>
      </w:r>
      <w:r>
        <w:rPr>
          <w:rFonts w:ascii="PGGCUS+·ÂËÎ" w:hAnsi="PGGCUS+·ÂËÎ" w:eastAsia="宋体" w:cs="PGGCUS+·ÂËÎ"/>
          <w:color w:val="auto"/>
          <w:kern w:val="0"/>
          <w:sz w:val="24"/>
          <w:szCs w:val="22"/>
          <w:highlight w:val="none"/>
        </w:rPr>
        <w:t>或者责令停产停业、吊销许可证或者执照、较大数额罚款等行政处罚。</w:t>
      </w:r>
    </w:p>
    <w:p w14:paraId="70834B08">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3.3</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3"/>
          <w:kern w:val="0"/>
          <w:sz w:val="24"/>
          <w:szCs w:val="22"/>
          <w:highlight w:val="none"/>
        </w:rPr>
        <w:t>单位负责人为同一人或者存在直接控股、管理关系的不同供应商，不得参加同一</w:t>
      </w:r>
      <w:r>
        <w:rPr>
          <w:rFonts w:ascii="PGGCUS+·ÂËÎ" w:hAnsi="PGGCUS+·ÂËÎ" w:eastAsia="宋体" w:cs="PGGCUS+·ÂËÎ"/>
          <w:color w:val="auto"/>
          <w:kern w:val="0"/>
          <w:sz w:val="24"/>
          <w:szCs w:val="22"/>
          <w:highlight w:val="none"/>
        </w:rPr>
        <w:t>合同项下的政府采购活动。</w:t>
      </w:r>
    </w:p>
    <w:p w14:paraId="326F75F3">
      <w:pPr>
        <w:pStyle w:val="33"/>
        <w:keepNext w:val="0"/>
        <w:keepLines w:val="0"/>
        <w:pageBreakBefore w:val="0"/>
        <w:numPr>
          <w:ilvl w:val="0"/>
          <w:numId w:val="0"/>
        </w:numPr>
        <w:kinsoku/>
        <w:wordWrap/>
        <w:overflowPunct/>
        <w:topLinePunct w:val="0"/>
        <w:autoSpaceDE/>
        <w:autoSpaceDN/>
        <w:bidi w:val="0"/>
        <w:spacing w:line="360" w:lineRule="exact"/>
        <w:ind w:left="0" w:leftChars="0" w:firstLine="0" w:firstLineChars="0"/>
        <w:jc w:val="both"/>
        <w:textAlignment w:val="auto"/>
        <w:rPr>
          <w:color w:val="auto"/>
          <w:sz w:val="24"/>
          <w:highlight w:val="none"/>
        </w:rPr>
      </w:pPr>
      <w:r>
        <w:rPr>
          <w:rFonts w:hint="eastAsia"/>
          <w:color w:val="auto"/>
          <w:sz w:val="24"/>
          <w:highlight w:val="none"/>
        </w:rPr>
        <w:t>4. 响应费用</w:t>
      </w:r>
    </w:p>
    <w:p w14:paraId="0E0DF6F6">
      <w:pPr>
        <w:pStyle w:val="24"/>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4.1供应商应自行承担所有参与采购活动的相关费用，不论响应结果如何，采购人及采购代理机构均无义务和责任承担。</w:t>
      </w:r>
    </w:p>
    <w:p w14:paraId="498F80AE">
      <w:pPr>
        <w:pStyle w:val="6"/>
        <w:keepNext w:val="0"/>
        <w:keepLines w:val="0"/>
        <w:pageBreakBefore w:val="0"/>
        <w:kinsoku/>
        <w:wordWrap/>
        <w:overflowPunct/>
        <w:topLinePunct w:val="0"/>
        <w:autoSpaceDE/>
        <w:autoSpaceDN/>
        <w:bidi w:val="0"/>
        <w:spacing w:before="0" w:line="360" w:lineRule="exact"/>
        <w:ind w:left="0" w:leftChars="0" w:firstLine="0" w:firstLineChars="0"/>
        <w:textAlignment w:val="auto"/>
        <w:rPr>
          <w:rFonts w:asciiTheme="minorEastAsia" w:hAnsiTheme="minorEastAsia" w:cstheme="minorEastAsia"/>
          <w:color w:val="auto"/>
          <w:highlight w:val="none"/>
        </w:rPr>
      </w:pPr>
      <w:r>
        <w:rPr>
          <w:rFonts w:hint="eastAsia" w:asciiTheme="minorEastAsia" w:hAnsiTheme="minorEastAsia" w:cstheme="minorEastAsia"/>
          <w:color w:val="auto"/>
          <w:highlight w:val="none"/>
        </w:rPr>
        <w:t>4.2 收费标准</w:t>
      </w:r>
    </w:p>
    <w:p w14:paraId="3AEECA0A">
      <w:pPr>
        <w:keepNext w:val="0"/>
        <w:keepLines w:val="0"/>
        <w:pageBreakBefore w:val="0"/>
        <w:shd w:val="clear" w:color="auto" w:fill="FFFFFF"/>
        <w:kinsoku/>
        <w:wordWrap/>
        <w:overflowPunct/>
        <w:topLinePunct w:val="0"/>
        <w:autoSpaceDE/>
        <w:autoSpaceDN/>
        <w:bidi w:val="0"/>
        <w:spacing w:line="360" w:lineRule="exact"/>
        <w:ind w:left="0" w:leftChars="0" w:firstLine="0" w:firstLineChars="0"/>
        <w:textAlignment w:val="auto"/>
        <w:rPr>
          <w:rFonts w:hint="eastAsia" w:ascii="宋体" w:hAnsi="宋体" w:eastAsia="宋体" w:cs="宋体"/>
          <w:color w:val="auto"/>
          <w:sz w:val="24"/>
          <w:szCs w:val="24"/>
          <w:highlight w:val="none"/>
        </w:rPr>
      </w:pPr>
      <w:bookmarkStart w:id="143" w:name="_Hlk40283811"/>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代理机构</w:t>
      </w:r>
      <w:r>
        <w:rPr>
          <w:rFonts w:hint="eastAsia" w:ascii="宋体" w:hAnsi="宋体" w:eastAsia="宋体" w:cs="宋体"/>
          <w:color w:val="auto"/>
          <w:spacing w:val="0"/>
          <w:sz w:val="24"/>
          <w:szCs w:val="24"/>
          <w:highlight w:val="none"/>
        </w:rPr>
        <w:t>参考国家发改委</w:t>
      </w:r>
      <w:r>
        <w:rPr>
          <w:rFonts w:hint="eastAsia"/>
          <w:color w:val="auto"/>
          <w:sz w:val="24"/>
          <w:szCs w:val="24"/>
          <w:highlight w:val="none"/>
          <w:u w:val="none"/>
        </w:rPr>
        <w:t>发</w:t>
      </w:r>
      <w:r>
        <w:rPr>
          <w:rFonts w:hint="eastAsia"/>
          <w:color w:val="auto"/>
          <w:sz w:val="24"/>
          <w:szCs w:val="24"/>
          <w:highlight w:val="none"/>
          <w:u w:val="none"/>
          <w:lang w:val="en-US" w:eastAsia="zh-CN"/>
        </w:rPr>
        <w:t>改</w:t>
      </w:r>
      <w:r>
        <w:rPr>
          <w:rFonts w:hint="eastAsia"/>
          <w:color w:val="auto"/>
          <w:sz w:val="24"/>
          <w:szCs w:val="24"/>
          <w:highlight w:val="none"/>
          <w:u w:val="none"/>
        </w:rPr>
        <w:t>价格</w:t>
      </w:r>
      <w:r>
        <w:rPr>
          <w:rFonts w:hint="eastAsia"/>
          <w:color w:val="auto"/>
          <w:sz w:val="24"/>
          <w:szCs w:val="24"/>
          <w:highlight w:val="none"/>
          <w:u w:val="none"/>
          <w:lang w:eastAsia="zh-CN"/>
        </w:rPr>
        <w:t>【</w:t>
      </w:r>
      <w:r>
        <w:rPr>
          <w:rFonts w:hint="eastAsia"/>
          <w:color w:val="auto"/>
          <w:sz w:val="24"/>
          <w:szCs w:val="24"/>
          <w:highlight w:val="none"/>
          <w:u w:val="none"/>
        </w:rPr>
        <w:t>2011</w:t>
      </w:r>
      <w:r>
        <w:rPr>
          <w:rFonts w:hint="eastAsia"/>
          <w:b w:val="0"/>
          <w:bCs w:val="0"/>
          <w:color w:val="auto"/>
          <w:sz w:val="24"/>
          <w:szCs w:val="24"/>
          <w:highlight w:val="none"/>
          <w:u w:val="none"/>
          <w:lang w:eastAsia="zh-CN"/>
        </w:rPr>
        <w:t>】</w:t>
      </w:r>
      <w:r>
        <w:rPr>
          <w:rFonts w:hint="eastAsia"/>
          <w:color w:val="auto"/>
          <w:sz w:val="24"/>
          <w:szCs w:val="24"/>
          <w:highlight w:val="none"/>
          <w:u w:val="none"/>
        </w:rPr>
        <w:t>534号文件</w:t>
      </w:r>
      <w:r>
        <w:rPr>
          <w:rFonts w:hint="eastAsia"/>
          <w:color w:val="auto"/>
          <w:sz w:val="24"/>
          <w:szCs w:val="24"/>
          <w:highlight w:val="none"/>
          <w:u w:val="none"/>
          <w:lang w:val="en-US" w:eastAsia="zh-CN"/>
        </w:rPr>
        <w:t>的</w:t>
      </w:r>
      <w:r>
        <w:rPr>
          <w:rFonts w:hint="eastAsia"/>
          <w:color w:val="auto"/>
          <w:sz w:val="24"/>
          <w:szCs w:val="24"/>
          <w:highlight w:val="none"/>
          <w:u w:val="none"/>
        </w:rPr>
        <w:t>标准计算</w:t>
      </w:r>
      <w:r>
        <w:rPr>
          <w:rFonts w:hint="eastAsia"/>
          <w:color w:val="auto"/>
          <w:sz w:val="24"/>
          <w:szCs w:val="24"/>
          <w:highlight w:val="none"/>
          <w:u w:val="none"/>
          <w:lang w:eastAsia="zh-CN"/>
        </w:rPr>
        <w:t>，</w:t>
      </w:r>
      <w:r>
        <w:rPr>
          <w:rFonts w:hint="eastAsia" w:ascii="宋体" w:hAnsi="宋体" w:eastAsia="宋体" w:cs="宋体"/>
          <w:color w:val="auto"/>
          <w:sz w:val="24"/>
          <w:szCs w:val="24"/>
          <w:highlight w:val="none"/>
        </w:rPr>
        <w:t>发改办价格[2003]857 号、国家计委计价格[2002]1980号等文件规定，向中标供应商收取代理服务费。</w:t>
      </w:r>
    </w:p>
    <w:bookmarkEnd w:id="143"/>
    <w:p w14:paraId="055075CB">
      <w:pPr>
        <w:keepNext w:val="0"/>
        <w:keepLines w:val="0"/>
        <w:pageBreakBefore w:val="0"/>
        <w:widowControl w:val="0"/>
        <w:kinsoku/>
        <w:wordWrap/>
        <w:overflowPunct/>
        <w:topLinePunct w:val="0"/>
        <w:autoSpaceDE/>
        <w:autoSpaceDN/>
        <w:bidi w:val="0"/>
        <w:adjustRightInd/>
        <w:snapToGrid/>
        <w:spacing w:line="500" w:lineRule="exact"/>
        <w:ind w:firstLine="2400" w:firstLineChars="100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招标代理服务收费标准(费率)</w:t>
      </w:r>
    </w:p>
    <w:p w14:paraId="1B6AA38E">
      <w:pPr>
        <w:pStyle w:val="21"/>
        <w:ind w:firstLine="630" w:firstLineChars="300"/>
        <w:rPr>
          <w:rFonts w:hint="eastAsia"/>
          <w:b w:val="0"/>
          <w:bCs w:val="0"/>
          <w:color w:val="auto"/>
          <w:sz w:val="21"/>
          <w:szCs w:val="21"/>
          <w:highlight w:val="none"/>
          <w:u w:val="none"/>
          <w:lang w:val="en-US" w:eastAsia="zh-CN"/>
        </w:rPr>
      </w:pPr>
      <w:r>
        <w:rPr>
          <w:rFonts w:hint="eastAsia" w:eastAsia="宋体"/>
          <w:color w:val="auto"/>
          <w:sz w:val="21"/>
          <w:szCs w:val="21"/>
          <w:highlight w:val="none"/>
          <w:u w:val="none"/>
          <w:lang w:eastAsia="zh-CN"/>
        </w:rPr>
        <w:t>（</w:t>
      </w:r>
      <w:r>
        <w:rPr>
          <w:rFonts w:hint="eastAsia"/>
          <w:color w:val="auto"/>
          <w:sz w:val="21"/>
          <w:szCs w:val="21"/>
          <w:highlight w:val="none"/>
          <w:u w:val="none"/>
        </w:rPr>
        <w:t>发</w:t>
      </w:r>
      <w:r>
        <w:rPr>
          <w:rFonts w:hint="eastAsia"/>
          <w:color w:val="auto"/>
          <w:sz w:val="21"/>
          <w:szCs w:val="21"/>
          <w:highlight w:val="none"/>
          <w:u w:val="none"/>
          <w:lang w:val="en-US" w:eastAsia="zh-CN"/>
        </w:rPr>
        <w:t>改</w:t>
      </w:r>
      <w:r>
        <w:rPr>
          <w:rFonts w:hint="eastAsia"/>
          <w:color w:val="auto"/>
          <w:sz w:val="21"/>
          <w:szCs w:val="21"/>
          <w:highlight w:val="none"/>
          <w:u w:val="none"/>
        </w:rPr>
        <w:t>价格</w:t>
      </w:r>
      <w:r>
        <w:rPr>
          <w:rFonts w:hint="eastAsia"/>
          <w:color w:val="auto"/>
          <w:sz w:val="21"/>
          <w:szCs w:val="21"/>
          <w:highlight w:val="none"/>
          <w:u w:val="none"/>
          <w:lang w:eastAsia="zh-CN"/>
        </w:rPr>
        <w:t>【</w:t>
      </w:r>
      <w:r>
        <w:rPr>
          <w:rFonts w:hint="eastAsia"/>
          <w:color w:val="auto"/>
          <w:sz w:val="21"/>
          <w:szCs w:val="21"/>
          <w:highlight w:val="none"/>
          <w:u w:val="none"/>
        </w:rPr>
        <w:t>2011</w:t>
      </w:r>
      <w:r>
        <w:rPr>
          <w:rFonts w:hint="eastAsia"/>
          <w:b w:val="0"/>
          <w:bCs w:val="0"/>
          <w:color w:val="auto"/>
          <w:sz w:val="21"/>
          <w:szCs w:val="21"/>
          <w:highlight w:val="none"/>
          <w:u w:val="none"/>
          <w:lang w:eastAsia="zh-CN"/>
        </w:rPr>
        <w:t>】</w:t>
      </w:r>
      <w:r>
        <w:rPr>
          <w:rFonts w:hint="eastAsia"/>
          <w:color w:val="auto"/>
          <w:sz w:val="21"/>
          <w:szCs w:val="21"/>
          <w:highlight w:val="none"/>
          <w:u w:val="none"/>
        </w:rPr>
        <w:t>534号</w:t>
      </w:r>
      <w:r>
        <w:rPr>
          <w:rFonts w:hint="eastAsia" w:eastAsia="宋体"/>
          <w:color w:val="auto"/>
          <w:sz w:val="21"/>
          <w:szCs w:val="21"/>
          <w:highlight w:val="none"/>
          <w:u w:val="none"/>
          <w:lang w:eastAsia="zh-CN"/>
        </w:rPr>
        <w:t>、</w:t>
      </w:r>
      <w:r>
        <w:rPr>
          <w:rFonts w:hint="eastAsia" w:eastAsia="宋体"/>
          <w:color w:val="auto"/>
          <w:sz w:val="21"/>
          <w:szCs w:val="21"/>
          <w:highlight w:val="none"/>
          <w:u w:val="none"/>
          <w:lang w:val="en-US" w:eastAsia="zh-CN"/>
        </w:rPr>
        <w:t>发改办价格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03</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857号、计价格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02</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1980号）</w:t>
      </w:r>
    </w:p>
    <w:p w14:paraId="67115395">
      <w:pPr>
        <w:pStyle w:val="21"/>
        <w:rPr>
          <w:rFonts w:hint="eastAsia"/>
          <w:b w:val="0"/>
          <w:bCs w:val="0"/>
          <w:color w:val="auto"/>
          <w:sz w:val="21"/>
          <w:szCs w:val="21"/>
          <w:highlight w:val="none"/>
          <w:u w:val="none"/>
          <w:lang w:val="en-US" w:eastAsia="zh-CN"/>
        </w:rPr>
      </w:pPr>
    </w:p>
    <w:tbl>
      <w:tblPr>
        <w:tblStyle w:val="26"/>
        <w:tblW w:w="9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2"/>
        <w:gridCol w:w="1976"/>
        <w:gridCol w:w="2422"/>
        <w:gridCol w:w="2426"/>
      </w:tblGrid>
      <w:tr w14:paraId="47C0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557BE5A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服务类型中标金额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万元</w:t>
            </w:r>
            <w:r>
              <w:rPr>
                <w:rFonts w:hint="eastAsia" w:ascii="宋体" w:hAnsi="宋体" w:eastAsia="宋体" w:cs="宋体"/>
                <w:color w:val="auto"/>
                <w:sz w:val="24"/>
                <w:szCs w:val="24"/>
                <w:highlight w:val="none"/>
                <w:lang w:eastAsia="zh-CN"/>
              </w:rPr>
              <w:t>）</w:t>
            </w:r>
          </w:p>
        </w:tc>
        <w:tc>
          <w:tcPr>
            <w:tcW w:w="1976" w:type="dxa"/>
            <w:noWrap w:val="0"/>
            <w:tcMar>
              <w:top w:w="0" w:type="dxa"/>
              <w:left w:w="108" w:type="dxa"/>
              <w:bottom w:w="0" w:type="dxa"/>
              <w:right w:w="108" w:type="dxa"/>
            </w:tcMar>
            <w:vAlign w:val="center"/>
          </w:tcPr>
          <w:p w14:paraId="0F37F51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2422" w:type="dxa"/>
            <w:noWrap w:val="0"/>
            <w:tcMar>
              <w:top w:w="0" w:type="dxa"/>
              <w:left w:w="108" w:type="dxa"/>
              <w:bottom w:w="0" w:type="dxa"/>
              <w:right w:w="108" w:type="dxa"/>
            </w:tcMar>
            <w:vAlign w:val="center"/>
          </w:tcPr>
          <w:p w14:paraId="2672D60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2426" w:type="dxa"/>
            <w:noWrap w:val="0"/>
            <w:tcMar>
              <w:top w:w="0" w:type="dxa"/>
              <w:left w:w="108" w:type="dxa"/>
              <w:bottom w:w="0" w:type="dxa"/>
              <w:right w:w="108" w:type="dxa"/>
            </w:tcMar>
            <w:vAlign w:val="center"/>
          </w:tcPr>
          <w:p w14:paraId="4BD9EE01">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招标</w:t>
            </w:r>
          </w:p>
        </w:tc>
      </w:tr>
      <w:tr w14:paraId="2688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20CC4D71">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100及以下</w:t>
            </w:r>
          </w:p>
        </w:tc>
        <w:tc>
          <w:tcPr>
            <w:tcW w:w="1976" w:type="dxa"/>
            <w:noWrap w:val="0"/>
            <w:tcMar>
              <w:top w:w="0" w:type="dxa"/>
              <w:left w:w="108" w:type="dxa"/>
              <w:bottom w:w="0" w:type="dxa"/>
              <w:right w:w="108" w:type="dxa"/>
            </w:tcMar>
            <w:vAlign w:val="center"/>
          </w:tcPr>
          <w:p w14:paraId="6C50730F">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2422" w:type="dxa"/>
            <w:noWrap w:val="0"/>
            <w:tcMar>
              <w:top w:w="0" w:type="dxa"/>
              <w:left w:w="108" w:type="dxa"/>
              <w:bottom w:w="0" w:type="dxa"/>
              <w:right w:w="108" w:type="dxa"/>
            </w:tcMar>
            <w:vAlign w:val="center"/>
          </w:tcPr>
          <w:p w14:paraId="5C502DC3">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2426" w:type="dxa"/>
            <w:noWrap w:val="0"/>
            <w:tcMar>
              <w:top w:w="0" w:type="dxa"/>
              <w:left w:w="108" w:type="dxa"/>
              <w:bottom w:w="0" w:type="dxa"/>
              <w:right w:w="108" w:type="dxa"/>
            </w:tcMar>
            <w:vAlign w:val="center"/>
          </w:tcPr>
          <w:p w14:paraId="789E8ECB">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w:t>
            </w:r>
          </w:p>
        </w:tc>
      </w:tr>
      <w:tr w14:paraId="6CB0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3D202C96">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976" w:type="dxa"/>
            <w:noWrap w:val="0"/>
            <w:tcMar>
              <w:top w:w="0" w:type="dxa"/>
              <w:left w:w="108" w:type="dxa"/>
              <w:bottom w:w="0" w:type="dxa"/>
              <w:right w:w="108" w:type="dxa"/>
            </w:tcMar>
            <w:vAlign w:val="center"/>
          </w:tcPr>
          <w:p w14:paraId="16357AF2">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tc>
        <w:tc>
          <w:tcPr>
            <w:tcW w:w="2422" w:type="dxa"/>
            <w:noWrap w:val="0"/>
            <w:tcMar>
              <w:top w:w="0" w:type="dxa"/>
              <w:left w:w="108" w:type="dxa"/>
              <w:bottom w:w="0" w:type="dxa"/>
              <w:right w:w="108" w:type="dxa"/>
            </w:tcMar>
            <w:vAlign w:val="center"/>
          </w:tcPr>
          <w:p w14:paraId="6854BB5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2426" w:type="dxa"/>
            <w:noWrap w:val="0"/>
            <w:tcMar>
              <w:top w:w="0" w:type="dxa"/>
              <w:left w:w="108" w:type="dxa"/>
              <w:bottom w:w="0" w:type="dxa"/>
              <w:right w:w="108" w:type="dxa"/>
            </w:tcMar>
            <w:vAlign w:val="center"/>
          </w:tcPr>
          <w:p w14:paraId="0D762254">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w:t>
            </w:r>
          </w:p>
        </w:tc>
      </w:tr>
      <w:tr w14:paraId="7AB1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6E4CC516">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976" w:type="dxa"/>
            <w:noWrap w:val="0"/>
            <w:tcMar>
              <w:top w:w="0" w:type="dxa"/>
              <w:left w:w="108" w:type="dxa"/>
              <w:bottom w:w="0" w:type="dxa"/>
              <w:right w:w="108" w:type="dxa"/>
            </w:tcMar>
            <w:vAlign w:val="center"/>
          </w:tcPr>
          <w:p w14:paraId="6E99A67C">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2422" w:type="dxa"/>
            <w:noWrap w:val="0"/>
            <w:tcMar>
              <w:top w:w="0" w:type="dxa"/>
              <w:left w:w="108" w:type="dxa"/>
              <w:bottom w:w="0" w:type="dxa"/>
              <w:right w:w="108" w:type="dxa"/>
            </w:tcMar>
            <w:vAlign w:val="center"/>
          </w:tcPr>
          <w:p w14:paraId="18EBA89F">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2426" w:type="dxa"/>
            <w:noWrap w:val="0"/>
            <w:tcMar>
              <w:top w:w="0" w:type="dxa"/>
              <w:left w:w="108" w:type="dxa"/>
              <w:bottom w:w="0" w:type="dxa"/>
              <w:right w:w="108" w:type="dxa"/>
            </w:tcMar>
            <w:vAlign w:val="center"/>
          </w:tcPr>
          <w:p w14:paraId="3AAAE74A">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1EF0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7DB1642E">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976" w:type="dxa"/>
            <w:noWrap w:val="0"/>
            <w:tcMar>
              <w:top w:w="0" w:type="dxa"/>
              <w:left w:w="108" w:type="dxa"/>
              <w:bottom w:w="0" w:type="dxa"/>
              <w:right w:w="108" w:type="dxa"/>
            </w:tcMar>
            <w:vAlign w:val="center"/>
          </w:tcPr>
          <w:p w14:paraId="2472DAF7">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0.50%</w:t>
            </w:r>
          </w:p>
        </w:tc>
        <w:tc>
          <w:tcPr>
            <w:tcW w:w="2422" w:type="dxa"/>
            <w:noWrap w:val="0"/>
            <w:tcMar>
              <w:top w:w="0" w:type="dxa"/>
              <w:left w:w="108" w:type="dxa"/>
              <w:bottom w:w="0" w:type="dxa"/>
              <w:right w:w="108" w:type="dxa"/>
            </w:tcMar>
            <w:vAlign w:val="center"/>
          </w:tcPr>
          <w:p w14:paraId="690F2E0E">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2426" w:type="dxa"/>
            <w:noWrap w:val="0"/>
            <w:tcMar>
              <w:top w:w="0" w:type="dxa"/>
              <w:left w:w="108" w:type="dxa"/>
              <w:bottom w:w="0" w:type="dxa"/>
              <w:right w:w="108" w:type="dxa"/>
            </w:tcMar>
            <w:vAlign w:val="center"/>
          </w:tcPr>
          <w:p w14:paraId="542FF5CA">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74A4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1E2BA938">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5000-1</w:t>
            </w:r>
            <w:r>
              <w:rPr>
                <w:rFonts w:hint="eastAsia" w:ascii="宋体" w:hAnsi="宋体" w:eastAsia="宋体" w:cs="宋体"/>
                <w:color w:val="auto"/>
                <w:sz w:val="24"/>
                <w:szCs w:val="24"/>
                <w:highlight w:val="none"/>
                <w:lang w:val="en-US" w:eastAsia="zh-CN"/>
              </w:rPr>
              <w:t>0000</w:t>
            </w:r>
          </w:p>
        </w:tc>
        <w:tc>
          <w:tcPr>
            <w:tcW w:w="1976" w:type="dxa"/>
            <w:noWrap w:val="0"/>
            <w:tcMar>
              <w:top w:w="0" w:type="dxa"/>
              <w:left w:w="108" w:type="dxa"/>
              <w:bottom w:w="0" w:type="dxa"/>
              <w:right w:w="108" w:type="dxa"/>
            </w:tcMar>
            <w:vAlign w:val="center"/>
          </w:tcPr>
          <w:p w14:paraId="7ECC742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2422" w:type="dxa"/>
            <w:noWrap w:val="0"/>
            <w:tcMar>
              <w:top w:w="0" w:type="dxa"/>
              <w:left w:w="108" w:type="dxa"/>
              <w:bottom w:w="0" w:type="dxa"/>
              <w:right w:w="108" w:type="dxa"/>
            </w:tcMar>
            <w:vAlign w:val="center"/>
          </w:tcPr>
          <w:p w14:paraId="2C619DA1">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0.10%</w:t>
            </w:r>
          </w:p>
        </w:tc>
        <w:tc>
          <w:tcPr>
            <w:tcW w:w="2426" w:type="dxa"/>
            <w:noWrap w:val="0"/>
            <w:tcMar>
              <w:top w:w="0" w:type="dxa"/>
              <w:left w:w="108" w:type="dxa"/>
              <w:bottom w:w="0" w:type="dxa"/>
              <w:right w:w="108" w:type="dxa"/>
            </w:tcMar>
            <w:vAlign w:val="center"/>
          </w:tcPr>
          <w:p w14:paraId="446ECF0B">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0.20%</w:t>
            </w:r>
          </w:p>
        </w:tc>
      </w:tr>
      <w:tr w14:paraId="65E7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1781734E">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0000-100000</w:t>
            </w:r>
          </w:p>
        </w:tc>
        <w:tc>
          <w:tcPr>
            <w:tcW w:w="1976" w:type="dxa"/>
            <w:noWrap w:val="0"/>
            <w:tcMar>
              <w:top w:w="0" w:type="dxa"/>
              <w:left w:w="108" w:type="dxa"/>
              <w:bottom w:w="0" w:type="dxa"/>
              <w:right w:w="108" w:type="dxa"/>
            </w:tcMar>
            <w:vAlign w:val="center"/>
          </w:tcPr>
          <w:p w14:paraId="7845E39E">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2422" w:type="dxa"/>
            <w:noWrap w:val="0"/>
            <w:tcMar>
              <w:top w:w="0" w:type="dxa"/>
              <w:left w:w="108" w:type="dxa"/>
              <w:bottom w:w="0" w:type="dxa"/>
              <w:right w:w="108" w:type="dxa"/>
            </w:tcMar>
            <w:vAlign w:val="center"/>
          </w:tcPr>
          <w:p w14:paraId="5CE1FBC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2426" w:type="dxa"/>
            <w:noWrap w:val="0"/>
            <w:tcMar>
              <w:top w:w="0" w:type="dxa"/>
              <w:left w:w="108" w:type="dxa"/>
              <w:bottom w:w="0" w:type="dxa"/>
              <w:right w:w="108" w:type="dxa"/>
            </w:tcMar>
            <w:vAlign w:val="center"/>
          </w:tcPr>
          <w:p w14:paraId="2F6F1332">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46E6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39C3189D">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sz w:val="24"/>
                <w:szCs w:val="24"/>
                <w:highlight w:val="none"/>
                <w:lang w:val="en-US" w:eastAsia="zh-CN"/>
              </w:rPr>
              <w:t>0000</w:t>
            </w:r>
            <w:r>
              <w:rPr>
                <w:rFonts w:hint="eastAsia" w:ascii="宋体" w:hAnsi="宋体" w:eastAsia="宋体" w:cs="宋体"/>
                <w:color w:val="auto"/>
                <w:sz w:val="24"/>
                <w:szCs w:val="24"/>
                <w:highlight w:val="none"/>
              </w:rPr>
              <w:t>以上</w:t>
            </w:r>
          </w:p>
        </w:tc>
        <w:tc>
          <w:tcPr>
            <w:tcW w:w="1976" w:type="dxa"/>
            <w:noWrap w:val="0"/>
            <w:tcMar>
              <w:top w:w="0" w:type="dxa"/>
              <w:left w:w="108" w:type="dxa"/>
              <w:bottom w:w="0" w:type="dxa"/>
              <w:right w:w="108" w:type="dxa"/>
            </w:tcMar>
            <w:vAlign w:val="center"/>
          </w:tcPr>
          <w:p w14:paraId="602D0921">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2422" w:type="dxa"/>
            <w:noWrap w:val="0"/>
            <w:tcMar>
              <w:top w:w="0" w:type="dxa"/>
              <w:left w:w="108" w:type="dxa"/>
              <w:bottom w:w="0" w:type="dxa"/>
              <w:right w:w="108" w:type="dxa"/>
            </w:tcMar>
            <w:vAlign w:val="center"/>
          </w:tcPr>
          <w:p w14:paraId="4FE7A5FD">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2426" w:type="dxa"/>
            <w:noWrap w:val="0"/>
            <w:tcMar>
              <w:top w:w="0" w:type="dxa"/>
              <w:left w:w="108" w:type="dxa"/>
              <w:bottom w:w="0" w:type="dxa"/>
              <w:right w:w="108" w:type="dxa"/>
            </w:tcMar>
            <w:vAlign w:val="center"/>
          </w:tcPr>
          <w:p w14:paraId="54FEC835">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r>
    </w:tbl>
    <w:p w14:paraId="02D7BB7C">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例：货物采购中标金额630万的代理服务费计算（单位：万元）</w:t>
      </w:r>
    </w:p>
    <w:p w14:paraId="67C5290F">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100×1.5% + （500-100）×1.1% +（630-500）×0.8%=6.9万</w:t>
      </w:r>
    </w:p>
    <w:p w14:paraId="51928F07">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代理服务费也可实行市场调节价，由代理机构、采购人和中标人另行商定。</w:t>
      </w:r>
    </w:p>
    <w:p w14:paraId="34002BFC">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5.</w:t>
      </w:r>
      <w:r>
        <w:rPr>
          <w:rFonts w:ascii="Times New Roman" w:hAnsi="Calibri" w:eastAsia="宋体" w:cs="Times New Roman"/>
          <w:b/>
          <w:color w:val="auto"/>
          <w:spacing w:val="60"/>
          <w:kern w:val="0"/>
          <w:sz w:val="24"/>
          <w:szCs w:val="22"/>
          <w:highlight w:val="none"/>
        </w:rPr>
        <w:t xml:space="preserve"> </w:t>
      </w:r>
      <w:r>
        <w:rPr>
          <w:rFonts w:ascii="BHVDMB+·ÂËÎ" w:hAnsi="BHVDMB+·ÂËÎ" w:eastAsia="宋体" w:cs="BHVDMB+·ÂËÎ"/>
          <w:color w:val="auto"/>
          <w:spacing w:val="1"/>
          <w:kern w:val="0"/>
          <w:sz w:val="24"/>
          <w:szCs w:val="22"/>
          <w:highlight w:val="none"/>
        </w:rPr>
        <w:t>授权委托</w:t>
      </w:r>
    </w:p>
    <w:p w14:paraId="01A86D1F">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1"/>
          <w:kern w:val="0"/>
          <w:sz w:val="24"/>
          <w:szCs w:val="22"/>
          <w:highlight w:val="none"/>
        </w:rPr>
        <w:t>供应商代表若不是供应商的法定代表人，应持有法定代表人授权委托书，并附法定代</w:t>
      </w:r>
      <w:r>
        <w:rPr>
          <w:rFonts w:ascii="BHVDMB+·ÂËÎ" w:hAnsi="BHVDMB+·ÂËÎ" w:eastAsia="宋体" w:cs="BHVDMB+·ÂËÎ"/>
          <w:color w:val="auto"/>
          <w:kern w:val="0"/>
          <w:sz w:val="24"/>
          <w:szCs w:val="22"/>
          <w:highlight w:val="none"/>
        </w:rPr>
        <w:t>表人身份证明。</w:t>
      </w:r>
    </w:p>
    <w:p w14:paraId="4D1E837D">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6.</w:t>
      </w:r>
      <w:r>
        <w:rPr>
          <w:rFonts w:ascii="Times New Roman" w:hAnsi="Calibri" w:eastAsia="宋体" w:cs="Times New Roman"/>
          <w:b/>
          <w:color w:val="auto"/>
          <w:spacing w:val="60"/>
          <w:kern w:val="0"/>
          <w:sz w:val="24"/>
          <w:szCs w:val="22"/>
          <w:highlight w:val="none"/>
        </w:rPr>
        <w:t xml:space="preserve"> </w:t>
      </w:r>
      <w:r>
        <w:rPr>
          <w:rFonts w:ascii="BHVDMB+·ÂËÎ" w:hAnsi="BHVDMB+·ÂËÎ" w:eastAsia="宋体" w:cs="BHVDMB+·ÂËÎ"/>
          <w:color w:val="auto"/>
          <w:spacing w:val="1"/>
          <w:kern w:val="0"/>
          <w:sz w:val="24"/>
          <w:szCs w:val="22"/>
          <w:highlight w:val="none"/>
        </w:rPr>
        <w:t>联合体响应</w:t>
      </w:r>
    </w:p>
    <w:p w14:paraId="44493FE3">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6.1</w:t>
      </w:r>
      <w:r>
        <w:rPr>
          <w:rFonts w:ascii="Times New Roman" w:hAnsi="Calibri" w:eastAsia="宋体" w:cs="Times New Roman"/>
          <w:color w:val="auto"/>
          <w:spacing w:val="41"/>
          <w:kern w:val="0"/>
          <w:sz w:val="24"/>
          <w:szCs w:val="22"/>
          <w:highlight w:val="none"/>
        </w:rPr>
        <w:t xml:space="preserve"> </w:t>
      </w:r>
      <w:r>
        <w:rPr>
          <w:rFonts w:ascii="BHVDMB+·ÂËÎ" w:hAnsi="BHVDMB+·ÂËÎ" w:eastAsia="宋体" w:cs="BHVDMB+·ÂËÎ"/>
          <w:color w:val="auto"/>
          <w:spacing w:val="4"/>
          <w:kern w:val="0"/>
          <w:sz w:val="24"/>
          <w:szCs w:val="22"/>
          <w:highlight w:val="none"/>
        </w:rPr>
        <w:t>除磋商文件前附表另有规定，本采购项目不接受除政府采购政策规定以外的其他</w:t>
      </w:r>
      <w:r>
        <w:rPr>
          <w:rFonts w:ascii="BHVDMB+·ÂËÎ" w:hAnsi="BHVDMB+·ÂËÎ" w:eastAsia="宋体" w:cs="BHVDMB+·ÂËÎ"/>
          <w:color w:val="auto"/>
          <w:kern w:val="0"/>
          <w:sz w:val="24"/>
          <w:szCs w:val="22"/>
          <w:highlight w:val="none"/>
        </w:rPr>
        <w:t>联合体响应。</w:t>
      </w:r>
    </w:p>
    <w:p w14:paraId="355CF268">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6.2</w:t>
      </w:r>
      <w:r>
        <w:rPr>
          <w:rFonts w:ascii="Times New Roman" w:hAnsi="Calibri" w:eastAsia="宋体" w:cs="Times New Roman"/>
          <w:color w:val="auto"/>
          <w:spacing w:val="60"/>
          <w:kern w:val="0"/>
          <w:sz w:val="24"/>
          <w:szCs w:val="22"/>
          <w:highlight w:val="none"/>
        </w:rPr>
        <w:t xml:space="preserve"> </w:t>
      </w:r>
      <w:r>
        <w:rPr>
          <w:rFonts w:ascii="BHVDMB+·ÂËÎ" w:hAnsi="BHVDMB+·ÂËÎ" w:eastAsia="宋体" w:cs="BHVDMB+·ÂËÎ"/>
          <w:color w:val="auto"/>
          <w:kern w:val="0"/>
          <w:sz w:val="24"/>
          <w:szCs w:val="22"/>
          <w:highlight w:val="none"/>
        </w:rPr>
        <w:t>供应商以联合体形式响应，除应符合本章第</w:t>
      </w:r>
      <w:r>
        <w:rPr>
          <w:rFonts w:ascii="Times New Roman" w:hAnsi="Calibri" w:eastAsia="宋体" w:cs="Times New Roman"/>
          <w:color w:val="auto"/>
          <w:kern w:val="0"/>
          <w:sz w:val="24"/>
          <w:szCs w:val="22"/>
          <w:highlight w:val="none"/>
        </w:rPr>
        <w:t xml:space="preserve"> 3</w:t>
      </w:r>
      <w:r>
        <w:rPr>
          <w:rFonts w:ascii="Times New Roman" w:hAnsi="Calibri" w:eastAsia="宋体" w:cs="Times New Roman"/>
          <w:color w:val="auto"/>
          <w:spacing w:val="-12"/>
          <w:kern w:val="0"/>
          <w:sz w:val="24"/>
          <w:szCs w:val="22"/>
          <w:highlight w:val="none"/>
        </w:rPr>
        <w:t xml:space="preserve"> </w:t>
      </w:r>
      <w:r>
        <w:rPr>
          <w:rFonts w:ascii="BHVDMB+·ÂËÎ" w:hAnsi="BHVDMB+·ÂËÎ" w:eastAsia="宋体" w:cs="BHVDMB+·ÂËÎ"/>
          <w:color w:val="auto"/>
          <w:kern w:val="0"/>
          <w:sz w:val="24"/>
          <w:szCs w:val="22"/>
          <w:highlight w:val="none"/>
        </w:rPr>
        <w:t>款规定外，还应遵守以下规定：</w:t>
      </w:r>
    </w:p>
    <w:p w14:paraId="06F2714B">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7"/>
          <w:kern w:val="0"/>
          <w:sz w:val="24"/>
          <w:szCs w:val="22"/>
          <w:highlight w:val="none"/>
        </w:rPr>
        <w:t>（</w:t>
      </w:r>
      <w:r>
        <w:rPr>
          <w:rFonts w:ascii="Times New Roman" w:hAnsi="Calibri" w:eastAsia="宋体" w:cs="Times New Roman"/>
          <w:color w:val="auto"/>
          <w:spacing w:val="8"/>
          <w:kern w:val="0"/>
          <w:sz w:val="24"/>
          <w:szCs w:val="22"/>
          <w:highlight w:val="none"/>
        </w:rPr>
        <w:t>l</w:t>
      </w:r>
      <w:r>
        <w:rPr>
          <w:rFonts w:ascii="BHVDMB+·ÂËÎ" w:hAnsi="BHVDMB+·ÂËÎ" w:eastAsia="宋体" w:cs="BHVDMB+·ÂËÎ"/>
          <w:color w:val="auto"/>
          <w:spacing w:val="6"/>
          <w:kern w:val="0"/>
          <w:sz w:val="24"/>
          <w:szCs w:val="22"/>
          <w:highlight w:val="none"/>
        </w:rPr>
        <w:t>）联合体各方应按磋商文件提供的格式签订联合体协议书，明确联合体牵头人和</w:t>
      </w:r>
      <w:r>
        <w:rPr>
          <w:rFonts w:ascii="BHVDMB+·ÂËÎ" w:hAnsi="BHVDMB+·ÂËÎ" w:eastAsia="宋体" w:cs="BHVDMB+·ÂËÎ"/>
          <w:color w:val="auto"/>
          <w:kern w:val="0"/>
          <w:sz w:val="24"/>
          <w:szCs w:val="22"/>
          <w:highlight w:val="none"/>
        </w:rPr>
        <w:t>各方的权利义务、合同工作量比例；</w:t>
      </w:r>
    </w:p>
    <w:p w14:paraId="04DE88D9">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2"/>
          <w:kern w:val="0"/>
          <w:sz w:val="24"/>
          <w:szCs w:val="22"/>
          <w:highlight w:val="none"/>
        </w:rPr>
        <w:t>（</w:t>
      </w:r>
      <w:r>
        <w:rPr>
          <w:rFonts w:ascii="Times New Roman" w:hAnsi="Calibri" w:eastAsia="宋体" w:cs="Times New Roman"/>
          <w:color w:val="auto"/>
          <w:spacing w:val="2"/>
          <w:kern w:val="0"/>
          <w:sz w:val="24"/>
          <w:szCs w:val="22"/>
          <w:highlight w:val="none"/>
        </w:rPr>
        <w:t>2</w:t>
      </w:r>
      <w:r>
        <w:rPr>
          <w:rFonts w:ascii="BHVDMB+·ÂËÎ" w:hAnsi="BHVDMB+·ÂËÎ" w:eastAsia="宋体" w:cs="BHVDMB+·ÂËÎ"/>
          <w:color w:val="auto"/>
          <w:kern w:val="0"/>
          <w:sz w:val="24"/>
          <w:szCs w:val="22"/>
          <w:highlight w:val="none"/>
        </w:rPr>
        <w:t>）</w:t>
      </w:r>
      <w:r>
        <w:rPr>
          <w:rFonts w:ascii="Times New Roman" w:hAnsi="Calibri" w:eastAsia="宋体" w:cs="Times New Roman"/>
          <w:color w:val="auto"/>
          <w:spacing w:val="41"/>
          <w:kern w:val="0"/>
          <w:sz w:val="24"/>
          <w:szCs w:val="22"/>
          <w:highlight w:val="none"/>
        </w:rPr>
        <w:t xml:space="preserve"> </w:t>
      </w:r>
      <w:r>
        <w:rPr>
          <w:rFonts w:ascii="BHVDMB+·ÂËÎ" w:hAnsi="BHVDMB+·ÂËÎ" w:eastAsia="宋体" w:cs="BHVDMB+·ÂËÎ"/>
          <w:color w:val="auto"/>
          <w:spacing w:val="2"/>
          <w:kern w:val="0"/>
          <w:sz w:val="24"/>
          <w:szCs w:val="22"/>
          <w:highlight w:val="none"/>
        </w:rPr>
        <w:t>联合体中有同类资质的供应商按照联合体分工承担相同工作的，应当按照资质</w:t>
      </w:r>
      <w:r>
        <w:rPr>
          <w:rFonts w:ascii="BHVDMB+·ÂËÎ" w:hAnsi="BHVDMB+·ÂËÎ" w:eastAsia="宋体" w:cs="BHVDMB+·ÂËÎ"/>
          <w:color w:val="auto"/>
          <w:kern w:val="0"/>
          <w:sz w:val="24"/>
          <w:szCs w:val="22"/>
          <w:highlight w:val="none"/>
        </w:rPr>
        <w:t>等级较低的供应商确定资质等级；</w:t>
      </w:r>
    </w:p>
    <w:p w14:paraId="7CB3C31C">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5"/>
          <w:kern w:val="0"/>
          <w:sz w:val="24"/>
          <w:szCs w:val="22"/>
          <w:highlight w:val="none"/>
        </w:rPr>
        <w:t>（</w:t>
      </w:r>
      <w:r>
        <w:rPr>
          <w:rFonts w:ascii="Times New Roman" w:hAnsi="Calibri" w:eastAsia="宋体" w:cs="Times New Roman"/>
          <w:color w:val="auto"/>
          <w:spacing w:val="5"/>
          <w:kern w:val="0"/>
          <w:sz w:val="24"/>
          <w:szCs w:val="22"/>
          <w:highlight w:val="none"/>
        </w:rPr>
        <w:t>3</w:t>
      </w:r>
      <w:r>
        <w:rPr>
          <w:rFonts w:ascii="BHVDMB+·ÂËÎ" w:hAnsi="BHVDMB+·ÂËÎ" w:eastAsia="宋体" w:cs="BHVDMB+·ÂËÎ"/>
          <w:color w:val="auto"/>
          <w:spacing w:val="5"/>
          <w:kern w:val="0"/>
          <w:sz w:val="24"/>
          <w:szCs w:val="22"/>
          <w:highlight w:val="none"/>
        </w:rPr>
        <w:t>）联合体各方签订联合体协议书后，不得再单独参加或者与其他供应商组成新的</w:t>
      </w:r>
      <w:r>
        <w:rPr>
          <w:rFonts w:ascii="BHVDMB+·ÂËÎ" w:hAnsi="BHVDMB+·ÂËÎ" w:eastAsia="宋体" w:cs="BHVDMB+·ÂËÎ"/>
          <w:color w:val="auto"/>
          <w:kern w:val="0"/>
          <w:sz w:val="24"/>
          <w:szCs w:val="22"/>
          <w:highlight w:val="none"/>
        </w:rPr>
        <w:t>联合体参加同一项目的采购活动。</w:t>
      </w:r>
    </w:p>
    <w:p w14:paraId="010B9A84">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7.</w:t>
      </w:r>
      <w:r>
        <w:rPr>
          <w:rFonts w:ascii="Times New Roman" w:hAnsi="Calibri" w:eastAsia="宋体" w:cs="Times New Roman"/>
          <w:b/>
          <w:color w:val="auto"/>
          <w:spacing w:val="120"/>
          <w:kern w:val="0"/>
          <w:sz w:val="24"/>
          <w:szCs w:val="22"/>
          <w:highlight w:val="none"/>
        </w:rPr>
        <w:t xml:space="preserve"> </w:t>
      </w:r>
      <w:r>
        <w:rPr>
          <w:rFonts w:ascii="BHVDMB+·ÂËÎ" w:hAnsi="BHVDMB+·ÂËÎ" w:eastAsia="宋体" w:cs="BHVDMB+·ÂËÎ"/>
          <w:color w:val="auto"/>
          <w:spacing w:val="1"/>
          <w:kern w:val="0"/>
          <w:sz w:val="24"/>
          <w:szCs w:val="22"/>
          <w:highlight w:val="none"/>
        </w:rPr>
        <w:t>采购进口产品</w:t>
      </w:r>
    </w:p>
    <w:p w14:paraId="308040FE">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7.1</w:t>
      </w:r>
      <w:r>
        <w:rPr>
          <w:rFonts w:ascii="Times New Roman" w:hAnsi="Calibri" w:eastAsia="宋体" w:cs="Times New Roman"/>
          <w:color w:val="auto"/>
          <w:spacing w:val="60"/>
          <w:kern w:val="0"/>
          <w:sz w:val="24"/>
          <w:szCs w:val="22"/>
          <w:highlight w:val="none"/>
        </w:rPr>
        <w:t xml:space="preserve"> </w:t>
      </w:r>
      <w:r>
        <w:rPr>
          <w:rFonts w:ascii="BHVDMB+·ÂËÎ" w:hAnsi="BHVDMB+·ÂËÎ" w:eastAsia="宋体" w:cs="BHVDMB+·ÂËÎ"/>
          <w:color w:val="auto"/>
          <w:kern w:val="0"/>
          <w:sz w:val="24"/>
          <w:szCs w:val="22"/>
          <w:highlight w:val="none"/>
        </w:rPr>
        <w:t>政府采购应当采购本国货物和服务。但有下列情形之一的除外：</w:t>
      </w:r>
    </w:p>
    <w:p w14:paraId="19E5DC1A">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5"/>
          <w:kern w:val="0"/>
          <w:sz w:val="24"/>
          <w:szCs w:val="22"/>
          <w:highlight w:val="none"/>
        </w:rPr>
        <w:t>（</w:t>
      </w:r>
      <w:r>
        <w:rPr>
          <w:rFonts w:ascii="Times New Roman" w:hAnsi="Calibri" w:eastAsia="宋体" w:cs="Times New Roman"/>
          <w:color w:val="auto"/>
          <w:spacing w:val="5"/>
          <w:kern w:val="0"/>
          <w:sz w:val="24"/>
          <w:szCs w:val="22"/>
          <w:highlight w:val="none"/>
        </w:rPr>
        <w:t>1</w:t>
      </w:r>
      <w:r>
        <w:rPr>
          <w:rFonts w:ascii="BHVDMB+·ÂËÎ" w:hAnsi="BHVDMB+·ÂËÎ" w:eastAsia="宋体" w:cs="BHVDMB+·ÂËÎ"/>
          <w:color w:val="auto"/>
          <w:spacing w:val="5"/>
          <w:kern w:val="0"/>
          <w:sz w:val="24"/>
          <w:szCs w:val="22"/>
          <w:highlight w:val="none"/>
        </w:rPr>
        <w:t>）需要采购的货物或者服务在中国境内无法获取或者无法以合理的商业条件获取</w:t>
      </w:r>
      <w:r>
        <w:rPr>
          <w:rFonts w:ascii="BHVDMB+·ÂËÎ" w:hAnsi="BHVDMB+·ÂËÎ" w:eastAsia="宋体" w:cs="BHVDMB+·ÂËÎ"/>
          <w:color w:val="auto"/>
          <w:kern w:val="0"/>
          <w:sz w:val="24"/>
          <w:szCs w:val="22"/>
          <w:highlight w:val="none"/>
        </w:rPr>
        <w:t>的；</w:t>
      </w:r>
    </w:p>
    <w:p w14:paraId="1F18B215">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w:t>
      </w:r>
      <w:r>
        <w:rPr>
          <w:rFonts w:ascii="Times New Roman" w:hAnsi="Calibri" w:eastAsia="宋体" w:cs="Times New Roman"/>
          <w:color w:val="auto"/>
          <w:kern w:val="0"/>
          <w:sz w:val="24"/>
          <w:szCs w:val="22"/>
          <w:highlight w:val="none"/>
        </w:rPr>
        <w:t>2</w:t>
      </w:r>
      <w:r>
        <w:rPr>
          <w:rFonts w:ascii="BHVDMB+·ÂËÎ" w:hAnsi="BHVDMB+·ÂËÎ" w:eastAsia="宋体" w:cs="BHVDMB+·ÂËÎ"/>
          <w:color w:val="auto"/>
          <w:kern w:val="0"/>
          <w:sz w:val="24"/>
          <w:szCs w:val="22"/>
          <w:highlight w:val="none"/>
        </w:rPr>
        <w:t>）为在中国境外使用而进行采购的；</w:t>
      </w:r>
    </w:p>
    <w:p w14:paraId="68137CBF">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w:t>
      </w:r>
      <w:r>
        <w:rPr>
          <w:rFonts w:ascii="Times New Roman" w:hAnsi="Calibri" w:eastAsia="宋体" w:cs="Times New Roman"/>
          <w:color w:val="auto"/>
          <w:kern w:val="0"/>
          <w:sz w:val="24"/>
          <w:szCs w:val="22"/>
          <w:highlight w:val="none"/>
        </w:rPr>
        <w:t>3</w:t>
      </w:r>
      <w:r>
        <w:rPr>
          <w:rFonts w:ascii="BHVDMB+·ÂËÎ" w:hAnsi="BHVDMB+·ÂËÎ" w:eastAsia="宋体" w:cs="BHVDMB+·ÂËÎ"/>
          <w:color w:val="auto"/>
          <w:kern w:val="0"/>
          <w:sz w:val="24"/>
          <w:szCs w:val="22"/>
          <w:highlight w:val="none"/>
        </w:rPr>
        <w:t>）其他法律、行政法规另有规定的。</w:t>
      </w:r>
    </w:p>
    <w:p w14:paraId="53778043">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所称本国货物和服务的界定，依照国务院有关规定执行。</w:t>
      </w:r>
    </w:p>
    <w:p w14:paraId="5BA17D0A">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7.2</w:t>
      </w:r>
      <w:r>
        <w:rPr>
          <w:rFonts w:ascii="Times New Roman" w:hAnsi="Calibri" w:eastAsia="宋体" w:cs="Times New Roman"/>
          <w:color w:val="auto"/>
          <w:spacing w:val="132"/>
          <w:kern w:val="0"/>
          <w:sz w:val="24"/>
          <w:szCs w:val="22"/>
          <w:highlight w:val="none"/>
        </w:rPr>
        <w:t xml:space="preserve"> </w:t>
      </w:r>
      <w:r>
        <w:rPr>
          <w:rFonts w:ascii="BHVDMB+·ÂËÎ" w:hAnsi="BHVDMB+·ÂËÎ" w:eastAsia="宋体" w:cs="BHVDMB+·ÂËÎ"/>
          <w:color w:val="auto"/>
          <w:kern w:val="0"/>
          <w:sz w:val="24"/>
          <w:szCs w:val="22"/>
          <w:highlight w:val="none"/>
        </w:rPr>
        <w:t>本章第</w:t>
      </w:r>
      <w:r>
        <w:rPr>
          <w:rFonts w:ascii="Times New Roman" w:hAnsi="Calibri" w:eastAsia="宋体" w:cs="Times New Roman"/>
          <w:color w:val="auto"/>
          <w:kern w:val="0"/>
          <w:sz w:val="24"/>
          <w:szCs w:val="22"/>
          <w:highlight w:val="none"/>
        </w:rPr>
        <w:t>7.1</w:t>
      </w:r>
      <w:r>
        <w:rPr>
          <w:rFonts w:ascii="Times New Roman" w:hAnsi="Calibri" w:eastAsia="宋体" w:cs="Times New Roman"/>
          <w:color w:val="auto"/>
          <w:spacing w:val="37"/>
          <w:kern w:val="0"/>
          <w:sz w:val="24"/>
          <w:szCs w:val="22"/>
          <w:highlight w:val="none"/>
        </w:rPr>
        <w:t xml:space="preserve"> </w:t>
      </w:r>
      <w:r>
        <w:rPr>
          <w:rFonts w:ascii="BHVDMB+·ÂËÎ" w:hAnsi="BHVDMB+·ÂËÎ" w:eastAsia="宋体" w:cs="BHVDMB+·ÂËÎ"/>
          <w:color w:val="auto"/>
          <w:kern w:val="0"/>
          <w:sz w:val="24"/>
          <w:szCs w:val="22"/>
          <w:highlight w:val="none"/>
        </w:rPr>
        <w:t>款规定同意购买进口产品的，不限制满足磋商文件要求的国内产品参与响应竞争。</w:t>
      </w:r>
    </w:p>
    <w:p w14:paraId="5114A5F1">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8.</w:t>
      </w:r>
      <w:r>
        <w:rPr>
          <w:rFonts w:ascii="Times New Roman" w:hAnsi="Calibri" w:eastAsia="宋体" w:cs="Times New Roman"/>
          <w:b/>
          <w:color w:val="auto"/>
          <w:spacing w:val="60"/>
          <w:kern w:val="0"/>
          <w:sz w:val="24"/>
          <w:szCs w:val="22"/>
          <w:highlight w:val="none"/>
        </w:rPr>
        <w:t xml:space="preserve"> </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w:t>
      </w:r>
    </w:p>
    <w:p w14:paraId="4801D34B">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8.1</w:t>
      </w:r>
      <w:r>
        <w:rPr>
          <w:rFonts w:ascii="Times New Roman" w:hAnsi="Calibri" w:eastAsia="宋体" w:cs="Times New Roman"/>
          <w:color w:val="auto"/>
          <w:spacing w:val="2"/>
          <w:kern w:val="0"/>
          <w:sz w:val="24"/>
          <w:szCs w:val="22"/>
          <w:highlight w:val="none"/>
        </w:rPr>
        <w:t xml:space="preserve"> </w:t>
      </w:r>
      <w:r>
        <w:rPr>
          <w:rFonts w:ascii="BHVDMB+·ÂËÎ" w:hAnsi="BHVDMB+·ÂËÎ" w:eastAsia="宋体" w:cs="BHVDMB+·ÂËÎ"/>
          <w:color w:val="auto"/>
          <w:kern w:val="0"/>
          <w:sz w:val="24"/>
          <w:szCs w:val="22"/>
          <w:highlight w:val="none"/>
        </w:rPr>
        <w:t>按有关规定，</w:t>
      </w:r>
      <w:r>
        <w:rPr>
          <w:rFonts w:hint="eastAsia" w:ascii="BHVDMB+·ÂËÎ" w:hAnsi="BHVDMB+·ÂËÎ" w:eastAsia="宋体" w:cs="BHVDMB+·ÂËÎ"/>
          <w:color w:val="auto"/>
          <w:kern w:val="0"/>
          <w:sz w:val="24"/>
          <w:szCs w:val="22"/>
          <w:highlight w:val="none"/>
          <w:lang w:val="en-US" w:eastAsia="zh-CN"/>
        </w:rPr>
        <w:t>响应</w:t>
      </w:r>
      <w:r>
        <w:rPr>
          <w:rFonts w:ascii="BHVDMB+·ÂËÎ" w:hAnsi="BHVDMB+·ÂËÎ" w:eastAsia="宋体" w:cs="BHVDMB+·ÂËÎ"/>
          <w:color w:val="auto"/>
          <w:kern w:val="0"/>
          <w:sz w:val="24"/>
          <w:szCs w:val="22"/>
          <w:highlight w:val="none"/>
        </w:rPr>
        <w:t>保证金数额为预算金额的</w:t>
      </w:r>
      <w:r>
        <w:rPr>
          <w:rFonts w:hint="eastAsia" w:ascii="Times New Roman" w:hAnsi="Calibri" w:eastAsia="宋体" w:cs="Times New Roman"/>
          <w:color w:val="auto"/>
          <w:spacing w:val="27"/>
          <w:kern w:val="0"/>
          <w:sz w:val="24"/>
          <w:szCs w:val="22"/>
          <w:highlight w:val="none"/>
          <w:lang w:val="en-US" w:eastAsia="zh-CN"/>
        </w:rPr>
        <w:t>1</w:t>
      </w:r>
      <w:r>
        <w:rPr>
          <w:rFonts w:ascii="Times New Roman" w:hAnsi="Calibri" w:eastAsia="宋体" w:cs="Times New Roman"/>
          <w:color w:val="auto"/>
          <w:kern w:val="0"/>
          <w:sz w:val="24"/>
          <w:szCs w:val="22"/>
          <w:highlight w:val="none"/>
        </w:rPr>
        <w:t>%</w:t>
      </w:r>
      <w:r>
        <w:rPr>
          <w:rFonts w:ascii="BHVDMB+·ÂËÎ" w:hAnsi="BHVDMB+·ÂËÎ" w:eastAsia="宋体" w:cs="BHVDMB+·ÂËÎ"/>
          <w:color w:val="auto"/>
          <w:kern w:val="0"/>
          <w:sz w:val="24"/>
          <w:szCs w:val="22"/>
          <w:highlight w:val="none"/>
        </w:rPr>
        <w:t>。供应商应在保证金到账截止时间</w:t>
      </w:r>
      <w:r>
        <w:rPr>
          <w:rFonts w:ascii="BHVDMB+·ÂËÎ" w:hAnsi="BHVDMB+·ÂËÎ" w:eastAsia="宋体" w:cs="BHVDMB+·ÂËÎ"/>
          <w:color w:val="auto"/>
          <w:spacing w:val="1"/>
          <w:kern w:val="0"/>
          <w:sz w:val="24"/>
          <w:szCs w:val="22"/>
          <w:highlight w:val="none"/>
        </w:rPr>
        <w:t>前</w:t>
      </w:r>
      <w:r>
        <w:rPr>
          <w:rFonts w:hint="eastAsia" w:ascii="BHVDMB+·ÂËÎ" w:hAnsi="BHVDMB+·ÂËÎ" w:eastAsia="宋体" w:cs="BHVDMB+·ÂËÎ"/>
          <w:color w:val="auto"/>
          <w:spacing w:val="1"/>
          <w:kern w:val="0"/>
          <w:sz w:val="24"/>
          <w:szCs w:val="22"/>
          <w:highlight w:val="none"/>
          <w:lang w:eastAsia="zh-CN"/>
        </w:rPr>
        <w:t>缴纳</w:t>
      </w:r>
      <w:r>
        <w:rPr>
          <w:rFonts w:ascii="BHVDMB+·ÂËÎ" w:hAnsi="BHVDMB+·ÂËÎ" w:eastAsia="宋体" w:cs="BHVDMB+·ÂËÎ"/>
          <w:color w:val="auto"/>
          <w:spacing w:val="1"/>
          <w:kern w:val="0"/>
          <w:sz w:val="24"/>
          <w:szCs w:val="22"/>
          <w:highlight w:val="none"/>
        </w:rPr>
        <w:t>保证金，并作为其响应的一部分。</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保证金是为了采购</w:t>
      </w:r>
      <w:r>
        <w:rPr>
          <w:rFonts w:hint="eastAsia" w:ascii="BHVDMB+·ÂËÎ" w:hAnsi="BHVDMB+·ÂËÎ" w:eastAsia="宋体" w:cs="BHVDMB+·ÂËÎ"/>
          <w:color w:val="auto"/>
          <w:spacing w:val="1"/>
          <w:kern w:val="0"/>
          <w:sz w:val="24"/>
          <w:szCs w:val="22"/>
          <w:highlight w:val="none"/>
        </w:rPr>
        <w:t>代理机构</w:t>
      </w:r>
      <w:r>
        <w:rPr>
          <w:rFonts w:ascii="BHVDMB+·ÂËÎ" w:hAnsi="BHVDMB+·ÂËÎ" w:eastAsia="宋体" w:cs="BHVDMB+·ÂËÎ"/>
          <w:color w:val="auto"/>
          <w:spacing w:val="1"/>
          <w:kern w:val="0"/>
          <w:sz w:val="24"/>
          <w:szCs w:val="22"/>
          <w:highlight w:val="none"/>
        </w:rPr>
        <w:t>和采购人免遭因供应</w:t>
      </w:r>
      <w:r>
        <w:rPr>
          <w:rFonts w:ascii="BHVDMB+·ÂËÎ" w:hAnsi="BHVDMB+·ÂËÎ" w:eastAsia="宋体" w:cs="BHVDMB+·ÂËÎ"/>
          <w:color w:val="auto"/>
          <w:kern w:val="0"/>
          <w:sz w:val="24"/>
          <w:szCs w:val="22"/>
          <w:highlight w:val="none"/>
        </w:rPr>
        <w:t>商行为蒙受损失而设立的。</w:t>
      </w:r>
      <w:r>
        <w:rPr>
          <w:rFonts w:ascii="BHVDMB+·ÂËÎ" w:hAnsi="BHVDMB+·ÂËÎ" w:eastAsia="宋体" w:cs="BHVDMB+·ÂËÎ"/>
          <w:color w:val="auto"/>
          <w:spacing w:val="1"/>
          <w:kern w:val="0"/>
          <w:sz w:val="24"/>
          <w:szCs w:val="22"/>
          <w:highlight w:val="none"/>
        </w:rPr>
        <w:t>供应商为联合体的，可以由联合体中的一方或者多方共同</w:t>
      </w:r>
      <w:r>
        <w:rPr>
          <w:rFonts w:hint="eastAsia" w:ascii="BHVDMB+·ÂËÎ" w:hAnsi="BHVDMB+·ÂËÎ" w:eastAsia="宋体" w:cs="BHVDMB+·ÂËÎ"/>
          <w:color w:val="auto"/>
          <w:spacing w:val="1"/>
          <w:kern w:val="0"/>
          <w:sz w:val="24"/>
          <w:szCs w:val="22"/>
          <w:highlight w:val="none"/>
          <w:lang w:eastAsia="zh-CN"/>
        </w:rPr>
        <w:t>缴纳</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保证金，其</w:t>
      </w:r>
      <w:r>
        <w:rPr>
          <w:rFonts w:hint="eastAsia" w:ascii="BHVDMB+·ÂËÎ" w:hAnsi="BHVDMB+·ÂËÎ" w:eastAsia="宋体" w:cs="BHVDMB+·ÂËÎ"/>
          <w:color w:val="auto"/>
          <w:spacing w:val="1"/>
          <w:kern w:val="0"/>
          <w:sz w:val="24"/>
          <w:szCs w:val="22"/>
          <w:highlight w:val="none"/>
          <w:lang w:eastAsia="zh-CN"/>
        </w:rPr>
        <w:t>缴纳</w:t>
      </w:r>
      <w:r>
        <w:rPr>
          <w:rFonts w:ascii="BHVDMB+·ÂËÎ" w:hAnsi="BHVDMB+·ÂËÎ" w:eastAsia="宋体" w:cs="BHVDMB+·ÂËÎ"/>
          <w:color w:val="auto"/>
          <w:spacing w:val="1"/>
          <w:kern w:val="0"/>
          <w:sz w:val="24"/>
          <w:szCs w:val="22"/>
          <w:highlight w:val="none"/>
        </w:rPr>
        <w:t>的</w:t>
      </w:r>
      <w:r>
        <w:rPr>
          <w:rFonts w:ascii="BHVDMB+·ÂËÎ" w:hAnsi="BHVDMB+·ÂËÎ" w:eastAsia="宋体" w:cs="BHVDMB+·ÂËÎ"/>
          <w:color w:val="auto"/>
          <w:kern w:val="0"/>
          <w:sz w:val="24"/>
          <w:szCs w:val="22"/>
          <w:highlight w:val="none"/>
        </w:rPr>
        <w:t>保证金对联合体各方均具有约束力。</w:t>
      </w:r>
    </w:p>
    <w:p w14:paraId="37A0B3C8">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8.2</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保证金到账截止时间与开标时间一致，并将</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保证金缴纳</w:t>
      </w:r>
      <w:r>
        <w:rPr>
          <w:rStyle w:val="29"/>
          <w:rFonts w:hint="eastAsia" w:ascii="宋体" w:hAnsi="宋体" w:eastAsia="宋体" w:cs="宋体"/>
          <w:b w:val="0"/>
          <w:color w:val="auto"/>
          <w:highlight w:val="none"/>
          <w:lang w:val="en-US" w:eastAsia="zh-CN"/>
        </w:rPr>
        <w:t>收据</w:t>
      </w:r>
      <w:r>
        <w:rPr>
          <w:rStyle w:val="29"/>
          <w:rFonts w:hint="eastAsia" w:ascii="宋体" w:hAnsi="宋体" w:eastAsia="宋体" w:cs="宋体"/>
          <w:b w:val="0"/>
          <w:color w:val="auto"/>
          <w:highlight w:val="none"/>
        </w:rPr>
        <w:t>，编制在响应文件相应位置。</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保证金须从投标供应商账户转出（基本户或一般户均可），不得由他人账户代</w:t>
      </w:r>
      <w:r>
        <w:rPr>
          <w:rStyle w:val="29"/>
          <w:rFonts w:hint="eastAsia" w:ascii="宋体" w:hAnsi="宋体" w:eastAsia="宋体" w:cs="宋体"/>
          <w:b w:val="0"/>
          <w:color w:val="auto"/>
          <w:highlight w:val="none"/>
          <w:lang w:eastAsia="zh-CN"/>
        </w:rPr>
        <w:t>缴</w:t>
      </w:r>
      <w:r>
        <w:rPr>
          <w:rStyle w:val="29"/>
          <w:rFonts w:hint="eastAsia" w:ascii="宋体" w:hAnsi="宋体" w:eastAsia="宋体" w:cs="宋体"/>
          <w:b w:val="0"/>
          <w:color w:val="auto"/>
          <w:highlight w:val="none"/>
        </w:rPr>
        <w:t>。保证金</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须按项目名称进行</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。供应商为联合体的，可由联合体中的一方或者多方共同</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保证金，其</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的</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保证金对联合体各方均具有约束力。</w:t>
      </w:r>
    </w:p>
    <w:p w14:paraId="2C335DB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8.3 开标时，对于未按要求</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保证金的，将视为非实质性响应而予以拒绝，投标无效。</w:t>
      </w:r>
    </w:p>
    <w:p w14:paraId="3751C0FA">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8.4</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保证金有效期同投标有效期。</w:t>
      </w:r>
    </w:p>
    <w:p w14:paraId="5A36720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8.5退还</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w:t>
      </w:r>
    </w:p>
    <w:p w14:paraId="73D90E0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8.5.1退还时间</w:t>
      </w:r>
    </w:p>
    <w:p w14:paraId="1D62EBD7">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供应商与采购人签订采购合同后申请退还，未</w:t>
      </w: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供应商在</w:t>
      </w: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公示期满后申请退还，新疆重道敬德招标咨询有限公司在受理日起五个工作日内退还。</w:t>
      </w:r>
    </w:p>
    <w:p w14:paraId="0396BD4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8.5.2退还方式</w:t>
      </w:r>
    </w:p>
    <w:p w14:paraId="7F76F84A">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highlight w:val="none"/>
        </w:rPr>
        <w:t xml:space="preserve"> </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保证金退还为公对公账户电汇业务，我单位不退还现金。</w:t>
      </w:r>
    </w:p>
    <w:p w14:paraId="2172650D">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8.5.3提交资料</w:t>
      </w:r>
    </w:p>
    <w:p w14:paraId="5046C83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Style w:val="29"/>
          <w:rFonts w:hint="eastAsia" w:ascii="宋体" w:hAnsi="宋体" w:eastAsia="宋体" w:cs="宋体"/>
          <w:b w:val="0"/>
          <w:color w:val="auto"/>
          <w:sz w:val="24"/>
          <w:szCs w:val="24"/>
          <w:highlight w:val="none"/>
        </w:rPr>
        <w:t>未成交供应商退还</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保证金时需提供</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保证金电汇、网银等非现金形式缴纳凭证（凭证备注栏清晰注明用途及本次采购项目简称）</w:t>
      </w:r>
      <w:r>
        <w:rPr>
          <w:rStyle w:val="29"/>
          <w:rFonts w:hint="eastAsia" w:ascii="宋体" w:hAnsi="宋体" w:eastAsia="宋体" w:cs="宋体"/>
          <w:b w:val="0"/>
          <w:color w:val="auto"/>
          <w:sz w:val="24"/>
          <w:szCs w:val="24"/>
          <w:highlight w:val="none"/>
          <w:lang w:val="en-US" w:eastAsia="zh-CN"/>
        </w:rPr>
        <w:t>还</w:t>
      </w:r>
      <w:r>
        <w:rPr>
          <w:rFonts w:hint="eastAsia" w:ascii="宋体" w:hAnsi="宋体" w:eastAsia="宋体" w:cs="宋体"/>
          <w:b w:val="0"/>
          <w:bCs/>
          <w:color w:val="auto"/>
          <w:sz w:val="24"/>
          <w:szCs w:val="24"/>
          <w:highlight w:val="none"/>
          <w:lang w:val="en-US" w:eastAsia="zh-CN"/>
        </w:rPr>
        <w:t>须携带以下资料：</w:t>
      </w:r>
    </w:p>
    <w:p w14:paraId="6105781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1、开户许可证或基本存款账户信息复印件</w:t>
      </w:r>
      <w:r>
        <w:rPr>
          <w:rFonts w:hint="eastAsia" w:ascii="宋体" w:hAnsi="宋体" w:eastAsia="宋体" w:cs="宋体"/>
          <w:b w:val="0"/>
          <w:bCs/>
          <w:color w:val="auto"/>
          <w:sz w:val="24"/>
          <w:szCs w:val="24"/>
          <w:highlight w:val="none"/>
          <w:lang w:val="en-US" w:eastAsia="zh-CN"/>
        </w:rPr>
        <w:tab/>
      </w:r>
    </w:p>
    <w:p w14:paraId="5158210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2、收据（格式参照收据模板）</w:t>
      </w:r>
    </w:p>
    <w:p w14:paraId="34124B4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3、中标服务费打款凭证（打印回单）</w:t>
      </w:r>
    </w:p>
    <w:p w14:paraId="7F4BC07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4、响应保证金打款凭证（打印回单）</w:t>
      </w:r>
    </w:p>
    <w:p w14:paraId="3A300F6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sz w:val="24"/>
          <w:szCs w:val="24"/>
          <w:highlight w:val="none"/>
          <w:lang w:val="en-US" w:eastAsia="zh-CN"/>
        </w:rPr>
        <w:t>5、</w:t>
      </w:r>
      <w:r>
        <w:rPr>
          <w:rStyle w:val="29"/>
          <w:rFonts w:hint="eastAsia" w:ascii="宋体" w:hAnsi="宋体" w:eastAsia="宋体" w:cs="宋体"/>
          <w:b w:val="0"/>
          <w:color w:val="auto"/>
          <w:sz w:val="24"/>
          <w:szCs w:val="24"/>
          <w:highlight w:val="none"/>
        </w:rPr>
        <w:t>成交供应商退还保证金时需提供与采购人签订的合同原件一份及盖章扫描生成的PDF格式电子版合同</w:t>
      </w:r>
      <w:r>
        <w:rPr>
          <w:rStyle w:val="29"/>
          <w:rFonts w:hint="eastAsia" w:ascii="宋体" w:hAnsi="宋体" w:eastAsia="宋体" w:cs="宋体"/>
          <w:b w:val="0"/>
          <w:color w:val="auto"/>
          <w:highlight w:val="none"/>
        </w:rPr>
        <w:t>。</w:t>
      </w:r>
    </w:p>
    <w:p w14:paraId="752DBB3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8.5.4发生下列情况之一的，</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保证金将不予退还：</w:t>
      </w:r>
    </w:p>
    <w:p w14:paraId="07B2BA32">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（1）供应商有《中华人民共和国政府采购法》第七十七条所列行为的；</w:t>
      </w:r>
    </w:p>
    <w:p w14:paraId="18E208B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（2）</w:t>
      </w:r>
      <w:r>
        <w:rPr>
          <w:rStyle w:val="29"/>
          <w:rFonts w:ascii="宋体" w:hAnsi="宋体" w:eastAsia="宋体" w:cs="宋体"/>
          <w:b w:val="0"/>
          <w:color w:val="auto"/>
          <w:highlight w:val="none"/>
        </w:rPr>
        <w:t>供应商</w:t>
      </w:r>
      <w:r>
        <w:rPr>
          <w:rStyle w:val="29"/>
          <w:rFonts w:hint="eastAsia" w:ascii="宋体" w:hAnsi="宋体" w:eastAsia="宋体" w:cs="宋体"/>
          <w:b w:val="0"/>
          <w:color w:val="auto"/>
          <w:highlight w:val="none"/>
        </w:rPr>
        <w:t>在提交磋商文件截止时间后撤回磋商文件的；</w:t>
      </w:r>
    </w:p>
    <w:p w14:paraId="1C9B0B0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（3）除因不可抗力或磋商文件认可的情形以外，中标人不与采购人签订合同的；</w:t>
      </w:r>
    </w:p>
    <w:p w14:paraId="52B0477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（4）中标供应商不按规定</w:t>
      </w:r>
      <w:r>
        <w:rPr>
          <w:rStyle w:val="29"/>
          <w:rFonts w:ascii="宋体" w:hAnsi="宋体" w:eastAsia="宋体" w:cs="宋体"/>
          <w:b w:val="0"/>
          <w:color w:val="auto"/>
          <w:highlight w:val="none"/>
        </w:rPr>
        <w:t>缴纳采购</w:t>
      </w:r>
      <w:r>
        <w:rPr>
          <w:rStyle w:val="29"/>
          <w:rFonts w:hint="eastAsia" w:ascii="宋体" w:hAnsi="宋体" w:eastAsia="宋体" w:cs="宋体"/>
          <w:b w:val="0"/>
          <w:color w:val="auto"/>
          <w:highlight w:val="none"/>
        </w:rPr>
        <w:t>服务费的；</w:t>
      </w:r>
    </w:p>
    <w:p w14:paraId="21D25A92">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（5）</w:t>
      </w:r>
      <w:r>
        <w:rPr>
          <w:rStyle w:val="29"/>
          <w:rFonts w:ascii="宋体" w:hAnsi="宋体" w:eastAsia="宋体" w:cs="宋体"/>
          <w:b w:val="0"/>
          <w:color w:val="auto"/>
          <w:highlight w:val="none"/>
        </w:rPr>
        <w:t>供应商</w:t>
      </w:r>
      <w:r>
        <w:rPr>
          <w:rStyle w:val="29"/>
          <w:rFonts w:hint="eastAsia" w:ascii="宋体" w:hAnsi="宋体" w:eastAsia="宋体" w:cs="宋体"/>
          <w:b w:val="0"/>
          <w:color w:val="auto"/>
          <w:highlight w:val="none"/>
        </w:rPr>
        <w:t>在规定期限内未按规定向采购人缴纳履约保证金；</w:t>
      </w:r>
    </w:p>
    <w:p w14:paraId="0AF2DAA9">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w:t>
      </w:r>
      <w:r>
        <w:rPr>
          <w:rStyle w:val="29"/>
          <w:rFonts w:ascii="宋体" w:hAnsi="宋体" w:eastAsia="宋体" w:cs="宋体"/>
          <w:b w:val="0"/>
          <w:color w:val="auto"/>
          <w:highlight w:val="none"/>
        </w:rPr>
        <w:t>6</w:t>
      </w:r>
      <w:r>
        <w:rPr>
          <w:rStyle w:val="29"/>
          <w:rFonts w:hint="eastAsia" w:ascii="宋体" w:hAnsi="宋体" w:eastAsia="宋体" w:cs="宋体"/>
          <w:b w:val="0"/>
          <w:color w:val="auto"/>
          <w:highlight w:val="none"/>
        </w:rPr>
        <w:t>）打架斗殴，扰乱开标现场秩序；</w:t>
      </w:r>
    </w:p>
    <w:p w14:paraId="2C6E856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（8）法律法规及采购文件规定的其他情形。</w:t>
      </w:r>
    </w:p>
    <w:p w14:paraId="77EEE0C4">
      <w:pPr>
        <w:keepNext w:val="0"/>
        <w:keepLines w:val="0"/>
        <w:pageBreakBefore w:val="0"/>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Ansi="Calibri"/>
          <w:b/>
          <w:color w:val="auto"/>
          <w:szCs w:val="22"/>
          <w:highlight w:val="none"/>
        </w:rPr>
        <w:t>9</w:t>
      </w:r>
      <w:r>
        <w:rPr>
          <w:rFonts w:hint="eastAsia" w:ascii="UAKEGC+·ÂËÎ" w:hAnsi="UAKEGC+·ÂËÎ" w:cs="UAKEGC+·ÂËÎ"/>
          <w:color w:val="auto"/>
          <w:spacing w:val="1"/>
          <w:sz w:val="24"/>
          <w:highlight w:val="none"/>
        </w:rPr>
        <w:t>.</w:t>
      </w:r>
      <w:r>
        <w:rPr>
          <w:rFonts w:ascii="UAKEGC+·ÂËÎ" w:hAnsi="UAKEGC+·ÂËÎ" w:cs="UAKEGC+·ÂËÎ"/>
          <w:color w:val="auto"/>
          <w:spacing w:val="1"/>
          <w:sz w:val="24"/>
          <w:highlight w:val="none"/>
        </w:rPr>
        <w:t>磋商文件的理解</w:t>
      </w:r>
    </w:p>
    <w:p w14:paraId="073189B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UAKEGC+·ÂËÎ" w:hAnsi="UAKEGC+·ÂËÎ" w:cs="UAKEGC+·ÂËÎ"/>
          <w:color w:val="auto"/>
          <w:spacing w:val="1"/>
          <w:sz w:val="24"/>
          <w:highlight w:val="none"/>
        </w:rPr>
        <w:t>供应商应认真阅读、审查磋商文件中所有的事项、格式、条款和技术规范等要求，保证其完全理解磋商文件内容。供应商在响应截止时间后，不得存在误解和遗漏，要求更改已提交的响应文件。供应商的报价被认为已包括本项目采购范围内的全部内容。如果漏项被认为分摊到其他子</w:t>
      </w:r>
      <w:r>
        <w:rPr>
          <w:rFonts w:hint="eastAsia" w:ascii="UAKEGC+·ÂËÎ" w:hAnsi="UAKEGC+·ÂËÎ" w:cs="UAKEGC+·ÂËÎ"/>
          <w:color w:val="auto"/>
          <w:spacing w:val="1"/>
          <w:sz w:val="24"/>
          <w:highlight w:val="none"/>
          <w:lang w:eastAsia="zh-CN"/>
        </w:rPr>
        <w:t>项</w:t>
      </w:r>
      <w:r>
        <w:rPr>
          <w:rFonts w:ascii="UAKEGC+·ÂËÎ" w:hAnsi="UAKEGC+·ÂËÎ" w:cs="UAKEGC+·ÂËÎ"/>
          <w:color w:val="auto"/>
          <w:spacing w:val="1"/>
          <w:sz w:val="24"/>
          <w:highlight w:val="none"/>
        </w:rPr>
        <w:t>目中，将不予重新计价；如果计算错误，在项目结束后，也将不予调</w:t>
      </w:r>
      <w:r>
        <w:rPr>
          <w:rFonts w:ascii="UAKEGC+·ÂËÎ" w:hAnsi="UAKEGC+·ÂËÎ" w:cs="UAKEGC+·ÂËÎ"/>
          <w:color w:val="auto"/>
          <w:spacing w:val="8"/>
          <w:sz w:val="24"/>
          <w:highlight w:val="none"/>
        </w:rPr>
        <w:t>整。如果供应商未按照磋商文件的要求提交全部资料，或没有对磋商文件</w:t>
      </w:r>
      <w:r>
        <w:rPr>
          <w:rFonts w:hint="eastAsia" w:ascii="UAKEGC+·ÂËÎ" w:hAnsi="UAKEGC+·ÂËÎ" w:cs="UAKEGC+·ÂËÎ"/>
          <w:color w:val="auto"/>
          <w:spacing w:val="8"/>
          <w:sz w:val="24"/>
          <w:highlight w:val="none"/>
          <w:lang w:eastAsia="zh-CN"/>
        </w:rPr>
        <w:t>作出</w:t>
      </w:r>
      <w:r>
        <w:rPr>
          <w:rFonts w:ascii="UAKEGC+·ÂËÎ" w:hAnsi="UAKEGC+·ÂËÎ" w:cs="UAKEGC+·ÂËÎ"/>
          <w:color w:val="auto"/>
          <w:spacing w:val="8"/>
          <w:sz w:val="24"/>
          <w:highlight w:val="none"/>
        </w:rPr>
        <w:t>实质性响</w:t>
      </w:r>
      <w:r>
        <w:rPr>
          <w:rFonts w:ascii="UAKEGC+·ÂËÎ" w:hAnsi="UAKEGC+·ÂËÎ" w:cs="UAKEGC+·ÂËÎ"/>
          <w:color w:val="auto"/>
          <w:sz w:val="24"/>
          <w:highlight w:val="none"/>
        </w:rPr>
        <w:t>应，根据有关条款规定，其响应可以被拒绝，由此带来的风险由供应商自行承担。</w:t>
      </w:r>
    </w:p>
    <w:p w14:paraId="01CA13B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10.</w:t>
      </w:r>
      <w:r>
        <w:rPr>
          <w:rFonts w:hAnsi="Calibri"/>
          <w:b/>
          <w:color w:val="auto"/>
          <w:spacing w:val="60"/>
          <w:sz w:val="24"/>
          <w:highlight w:val="none"/>
        </w:rPr>
        <w:t xml:space="preserve"> </w:t>
      </w:r>
      <w:r>
        <w:rPr>
          <w:rFonts w:ascii="UAKEGC+·ÂËÎ" w:hAnsi="UAKEGC+·ÂËÎ" w:cs="UAKEGC+·ÂËÎ"/>
          <w:color w:val="auto"/>
          <w:spacing w:val="1"/>
          <w:sz w:val="24"/>
          <w:highlight w:val="none"/>
        </w:rPr>
        <w:t>项目变更程序</w:t>
      </w:r>
    </w:p>
    <w:p w14:paraId="5B875F40">
      <w:pPr>
        <w:keepNext w:val="0"/>
        <w:keepLines w:val="0"/>
        <w:pageBreakBefore w:val="0"/>
        <w:kinsoku/>
        <w:wordWrap/>
        <w:overflowPunct/>
        <w:topLinePunct w:val="0"/>
        <w:bidi w:val="0"/>
        <w:spacing w:line="360" w:lineRule="exact"/>
        <w:ind w:left="0" w:leftChars="0" w:firstLine="0" w:firstLineChars="0"/>
        <w:textAlignment w:val="auto"/>
        <w:rPr>
          <w:rFonts w:ascii="UAKEGC+·ÂËÎ" w:hAnsi="UAKEGC+·ÂËÎ" w:cs="UAKEGC+·ÂËÎ"/>
          <w:color w:val="auto"/>
          <w:spacing w:val="5"/>
          <w:sz w:val="24"/>
          <w:highlight w:val="none"/>
        </w:rPr>
      </w:pPr>
      <w:r>
        <w:rPr>
          <w:rFonts w:ascii="UAKEGC+·ÂËÎ" w:hAnsi="UAKEGC+·ÂËÎ" w:cs="UAKEGC+·ÂËÎ"/>
          <w:color w:val="auto"/>
          <w:spacing w:val="5"/>
          <w:sz w:val="24"/>
          <w:highlight w:val="none"/>
        </w:rPr>
        <w:t>项目如有变更，应由采购人向</w:t>
      </w:r>
      <w:r>
        <w:rPr>
          <w:rFonts w:hint="eastAsia" w:ascii="UAKEGC+·ÂËÎ" w:hAnsi="UAKEGC+·ÂËÎ" w:cs="UAKEGC+·ÂËÎ"/>
          <w:color w:val="auto"/>
          <w:spacing w:val="5"/>
          <w:sz w:val="24"/>
          <w:highlight w:val="none"/>
          <w:lang w:val="en-US" w:eastAsia="zh-CN"/>
        </w:rPr>
        <w:t>财政相关部门</w:t>
      </w:r>
      <w:r>
        <w:rPr>
          <w:rFonts w:ascii="UAKEGC+·ÂËÎ" w:hAnsi="UAKEGC+·ÂËÎ" w:cs="UAKEGC+·ÂËÎ"/>
          <w:color w:val="auto"/>
          <w:spacing w:val="5"/>
          <w:sz w:val="24"/>
          <w:highlight w:val="none"/>
        </w:rPr>
        <w:t>提出书面变更申请，申请的内容：</w:t>
      </w:r>
    </w:p>
    <w:p w14:paraId="312C59EE">
      <w:pPr>
        <w:keepNext w:val="0"/>
        <w:keepLines w:val="0"/>
        <w:pageBreakBefore w:val="0"/>
        <w:kinsoku/>
        <w:wordWrap/>
        <w:overflowPunct/>
        <w:topLinePunct w:val="0"/>
        <w:bidi w:val="0"/>
        <w:spacing w:line="360" w:lineRule="exact"/>
        <w:ind w:left="0" w:leftChars="0" w:firstLine="0" w:firstLineChars="0"/>
        <w:textAlignment w:val="auto"/>
        <w:rPr>
          <w:rFonts w:hAnsi="UAKEGC+·ÂËÎ" w:cs="UAKEGC+·ÂËÎ"/>
          <w:color w:val="auto"/>
          <w:spacing w:val="4"/>
          <w:sz w:val="24"/>
          <w:highlight w:val="none"/>
        </w:rPr>
      </w:pPr>
      <w:r>
        <w:rPr>
          <w:rFonts w:hint="eastAsia" w:hAnsi="UAKEGC+·ÂËÎ" w:cs="UAKEGC+·ÂËÎ"/>
          <w:color w:val="auto"/>
          <w:spacing w:val="4"/>
          <w:sz w:val="24"/>
          <w:highlight w:val="none"/>
        </w:rPr>
        <w:t>（1）</w:t>
      </w:r>
      <w:r>
        <w:rPr>
          <w:rFonts w:hAnsi="UAKEGC+·ÂËÎ" w:cs="UAKEGC+·ÂËÎ"/>
          <w:color w:val="auto"/>
          <w:spacing w:val="4"/>
          <w:sz w:val="24"/>
          <w:highlight w:val="none"/>
        </w:rPr>
        <w:t>申请变更的理由；</w:t>
      </w:r>
    </w:p>
    <w:p w14:paraId="4FE2D5A7">
      <w:pPr>
        <w:keepNext w:val="0"/>
        <w:keepLines w:val="0"/>
        <w:pageBreakBefore w:val="0"/>
        <w:kinsoku/>
        <w:wordWrap/>
        <w:overflowPunct/>
        <w:topLinePunct w:val="0"/>
        <w:bidi w:val="0"/>
        <w:spacing w:line="360" w:lineRule="exact"/>
        <w:ind w:left="0" w:leftChars="0" w:firstLine="0" w:firstLineChars="0"/>
        <w:textAlignment w:val="auto"/>
        <w:rPr>
          <w:rFonts w:hAnsi="UAKEGC+·ÂËÎ" w:cs="UAKEGC+·ÂËÎ"/>
          <w:color w:val="auto"/>
          <w:spacing w:val="4"/>
          <w:sz w:val="24"/>
          <w:highlight w:val="none"/>
        </w:rPr>
      </w:pPr>
      <w:r>
        <w:rPr>
          <w:rFonts w:hAnsi="UAKEGC+·ÂËÎ" w:cs="UAKEGC+·ÂËÎ"/>
          <w:color w:val="auto"/>
          <w:spacing w:val="4"/>
          <w:sz w:val="24"/>
          <w:highlight w:val="none"/>
        </w:rPr>
        <w:t>（</w:t>
      </w:r>
      <w:r>
        <w:rPr>
          <w:rFonts w:hAnsi="Calibri"/>
          <w:color w:val="auto"/>
          <w:spacing w:val="5"/>
          <w:sz w:val="24"/>
          <w:highlight w:val="none"/>
        </w:rPr>
        <w:t>2</w:t>
      </w:r>
      <w:r>
        <w:rPr>
          <w:rFonts w:hAnsi="UAKEGC+·ÂËÎ" w:cs="UAKEGC+·ÂËÎ"/>
          <w:color w:val="auto"/>
          <w:spacing w:val="4"/>
          <w:sz w:val="24"/>
          <w:highlight w:val="none"/>
        </w:rPr>
        <w:t>）变更的内容，资金或其他。</w:t>
      </w:r>
    </w:p>
    <w:p w14:paraId="0322CB8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UAKEGC+·ÂËÎ" w:hAnsi="UAKEGC+·ÂËÎ" w:cs="UAKEGC+·ÂËÎ"/>
          <w:color w:val="auto"/>
          <w:spacing w:val="4"/>
          <w:sz w:val="24"/>
          <w:highlight w:val="none"/>
        </w:rPr>
        <w:t>变更申请须报财政</w:t>
      </w:r>
      <w:r>
        <w:rPr>
          <w:rFonts w:ascii="UAKEGC+·ÂËÎ" w:hAnsi="UAKEGC+·ÂËÎ" w:cs="UAKEGC+·ÂËÎ"/>
          <w:color w:val="auto"/>
          <w:sz w:val="24"/>
          <w:highlight w:val="none"/>
        </w:rPr>
        <w:t>相关部门审批后方能变更，否则变更无效，由此引起的纠纷采购</w:t>
      </w:r>
      <w:r>
        <w:rPr>
          <w:rFonts w:hint="eastAsia" w:ascii="UAKEGC+·ÂËÎ" w:hAnsi="UAKEGC+·ÂËÎ" w:cs="UAKEGC+·ÂËÎ"/>
          <w:color w:val="auto"/>
          <w:sz w:val="24"/>
          <w:highlight w:val="none"/>
        </w:rPr>
        <w:t>代理机构</w:t>
      </w:r>
      <w:r>
        <w:rPr>
          <w:rFonts w:ascii="UAKEGC+·ÂËÎ" w:hAnsi="UAKEGC+·ÂËÎ" w:cs="UAKEGC+·ÂËÎ"/>
          <w:color w:val="auto"/>
          <w:sz w:val="24"/>
          <w:highlight w:val="none"/>
        </w:rPr>
        <w:t>不承担任何责任。</w:t>
      </w:r>
    </w:p>
    <w:p w14:paraId="6DF7889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pacing w:val="-7"/>
          <w:sz w:val="24"/>
          <w:highlight w:val="none"/>
        </w:rPr>
        <w:t>11.</w:t>
      </w:r>
      <w:r>
        <w:rPr>
          <w:rFonts w:hAnsi="Calibri"/>
          <w:b/>
          <w:color w:val="auto"/>
          <w:spacing w:val="127"/>
          <w:sz w:val="24"/>
          <w:highlight w:val="none"/>
        </w:rPr>
        <w:t xml:space="preserve"> </w:t>
      </w:r>
      <w:r>
        <w:rPr>
          <w:rFonts w:ascii="UAKEGC+·ÂËÎ" w:hAnsi="UAKEGC+·ÂËÎ" w:cs="UAKEGC+·ÂËÎ"/>
          <w:color w:val="auto"/>
          <w:spacing w:val="1"/>
          <w:sz w:val="24"/>
          <w:highlight w:val="none"/>
        </w:rPr>
        <w:t>廉洁自律承诺要求</w:t>
      </w:r>
    </w:p>
    <w:p w14:paraId="296C77E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pacing w:val="-3"/>
          <w:sz w:val="24"/>
          <w:highlight w:val="none"/>
        </w:rPr>
        <w:t>11.1</w:t>
      </w:r>
      <w:r>
        <w:rPr>
          <w:rFonts w:hAnsi="Calibri"/>
          <w:color w:val="auto"/>
          <w:spacing w:val="39"/>
          <w:sz w:val="24"/>
          <w:highlight w:val="none"/>
        </w:rPr>
        <w:t xml:space="preserve"> </w:t>
      </w:r>
      <w:r>
        <w:rPr>
          <w:rFonts w:ascii="UAKEGC+·ÂËÎ" w:hAnsi="UAKEGC+·ÂËÎ" w:cs="UAKEGC+·ÂËÎ"/>
          <w:color w:val="auto"/>
          <w:spacing w:val="1"/>
          <w:sz w:val="24"/>
          <w:highlight w:val="none"/>
        </w:rPr>
        <w:t>采购</w:t>
      </w:r>
      <w:r>
        <w:rPr>
          <w:rFonts w:hint="eastAsia" w:ascii="UAKEGC+·ÂËÎ" w:hAnsi="UAKEGC+·ÂËÎ" w:cs="UAKEGC+·ÂËÎ"/>
          <w:color w:val="auto"/>
          <w:spacing w:val="1"/>
          <w:sz w:val="24"/>
          <w:highlight w:val="none"/>
        </w:rPr>
        <w:t>代理机构</w:t>
      </w:r>
      <w:r>
        <w:rPr>
          <w:rFonts w:ascii="UAKEGC+·ÂËÎ" w:hAnsi="UAKEGC+·ÂËÎ" w:cs="UAKEGC+·ÂËÎ"/>
          <w:color w:val="auto"/>
          <w:spacing w:val="1"/>
          <w:sz w:val="24"/>
          <w:highlight w:val="none"/>
        </w:rPr>
        <w:t>工作人员保证不接受采购人或者供应商组织的宴请、旅游、娱乐，不</w:t>
      </w:r>
      <w:r>
        <w:rPr>
          <w:rFonts w:hint="eastAsia" w:ascii="UAKEGC+·ÂËÎ" w:hAnsi="UAKEGC+·ÂËÎ" w:cs="UAKEGC+·ÂËÎ"/>
          <w:color w:val="auto"/>
          <w:spacing w:val="1"/>
          <w:sz w:val="24"/>
          <w:highlight w:val="none"/>
        </w:rPr>
        <w:t>收</w:t>
      </w:r>
      <w:r>
        <w:rPr>
          <w:rFonts w:ascii="UAKEGC+·ÂËÎ" w:hAnsi="UAKEGC+·ÂËÎ" w:cs="UAKEGC+·ÂËÎ"/>
          <w:color w:val="auto"/>
          <w:sz w:val="24"/>
          <w:highlight w:val="none"/>
        </w:rPr>
        <w:t>受礼品、现金、有价证券等，不向采购人或者供应商报销应当由个人承担的费用。</w:t>
      </w:r>
    </w:p>
    <w:p w14:paraId="236423D5">
      <w:pPr>
        <w:keepNext w:val="0"/>
        <w:keepLines w:val="0"/>
        <w:pageBreakBefore w:val="0"/>
        <w:kinsoku/>
        <w:wordWrap/>
        <w:overflowPunct/>
        <w:topLinePunct w:val="0"/>
        <w:bidi w:val="0"/>
        <w:spacing w:line="360" w:lineRule="exact"/>
        <w:ind w:left="0" w:leftChars="0" w:firstLine="0" w:firstLineChars="0"/>
        <w:textAlignment w:val="auto"/>
        <w:rPr>
          <w:rFonts w:ascii="UAKEGC+·ÂËÎ" w:hAnsi="UAKEGC+·ÂËÎ" w:cs="UAKEGC+·ÂËÎ"/>
          <w:color w:val="auto"/>
          <w:sz w:val="24"/>
          <w:highlight w:val="none"/>
        </w:rPr>
      </w:pPr>
      <w:r>
        <w:rPr>
          <w:rFonts w:hAnsi="Calibri"/>
          <w:color w:val="auto"/>
          <w:spacing w:val="-3"/>
          <w:sz w:val="24"/>
          <w:highlight w:val="none"/>
        </w:rPr>
        <w:t>11.2</w:t>
      </w:r>
      <w:r>
        <w:rPr>
          <w:rFonts w:hAnsi="Calibri"/>
          <w:color w:val="auto"/>
          <w:spacing w:val="63"/>
          <w:sz w:val="24"/>
          <w:highlight w:val="none"/>
        </w:rPr>
        <w:t xml:space="preserve"> </w:t>
      </w:r>
      <w:r>
        <w:rPr>
          <w:rFonts w:ascii="UAKEGC+·ÂËÎ" w:hAnsi="UAKEGC+·ÂËÎ" w:cs="UAKEGC+·ÂËÎ"/>
          <w:color w:val="auto"/>
          <w:sz w:val="24"/>
          <w:highlight w:val="none"/>
        </w:rPr>
        <w:t>所有供应商必须填写《反商业贿赂承诺书》。</w:t>
      </w:r>
    </w:p>
    <w:p w14:paraId="23D147D8">
      <w:pPr>
        <w:keepNext w:val="0"/>
        <w:keepLines w:val="0"/>
        <w:pageBreakBefore w:val="0"/>
        <w:kinsoku/>
        <w:wordWrap/>
        <w:overflowPunct/>
        <w:topLinePunct w:val="0"/>
        <w:bidi w:val="0"/>
        <w:spacing w:line="360" w:lineRule="exact"/>
        <w:ind w:left="0" w:leftChars="0" w:firstLine="0" w:firstLineChars="0"/>
        <w:textAlignment w:val="auto"/>
        <w:outlineLvl w:val="1"/>
        <w:rPr>
          <w:rFonts w:hAnsi="Calibri"/>
          <w:color w:val="auto"/>
          <w:sz w:val="24"/>
          <w:highlight w:val="none"/>
        </w:rPr>
      </w:pPr>
      <w:bookmarkStart w:id="144" w:name="_Toc24794"/>
      <w:bookmarkStart w:id="145" w:name="_Toc16450"/>
      <w:bookmarkStart w:id="146" w:name="_Toc32463"/>
      <w:bookmarkStart w:id="147" w:name="_Toc24030"/>
      <w:bookmarkStart w:id="148" w:name="_Toc26894"/>
      <w:r>
        <w:rPr>
          <w:rFonts w:ascii="CGMJEW+·ÂËÎ" w:hAnsi="CGMJEW+·ÂËÎ" w:cs="CGMJEW+·ÂËÎ"/>
          <w:color w:val="auto"/>
          <w:spacing w:val="1"/>
          <w:sz w:val="24"/>
          <w:highlight w:val="none"/>
        </w:rPr>
        <w:t>二、磋商文件</w:t>
      </w:r>
      <w:bookmarkEnd w:id="144"/>
      <w:bookmarkEnd w:id="145"/>
      <w:bookmarkEnd w:id="146"/>
      <w:bookmarkEnd w:id="147"/>
      <w:bookmarkEnd w:id="148"/>
    </w:p>
    <w:p w14:paraId="6481577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12.</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磋商文件的组成</w:t>
      </w:r>
    </w:p>
    <w:p w14:paraId="3F3000BF">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49" w:name="_Toc8856"/>
      <w:bookmarkStart w:id="150" w:name="_Toc2926"/>
      <w:bookmarkStart w:id="151" w:name="_Toc19344"/>
      <w:bookmarkStart w:id="152" w:name="_Toc16402"/>
      <w:bookmarkStart w:id="153" w:name="_Toc31946"/>
      <w:bookmarkStart w:id="154" w:name="_Toc24525"/>
      <w:bookmarkStart w:id="155" w:name="_Toc19942"/>
      <w:bookmarkStart w:id="156" w:name="_Toc31914"/>
      <w:bookmarkStart w:id="157" w:name="_Toc12279"/>
      <w:r>
        <w:rPr>
          <w:rFonts w:hAnsi="Calibri"/>
          <w:color w:val="auto"/>
          <w:sz w:val="24"/>
          <w:highlight w:val="none"/>
        </w:rPr>
        <w:t>12.1</w:t>
      </w:r>
      <w:r>
        <w:rPr>
          <w:rFonts w:hAnsi="Calibri"/>
          <w:color w:val="auto"/>
          <w:spacing w:val="36"/>
          <w:sz w:val="24"/>
          <w:highlight w:val="none"/>
        </w:rPr>
        <w:t xml:space="preserve"> </w:t>
      </w:r>
      <w:r>
        <w:rPr>
          <w:rFonts w:ascii="CGMJEW+·ÂËÎ" w:hAnsi="CGMJEW+·ÂËÎ" w:cs="CGMJEW+·ÂËÎ"/>
          <w:color w:val="auto"/>
          <w:spacing w:val="1"/>
          <w:sz w:val="24"/>
          <w:highlight w:val="none"/>
        </w:rPr>
        <w:t>本磋商文件（共七章）及本章第</w:t>
      </w:r>
      <w:r>
        <w:rPr>
          <w:rFonts w:hAnsi="Calibri"/>
          <w:color w:val="auto"/>
          <w:spacing w:val="2"/>
          <w:sz w:val="24"/>
          <w:highlight w:val="none"/>
        </w:rPr>
        <w:t>15</w:t>
      </w:r>
      <w:r>
        <w:rPr>
          <w:rFonts w:ascii="CGMJEW+·ÂËÎ" w:hAnsi="CGMJEW+·ÂËÎ" w:cs="CGMJEW+·ÂËÎ"/>
          <w:color w:val="auto"/>
          <w:spacing w:val="1"/>
          <w:sz w:val="24"/>
          <w:highlight w:val="none"/>
        </w:rPr>
        <w:t>款对磋商文件所作的澄清或修改文件，均属</w:t>
      </w:r>
      <w:bookmarkEnd w:id="149"/>
      <w:bookmarkEnd w:id="150"/>
      <w:bookmarkEnd w:id="151"/>
      <w:bookmarkEnd w:id="152"/>
      <w:bookmarkEnd w:id="153"/>
      <w:r>
        <w:rPr>
          <w:rFonts w:ascii="CGMJEW+·ÂËÎ" w:hAnsi="CGMJEW+·ÂËÎ" w:cs="CGMJEW+·ÂËÎ"/>
          <w:color w:val="auto"/>
          <w:sz w:val="24"/>
          <w:highlight w:val="none"/>
        </w:rPr>
        <w:t>于磋商文件的组成部分。</w:t>
      </w:r>
      <w:bookmarkEnd w:id="154"/>
      <w:bookmarkEnd w:id="155"/>
      <w:bookmarkEnd w:id="156"/>
      <w:bookmarkEnd w:id="157"/>
    </w:p>
    <w:p w14:paraId="29EE634C">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58" w:name="_Toc31510"/>
      <w:bookmarkStart w:id="159" w:name="_Toc9076"/>
      <w:bookmarkStart w:id="160" w:name="_Toc13386"/>
      <w:bookmarkStart w:id="161" w:name="_Toc10818"/>
      <w:bookmarkStart w:id="162" w:name="_Toc18987"/>
      <w:bookmarkStart w:id="163" w:name="_Toc10100"/>
      <w:bookmarkStart w:id="164" w:name="_Toc12980"/>
      <w:bookmarkStart w:id="165" w:name="_Toc27972"/>
      <w:bookmarkStart w:id="166" w:name="_Toc9434"/>
      <w:r>
        <w:rPr>
          <w:rFonts w:hAnsi="Calibri"/>
          <w:color w:val="auto"/>
          <w:sz w:val="24"/>
          <w:highlight w:val="none"/>
        </w:rPr>
        <w:t>12.2</w:t>
      </w:r>
      <w:r>
        <w:rPr>
          <w:rFonts w:hAnsi="Calibri"/>
          <w:color w:val="auto"/>
          <w:spacing w:val="36"/>
          <w:sz w:val="24"/>
          <w:highlight w:val="none"/>
        </w:rPr>
        <w:t xml:space="preserve"> </w:t>
      </w:r>
      <w:r>
        <w:rPr>
          <w:rFonts w:ascii="CGMJEW+·ÂËÎ" w:hAnsi="CGMJEW+·ÂËÎ" w:cs="CGMJEW+·ÂËÎ"/>
          <w:color w:val="auto"/>
          <w:sz w:val="24"/>
          <w:highlight w:val="none"/>
        </w:rPr>
        <w:t>供应商应仔细阅读磋商文件的全部内容，按照磋商文件要求编制响应文件。任何</w:t>
      </w:r>
      <w:bookmarkEnd w:id="158"/>
      <w:bookmarkEnd w:id="159"/>
      <w:bookmarkEnd w:id="160"/>
      <w:bookmarkEnd w:id="161"/>
      <w:bookmarkEnd w:id="162"/>
      <w:bookmarkEnd w:id="163"/>
      <w:r>
        <w:rPr>
          <w:rFonts w:ascii="CGMJEW+·ÂËÎ" w:hAnsi="CGMJEW+·ÂËÎ" w:cs="CGMJEW+·ÂËÎ"/>
          <w:color w:val="auto"/>
          <w:spacing w:val="1"/>
          <w:sz w:val="24"/>
          <w:highlight w:val="none"/>
        </w:rPr>
        <w:t>对磋商文件的忽略或误解不能作为响应文件存在缺陷或瑕疵的理由，其风险由供应商自行</w:t>
      </w:r>
      <w:r>
        <w:rPr>
          <w:rFonts w:ascii="CGMJEW+·ÂËÎ" w:hAnsi="CGMJEW+·ÂËÎ" w:cs="CGMJEW+·ÂËÎ"/>
          <w:color w:val="auto"/>
          <w:sz w:val="24"/>
          <w:highlight w:val="none"/>
        </w:rPr>
        <w:t>承担。</w:t>
      </w:r>
      <w:bookmarkEnd w:id="164"/>
      <w:bookmarkEnd w:id="165"/>
      <w:bookmarkEnd w:id="166"/>
    </w:p>
    <w:p w14:paraId="5DA2964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13.</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磋商文件的提供</w:t>
      </w:r>
    </w:p>
    <w:p w14:paraId="441FDDB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13.1</w:t>
      </w:r>
      <w:r>
        <w:rPr>
          <w:rFonts w:hAnsi="Calibri"/>
          <w:color w:val="auto"/>
          <w:spacing w:val="36"/>
          <w:sz w:val="24"/>
          <w:highlight w:val="none"/>
        </w:rPr>
        <w:t xml:space="preserve"> </w:t>
      </w:r>
      <w:r>
        <w:rPr>
          <w:rFonts w:ascii="CGMJEW+·ÂËÎ" w:hAnsi="CGMJEW+·ÂËÎ" w:cs="CGMJEW+·ÂËÎ"/>
          <w:color w:val="auto"/>
          <w:sz w:val="24"/>
          <w:highlight w:val="none"/>
        </w:rPr>
        <w:t>磋商文件的提供期限自开始发出之日起不少于五个工作日。具体提供期限见磋商文件第一章。</w:t>
      </w:r>
    </w:p>
    <w:p w14:paraId="6481AC7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13.2</w:t>
      </w:r>
      <w:r>
        <w:rPr>
          <w:rFonts w:hAnsi="Calibri"/>
          <w:color w:val="auto"/>
          <w:spacing w:val="60"/>
          <w:sz w:val="24"/>
          <w:highlight w:val="none"/>
        </w:rPr>
        <w:t xml:space="preserve"> </w:t>
      </w:r>
      <w:r>
        <w:rPr>
          <w:rFonts w:ascii="CGMJEW+·ÂËÎ" w:hAnsi="CGMJEW+·ÂËÎ" w:cs="CGMJEW+·ÂËÎ"/>
          <w:color w:val="auto"/>
          <w:sz w:val="24"/>
          <w:highlight w:val="none"/>
        </w:rPr>
        <w:t>供应商应及时</w:t>
      </w:r>
      <w:r>
        <w:rPr>
          <w:rFonts w:hint="eastAsia" w:ascii="CGMJEW+·ÂËÎ" w:hAnsi="CGMJEW+·ÂËÎ" w:cs="CGMJEW+·ÂËÎ"/>
          <w:color w:val="auto"/>
          <w:sz w:val="24"/>
          <w:highlight w:val="none"/>
        </w:rPr>
        <w:t>获取</w:t>
      </w:r>
      <w:r>
        <w:rPr>
          <w:rFonts w:ascii="CGMJEW+·ÂËÎ" w:hAnsi="CGMJEW+·ÂËÎ" w:cs="CGMJEW+·ÂËÎ"/>
          <w:color w:val="auto"/>
          <w:sz w:val="24"/>
          <w:highlight w:val="none"/>
        </w:rPr>
        <w:t>磋商文件，并按规定要求完成响应。</w:t>
      </w:r>
    </w:p>
    <w:p w14:paraId="162F40E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13.3</w:t>
      </w:r>
      <w:r>
        <w:rPr>
          <w:rFonts w:hAnsi="Calibri"/>
          <w:color w:val="auto"/>
          <w:spacing w:val="36"/>
          <w:sz w:val="24"/>
          <w:highlight w:val="none"/>
        </w:rPr>
        <w:t xml:space="preserve"> </w:t>
      </w:r>
      <w:r>
        <w:rPr>
          <w:rFonts w:ascii="CGMJEW+·ÂËÎ" w:hAnsi="CGMJEW+·ÂËÎ" w:cs="CGMJEW+·ÂËÎ"/>
          <w:color w:val="auto"/>
          <w:sz w:val="24"/>
          <w:highlight w:val="none"/>
        </w:rPr>
        <w:t>磋商文件的提供期限截止时，确认响应的供应商少于三家，采购</w:t>
      </w:r>
      <w:r>
        <w:rPr>
          <w:rFonts w:hint="eastAsia" w:ascii="CGMJEW+·ÂËÎ" w:hAnsi="CGMJEW+·ÂËÎ" w:cs="CGMJEW+·ÂËÎ"/>
          <w:color w:val="auto"/>
          <w:sz w:val="24"/>
          <w:highlight w:val="none"/>
        </w:rPr>
        <w:t>代理机构</w:t>
      </w:r>
      <w:r>
        <w:rPr>
          <w:rFonts w:ascii="CGMJEW+·ÂËÎ" w:hAnsi="CGMJEW+·ÂËÎ" w:cs="CGMJEW+·ÂËÎ"/>
          <w:color w:val="auto"/>
          <w:sz w:val="24"/>
          <w:highlight w:val="none"/>
        </w:rPr>
        <w:t>可以延长磋</w:t>
      </w:r>
      <w:r>
        <w:rPr>
          <w:rFonts w:ascii="CGMJEW+·ÂËÎ" w:hAnsi="CGMJEW+·ÂËÎ" w:cs="CGMJEW+·ÂËÎ"/>
          <w:color w:val="auto"/>
          <w:spacing w:val="1"/>
          <w:sz w:val="24"/>
          <w:highlight w:val="none"/>
        </w:rPr>
        <w:t>商文件的提供期限，并在交易平台发布更正公告。延长磋商文件的提供期限，遵守本章第</w:t>
      </w:r>
      <w:r>
        <w:rPr>
          <w:rFonts w:hAnsi="Calibri"/>
          <w:color w:val="auto"/>
          <w:sz w:val="24"/>
          <w:highlight w:val="none"/>
        </w:rPr>
        <w:t>15</w:t>
      </w:r>
      <w:r>
        <w:rPr>
          <w:rFonts w:hAnsi="Calibri"/>
          <w:color w:val="auto"/>
          <w:spacing w:val="-12"/>
          <w:sz w:val="24"/>
          <w:highlight w:val="none"/>
        </w:rPr>
        <w:t xml:space="preserve"> </w:t>
      </w:r>
      <w:r>
        <w:rPr>
          <w:rFonts w:ascii="CGMJEW+·ÂËÎ" w:hAnsi="CGMJEW+·ÂËÎ" w:cs="CGMJEW+·ÂËÎ"/>
          <w:color w:val="auto"/>
          <w:sz w:val="24"/>
          <w:highlight w:val="none"/>
        </w:rPr>
        <w:t>款关于磋商文件修改的规定。</w:t>
      </w:r>
    </w:p>
    <w:p w14:paraId="2AB40A7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14</w:t>
      </w:r>
      <w:r>
        <w:rPr>
          <w:rFonts w:ascii="CGMJEW+·ÂËÎ" w:hAnsi="CGMJEW+·ÂËÎ" w:cs="CGMJEW+·ÂËÎ"/>
          <w:color w:val="auto"/>
          <w:spacing w:val="1"/>
          <w:sz w:val="24"/>
          <w:highlight w:val="none"/>
        </w:rPr>
        <w:t>．偏离</w:t>
      </w:r>
    </w:p>
    <w:p w14:paraId="342AF6E7">
      <w:pPr>
        <w:keepNext w:val="0"/>
        <w:keepLines w:val="0"/>
        <w:pageBreakBefore w:val="0"/>
        <w:kinsoku/>
        <w:wordWrap/>
        <w:overflowPunct/>
        <w:topLinePunct w:val="0"/>
        <w:bidi w:val="0"/>
        <w:spacing w:line="360" w:lineRule="exact"/>
        <w:ind w:left="0" w:leftChars="0" w:firstLine="0" w:firstLineChars="0"/>
        <w:textAlignment w:val="auto"/>
        <w:rPr>
          <w:rFonts w:ascii="CGMJEW+·ÂËÎ" w:hAnsi="CGMJEW+·ÂËÎ" w:cs="CGMJEW+·ÂËÎ"/>
          <w:color w:val="auto"/>
          <w:sz w:val="24"/>
          <w:highlight w:val="none"/>
        </w:rPr>
      </w:pPr>
      <w:r>
        <w:rPr>
          <w:rFonts w:ascii="CGMJEW+·ÂËÎ" w:hAnsi="CGMJEW+·ÂËÎ" w:cs="CGMJEW+·ÂËÎ"/>
          <w:color w:val="auto"/>
          <w:spacing w:val="1"/>
          <w:sz w:val="24"/>
          <w:highlight w:val="none"/>
        </w:rPr>
        <w:t>本条所称偏离为响应文件对磋商文件的偏离，即不满足或不响应磋商文件的要求。</w:t>
      </w:r>
      <w:r>
        <w:rPr>
          <w:rFonts w:ascii="CGMJEW+·ÂËÎ" w:hAnsi="CGMJEW+·ÂËÎ" w:cs="CGMJEW+·ÂËÎ"/>
          <w:color w:val="auto"/>
          <w:sz w:val="24"/>
          <w:highlight w:val="none"/>
        </w:rPr>
        <w:t>偏离分为对磋商文件的实质性要求条款偏离和一般商务和技术条款（参数）偏离。</w:t>
      </w:r>
    </w:p>
    <w:p w14:paraId="485CC42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15.</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磋商文件的澄清与修改</w:t>
      </w:r>
    </w:p>
    <w:p w14:paraId="2AE993C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15.1</w:t>
      </w:r>
      <w:r>
        <w:rPr>
          <w:rFonts w:hAnsi="Calibri"/>
          <w:color w:val="auto"/>
          <w:spacing w:val="36"/>
          <w:sz w:val="24"/>
          <w:highlight w:val="none"/>
        </w:rPr>
        <w:t xml:space="preserve"> </w:t>
      </w:r>
      <w:r>
        <w:rPr>
          <w:rFonts w:ascii="CGMJEW+·ÂËÎ" w:hAnsi="CGMJEW+·ÂËÎ" w:cs="CGMJEW+·ÂËÎ"/>
          <w:color w:val="auto"/>
          <w:sz w:val="24"/>
          <w:highlight w:val="none"/>
        </w:rPr>
        <w:t>采购</w:t>
      </w:r>
      <w:r>
        <w:rPr>
          <w:rFonts w:hint="eastAsia" w:ascii="CGMJEW+·ÂËÎ" w:hAnsi="CGMJEW+·ÂËÎ" w:cs="CGMJEW+·ÂËÎ"/>
          <w:color w:val="auto"/>
          <w:sz w:val="24"/>
          <w:highlight w:val="none"/>
        </w:rPr>
        <w:t>代理机构</w:t>
      </w:r>
      <w:r>
        <w:rPr>
          <w:rFonts w:ascii="CGMJEW+·ÂËÎ" w:hAnsi="CGMJEW+·ÂËÎ" w:cs="CGMJEW+·ÂËÎ"/>
          <w:color w:val="auto"/>
          <w:sz w:val="24"/>
          <w:highlight w:val="none"/>
        </w:rPr>
        <w:t>可以对已发出的磋商文件进行必要的澄清或者修改，澄清或者修改的内</w:t>
      </w:r>
      <w:r>
        <w:rPr>
          <w:rFonts w:ascii="CGMJEW+·ÂËÎ" w:hAnsi="CGMJEW+·ÂËÎ" w:cs="CGMJEW+·ÂËÎ"/>
          <w:color w:val="auto"/>
          <w:spacing w:val="1"/>
          <w:sz w:val="24"/>
          <w:highlight w:val="none"/>
        </w:rPr>
        <w:t>容可能影响响应文件编制的，应当在响应截止时间至少五日前，以更正公告形式发布于交</w:t>
      </w:r>
      <w:r>
        <w:rPr>
          <w:rFonts w:ascii="CGMJEW+·ÂËÎ" w:hAnsi="CGMJEW+·ÂËÎ" w:cs="CGMJEW+·ÂËÎ"/>
          <w:color w:val="auto"/>
          <w:sz w:val="24"/>
          <w:highlight w:val="none"/>
        </w:rPr>
        <w:t>易平台，并</w:t>
      </w:r>
      <w:r>
        <w:rPr>
          <w:rFonts w:hint="eastAsia" w:ascii="CGMJEW+·ÂËÎ" w:hAnsi="CGMJEW+·ÂËÎ" w:cs="CGMJEW+·ÂËÎ"/>
          <w:color w:val="auto"/>
          <w:sz w:val="24"/>
          <w:highlight w:val="none"/>
        </w:rPr>
        <w:t>以书面形式</w:t>
      </w:r>
      <w:r>
        <w:rPr>
          <w:rFonts w:ascii="CGMJEW+·ÂËÎ" w:hAnsi="CGMJEW+·ÂËÎ" w:cs="CGMJEW+·ÂËÎ"/>
          <w:color w:val="auto"/>
          <w:sz w:val="24"/>
          <w:highlight w:val="none"/>
        </w:rPr>
        <w:t>通知所有获取磋商文件的供应商。</w:t>
      </w:r>
    </w:p>
    <w:p w14:paraId="4C001B5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15.2</w:t>
      </w:r>
      <w:r>
        <w:rPr>
          <w:rFonts w:hAnsi="Calibri"/>
          <w:color w:val="auto"/>
          <w:spacing w:val="36"/>
          <w:sz w:val="24"/>
          <w:highlight w:val="none"/>
        </w:rPr>
        <w:t xml:space="preserve"> </w:t>
      </w:r>
      <w:r>
        <w:rPr>
          <w:rFonts w:ascii="CGMJEW+·ÂËÎ" w:hAnsi="CGMJEW+·ÂËÎ" w:cs="CGMJEW+·ÂËÎ"/>
          <w:color w:val="auto"/>
          <w:sz w:val="24"/>
          <w:highlight w:val="none"/>
        </w:rPr>
        <w:t>如果澄清或者修改文件发出的时间距响应截止时间不足五日，将相应顺延响应截止时间。</w:t>
      </w:r>
    </w:p>
    <w:p w14:paraId="57F9D68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15.3</w:t>
      </w:r>
      <w:r>
        <w:rPr>
          <w:rFonts w:hAnsi="Calibri"/>
          <w:color w:val="auto"/>
          <w:spacing w:val="36"/>
          <w:sz w:val="24"/>
          <w:highlight w:val="none"/>
        </w:rPr>
        <w:t xml:space="preserve"> </w:t>
      </w:r>
      <w:r>
        <w:rPr>
          <w:rFonts w:ascii="CGMJEW+·ÂËÎ" w:hAnsi="CGMJEW+·ÂËÎ" w:cs="CGMJEW+·ÂËÎ"/>
          <w:color w:val="auto"/>
          <w:sz w:val="24"/>
          <w:highlight w:val="none"/>
        </w:rPr>
        <w:t>如果磋商文件的澄清或者修改文件的内容与之前发布的磋商文件等材料中相关内</w:t>
      </w:r>
      <w:r>
        <w:rPr>
          <w:rFonts w:ascii="CGMJEW+·ÂËÎ" w:hAnsi="CGMJEW+·ÂËÎ" w:cs="CGMJEW+·ÂËÎ"/>
          <w:color w:val="auto"/>
          <w:spacing w:val="1"/>
          <w:sz w:val="24"/>
          <w:highlight w:val="none"/>
        </w:rPr>
        <w:t>容冲突，请供应商执行磋商文件澄清或者修改文件的内容，之前发布的磋商文件等材料中</w:t>
      </w:r>
      <w:r>
        <w:rPr>
          <w:rFonts w:ascii="CGMJEW+·ÂËÎ" w:hAnsi="CGMJEW+·ÂËÎ" w:cs="CGMJEW+·ÂËÎ"/>
          <w:color w:val="auto"/>
          <w:sz w:val="24"/>
          <w:highlight w:val="none"/>
        </w:rPr>
        <w:t>相关内容自动废止。</w:t>
      </w:r>
    </w:p>
    <w:p w14:paraId="450A210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16.</w:t>
      </w:r>
      <w:r>
        <w:rPr>
          <w:rFonts w:hAnsi="Calibri"/>
          <w:b/>
          <w:color w:val="auto"/>
          <w:spacing w:val="60"/>
          <w:sz w:val="24"/>
          <w:highlight w:val="none"/>
        </w:rPr>
        <w:t xml:space="preserve"> </w:t>
      </w:r>
      <w:r>
        <w:rPr>
          <w:rFonts w:ascii="CGMJEW+·ÂËÎ" w:hAnsi="CGMJEW+·ÂËÎ" w:cs="CGMJEW+·ÂËÎ"/>
          <w:color w:val="auto"/>
          <w:spacing w:val="1"/>
          <w:sz w:val="24"/>
          <w:highlight w:val="none"/>
        </w:rPr>
        <w:t>推迟响应截止时间和开</w:t>
      </w:r>
      <w:r>
        <w:rPr>
          <w:rFonts w:hint="eastAsia" w:ascii="CGMJEW+·ÂËÎ" w:hAnsi="CGMJEW+·ÂËÎ" w:cs="CGMJEW+·ÂËÎ"/>
          <w:color w:val="auto"/>
          <w:spacing w:val="1"/>
          <w:sz w:val="24"/>
          <w:highlight w:val="none"/>
        </w:rPr>
        <w:t>启</w:t>
      </w:r>
      <w:r>
        <w:rPr>
          <w:rFonts w:ascii="CGMJEW+·ÂËÎ" w:hAnsi="CGMJEW+·ÂËÎ" w:cs="CGMJEW+·ÂËÎ"/>
          <w:color w:val="auto"/>
          <w:spacing w:val="1"/>
          <w:sz w:val="24"/>
          <w:highlight w:val="none"/>
        </w:rPr>
        <w:t>时间</w:t>
      </w:r>
    </w:p>
    <w:p w14:paraId="6F4B08A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GMJEW+·ÂËÎ" w:hAnsi="CGMJEW+·ÂËÎ" w:cs="CGMJEW+·ÂËÎ"/>
          <w:color w:val="auto"/>
          <w:spacing w:val="1"/>
          <w:sz w:val="24"/>
          <w:highlight w:val="none"/>
        </w:rPr>
        <w:t>采购</w:t>
      </w:r>
      <w:r>
        <w:rPr>
          <w:rFonts w:hint="eastAsia" w:ascii="CGMJEW+·ÂËÎ" w:hAnsi="CGMJEW+·ÂËÎ" w:cs="CGMJEW+·ÂËÎ"/>
          <w:color w:val="auto"/>
          <w:spacing w:val="1"/>
          <w:sz w:val="24"/>
          <w:highlight w:val="none"/>
        </w:rPr>
        <w:t>代理机构</w:t>
      </w:r>
      <w:r>
        <w:rPr>
          <w:rFonts w:ascii="CGMJEW+·ÂËÎ" w:hAnsi="CGMJEW+·ÂËÎ" w:cs="CGMJEW+·ÂËÎ"/>
          <w:color w:val="auto"/>
          <w:spacing w:val="1"/>
          <w:sz w:val="24"/>
          <w:highlight w:val="none"/>
        </w:rPr>
        <w:t>可以视采购具体情况推迟响应截止时间和</w:t>
      </w:r>
      <w:r>
        <w:rPr>
          <w:rFonts w:hint="eastAsia" w:ascii="CGMJEW+·ÂËÎ" w:hAnsi="CGMJEW+·ÂËÎ" w:cs="CGMJEW+·ÂËÎ"/>
          <w:color w:val="auto"/>
          <w:spacing w:val="1"/>
          <w:sz w:val="24"/>
          <w:highlight w:val="none"/>
        </w:rPr>
        <w:t>开启</w:t>
      </w:r>
      <w:r>
        <w:rPr>
          <w:rFonts w:ascii="CGMJEW+·ÂËÎ" w:hAnsi="CGMJEW+·ÂËÎ" w:cs="CGMJEW+·ÂËÎ"/>
          <w:color w:val="auto"/>
          <w:spacing w:val="1"/>
          <w:sz w:val="24"/>
          <w:highlight w:val="none"/>
        </w:rPr>
        <w:t>时间，将变更时间以更正公告</w:t>
      </w:r>
      <w:r>
        <w:rPr>
          <w:rFonts w:ascii="CGMJEW+·ÂËÎ" w:hAnsi="CGMJEW+·ÂËÎ" w:cs="CGMJEW+·ÂËÎ"/>
          <w:color w:val="auto"/>
          <w:sz w:val="24"/>
          <w:highlight w:val="none"/>
        </w:rPr>
        <w:t>形式发布于</w:t>
      </w:r>
      <w:r>
        <w:rPr>
          <w:rFonts w:hint="eastAsia" w:ascii="CGMJEW+·ÂËÎ" w:hAnsi="CGMJEW+·ÂËÎ" w:cs="CGMJEW+·ÂËÎ"/>
          <w:color w:val="auto"/>
          <w:sz w:val="24"/>
          <w:highlight w:val="none"/>
          <w:lang w:val="en-US" w:eastAsia="zh-CN"/>
        </w:rPr>
        <w:t>指定</w:t>
      </w:r>
      <w:r>
        <w:rPr>
          <w:rFonts w:ascii="CGMJEW+·ÂËÎ" w:hAnsi="CGMJEW+·ÂËÎ" w:cs="CGMJEW+·ÂËÎ"/>
          <w:color w:val="auto"/>
          <w:sz w:val="24"/>
          <w:highlight w:val="none"/>
        </w:rPr>
        <w:t>平台，并以</w:t>
      </w:r>
      <w:r>
        <w:rPr>
          <w:rFonts w:hint="eastAsia" w:ascii="CGMJEW+·ÂËÎ" w:hAnsi="CGMJEW+·ÂËÎ" w:cs="CGMJEW+·ÂËÎ"/>
          <w:color w:val="auto"/>
          <w:sz w:val="24"/>
          <w:highlight w:val="none"/>
        </w:rPr>
        <w:t>书面</w:t>
      </w:r>
      <w:r>
        <w:rPr>
          <w:rFonts w:ascii="CGMJEW+·ÂËÎ" w:hAnsi="CGMJEW+·ÂËÎ" w:cs="CGMJEW+·ÂËÎ"/>
          <w:color w:val="auto"/>
          <w:sz w:val="24"/>
          <w:highlight w:val="none"/>
        </w:rPr>
        <w:t>形式通知获取磋商文件的供应商。</w:t>
      </w:r>
    </w:p>
    <w:p w14:paraId="1F3C4585">
      <w:pPr>
        <w:keepNext w:val="0"/>
        <w:keepLines w:val="0"/>
        <w:pageBreakBefore w:val="0"/>
        <w:numPr>
          <w:ilvl w:val="0"/>
          <w:numId w:val="3"/>
        </w:numPr>
        <w:kinsoku/>
        <w:wordWrap/>
        <w:overflowPunct/>
        <w:topLinePunct w:val="0"/>
        <w:bidi w:val="0"/>
        <w:spacing w:line="360" w:lineRule="exact"/>
        <w:ind w:left="0" w:leftChars="0" w:firstLine="0" w:firstLineChars="0"/>
        <w:textAlignment w:val="auto"/>
        <w:outlineLvl w:val="1"/>
        <w:rPr>
          <w:rFonts w:ascii="HACBAN+·ÂËÎ" w:hAnsi="HACBAN+·ÂËÎ" w:cs="HACBAN+·ÂËÎ"/>
          <w:color w:val="auto"/>
          <w:sz w:val="24"/>
          <w:highlight w:val="none"/>
        </w:rPr>
      </w:pPr>
      <w:bookmarkStart w:id="167" w:name="_Toc4605"/>
      <w:bookmarkStart w:id="168" w:name="_Toc31856"/>
      <w:bookmarkStart w:id="169" w:name="_Toc70"/>
      <w:bookmarkStart w:id="170" w:name="_Toc8243"/>
      <w:bookmarkStart w:id="171" w:name="_Toc32097"/>
      <w:r>
        <w:rPr>
          <w:rFonts w:ascii="CGMJEW+·ÂËÎ" w:hAnsi="CGMJEW+·ÂËÎ" w:cs="CGMJEW+·ÂËÎ"/>
          <w:color w:val="auto"/>
          <w:spacing w:val="1"/>
          <w:sz w:val="24"/>
          <w:highlight w:val="none"/>
        </w:rPr>
        <w:t>响应文件</w:t>
      </w:r>
      <w:bookmarkEnd w:id="167"/>
      <w:bookmarkEnd w:id="168"/>
      <w:bookmarkEnd w:id="169"/>
      <w:bookmarkEnd w:id="170"/>
      <w:bookmarkEnd w:id="171"/>
    </w:p>
    <w:p w14:paraId="04655AA6">
      <w:pPr>
        <w:keepNext w:val="0"/>
        <w:keepLines w:val="0"/>
        <w:pageBreakBefore w:val="0"/>
        <w:kinsoku/>
        <w:wordWrap/>
        <w:overflowPunct/>
        <w:topLinePunct w:val="0"/>
        <w:bidi w:val="0"/>
        <w:spacing w:line="360" w:lineRule="exact"/>
        <w:ind w:left="0" w:leftChars="0" w:firstLine="0" w:firstLineChars="0"/>
        <w:textAlignment w:val="auto"/>
        <w:rPr>
          <w:rFonts w:ascii="HACBAN+·ÂËÎ" w:hAnsi="HACBAN+·ÂËÎ" w:cs="HACBAN+·ÂËÎ"/>
          <w:color w:val="auto"/>
          <w:sz w:val="24"/>
          <w:highlight w:val="none"/>
        </w:rPr>
      </w:pPr>
      <w:r>
        <w:rPr>
          <w:rFonts w:hint="eastAsia" w:hAnsi="CGMJEW+·ÂËÎ" w:cs="CGMJEW+·ÂËÎ"/>
          <w:color w:val="auto"/>
          <w:spacing w:val="1"/>
          <w:sz w:val="24"/>
          <w:highlight w:val="none"/>
        </w:rPr>
        <w:t>17.</w:t>
      </w:r>
      <w:r>
        <w:rPr>
          <w:rFonts w:hAnsi="CGMJEW+·ÂËÎ" w:cs="CGMJEW+·ÂËÎ"/>
          <w:color w:val="auto"/>
          <w:spacing w:val="1"/>
          <w:sz w:val="24"/>
          <w:highlight w:val="none"/>
        </w:rPr>
        <w:t>响应文件</w:t>
      </w:r>
      <w:r>
        <w:rPr>
          <w:rFonts w:ascii="CGMJEW+·ÂËÎ" w:hAnsi="CGMJEW+·ÂËÎ" w:cs="CGMJEW+·ÂËÎ"/>
          <w:color w:val="auto"/>
          <w:spacing w:val="1"/>
          <w:sz w:val="24"/>
          <w:highlight w:val="none"/>
        </w:rPr>
        <w:t>的组成</w:t>
      </w:r>
      <w:r>
        <w:rPr>
          <w:rFonts w:ascii="HACBAN+·ÂËÎ" w:hAnsi="HACBAN+·ÂËÎ" w:cs="HACBAN+·ÂËÎ"/>
          <w:color w:val="auto"/>
          <w:spacing w:val="1"/>
          <w:sz w:val="24"/>
          <w:highlight w:val="none"/>
        </w:rPr>
        <w:t>响应文件由资格证明文件、商务文件、技术文件三部分组成。详见第七章响应文件格</w:t>
      </w:r>
      <w:r>
        <w:rPr>
          <w:rFonts w:ascii="HACBAN+·ÂËÎ" w:hAnsi="HACBAN+·ÂËÎ" w:cs="HACBAN+·ÂËÎ"/>
          <w:color w:val="auto"/>
          <w:sz w:val="24"/>
          <w:highlight w:val="none"/>
        </w:rPr>
        <w:t>式与要求。</w:t>
      </w:r>
    </w:p>
    <w:p w14:paraId="5FCA4169">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 响应文件的编制</w:t>
      </w:r>
    </w:p>
    <w:p w14:paraId="1A31553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18.1 电子响应文件的编制：电子响应文件使用政采云平台响应文件制作工具以及磋商文件要求进行制作编制。响应文件制作时，按照磋商文件中明确的响应文件目录和格式进行编制，保证目录清晰、内容完整。</w:t>
      </w:r>
    </w:p>
    <w:p w14:paraId="06738D5A">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18.2 开标、评标、授标均以标段为单位，投标人根据自身实力可对多个标段进行投标。若投标人参与多个标段时，应分别编制响应文件。</w:t>
      </w:r>
    </w:p>
    <w:p w14:paraId="7AFBD92F">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18.3 供应商应当对磋商文件的要求和条件做出明确响应。</w:t>
      </w:r>
    </w:p>
    <w:p w14:paraId="461CA8B5">
      <w:pPr>
        <w:pStyle w:val="21"/>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szCs w:val="24"/>
          <w:highlight w:val="none"/>
        </w:rPr>
      </w:pPr>
      <w:r>
        <w:rPr>
          <w:rFonts w:hint="eastAsia"/>
          <w:color w:val="auto"/>
          <w:sz w:val="24"/>
          <w:highlight w:val="none"/>
        </w:rPr>
        <w:t>18.4 供应商可以根据磋商文件要求，结合现有技术的发展对磋商文件中“采购内容与要求”的设计方案、产品规格型号进行修正，提出更好的建议和设计方案，但该修正必须遵循“在保障投资的前提下，性能就高不就低”的原则，否则视其修正为无效修正。</w:t>
      </w:r>
    </w:p>
    <w:p w14:paraId="0DCC2E9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 响应文件的签署</w:t>
      </w:r>
    </w:p>
    <w:p w14:paraId="505D3913">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 响应文件的签署</w:t>
      </w:r>
    </w:p>
    <w:p w14:paraId="316AB858">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19.1.1 应按磋商文件要求对响应文件进行签署、签章，未按要求进行签署、签章的，评标时将视为无效响应文件。</w:t>
      </w:r>
    </w:p>
    <w:p w14:paraId="67C13610">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19.1.2 响应文件中的任何插字、涂改和增删，改动之处应加盖单位公章并由供应商的法定代表人（或授权代表）签字确认，否则其改动无效。</w:t>
      </w:r>
    </w:p>
    <w:p w14:paraId="06DF3658">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19.2电子响应文件的签署</w:t>
      </w:r>
    </w:p>
    <w:p w14:paraId="5C24A704">
      <w:pPr>
        <w:keepNext w:val="0"/>
        <w:keepLines w:val="0"/>
        <w:pageBreakBefore w:val="0"/>
        <w:kinsoku/>
        <w:wordWrap/>
        <w:overflowPunct/>
        <w:topLinePunct w:val="0"/>
        <w:bidi w:val="0"/>
        <w:spacing w:line="360" w:lineRule="exact"/>
        <w:ind w:left="0" w:leftChars="0" w:firstLine="0" w:firstLineChars="0"/>
        <w:textAlignment w:val="auto"/>
        <w:rPr>
          <w:rFonts w:ascii="HACBAN+·ÂËÎ" w:hAnsi="HACBAN+·ÂËÎ" w:cs="HACBAN+·ÂËÎ"/>
          <w:color w:val="auto"/>
          <w:sz w:val="24"/>
          <w:highlight w:val="none"/>
        </w:rPr>
      </w:pPr>
      <w:r>
        <w:rPr>
          <w:rFonts w:hAnsi="Calibri"/>
          <w:color w:val="auto"/>
          <w:szCs w:val="22"/>
          <w:highlight w:val="none"/>
        </w:rPr>
        <w:t>1</w:t>
      </w:r>
      <w:r>
        <w:rPr>
          <w:rFonts w:hAnsi="Calibri"/>
          <w:color w:val="auto"/>
          <w:sz w:val="24"/>
          <w:highlight w:val="none"/>
        </w:rPr>
        <w:t>9.</w:t>
      </w:r>
      <w:r>
        <w:rPr>
          <w:rFonts w:hint="eastAsia" w:hAnsi="Calibri"/>
          <w:color w:val="auto"/>
          <w:sz w:val="24"/>
          <w:highlight w:val="none"/>
        </w:rPr>
        <w:t>2</w:t>
      </w:r>
      <w:r>
        <w:rPr>
          <w:rFonts w:hAnsi="Calibri"/>
          <w:color w:val="auto"/>
          <w:sz w:val="24"/>
          <w:highlight w:val="none"/>
        </w:rPr>
        <w:t>.</w:t>
      </w:r>
      <w:r>
        <w:rPr>
          <w:rFonts w:hint="eastAsia" w:hAnsi="Calibri"/>
          <w:color w:val="auto"/>
          <w:sz w:val="24"/>
          <w:highlight w:val="none"/>
        </w:rPr>
        <w:t>1</w:t>
      </w:r>
      <w:r>
        <w:rPr>
          <w:rFonts w:hAnsi="Calibri"/>
          <w:color w:val="auto"/>
          <w:spacing w:val="38"/>
          <w:sz w:val="24"/>
          <w:highlight w:val="none"/>
        </w:rPr>
        <w:t xml:space="preserve"> </w:t>
      </w:r>
      <w:r>
        <w:rPr>
          <w:rFonts w:ascii="HACBAN+·ÂËÎ" w:hAnsi="HACBAN+·ÂËÎ" w:cs="HACBAN+·ÂËÎ"/>
          <w:color w:val="auto"/>
          <w:spacing w:val="2"/>
          <w:sz w:val="24"/>
          <w:highlight w:val="none"/>
        </w:rPr>
        <w:t>电子响应文件具有法律效力，若响应文件内容与竞争性磋商文件要求不一致，</w:t>
      </w:r>
      <w:r>
        <w:rPr>
          <w:rFonts w:ascii="HACBAN+·ÂËÎ" w:hAnsi="HACBAN+·ÂËÎ" w:cs="HACBAN+·ÂËÎ"/>
          <w:color w:val="auto"/>
          <w:sz w:val="24"/>
          <w:highlight w:val="none"/>
        </w:rPr>
        <w:t>其内容影响成交结果时，责任由供应商自行承担。</w:t>
      </w:r>
    </w:p>
    <w:p w14:paraId="7349537D">
      <w:pPr>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hAnsi="Calibri"/>
          <w:color w:val="auto"/>
          <w:szCs w:val="22"/>
          <w:highlight w:val="none"/>
        </w:rPr>
        <w:t>1</w:t>
      </w:r>
      <w:r>
        <w:rPr>
          <w:rFonts w:hAnsi="Calibri"/>
          <w:color w:val="auto"/>
          <w:sz w:val="24"/>
          <w:highlight w:val="none"/>
        </w:rPr>
        <w:t>9.</w:t>
      </w:r>
      <w:r>
        <w:rPr>
          <w:rFonts w:hint="eastAsia" w:hAnsi="Calibri"/>
          <w:color w:val="auto"/>
          <w:sz w:val="24"/>
          <w:highlight w:val="none"/>
        </w:rPr>
        <w:t>2</w:t>
      </w:r>
      <w:r>
        <w:rPr>
          <w:rFonts w:hAnsi="Calibri"/>
          <w:color w:val="auto"/>
          <w:sz w:val="24"/>
          <w:highlight w:val="none"/>
        </w:rPr>
        <w:t>.2</w:t>
      </w:r>
      <w:r>
        <w:rPr>
          <w:rFonts w:hint="eastAsia" w:hAnsi="Calibri"/>
          <w:color w:val="auto"/>
          <w:sz w:val="24"/>
          <w:highlight w:val="none"/>
        </w:rPr>
        <w:t>电子响应文件的提交：</w:t>
      </w:r>
      <w:r>
        <w:rPr>
          <w:rFonts w:hint="eastAsia"/>
          <w:color w:val="auto"/>
          <w:sz w:val="24"/>
          <w:highlight w:val="none"/>
        </w:rPr>
        <w:t>响应文件加盖</w:t>
      </w:r>
      <w:r>
        <w:rPr>
          <w:rFonts w:hint="eastAsia"/>
          <w:color w:val="auto"/>
          <w:sz w:val="24"/>
          <w:highlight w:val="none"/>
          <w:lang w:val="en-US" w:eastAsia="zh-CN"/>
        </w:rPr>
        <w:t>电子</w:t>
      </w:r>
      <w:r>
        <w:rPr>
          <w:rFonts w:hint="eastAsia"/>
          <w:color w:val="auto"/>
          <w:sz w:val="24"/>
          <w:highlight w:val="none"/>
        </w:rPr>
        <w:t>公</w:t>
      </w:r>
      <w:r>
        <w:rPr>
          <w:rFonts w:hint="eastAsia" w:ascii="HACBAN+·ÂËÎ" w:hAnsi="HACBAN+·ÂËÎ" w:cs="HACBAN+·ÂËÎ"/>
          <w:color w:val="auto"/>
          <w:spacing w:val="2"/>
          <w:sz w:val="24"/>
          <w:highlight w:val="none"/>
        </w:rPr>
        <w:t>章，提交</w:t>
      </w:r>
      <w:r>
        <w:rPr>
          <w:rFonts w:hint="eastAsia" w:ascii="HACBAN+·ÂËÎ" w:hAnsi="HACBAN+·ÂËÎ" w:cs="HACBAN+·ÂËÎ"/>
          <w:color w:val="auto"/>
          <w:spacing w:val="2"/>
          <w:sz w:val="24"/>
          <w:highlight w:val="none"/>
          <w:lang w:val="en-US" w:eastAsia="zh-CN"/>
        </w:rPr>
        <w:t>政采云平台</w:t>
      </w:r>
      <w:r>
        <w:rPr>
          <w:rFonts w:hint="eastAsia" w:ascii="HACBAN+·ÂËÎ" w:hAnsi="HACBAN+·ÂËÎ" w:cs="HACBAN+·ÂËÎ"/>
          <w:color w:val="auto"/>
          <w:spacing w:val="2"/>
          <w:sz w:val="24"/>
          <w:highlight w:val="none"/>
        </w:rPr>
        <w:t>。</w:t>
      </w:r>
    </w:p>
    <w:p w14:paraId="7066BF5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20.</w:t>
      </w:r>
      <w:r>
        <w:rPr>
          <w:rFonts w:hAnsi="Calibri"/>
          <w:b/>
          <w:color w:val="auto"/>
          <w:spacing w:val="60"/>
          <w:sz w:val="24"/>
          <w:highlight w:val="none"/>
        </w:rPr>
        <w:t xml:space="preserve"> </w:t>
      </w:r>
      <w:r>
        <w:rPr>
          <w:rFonts w:ascii="HACBAN+·ÂËÎ" w:hAnsi="HACBAN+·ÂËÎ" w:cs="HACBAN+·ÂËÎ"/>
          <w:color w:val="auto"/>
          <w:spacing w:val="2"/>
          <w:sz w:val="24"/>
          <w:highlight w:val="none"/>
        </w:rPr>
        <w:t>响应语言</w:t>
      </w:r>
    </w:p>
    <w:p w14:paraId="09253B5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HACBAN+·ÂËÎ" w:hAnsi="HACBAN+·ÂËÎ" w:cs="HACBAN+·ÂËÎ"/>
          <w:color w:val="auto"/>
          <w:spacing w:val="1"/>
          <w:sz w:val="24"/>
          <w:highlight w:val="none"/>
        </w:rPr>
        <w:t>供应商提交的响应文件及供应商与采购</w:t>
      </w:r>
      <w:r>
        <w:rPr>
          <w:rFonts w:hint="eastAsia" w:ascii="HACBAN+·ÂËÎ" w:hAnsi="HACBAN+·ÂËÎ" w:cs="HACBAN+·ÂËÎ"/>
          <w:color w:val="auto"/>
          <w:spacing w:val="1"/>
          <w:sz w:val="24"/>
          <w:highlight w:val="none"/>
        </w:rPr>
        <w:t>代理机构</w:t>
      </w:r>
      <w:r>
        <w:rPr>
          <w:rFonts w:ascii="HACBAN+·ÂËÎ" w:hAnsi="HACBAN+·ÂËÎ" w:cs="HACBAN+·ÂËÎ"/>
          <w:color w:val="auto"/>
          <w:spacing w:val="1"/>
          <w:sz w:val="24"/>
          <w:highlight w:val="none"/>
        </w:rPr>
        <w:t>就有关采购事宜的所有来往函电均使用中</w:t>
      </w:r>
      <w:r>
        <w:rPr>
          <w:rFonts w:ascii="HACBAN+·ÂËÎ" w:hAnsi="HACBAN+·ÂËÎ" w:cs="HACBAN+·ÂËÎ"/>
          <w:color w:val="auto"/>
          <w:sz w:val="24"/>
          <w:highlight w:val="none"/>
        </w:rPr>
        <w:t>文。</w:t>
      </w:r>
    </w:p>
    <w:p w14:paraId="4D0B645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21.</w:t>
      </w:r>
      <w:r>
        <w:rPr>
          <w:rFonts w:hAnsi="Calibri"/>
          <w:b/>
          <w:color w:val="auto"/>
          <w:spacing w:val="60"/>
          <w:sz w:val="24"/>
          <w:highlight w:val="none"/>
        </w:rPr>
        <w:t xml:space="preserve"> </w:t>
      </w:r>
      <w:r>
        <w:rPr>
          <w:rFonts w:ascii="HACBAN+·ÂËÎ" w:hAnsi="HACBAN+·ÂËÎ" w:cs="HACBAN+·ÂËÎ"/>
          <w:color w:val="auto"/>
          <w:spacing w:val="1"/>
          <w:sz w:val="24"/>
          <w:highlight w:val="none"/>
        </w:rPr>
        <w:t>计量单位</w:t>
      </w:r>
    </w:p>
    <w:p w14:paraId="16523BF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HACBAN+·ÂËÎ" w:hAnsi="HACBAN+·ÂËÎ" w:cs="HACBAN+·ÂËÎ"/>
          <w:color w:val="auto"/>
          <w:sz w:val="24"/>
          <w:highlight w:val="none"/>
        </w:rPr>
        <w:t>所有计量均采用中华人民共和国法定计量单位。</w:t>
      </w:r>
    </w:p>
    <w:p w14:paraId="4C21302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22.</w:t>
      </w:r>
      <w:r>
        <w:rPr>
          <w:rFonts w:hAnsi="Calibri"/>
          <w:b/>
          <w:color w:val="auto"/>
          <w:spacing w:val="60"/>
          <w:sz w:val="24"/>
          <w:highlight w:val="none"/>
        </w:rPr>
        <w:t xml:space="preserve"> </w:t>
      </w:r>
      <w:r>
        <w:rPr>
          <w:rFonts w:ascii="MFHLLT+·ÂËÎ" w:hAnsi="MFHLLT+·ÂËÎ" w:cs="MFHLLT+·ÂËÎ"/>
          <w:color w:val="auto"/>
          <w:spacing w:val="2"/>
          <w:sz w:val="24"/>
          <w:highlight w:val="none"/>
        </w:rPr>
        <w:t>报价要求</w:t>
      </w:r>
    </w:p>
    <w:p w14:paraId="788E372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 xml:space="preserve">22.1 </w:t>
      </w:r>
      <w:r>
        <w:rPr>
          <w:rFonts w:ascii="MFHLLT+·ÂËÎ" w:hAnsi="MFHLLT+·ÂËÎ" w:cs="MFHLLT+·ÂËÎ"/>
          <w:color w:val="auto"/>
          <w:sz w:val="24"/>
          <w:highlight w:val="none"/>
        </w:rPr>
        <w:t>供应商应按磋商文件规定的要求及责任范围和合同条件，以人民币进行报价。</w:t>
      </w:r>
    </w:p>
    <w:p w14:paraId="7DCD549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22.2</w:t>
      </w:r>
      <w:r>
        <w:rPr>
          <w:rFonts w:ascii="MFHLLT+·ÂËÎ" w:hAnsi="MFHLLT+·ÂËÎ" w:cs="MFHLLT+·ÂËÎ"/>
          <w:color w:val="auto"/>
          <w:spacing w:val="4"/>
          <w:sz w:val="24"/>
          <w:highlight w:val="none"/>
        </w:rPr>
        <w:t>供应商应按《报价表》和《供货一览表》（或《分项价格表》）的内容和格式</w:t>
      </w:r>
      <w:r>
        <w:rPr>
          <w:rFonts w:ascii="MFHLLT+·ÂËÎ" w:hAnsi="MFHLLT+·ÂËÎ" w:cs="MFHLLT+·ÂËÎ"/>
          <w:color w:val="auto"/>
          <w:spacing w:val="1"/>
          <w:sz w:val="24"/>
          <w:highlight w:val="none"/>
        </w:rPr>
        <w:t>要求填写各项货物及服务的分项价格和总价，总价中不得缺漏磋商文件所要求的内容，否</w:t>
      </w:r>
      <w:r>
        <w:rPr>
          <w:rFonts w:ascii="MFHLLT+·ÂËÎ" w:hAnsi="MFHLLT+·ÂËÎ" w:cs="MFHLLT+·ÂËÎ"/>
          <w:color w:val="auto"/>
          <w:sz w:val="24"/>
          <w:highlight w:val="none"/>
        </w:rPr>
        <w:t>则，在评审时将视为无效响应。</w:t>
      </w:r>
    </w:p>
    <w:p w14:paraId="190D90A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22.3</w:t>
      </w:r>
      <w:r>
        <w:rPr>
          <w:rFonts w:hAnsi="Calibri"/>
          <w:color w:val="auto"/>
          <w:spacing w:val="36"/>
          <w:sz w:val="24"/>
          <w:highlight w:val="none"/>
        </w:rPr>
        <w:t xml:space="preserve"> </w:t>
      </w:r>
      <w:r>
        <w:rPr>
          <w:rFonts w:ascii="MFHLLT+·ÂËÎ" w:hAnsi="MFHLLT+·ÂËÎ" w:cs="MFHLLT+·ÂËÎ"/>
          <w:color w:val="auto"/>
          <w:sz w:val="24"/>
          <w:highlight w:val="none"/>
        </w:rPr>
        <w:t>除磋商文件另有规定外，供应商对本项目每个标段只允许有一个首次报价，不接</w:t>
      </w:r>
      <w:r>
        <w:rPr>
          <w:rFonts w:ascii="MFHLLT+·ÂËÎ" w:hAnsi="MFHLLT+·ÂËÎ" w:cs="MFHLLT+·ÂËÎ"/>
          <w:color w:val="auto"/>
          <w:spacing w:val="1"/>
          <w:sz w:val="24"/>
          <w:highlight w:val="none"/>
        </w:rPr>
        <w:t>受选择性报价</w:t>
      </w:r>
      <w:r>
        <w:rPr>
          <w:rFonts w:hint="eastAsia" w:ascii="MFHLLT+·ÂËÎ" w:hAnsi="MFHLLT+·ÂËÎ" w:cs="MFHLLT+·ÂËÎ"/>
          <w:color w:val="auto"/>
          <w:spacing w:val="1"/>
          <w:sz w:val="24"/>
          <w:highlight w:val="none"/>
        </w:rPr>
        <w:t>，</w:t>
      </w:r>
      <w:r>
        <w:rPr>
          <w:rFonts w:ascii="MFHLLT+·ÂËÎ" w:hAnsi="MFHLLT+·ÂËÎ" w:cs="MFHLLT+·ÂËÎ"/>
          <w:color w:val="auto"/>
          <w:spacing w:val="1"/>
          <w:sz w:val="24"/>
          <w:highlight w:val="none"/>
        </w:rPr>
        <w:t>否则，在评审时将视为无效响应。响应文件应按磋商文件所提供的采购内</w:t>
      </w:r>
      <w:r>
        <w:rPr>
          <w:rFonts w:ascii="MFHLLT+·ÂËÎ" w:hAnsi="MFHLLT+·ÂËÎ" w:cs="MFHLLT+·ÂËÎ"/>
          <w:color w:val="auto"/>
          <w:spacing w:val="5"/>
          <w:sz w:val="24"/>
          <w:highlight w:val="none"/>
        </w:rPr>
        <w:t>容与要求标明单价、总价。单价与总价不符者，适应单价的原则。</w:t>
      </w:r>
      <w:r>
        <w:rPr>
          <w:rFonts w:ascii="MFHLLT+·ÂËÎ" w:hAnsi="MFHLLT+·ÂËÎ" w:cs="MFHLLT+·ÂËÎ"/>
          <w:color w:val="auto"/>
          <w:spacing w:val="4"/>
          <w:sz w:val="24"/>
          <w:highlight w:val="none"/>
        </w:rPr>
        <w:t>总价应用数字和文字</w:t>
      </w:r>
      <w:r>
        <w:rPr>
          <w:rFonts w:ascii="MFHLLT+·ÂËÎ" w:hAnsi="MFHLLT+·ÂËÎ" w:cs="MFHLLT+·ÂËÎ"/>
          <w:color w:val="auto"/>
          <w:sz w:val="24"/>
          <w:highlight w:val="none"/>
        </w:rPr>
        <w:t>两种形式分别表示，数字和文字有不同时，总价以文字表述为准。</w:t>
      </w:r>
    </w:p>
    <w:p w14:paraId="50D7DF0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22.4</w:t>
      </w:r>
      <w:r>
        <w:rPr>
          <w:rFonts w:hAnsi="Calibri"/>
          <w:color w:val="auto"/>
          <w:spacing w:val="36"/>
          <w:sz w:val="24"/>
          <w:highlight w:val="none"/>
        </w:rPr>
        <w:t xml:space="preserve"> </w:t>
      </w:r>
      <w:r>
        <w:rPr>
          <w:rFonts w:ascii="MFHLLT+·ÂËÎ" w:hAnsi="MFHLLT+·ÂËÎ" w:cs="MFHLLT+·ÂËÎ"/>
          <w:color w:val="auto"/>
          <w:sz w:val="24"/>
          <w:highlight w:val="none"/>
        </w:rPr>
        <w:t>供应商的报价不得超过项目预算金额（含标段预算金额）或者最高限价，否则，在评审时将视为无效响应。本项目预算金额为最高限价。</w:t>
      </w:r>
    </w:p>
    <w:p w14:paraId="1427F78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22.5</w:t>
      </w:r>
      <w:r>
        <w:rPr>
          <w:rFonts w:hAnsi="Calibri"/>
          <w:color w:val="auto"/>
          <w:spacing w:val="41"/>
          <w:sz w:val="24"/>
          <w:highlight w:val="none"/>
        </w:rPr>
        <w:t xml:space="preserve"> </w:t>
      </w:r>
      <w:r>
        <w:rPr>
          <w:rFonts w:ascii="MFHLLT+·ÂËÎ" w:hAnsi="MFHLLT+·ÂËÎ" w:cs="MFHLLT+·ÂËÎ"/>
          <w:color w:val="auto"/>
          <w:spacing w:val="5"/>
          <w:sz w:val="24"/>
          <w:highlight w:val="none"/>
        </w:rPr>
        <w:t>最后报价不得高于首次报价，若价格下浮超过首次报价的</w:t>
      </w:r>
      <w:r>
        <w:rPr>
          <w:rFonts w:hAnsi="Calibri"/>
          <w:color w:val="auto"/>
          <w:spacing w:val="2"/>
          <w:sz w:val="24"/>
          <w:highlight w:val="none"/>
        </w:rPr>
        <w:t>10%</w:t>
      </w:r>
      <w:r>
        <w:rPr>
          <w:rFonts w:ascii="MFHLLT+·ÂËÎ" w:hAnsi="MFHLLT+·ÂËÎ" w:cs="MFHLLT+·ÂËÎ"/>
          <w:color w:val="auto"/>
          <w:spacing w:val="5"/>
          <w:sz w:val="24"/>
          <w:highlight w:val="none"/>
        </w:rPr>
        <w:t>，应给出合理解</w:t>
      </w:r>
      <w:r>
        <w:rPr>
          <w:rFonts w:ascii="MFHLLT+·ÂËÎ" w:hAnsi="MFHLLT+·ÂËÎ" w:cs="MFHLLT+·ÂËÎ"/>
          <w:color w:val="auto"/>
          <w:spacing w:val="1"/>
          <w:sz w:val="24"/>
          <w:highlight w:val="none"/>
        </w:rPr>
        <w:t>释。最后报价即为履行合同的固定价格，不得以任何理由予以变更（除不可抗力因素）。</w:t>
      </w:r>
      <w:r>
        <w:rPr>
          <w:rFonts w:ascii="MFHLLT+·ÂËÎ" w:hAnsi="MFHLLT+·ÂËÎ" w:cs="MFHLLT+·ÂËÎ"/>
          <w:color w:val="auto"/>
          <w:sz w:val="24"/>
          <w:highlight w:val="none"/>
        </w:rPr>
        <w:t>任何包含价格调整要求和附加条件的报价，在评审时将视为无效响应。</w:t>
      </w:r>
    </w:p>
    <w:p w14:paraId="5DAE433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22.6</w:t>
      </w:r>
      <w:r>
        <w:rPr>
          <w:rFonts w:hAnsi="Calibri"/>
          <w:color w:val="auto"/>
          <w:spacing w:val="60"/>
          <w:sz w:val="24"/>
          <w:highlight w:val="none"/>
        </w:rPr>
        <w:t xml:space="preserve"> </w:t>
      </w:r>
      <w:r>
        <w:rPr>
          <w:rFonts w:ascii="MFHLLT+·ÂËÎ" w:hAnsi="MFHLLT+·ÂËÎ" w:cs="MFHLLT+·ÂËÎ"/>
          <w:color w:val="auto"/>
          <w:sz w:val="24"/>
          <w:highlight w:val="none"/>
        </w:rPr>
        <w:t>采购内容与要求的安装、调试和培训的费用应包含在报价中。</w:t>
      </w:r>
    </w:p>
    <w:p w14:paraId="6DF282B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22.7</w:t>
      </w:r>
      <w:r>
        <w:rPr>
          <w:rFonts w:hAnsi="Calibri"/>
          <w:color w:val="auto"/>
          <w:spacing w:val="60"/>
          <w:sz w:val="24"/>
          <w:highlight w:val="none"/>
        </w:rPr>
        <w:t xml:space="preserve"> </w:t>
      </w:r>
      <w:r>
        <w:rPr>
          <w:rFonts w:ascii="MFHLLT+·ÂËÎ" w:hAnsi="MFHLLT+·ÂËÎ" w:cs="MFHLLT+·ÂËÎ"/>
          <w:color w:val="auto"/>
          <w:sz w:val="24"/>
          <w:highlight w:val="none"/>
        </w:rPr>
        <w:t>供应商应该考虑但没有考虑到的任何费用应由供应商自行承担。</w:t>
      </w:r>
    </w:p>
    <w:p w14:paraId="2673D18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22.8</w:t>
      </w:r>
      <w:r>
        <w:rPr>
          <w:rFonts w:hAnsi="Calibri"/>
          <w:color w:val="auto"/>
          <w:spacing w:val="60"/>
          <w:sz w:val="24"/>
          <w:highlight w:val="none"/>
        </w:rPr>
        <w:t xml:space="preserve"> </w:t>
      </w:r>
      <w:r>
        <w:rPr>
          <w:rFonts w:ascii="MFHLLT+·ÂËÎ" w:hAnsi="MFHLLT+·ÂËÎ" w:cs="MFHLLT+·ÂËÎ"/>
          <w:color w:val="auto"/>
          <w:sz w:val="24"/>
          <w:highlight w:val="none"/>
        </w:rPr>
        <w:t>响应文件报价出现前后不一致的，按照本章第</w:t>
      </w:r>
      <w:r>
        <w:rPr>
          <w:rFonts w:hAnsi="Calibri"/>
          <w:color w:val="auto"/>
          <w:spacing w:val="1"/>
          <w:sz w:val="24"/>
          <w:highlight w:val="none"/>
        </w:rPr>
        <w:t xml:space="preserve"> </w:t>
      </w:r>
      <w:r>
        <w:rPr>
          <w:rFonts w:hAnsi="Calibri"/>
          <w:color w:val="auto"/>
          <w:sz w:val="24"/>
          <w:highlight w:val="none"/>
        </w:rPr>
        <w:t>31.</w:t>
      </w:r>
      <w:r>
        <w:rPr>
          <w:rFonts w:hint="eastAsia" w:hAnsi="Calibri"/>
          <w:color w:val="auto"/>
          <w:sz w:val="24"/>
          <w:highlight w:val="none"/>
          <w:lang w:val="en-US" w:eastAsia="zh-CN"/>
        </w:rPr>
        <w:t>5</w:t>
      </w:r>
      <w:r>
        <w:rPr>
          <w:rFonts w:hAnsi="Calibri"/>
          <w:color w:val="auto"/>
          <w:sz w:val="24"/>
          <w:highlight w:val="none"/>
        </w:rPr>
        <w:t>.</w:t>
      </w:r>
      <w:r>
        <w:rPr>
          <w:rFonts w:hint="eastAsia" w:hAnsi="Calibri"/>
          <w:color w:val="auto"/>
          <w:sz w:val="24"/>
          <w:highlight w:val="none"/>
          <w:lang w:val="en-US" w:eastAsia="zh-CN"/>
        </w:rPr>
        <w:t>4</w:t>
      </w:r>
      <w:r>
        <w:rPr>
          <w:rFonts w:hAnsi="Calibri"/>
          <w:color w:val="auto"/>
          <w:spacing w:val="-12"/>
          <w:sz w:val="24"/>
          <w:highlight w:val="none"/>
        </w:rPr>
        <w:t xml:space="preserve"> </w:t>
      </w:r>
      <w:r>
        <w:rPr>
          <w:rFonts w:ascii="MFHLLT+·ÂËÎ" w:hAnsi="MFHLLT+·ÂËÎ" w:cs="MFHLLT+·ÂËÎ"/>
          <w:color w:val="auto"/>
          <w:sz w:val="24"/>
          <w:highlight w:val="none"/>
        </w:rPr>
        <w:t>款规定修正。</w:t>
      </w:r>
    </w:p>
    <w:p w14:paraId="08254EE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22.9</w:t>
      </w:r>
      <w:r>
        <w:rPr>
          <w:rFonts w:hAnsi="Calibri"/>
          <w:color w:val="auto"/>
          <w:spacing w:val="60"/>
          <w:sz w:val="24"/>
          <w:highlight w:val="none"/>
        </w:rPr>
        <w:t xml:space="preserve"> </w:t>
      </w:r>
      <w:r>
        <w:rPr>
          <w:rFonts w:ascii="MFHLLT+·ÂËÎ" w:hAnsi="MFHLLT+·ÂËÎ" w:cs="MFHLLT+·ÂËÎ"/>
          <w:color w:val="auto"/>
          <w:sz w:val="24"/>
          <w:highlight w:val="none"/>
        </w:rPr>
        <w:t>分项价格表应包含以下内容：</w:t>
      </w:r>
    </w:p>
    <w:p w14:paraId="4A748DB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1</w:t>
      </w:r>
      <w:r>
        <w:rPr>
          <w:rFonts w:ascii="MFHLLT+·ÂËÎ" w:hAnsi="MFHLLT+·ÂËÎ" w:cs="MFHLLT+·ÂËÎ"/>
          <w:color w:val="auto"/>
          <w:sz w:val="24"/>
          <w:highlight w:val="none"/>
        </w:rPr>
        <w:t>）产品报价应按照厂家所提供的产品标准配置和选件分类按规格型号进行报价。</w:t>
      </w:r>
    </w:p>
    <w:p w14:paraId="502E8B5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2</w:t>
      </w:r>
      <w:r>
        <w:rPr>
          <w:rFonts w:ascii="MFHLLT+·ÂËÎ" w:hAnsi="MFHLLT+·ÂËÎ" w:cs="MFHLLT+·ÂËÎ"/>
          <w:color w:val="auto"/>
          <w:sz w:val="24"/>
          <w:highlight w:val="none"/>
        </w:rPr>
        <w:t>）磋商文件中采购内容与要求中的备件价格。</w:t>
      </w:r>
    </w:p>
    <w:p w14:paraId="0BEDE96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3</w:t>
      </w:r>
      <w:r>
        <w:rPr>
          <w:rFonts w:ascii="MFHLLT+·ÂËÎ" w:hAnsi="MFHLLT+·ÂËÎ" w:cs="MFHLLT+·ÂËÎ"/>
          <w:color w:val="auto"/>
          <w:sz w:val="24"/>
          <w:highlight w:val="none"/>
        </w:rPr>
        <w:t>）运输费、保险费、税费和产品运抵交货地点所产生的其他费用。</w:t>
      </w:r>
    </w:p>
    <w:p w14:paraId="1A079BD1">
      <w:pPr>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ascii="MFHLLT+·ÂËÎ" w:hAnsi="MFHLLT+·ÂËÎ" w:cs="MFHLLT+·ÂËÎ"/>
          <w:color w:val="auto"/>
          <w:sz w:val="24"/>
          <w:highlight w:val="none"/>
        </w:rPr>
        <w:t>（</w:t>
      </w:r>
      <w:r>
        <w:rPr>
          <w:rFonts w:hAnsi="Calibri"/>
          <w:color w:val="auto"/>
          <w:sz w:val="24"/>
          <w:highlight w:val="none"/>
        </w:rPr>
        <w:t>4</w:t>
      </w:r>
      <w:r>
        <w:rPr>
          <w:rFonts w:ascii="MFHLLT+·ÂËÎ" w:hAnsi="MFHLLT+·ÂËÎ" w:cs="MFHLLT+·ÂËÎ"/>
          <w:color w:val="auto"/>
          <w:sz w:val="24"/>
          <w:highlight w:val="none"/>
        </w:rPr>
        <w:t>）售后服务费。</w:t>
      </w:r>
    </w:p>
    <w:p w14:paraId="3AD647BA">
      <w:pPr>
        <w:keepNext w:val="0"/>
        <w:keepLines w:val="0"/>
        <w:pageBreakBefore w:val="0"/>
        <w:kinsoku/>
        <w:wordWrap/>
        <w:overflowPunct/>
        <w:topLinePunct w:val="0"/>
        <w:bidi w:val="0"/>
        <w:spacing w:line="360" w:lineRule="exact"/>
        <w:ind w:left="0" w:leftChars="0" w:firstLine="0" w:firstLineChars="0"/>
        <w:textAlignment w:val="auto"/>
        <w:rPr>
          <w:rFonts w:ascii="MFHLLT+·ÂËÎ" w:hAnsi="MFHLLT+·ÂËÎ" w:cs="MFHLLT+·ÂËÎ"/>
          <w:color w:val="auto"/>
          <w:spacing w:val="1"/>
          <w:sz w:val="24"/>
          <w:highlight w:val="none"/>
        </w:rPr>
      </w:pPr>
      <w:r>
        <w:rPr>
          <w:rFonts w:hAnsi="Calibri"/>
          <w:b/>
          <w:color w:val="auto"/>
          <w:sz w:val="24"/>
          <w:highlight w:val="none"/>
        </w:rPr>
        <w:t>23.</w:t>
      </w:r>
      <w:r>
        <w:rPr>
          <w:rFonts w:hAnsi="Calibri"/>
          <w:b/>
          <w:color w:val="auto"/>
          <w:spacing w:val="120"/>
          <w:sz w:val="24"/>
          <w:highlight w:val="none"/>
        </w:rPr>
        <w:t xml:space="preserve"> </w:t>
      </w:r>
      <w:r>
        <w:rPr>
          <w:rFonts w:ascii="MFHLLT+·ÂËÎ" w:hAnsi="MFHLLT+·ÂËÎ" w:cs="MFHLLT+·ÂËÎ"/>
          <w:color w:val="auto"/>
          <w:spacing w:val="1"/>
          <w:sz w:val="24"/>
          <w:highlight w:val="none"/>
        </w:rPr>
        <w:t>响应文件的内容</w:t>
      </w:r>
    </w:p>
    <w:p w14:paraId="398B54D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 xml:space="preserve">23.1 </w:t>
      </w:r>
      <w:r>
        <w:rPr>
          <w:rFonts w:ascii="MFHLLT+·ÂËÎ" w:hAnsi="MFHLLT+·ÂËÎ" w:cs="MFHLLT+·ÂËÎ"/>
          <w:color w:val="auto"/>
          <w:spacing w:val="1"/>
          <w:sz w:val="24"/>
          <w:highlight w:val="none"/>
        </w:rPr>
        <w:t>资格证明文件</w:t>
      </w:r>
    </w:p>
    <w:p w14:paraId="51DF8B9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23.1.1</w:t>
      </w:r>
      <w:r>
        <w:rPr>
          <w:rFonts w:hAnsi="Calibri"/>
          <w:color w:val="auto"/>
          <w:spacing w:val="38"/>
          <w:sz w:val="24"/>
          <w:highlight w:val="none"/>
        </w:rPr>
        <w:t xml:space="preserve"> </w:t>
      </w:r>
      <w:r>
        <w:rPr>
          <w:rFonts w:ascii="MFHLLT+·ÂËÎ" w:hAnsi="MFHLLT+·ÂËÎ" w:cs="MFHLLT+·ÂËÎ"/>
          <w:color w:val="auto"/>
          <w:spacing w:val="2"/>
          <w:sz w:val="24"/>
          <w:highlight w:val="none"/>
        </w:rPr>
        <w:t>资格证明文件包含但不仅限于第一章要求的证明文件，该证明文件作为响应文</w:t>
      </w:r>
      <w:r>
        <w:rPr>
          <w:rFonts w:ascii="MFHLLT+·ÂËÎ" w:hAnsi="MFHLLT+·ÂËÎ" w:cs="MFHLLT+·ÂËÎ"/>
          <w:color w:val="auto"/>
          <w:sz w:val="24"/>
          <w:highlight w:val="none"/>
        </w:rPr>
        <w:t>件的一部分。</w:t>
      </w:r>
    </w:p>
    <w:p w14:paraId="0B612C5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23.1.2</w:t>
      </w:r>
      <w:r>
        <w:rPr>
          <w:rFonts w:hAnsi="Calibri"/>
          <w:color w:val="auto"/>
          <w:spacing w:val="38"/>
          <w:sz w:val="24"/>
          <w:highlight w:val="none"/>
        </w:rPr>
        <w:t xml:space="preserve"> </w:t>
      </w:r>
      <w:r>
        <w:rPr>
          <w:rFonts w:ascii="MFHLLT+·ÂËÎ" w:hAnsi="MFHLLT+·ÂËÎ" w:cs="MFHLLT+·ÂËÎ"/>
          <w:color w:val="auto"/>
          <w:spacing w:val="2"/>
          <w:sz w:val="24"/>
          <w:highlight w:val="none"/>
        </w:rPr>
        <w:t>如果供应商为联合体，则应提交联合体各方具有同类资质的资格证明文件、联</w:t>
      </w:r>
      <w:r>
        <w:rPr>
          <w:rFonts w:ascii="MFHLLT+·ÂËÎ" w:hAnsi="MFHLLT+·ÂËÎ" w:cs="MFHLLT+·ÂËÎ"/>
          <w:color w:val="auto"/>
          <w:sz w:val="24"/>
          <w:highlight w:val="none"/>
        </w:rPr>
        <w:t>合体协议。否则，在资格审查时将视为无效响应。</w:t>
      </w:r>
    </w:p>
    <w:p w14:paraId="74AC529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23.1.3</w:t>
      </w:r>
      <w:r>
        <w:rPr>
          <w:rFonts w:hAnsi="Calibri"/>
          <w:color w:val="auto"/>
          <w:spacing w:val="60"/>
          <w:sz w:val="24"/>
          <w:highlight w:val="none"/>
        </w:rPr>
        <w:t xml:space="preserve"> </w:t>
      </w:r>
      <w:r>
        <w:rPr>
          <w:rFonts w:ascii="MFHLLT+·ÂËÎ" w:hAnsi="MFHLLT+·ÂËÎ" w:cs="MFHLLT+·ÂËÎ"/>
          <w:color w:val="auto"/>
          <w:sz w:val="24"/>
          <w:highlight w:val="none"/>
        </w:rPr>
        <w:t>供应商有下列情形之一的，视为无效响应：</w:t>
      </w:r>
    </w:p>
    <w:p w14:paraId="3074261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1</w:t>
      </w:r>
      <w:r>
        <w:rPr>
          <w:rFonts w:ascii="MFHLLT+·ÂËÎ" w:hAnsi="MFHLLT+·ÂËÎ" w:cs="MFHLLT+·ÂËÎ"/>
          <w:color w:val="auto"/>
          <w:sz w:val="24"/>
          <w:highlight w:val="none"/>
        </w:rPr>
        <w:t>）未按磋商文件要求提交资格证明文件的或提供虚假资格证明文件的；</w:t>
      </w:r>
    </w:p>
    <w:p w14:paraId="44E6F76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2</w:t>
      </w:r>
      <w:r>
        <w:rPr>
          <w:rFonts w:ascii="MFHLLT+·ÂËÎ" w:hAnsi="MFHLLT+·ÂËÎ" w:cs="MFHLLT+·ÂËÎ"/>
          <w:color w:val="auto"/>
          <w:sz w:val="24"/>
          <w:highlight w:val="none"/>
        </w:rPr>
        <w:t>）资格证明文件不在有效期内或未按有关规定年审合格的。</w:t>
      </w:r>
    </w:p>
    <w:p w14:paraId="1DA0A263">
      <w:pPr>
        <w:keepNext w:val="0"/>
        <w:keepLines w:val="0"/>
        <w:pageBreakBefore w:val="0"/>
        <w:kinsoku/>
        <w:wordWrap/>
        <w:overflowPunct/>
        <w:topLinePunct w:val="0"/>
        <w:bidi w:val="0"/>
        <w:spacing w:line="360" w:lineRule="exact"/>
        <w:ind w:left="0" w:leftChars="0" w:firstLine="0" w:firstLineChars="0"/>
        <w:textAlignment w:val="auto"/>
        <w:rPr>
          <w:rFonts w:ascii="MFHLLT+·ÂËÎ" w:hAnsi="MFHLLT+·ÂËÎ" w:cs="MFHLLT+·ÂËÎ"/>
          <w:color w:val="auto"/>
          <w:spacing w:val="1"/>
          <w:sz w:val="24"/>
          <w:highlight w:val="none"/>
        </w:rPr>
      </w:pPr>
      <w:r>
        <w:rPr>
          <w:rFonts w:hAnsi="Calibri"/>
          <w:b/>
          <w:color w:val="auto"/>
          <w:sz w:val="24"/>
          <w:highlight w:val="none"/>
        </w:rPr>
        <w:t>23.2</w:t>
      </w:r>
      <w:r>
        <w:rPr>
          <w:rFonts w:hAnsi="Calibri"/>
          <w:b/>
          <w:color w:val="auto"/>
          <w:spacing w:val="60"/>
          <w:sz w:val="24"/>
          <w:highlight w:val="none"/>
        </w:rPr>
        <w:t xml:space="preserve"> </w:t>
      </w:r>
      <w:r>
        <w:rPr>
          <w:rFonts w:ascii="MFHLLT+·ÂËÎ" w:hAnsi="MFHLLT+·ÂËÎ" w:cs="MFHLLT+·ÂËÎ"/>
          <w:color w:val="auto"/>
          <w:spacing w:val="1"/>
          <w:sz w:val="24"/>
          <w:highlight w:val="none"/>
        </w:rPr>
        <w:t>商务文件</w:t>
      </w:r>
    </w:p>
    <w:p w14:paraId="3B81757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pacing w:val="1"/>
          <w:sz w:val="24"/>
          <w:highlight w:val="none"/>
        </w:rPr>
        <w:t>商务文件内容包括资质证明、工作业绩、技术实力等反映供应商的项目实施能力的文</w:t>
      </w:r>
      <w:r>
        <w:rPr>
          <w:rFonts w:ascii="VFHSHT+·ÂËÎ" w:hAnsi="VFHSHT+·ÂËÎ" w:cs="VFHSHT+·ÂËÎ"/>
          <w:color w:val="auto"/>
          <w:sz w:val="24"/>
          <w:highlight w:val="none"/>
        </w:rPr>
        <w:t>件。主要包括：</w:t>
      </w:r>
    </w:p>
    <w:p w14:paraId="5431571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）开标一览表</w:t>
      </w:r>
      <w:r>
        <w:rPr>
          <w:rFonts w:hint="eastAsia" w:ascii="VFHSHT+·ÂËÎ" w:hAnsi="VFHSHT+·ÂËÎ" w:cs="VFHSHT+·ÂËÎ"/>
          <w:color w:val="auto"/>
          <w:sz w:val="24"/>
          <w:highlight w:val="none"/>
        </w:rPr>
        <w:t>（报价表）</w:t>
      </w:r>
      <w:r>
        <w:rPr>
          <w:rFonts w:ascii="VFHSHT+·ÂËÎ" w:hAnsi="VFHSHT+·ÂËÎ" w:cs="VFHSHT+·ÂËÎ"/>
          <w:color w:val="auto"/>
          <w:sz w:val="24"/>
          <w:highlight w:val="none"/>
        </w:rPr>
        <w:t>；</w:t>
      </w:r>
    </w:p>
    <w:p w14:paraId="266D200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）业绩资料；</w:t>
      </w:r>
    </w:p>
    <w:p w14:paraId="1DE4E2C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3</w:t>
      </w:r>
      <w:r>
        <w:rPr>
          <w:rFonts w:ascii="VFHSHT+·ÂËÎ" w:hAnsi="VFHSHT+·ÂËÎ" w:cs="VFHSHT+·ÂËÎ"/>
          <w:color w:val="auto"/>
          <w:sz w:val="24"/>
          <w:highlight w:val="none"/>
        </w:rPr>
        <w:t>）资质证明文件（如果需要）；</w:t>
      </w:r>
    </w:p>
    <w:p w14:paraId="3210E4C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4</w:t>
      </w:r>
      <w:r>
        <w:rPr>
          <w:rFonts w:ascii="VFHSHT+·ÂËÎ" w:hAnsi="VFHSHT+·ÂËÎ" w:cs="VFHSHT+·ÂËÎ"/>
          <w:color w:val="auto"/>
          <w:sz w:val="24"/>
          <w:highlight w:val="none"/>
        </w:rPr>
        <w:t>）其他证明文件（如果需要）。</w:t>
      </w:r>
    </w:p>
    <w:p w14:paraId="3C186DF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23.3</w:t>
      </w:r>
      <w:r>
        <w:rPr>
          <w:rFonts w:hAnsi="Calibri"/>
          <w:b/>
          <w:color w:val="auto"/>
          <w:spacing w:val="60"/>
          <w:sz w:val="24"/>
          <w:highlight w:val="none"/>
        </w:rPr>
        <w:t xml:space="preserve"> </w:t>
      </w:r>
      <w:r>
        <w:rPr>
          <w:rFonts w:ascii="VFHSHT+·ÂËÎ" w:hAnsi="VFHSHT+·ÂËÎ" w:cs="VFHSHT+·ÂËÎ"/>
          <w:color w:val="auto"/>
          <w:spacing w:val="1"/>
          <w:sz w:val="24"/>
          <w:highlight w:val="none"/>
        </w:rPr>
        <w:t>技术文件</w:t>
      </w:r>
    </w:p>
    <w:p w14:paraId="68D93B0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pacing w:val="1"/>
          <w:sz w:val="24"/>
          <w:highlight w:val="none"/>
        </w:rPr>
        <w:t>技术文件主要反映磋商文件要求的有关技术方案、技术规格以及所提供详细技术指标</w:t>
      </w:r>
      <w:r>
        <w:rPr>
          <w:rFonts w:ascii="VFHSHT+·ÂËÎ" w:hAnsi="VFHSHT+·ÂËÎ" w:cs="VFHSHT+·ÂËÎ"/>
          <w:color w:val="auto"/>
          <w:sz w:val="24"/>
          <w:highlight w:val="none"/>
        </w:rPr>
        <w:t>等内容。技术文件内容主要包括：</w:t>
      </w:r>
    </w:p>
    <w:p w14:paraId="18324DD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）项目概况及特点；</w:t>
      </w:r>
    </w:p>
    <w:p w14:paraId="108EFF0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）技术方案（或服务方案）及设计图纸（如果需要）；</w:t>
      </w:r>
    </w:p>
    <w:p w14:paraId="5EB9A0F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（3）技术规格（或服务细则）；</w:t>
      </w:r>
    </w:p>
    <w:p w14:paraId="47F2E93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（4）供货一览表（或分项报价表）；</w:t>
      </w:r>
    </w:p>
    <w:p w14:paraId="1D9FB15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5</w:t>
      </w:r>
      <w:r>
        <w:rPr>
          <w:rFonts w:hAnsi="Calibri"/>
          <w:color w:val="auto"/>
          <w:sz w:val="24"/>
          <w:highlight w:val="none"/>
        </w:rPr>
        <w:t>）供货及质保承诺（或完工期及服务期承诺）；</w:t>
      </w:r>
    </w:p>
    <w:p w14:paraId="147A7B9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6</w:t>
      </w:r>
      <w:r>
        <w:rPr>
          <w:rFonts w:hAnsi="Calibri"/>
          <w:color w:val="auto"/>
          <w:sz w:val="24"/>
          <w:highlight w:val="none"/>
        </w:rPr>
        <w:t>）项目负责人和技术负责人名单简历及相关证书；</w:t>
      </w:r>
    </w:p>
    <w:p w14:paraId="201472B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7</w:t>
      </w:r>
      <w:r>
        <w:rPr>
          <w:rFonts w:hAnsi="Calibri"/>
          <w:color w:val="auto"/>
          <w:sz w:val="24"/>
          <w:highlight w:val="none"/>
        </w:rPr>
        <w:t>）项目管理人员明细表和分工；</w:t>
      </w:r>
    </w:p>
    <w:p w14:paraId="4050A39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8</w:t>
      </w:r>
      <w:r>
        <w:rPr>
          <w:rFonts w:hAnsi="Calibri"/>
          <w:color w:val="auto"/>
          <w:sz w:val="24"/>
          <w:highlight w:val="none"/>
        </w:rPr>
        <w:t>）该项目劳动力配置情况；</w:t>
      </w:r>
    </w:p>
    <w:p w14:paraId="1B0F5DA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9</w:t>
      </w:r>
      <w:r>
        <w:rPr>
          <w:rFonts w:hAnsi="Calibri"/>
          <w:color w:val="auto"/>
          <w:sz w:val="24"/>
          <w:highlight w:val="none"/>
        </w:rPr>
        <w:t>）其他证明文</w:t>
      </w:r>
      <w:r>
        <w:rPr>
          <w:rFonts w:ascii="VFHSHT+·ÂËÎ" w:hAnsi="VFHSHT+·ÂËÎ" w:cs="VFHSHT+·ÂËÎ"/>
          <w:color w:val="auto"/>
          <w:sz w:val="24"/>
          <w:highlight w:val="none"/>
        </w:rPr>
        <w:t>件（如果需要）。</w:t>
      </w:r>
    </w:p>
    <w:p w14:paraId="54E4870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24.</w:t>
      </w:r>
      <w:r>
        <w:rPr>
          <w:rFonts w:hAnsi="Calibri"/>
          <w:b/>
          <w:color w:val="auto"/>
          <w:spacing w:val="60"/>
          <w:sz w:val="24"/>
          <w:highlight w:val="none"/>
        </w:rPr>
        <w:t xml:space="preserve"> </w:t>
      </w:r>
      <w:r>
        <w:rPr>
          <w:rFonts w:ascii="VFHSHT+·ÂËÎ" w:hAnsi="VFHSHT+·ÂËÎ" w:cs="VFHSHT+·ÂËÎ"/>
          <w:color w:val="auto"/>
          <w:spacing w:val="1"/>
          <w:sz w:val="24"/>
          <w:highlight w:val="none"/>
        </w:rPr>
        <w:t>响应文件实质响应磋商文件</w:t>
      </w:r>
    </w:p>
    <w:p w14:paraId="35DA82B3">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24.1</w:t>
      </w:r>
      <w:r>
        <w:rPr>
          <w:rFonts w:hAnsi="Calibri"/>
          <w:color w:val="auto"/>
          <w:spacing w:val="36"/>
          <w:sz w:val="24"/>
          <w:highlight w:val="none"/>
        </w:rPr>
        <w:t xml:space="preserve"> </w:t>
      </w:r>
      <w:r>
        <w:rPr>
          <w:rFonts w:ascii="VFHSHT+·ÂËÎ" w:hAnsi="VFHSHT+·ÂËÎ" w:cs="VFHSHT+·ÂËÎ"/>
          <w:color w:val="auto"/>
          <w:sz w:val="24"/>
          <w:highlight w:val="none"/>
        </w:rPr>
        <w:t>供应商应当提交其</w:t>
      </w:r>
      <w:r>
        <w:rPr>
          <w:rFonts w:hint="eastAsia" w:ascii="VFHSHT+·ÂËÎ" w:hAnsi="VFHSHT+·ÂËÎ" w:cs="VFHSHT+·ÂËÎ"/>
          <w:color w:val="auto"/>
          <w:sz w:val="24"/>
          <w:highlight w:val="none"/>
          <w:lang w:eastAsia="zh-CN"/>
        </w:rPr>
        <w:t>提供</w:t>
      </w:r>
      <w:r>
        <w:rPr>
          <w:rFonts w:ascii="VFHSHT+·ÂËÎ" w:hAnsi="VFHSHT+·ÂËÎ" w:cs="VFHSHT+·ÂËÎ"/>
          <w:color w:val="auto"/>
          <w:sz w:val="24"/>
          <w:highlight w:val="none"/>
        </w:rPr>
        <w:t>的合同项下货物及其服务符合磋商文件规定的证明文件，该证明文件作为响应文件的一部分。</w:t>
      </w:r>
    </w:p>
    <w:p w14:paraId="2B70A9B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24.2</w:t>
      </w:r>
      <w:r>
        <w:rPr>
          <w:rFonts w:hAnsi="Calibri"/>
          <w:color w:val="auto"/>
          <w:spacing w:val="60"/>
          <w:sz w:val="24"/>
          <w:highlight w:val="none"/>
        </w:rPr>
        <w:t xml:space="preserve"> </w:t>
      </w:r>
      <w:r>
        <w:rPr>
          <w:rFonts w:ascii="VFHSHT+·ÂËÎ" w:hAnsi="VFHSHT+·ÂËÎ" w:cs="VFHSHT+·ÂËÎ"/>
          <w:color w:val="auto"/>
          <w:sz w:val="24"/>
          <w:highlight w:val="none"/>
        </w:rPr>
        <w:t>供应商应按磋商文件要求详细填写相关表格。</w:t>
      </w:r>
    </w:p>
    <w:p w14:paraId="7AA0660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24.3</w:t>
      </w:r>
      <w:r>
        <w:rPr>
          <w:rFonts w:hAnsi="Calibri"/>
          <w:color w:val="auto"/>
          <w:spacing w:val="36"/>
          <w:sz w:val="24"/>
          <w:highlight w:val="none"/>
        </w:rPr>
        <w:t xml:space="preserve"> </w:t>
      </w:r>
      <w:r>
        <w:rPr>
          <w:rFonts w:ascii="VFHSHT+·ÂËÎ" w:hAnsi="VFHSHT+·ÂËÎ" w:cs="VFHSHT+·ÂËÎ"/>
          <w:color w:val="auto"/>
          <w:sz w:val="24"/>
          <w:highlight w:val="none"/>
        </w:rPr>
        <w:t>商务、技术偏离表应对照磋商文件所有商务、技术要求逐条详细填写响应内容，</w:t>
      </w:r>
      <w:r>
        <w:rPr>
          <w:rFonts w:ascii="VFHSHT+·ÂËÎ" w:hAnsi="VFHSHT+·ÂËÎ" w:cs="VFHSHT+·ÂËÎ"/>
          <w:color w:val="auto"/>
          <w:spacing w:val="1"/>
          <w:sz w:val="24"/>
          <w:highlight w:val="none"/>
        </w:rPr>
        <w:t>不得简单以“均响应”、“完全响应”等同等含义文字代替商务、技术要求的描述，否则磋商小组将判定其未响应。供应商如有涉及商务、技术内容</w:t>
      </w:r>
      <w:permStart w:id="0" w:edGrp="everyone"/>
      <w:permEnd w:id="0"/>
      <w:r>
        <w:rPr>
          <w:rFonts w:ascii="VFHSHT+·ÂËÎ" w:hAnsi="VFHSHT+·ÂËÎ" w:cs="VFHSHT+·ÂËÎ"/>
          <w:color w:val="auto"/>
          <w:spacing w:val="1"/>
          <w:sz w:val="24"/>
          <w:highlight w:val="none"/>
        </w:rPr>
        <w:t>的响应优惠应当在商务、技术</w:t>
      </w:r>
      <w:r>
        <w:rPr>
          <w:rFonts w:ascii="VFHSHT+·ÂËÎ" w:hAnsi="VFHSHT+·ÂËÎ" w:cs="VFHSHT+·ÂËÎ"/>
          <w:color w:val="auto"/>
          <w:sz w:val="24"/>
          <w:highlight w:val="none"/>
        </w:rPr>
        <w:t>偏离表中填写。</w:t>
      </w:r>
    </w:p>
    <w:p w14:paraId="5D5EBC3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24.4</w:t>
      </w:r>
      <w:r>
        <w:rPr>
          <w:rFonts w:hAnsi="Calibri"/>
          <w:color w:val="auto"/>
          <w:spacing w:val="36"/>
          <w:sz w:val="24"/>
          <w:highlight w:val="none"/>
        </w:rPr>
        <w:t xml:space="preserve"> </w:t>
      </w:r>
      <w:r>
        <w:rPr>
          <w:rFonts w:ascii="VFHSHT+·ÂËÎ" w:hAnsi="VFHSHT+·ÂËÎ" w:cs="VFHSHT+·ÂËÎ"/>
          <w:color w:val="auto"/>
          <w:sz w:val="24"/>
          <w:highlight w:val="none"/>
        </w:rPr>
        <w:t>磋商文件前附表规定供应商需要提供样品的，如有以下情形之一，在评审时将不予评分。</w:t>
      </w:r>
    </w:p>
    <w:p w14:paraId="0C607A8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）未按磋商文件前附表规定的时间、地点提供样品的；</w:t>
      </w:r>
    </w:p>
    <w:p w14:paraId="17CFAB3E">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ascii="VFHSHT+·ÂËÎ" w:hAnsi="VFHSHT+·ÂËÎ" w:cs="VFHSHT+·ÂËÎ"/>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）提供的样品与磋商文件中规定的样品标准要求不一致的</w:t>
      </w:r>
    </w:p>
    <w:p w14:paraId="243470B5">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ascii="MHVPCT+·ÂËÎ" w:hAnsi="MHVPCT+·ÂËÎ" w:cs="MHVPCT+·ÂËÎ"/>
          <w:color w:val="auto"/>
          <w:spacing w:val="1"/>
          <w:sz w:val="24"/>
          <w:highlight w:val="none"/>
        </w:rPr>
      </w:pPr>
      <w:r>
        <w:rPr>
          <w:rFonts w:hAnsi="Calibri"/>
          <w:b/>
          <w:color w:val="auto"/>
          <w:sz w:val="24"/>
          <w:highlight w:val="none"/>
        </w:rPr>
        <w:t>25.</w:t>
      </w:r>
      <w:r>
        <w:rPr>
          <w:rFonts w:hAnsi="Calibri"/>
          <w:b/>
          <w:color w:val="auto"/>
          <w:spacing w:val="60"/>
          <w:sz w:val="24"/>
          <w:highlight w:val="none"/>
        </w:rPr>
        <w:t xml:space="preserve"> </w:t>
      </w:r>
      <w:r>
        <w:rPr>
          <w:rFonts w:ascii="MHVPCT+·ÂËÎ" w:hAnsi="MHVPCT+·ÂËÎ" w:cs="MHVPCT+·ÂËÎ"/>
          <w:color w:val="auto"/>
          <w:spacing w:val="1"/>
          <w:sz w:val="24"/>
          <w:highlight w:val="none"/>
        </w:rPr>
        <w:t>响应有效期</w:t>
      </w:r>
    </w:p>
    <w:p w14:paraId="0FC0D952">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hAnsi="Calibri"/>
          <w:color w:val="auto"/>
          <w:sz w:val="24"/>
          <w:highlight w:val="none"/>
        </w:rPr>
      </w:pPr>
      <w:r>
        <w:rPr>
          <w:rFonts w:ascii="MHVPCT+·ÂËÎ" w:hAnsi="MHVPCT+·ÂËÎ" w:cs="MHVPCT+·ÂËÎ"/>
          <w:color w:val="auto"/>
          <w:spacing w:val="5"/>
          <w:sz w:val="24"/>
          <w:highlight w:val="none"/>
        </w:rPr>
        <w:t>响应有效期见“第一章</w:t>
      </w:r>
      <w:r>
        <w:rPr>
          <w:rFonts w:hAnsi="Calibri"/>
          <w:color w:val="auto"/>
          <w:spacing w:val="44"/>
          <w:sz w:val="24"/>
          <w:highlight w:val="none"/>
        </w:rPr>
        <w:t xml:space="preserve"> </w:t>
      </w:r>
      <w:r>
        <w:rPr>
          <w:rFonts w:ascii="MHVPCT+·ÂËÎ" w:hAnsi="MHVPCT+·ÂËÎ" w:cs="MHVPCT+·ÂËÎ"/>
          <w:color w:val="auto"/>
          <w:spacing w:val="5"/>
          <w:sz w:val="24"/>
          <w:highlight w:val="none"/>
        </w:rPr>
        <w:t>磋商文件前附表”，在此期间响应文件对供应商具有法律约</w:t>
      </w:r>
      <w:r>
        <w:rPr>
          <w:rFonts w:ascii="MHVPCT+·ÂËÎ" w:hAnsi="MHVPCT+·ÂËÎ" w:cs="MHVPCT+·ÂËÎ"/>
          <w:color w:val="auto"/>
          <w:spacing w:val="1"/>
          <w:sz w:val="24"/>
          <w:highlight w:val="none"/>
        </w:rPr>
        <w:t>束力，以保证采购人有足够的时间完成评审、确定成交供应商以及签订合同。响应有效期</w:t>
      </w:r>
      <w:r>
        <w:rPr>
          <w:rFonts w:ascii="MHVPCT+·ÂËÎ" w:hAnsi="MHVPCT+·ÂËÎ" w:cs="MHVPCT+·ÂËÎ"/>
          <w:color w:val="auto"/>
          <w:sz w:val="24"/>
          <w:highlight w:val="none"/>
        </w:rPr>
        <w:t>不足的，在评审时将视为无效响应。</w:t>
      </w:r>
    </w:p>
    <w:p w14:paraId="18FB28CA">
      <w:pPr>
        <w:keepNext w:val="0"/>
        <w:keepLines w:val="0"/>
        <w:pageBreakBefore w:val="0"/>
        <w:numPr>
          <w:ilvl w:val="0"/>
          <w:numId w:val="3"/>
        </w:numPr>
        <w:kinsoku/>
        <w:wordWrap/>
        <w:overflowPunct/>
        <w:topLinePunct w:val="0"/>
        <w:bidi w:val="0"/>
        <w:spacing w:line="360" w:lineRule="exact"/>
        <w:ind w:left="0" w:leftChars="0" w:firstLine="0" w:firstLineChars="0"/>
        <w:textAlignment w:val="auto"/>
        <w:outlineLvl w:val="1"/>
        <w:rPr>
          <w:rFonts w:ascii="MHVPCT+·ÂËÎ" w:hAnsi="MHVPCT+·ÂËÎ" w:cs="MHVPCT+·ÂËÎ"/>
          <w:color w:val="auto"/>
          <w:spacing w:val="1"/>
          <w:sz w:val="24"/>
          <w:highlight w:val="none"/>
        </w:rPr>
      </w:pPr>
      <w:bookmarkStart w:id="172" w:name="_Toc15263"/>
      <w:bookmarkStart w:id="173" w:name="_Toc5008"/>
      <w:bookmarkStart w:id="174" w:name="_Toc23856"/>
      <w:bookmarkStart w:id="175" w:name="_Toc31725"/>
      <w:bookmarkStart w:id="176" w:name="_Toc5959"/>
      <w:r>
        <w:rPr>
          <w:rFonts w:ascii="MHVPCT+·ÂËÎ" w:hAnsi="MHVPCT+·ÂËÎ" w:cs="MHVPCT+·ÂËÎ"/>
          <w:color w:val="auto"/>
          <w:spacing w:val="1"/>
          <w:sz w:val="24"/>
          <w:highlight w:val="none"/>
        </w:rPr>
        <w:t>响应文件的提交、修改和撤回</w:t>
      </w:r>
      <w:bookmarkEnd w:id="172"/>
      <w:bookmarkEnd w:id="173"/>
      <w:bookmarkEnd w:id="174"/>
      <w:bookmarkEnd w:id="175"/>
      <w:bookmarkEnd w:id="176"/>
    </w:p>
    <w:p w14:paraId="0A743C3C">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 响应文件的提交</w:t>
      </w:r>
    </w:p>
    <w:p w14:paraId="52C4D948">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26.1响应文件、资格审查资料均应提交</w:t>
      </w:r>
      <w:r>
        <w:rPr>
          <w:rFonts w:hint="eastAsia"/>
          <w:color w:val="auto"/>
          <w:sz w:val="24"/>
          <w:highlight w:val="none"/>
          <w:lang w:val="en-US" w:eastAsia="zh-CN"/>
        </w:rPr>
        <w:t>至政采云平台</w:t>
      </w:r>
      <w:r>
        <w:rPr>
          <w:rFonts w:hint="eastAsia"/>
          <w:color w:val="auto"/>
          <w:sz w:val="24"/>
          <w:highlight w:val="none"/>
        </w:rPr>
        <w:t>。</w:t>
      </w:r>
    </w:p>
    <w:p w14:paraId="3C99EED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26.2 封套上应载明的内容见“第二章 磋商文件前附表”。</w:t>
      </w:r>
    </w:p>
    <w:p w14:paraId="4CBEA9A8">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26.3 应按照“第二章 磋商文件前附表”规定的时间提交至指定的地点。任何单位和个人不得在开标前开启已提交的响应文件。</w:t>
      </w:r>
    </w:p>
    <w:p w14:paraId="3F909B23">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26.4 逾期</w:t>
      </w:r>
      <w:r>
        <w:rPr>
          <w:rFonts w:hint="eastAsia"/>
          <w:color w:val="auto"/>
          <w:sz w:val="24"/>
          <w:highlight w:val="none"/>
          <w:lang w:val="en-US" w:eastAsia="zh-CN"/>
        </w:rPr>
        <w:t>提交</w:t>
      </w:r>
      <w:r>
        <w:rPr>
          <w:rFonts w:hint="eastAsia"/>
          <w:color w:val="auto"/>
          <w:sz w:val="24"/>
          <w:highlight w:val="none"/>
        </w:rPr>
        <w:t>或者未按磋商文件要求</w:t>
      </w:r>
      <w:r>
        <w:rPr>
          <w:rFonts w:hint="eastAsia"/>
          <w:color w:val="auto"/>
          <w:sz w:val="24"/>
          <w:highlight w:val="none"/>
          <w:lang w:val="en-US" w:eastAsia="zh-CN"/>
        </w:rPr>
        <w:t>提交</w:t>
      </w:r>
      <w:r>
        <w:rPr>
          <w:rFonts w:hint="eastAsia"/>
          <w:color w:val="auto"/>
          <w:sz w:val="24"/>
          <w:highlight w:val="none"/>
        </w:rPr>
        <w:t>响应文件为无效文件，将被拒绝接收。</w:t>
      </w:r>
    </w:p>
    <w:p w14:paraId="4B9E5863">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27．电子响应文件的提交</w:t>
      </w:r>
    </w:p>
    <w:p w14:paraId="4CBC5AE6">
      <w:pPr>
        <w:pStyle w:val="15"/>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hint="eastAsia"/>
          <w:color w:val="auto"/>
          <w:sz w:val="24"/>
          <w:highlight w:val="none"/>
        </w:rPr>
        <w:t>响应文件加盖</w:t>
      </w:r>
      <w:r>
        <w:rPr>
          <w:rFonts w:hint="eastAsia"/>
          <w:color w:val="auto"/>
          <w:sz w:val="24"/>
          <w:highlight w:val="none"/>
          <w:lang w:val="en-US" w:eastAsia="zh-CN"/>
        </w:rPr>
        <w:t>电子</w:t>
      </w:r>
      <w:r>
        <w:rPr>
          <w:rFonts w:hint="eastAsia"/>
          <w:color w:val="auto"/>
          <w:sz w:val="24"/>
          <w:highlight w:val="none"/>
        </w:rPr>
        <w:t>公章，提交</w:t>
      </w:r>
      <w:r>
        <w:rPr>
          <w:rFonts w:hint="eastAsia"/>
          <w:color w:val="auto"/>
          <w:sz w:val="24"/>
          <w:highlight w:val="none"/>
          <w:lang w:val="en-US" w:eastAsia="zh-CN"/>
        </w:rPr>
        <w:t>至政采云平台</w:t>
      </w:r>
      <w:r>
        <w:rPr>
          <w:rFonts w:hint="eastAsia"/>
          <w:color w:val="auto"/>
          <w:sz w:val="24"/>
          <w:highlight w:val="none"/>
        </w:rPr>
        <w:t>，</w:t>
      </w:r>
    </w:p>
    <w:p w14:paraId="180306F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28.</w:t>
      </w:r>
      <w:r>
        <w:rPr>
          <w:rFonts w:hAnsi="Calibri"/>
          <w:b/>
          <w:color w:val="auto"/>
          <w:spacing w:val="60"/>
          <w:sz w:val="24"/>
          <w:highlight w:val="none"/>
        </w:rPr>
        <w:t xml:space="preserve"> </w:t>
      </w:r>
      <w:r>
        <w:rPr>
          <w:rFonts w:ascii="MHVPCT+·ÂËÎ" w:hAnsi="MHVPCT+·ÂËÎ" w:cs="MHVPCT+·ÂËÎ"/>
          <w:color w:val="auto"/>
          <w:spacing w:val="1"/>
          <w:sz w:val="24"/>
          <w:highlight w:val="none"/>
        </w:rPr>
        <w:t>响应文件的修改和撤回</w:t>
      </w:r>
    </w:p>
    <w:p w14:paraId="258014B8">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77" w:name="_Toc12232"/>
      <w:bookmarkStart w:id="178" w:name="_Toc14885"/>
      <w:bookmarkStart w:id="179" w:name="_Toc28526"/>
      <w:bookmarkStart w:id="180" w:name="_Toc32597"/>
      <w:bookmarkStart w:id="181" w:name="_Toc29417"/>
      <w:bookmarkStart w:id="182" w:name="_Toc7147"/>
      <w:bookmarkStart w:id="183" w:name="_Toc17768"/>
      <w:bookmarkStart w:id="184" w:name="_Toc21991"/>
      <w:bookmarkStart w:id="185" w:name="_Toc8251"/>
      <w:r>
        <w:rPr>
          <w:rFonts w:hAnsi="Calibri"/>
          <w:color w:val="auto"/>
          <w:sz w:val="24"/>
          <w:highlight w:val="none"/>
        </w:rPr>
        <w:t>28.1</w:t>
      </w:r>
      <w:r>
        <w:rPr>
          <w:rFonts w:hAnsi="Calibri"/>
          <w:color w:val="auto"/>
          <w:spacing w:val="36"/>
          <w:sz w:val="24"/>
          <w:highlight w:val="none"/>
        </w:rPr>
        <w:t xml:space="preserve"> </w:t>
      </w:r>
      <w:r>
        <w:rPr>
          <w:rFonts w:ascii="MHVPCT+·ÂËÎ" w:hAnsi="MHVPCT+·ÂËÎ" w:cs="MHVPCT+·ÂËÎ"/>
          <w:color w:val="auto"/>
          <w:sz w:val="24"/>
          <w:highlight w:val="none"/>
        </w:rPr>
        <w:t>供应商在磋商文件规定的响应截止时间前可以撤回响应文件，也可以撤回并修改</w:t>
      </w:r>
      <w:bookmarkEnd w:id="177"/>
      <w:bookmarkEnd w:id="178"/>
      <w:bookmarkEnd w:id="179"/>
      <w:bookmarkEnd w:id="180"/>
      <w:bookmarkEnd w:id="181"/>
      <w:bookmarkEnd w:id="182"/>
      <w:r>
        <w:rPr>
          <w:rFonts w:ascii="MHVPCT+·ÂËÎ" w:hAnsi="MHVPCT+·ÂËÎ" w:cs="MHVPCT+·ÂËÎ"/>
          <w:color w:val="auto"/>
          <w:sz w:val="24"/>
          <w:highlight w:val="none"/>
        </w:rPr>
        <w:t>后重新提交。在响应截止时间之后，供应商撤回响应文件的，其保证金将不予退还。</w:t>
      </w:r>
      <w:bookmarkEnd w:id="183"/>
      <w:bookmarkEnd w:id="184"/>
      <w:bookmarkEnd w:id="185"/>
    </w:p>
    <w:p w14:paraId="364696AC">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86" w:name="_Toc1652"/>
      <w:bookmarkStart w:id="187" w:name="_Toc2482"/>
      <w:bookmarkStart w:id="188" w:name="_Toc13759"/>
      <w:bookmarkStart w:id="189" w:name="_Toc13786"/>
      <w:bookmarkStart w:id="190" w:name="_Toc14052"/>
      <w:bookmarkStart w:id="191" w:name="_Toc16587"/>
      <w:bookmarkStart w:id="192" w:name="_Toc31845"/>
      <w:bookmarkStart w:id="193" w:name="_Toc18069"/>
      <w:bookmarkStart w:id="194" w:name="_Toc5686"/>
      <w:r>
        <w:rPr>
          <w:rFonts w:hAnsi="Calibri"/>
          <w:color w:val="auto"/>
          <w:sz w:val="24"/>
          <w:highlight w:val="none"/>
        </w:rPr>
        <w:t>28.2</w:t>
      </w:r>
      <w:r>
        <w:rPr>
          <w:rFonts w:hAnsi="Calibri"/>
          <w:color w:val="auto"/>
          <w:spacing w:val="60"/>
          <w:sz w:val="24"/>
          <w:highlight w:val="none"/>
        </w:rPr>
        <w:t xml:space="preserve"> </w:t>
      </w:r>
      <w:r>
        <w:rPr>
          <w:rFonts w:ascii="MHVPCT+·ÂËÎ" w:hAnsi="MHVPCT+·ÂËÎ" w:cs="MHVPCT+·ÂËÎ"/>
          <w:color w:val="auto"/>
          <w:sz w:val="24"/>
          <w:highlight w:val="none"/>
        </w:rPr>
        <w:t>无论成交与否，供应商的响应文件均不予退还。</w:t>
      </w:r>
      <w:bookmarkEnd w:id="186"/>
      <w:bookmarkEnd w:id="187"/>
      <w:bookmarkEnd w:id="188"/>
      <w:bookmarkEnd w:id="189"/>
      <w:bookmarkEnd w:id="190"/>
      <w:bookmarkEnd w:id="191"/>
      <w:bookmarkEnd w:id="192"/>
      <w:bookmarkEnd w:id="193"/>
      <w:bookmarkEnd w:id="194"/>
    </w:p>
    <w:p w14:paraId="1EE9D79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29.</w:t>
      </w:r>
      <w:r>
        <w:rPr>
          <w:rFonts w:hAnsi="Calibri"/>
          <w:b/>
          <w:color w:val="auto"/>
          <w:spacing w:val="60"/>
          <w:sz w:val="24"/>
          <w:highlight w:val="none"/>
        </w:rPr>
        <w:t xml:space="preserve"> </w:t>
      </w:r>
      <w:r>
        <w:rPr>
          <w:rFonts w:ascii="MHVPCT+·ÂËÎ" w:hAnsi="MHVPCT+·ÂËÎ" w:cs="MHVPCT+·ÂËÎ"/>
          <w:color w:val="auto"/>
          <w:spacing w:val="2"/>
          <w:sz w:val="24"/>
          <w:highlight w:val="none"/>
        </w:rPr>
        <w:t>无效响应</w:t>
      </w:r>
    </w:p>
    <w:p w14:paraId="287F111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供应商有下列情形之一的，视为响应无效：</w:t>
      </w:r>
    </w:p>
    <w:p w14:paraId="5E2A15A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w:t>
      </w:r>
      <w:r>
        <w:rPr>
          <w:rFonts w:hAnsi="Calibri"/>
          <w:color w:val="auto"/>
          <w:sz w:val="24"/>
          <w:highlight w:val="none"/>
        </w:rPr>
        <w:t>1</w:t>
      </w:r>
      <w:r>
        <w:rPr>
          <w:rFonts w:ascii="MHVPCT+·ÂËÎ" w:hAnsi="MHVPCT+·ÂËÎ" w:cs="MHVPCT+·ÂËÎ"/>
          <w:color w:val="auto"/>
          <w:sz w:val="24"/>
          <w:highlight w:val="none"/>
        </w:rPr>
        <w:t>）不同供应商的响应文件由同一单位或者个人编制；</w:t>
      </w:r>
    </w:p>
    <w:p w14:paraId="3726F0A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w:t>
      </w:r>
      <w:r>
        <w:rPr>
          <w:rFonts w:hAnsi="Calibri"/>
          <w:color w:val="auto"/>
          <w:sz w:val="24"/>
          <w:highlight w:val="none"/>
        </w:rPr>
        <w:t>2</w:t>
      </w:r>
      <w:r>
        <w:rPr>
          <w:rFonts w:ascii="MHVPCT+·ÂËÎ" w:hAnsi="MHVPCT+·ÂËÎ" w:cs="MHVPCT+·ÂËÎ"/>
          <w:color w:val="auto"/>
          <w:sz w:val="24"/>
          <w:highlight w:val="none"/>
        </w:rPr>
        <w:t>）不同供应商委托同一单位或者个人办理响应事宜；</w:t>
      </w:r>
    </w:p>
    <w:p w14:paraId="02FF5208">
      <w:pPr>
        <w:keepNext w:val="0"/>
        <w:keepLines w:val="0"/>
        <w:pageBreakBefore w:val="0"/>
        <w:kinsoku/>
        <w:wordWrap/>
        <w:overflowPunct/>
        <w:topLinePunct w:val="0"/>
        <w:bidi w:val="0"/>
        <w:spacing w:line="360" w:lineRule="exact"/>
        <w:ind w:left="0" w:leftChars="0" w:firstLine="0" w:firstLineChars="0"/>
        <w:textAlignment w:val="auto"/>
        <w:rPr>
          <w:rFonts w:ascii="MHVPCT+·ÂËÎ" w:hAnsi="MHVPCT+·ÂËÎ" w:cs="MHVPCT+·ÂËÎ"/>
          <w:color w:val="auto"/>
          <w:sz w:val="24"/>
          <w:highlight w:val="none"/>
        </w:rPr>
      </w:pPr>
      <w:r>
        <w:rPr>
          <w:rFonts w:ascii="MHVPCT+·ÂËÎ" w:hAnsi="MHVPCT+·ÂËÎ" w:cs="MHVPCT+·ÂËÎ"/>
          <w:color w:val="auto"/>
          <w:sz w:val="24"/>
          <w:highlight w:val="none"/>
        </w:rPr>
        <w:t>（</w:t>
      </w:r>
      <w:r>
        <w:rPr>
          <w:rFonts w:hAnsi="Calibri"/>
          <w:color w:val="auto"/>
          <w:sz w:val="24"/>
          <w:highlight w:val="none"/>
        </w:rPr>
        <w:t>3</w:t>
      </w:r>
      <w:r>
        <w:rPr>
          <w:rFonts w:ascii="MHVPCT+·ÂËÎ" w:hAnsi="MHVPCT+·ÂËÎ" w:cs="MHVPCT+·ÂËÎ"/>
          <w:color w:val="auto"/>
          <w:sz w:val="24"/>
          <w:highlight w:val="none"/>
        </w:rPr>
        <w:t>）不同供应商的响应文件载明的项目管理成员或者联系人员为同一人</w:t>
      </w:r>
      <w:r>
        <w:rPr>
          <w:color w:val="auto"/>
          <w:sz w:val="24"/>
          <w:highlight w:val="none"/>
        </w:rPr>
        <w:drawing>
          <wp:anchor distT="0" distB="0" distL="114300" distR="114300" simplePos="0" relativeHeight="251661312" behindDoc="1" locked="0" layoutInCell="1" allowOverlap="1">
            <wp:simplePos x="0" y="0"/>
            <wp:positionH relativeFrom="page">
              <wp:posOffset>1189990</wp:posOffset>
            </wp:positionH>
            <wp:positionV relativeFrom="page">
              <wp:posOffset>901700</wp:posOffset>
            </wp:positionV>
            <wp:extent cx="4521835" cy="1042035"/>
            <wp:effectExtent l="0" t="0" r="12065" b="5715"/>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0"/>
                    <a:stretch>
                      <a:fillRect/>
                    </a:stretch>
                  </pic:blipFill>
                  <pic:spPr>
                    <a:xfrm>
                      <a:off x="0" y="0"/>
                      <a:ext cx="4521835" cy="1042035"/>
                    </a:xfrm>
                    <a:prstGeom prst="rect">
                      <a:avLst/>
                    </a:prstGeom>
                    <a:noFill/>
                    <a:ln>
                      <a:noFill/>
                    </a:ln>
                  </pic:spPr>
                </pic:pic>
              </a:graphicData>
            </a:graphic>
          </wp:anchor>
        </w:drawing>
      </w:r>
      <w:r>
        <w:rPr>
          <w:rFonts w:hint="eastAsia" w:ascii="MHVPCT+·ÂËÎ" w:hAnsi="MHVPCT+·ÂËÎ" w:cs="MHVPCT+·ÂËÎ"/>
          <w:color w:val="auto"/>
          <w:sz w:val="24"/>
          <w:highlight w:val="none"/>
        </w:rPr>
        <w:t>；</w:t>
      </w:r>
    </w:p>
    <w:p w14:paraId="72646B2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4</w:t>
      </w:r>
      <w:r>
        <w:rPr>
          <w:rFonts w:ascii="CQDPIK+·ÂËÎ" w:hAnsi="CQDPIK+·ÂËÎ" w:cs="CQDPIK+·ÂËÎ"/>
          <w:color w:val="auto"/>
          <w:sz w:val="24"/>
          <w:highlight w:val="none"/>
        </w:rPr>
        <w:t>）不同供应商的响应文件异常一致或者响应报价呈规律性差异；</w:t>
      </w:r>
    </w:p>
    <w:p w14:paraId="5B651C03">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5</w:t>
      </w:r>
      <w:r>
        <w:rPr>
          <w:rFonts w:ascii="CQDPIK+·ÂËÎ" w:hAnsi="CQDPIK+·ÂËÎ" w:cs="CQDPIK+·ÂËÎ"/>
          <w:color w:val="auto"/>
          <w:sz w:val="24"/>
          <w:highlight w:val="none"/>
        </w:rPr>
        <w:t>）不同供应商的响应文件相互混装；</w:t>
      </w:r>
    </w:p>
    <w:p w14:paraId="538CD87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6</w:t>
      </w:r>
      <w:r>
        <w:rPr>
          <w:rFonts w:ascii="CQDPIK+·ÂËÎ" w:hAnsi="CQDPIK+·ÂËÎ" w:cs="CQDPIK+·ÂËÎ"/>
          <w:color w:val="auto"/>
          <w:sz w:val="24"/>
          <w:highlight w:val="none"/>
        </w:rPr>
        <w:t>）不同供应商的响应保证金从同一单位或者个人的账户转出。</w:t>
      </w:r>
    </w:p>
    <w:p w14:paraId="5B036A3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7</w:t>
      </w:r>
      <w:r>
        <w:rPr>
          <w:rFonts w:ascii="CQDPIK+·ÂËÎ" w:hAnsi="CQDPIK+·ÂËÎ" w:cs="CQDPIK+·ÂËÎ"/>
          <w:color w:val="auto"/>
          <w:sz w:val="24"/>
          <w:highlight w:val="none"/>
        </w:rPr>
        <w:t>）相关法律、法规规定的其他形式。</w:t>
      </w:r>
    </w:p>
    <w:p w14:paraId="2ABEE51C">
      <w:pPr>
        <w:keepNext w:val="0"/>
        <w:keepLines w:val="0"/>
        <w:pageBreakBefore w:val="0"/>
        <w:kinsoku/>
        <w:wordWrap/>
        <w:overflowPunct/>
        <w:topLinePunct w:val="0"/>
        <w:bidi w:val="0"/>
        <w:spacing w:line="360" w:lineRule="exact"/>
        <w:ind w:left="0" w:leftChars="0" w:firstLine="0" w:firstLineChars="0"/>
        <w:textAlignment w:val="auto"/>
        <w:outlineLvl w:val="1"/>
        <w:rPr>
          <w:rFonts w:hAnsi="Calibri"/>
          <w:b/>
          <w:bCs/>
          <w:color w:val="auto"/>
          <w:sz w:val="24"/>
          <w:highlight w:val="none"/>
        </w:rPr>
      </w:pPr>
      <w:bookmarkStart w:id="195" w:name="_Toc20517"/>
      <w:bookmarkStart w:id="196" w:name="_Toc3937"/>
      <w:bookmarkStart w:id="197" w:name="_Toc2253"/>
      <w:bookmarkStart w:id="198" w:name="_Toc32257"/>
      <w:bookmarkStart w:id="199" w:name="_Toc28559"/>
      <w:r>
        <w:rPr>
          <w:rFonts w:ascii="CQDPIK+·ÂËÎ" w:hAnsi="CQDPIK+·ÂËÎ" w:cs="CQDPIK+·ÂËÎ"/>
          <w:color w:val="auto"/>
          <w:spacing w:val="1"/>
          <w:sz w:val="24"/>
          <w:highlight w:val="none"/>
        </w:rPr>
        <w:t>五、</w:t>
      </w:r>
      <w:r>
        <w:rPr>
          <w:rFonts w:ascii="CQDPIK+·ÂËÎ" w:hAnsi="CQDPIK+·ÂËÎ" w:cs="CQDPIK+·ÂËÎ"/>
          <w:b/>
          <w:bCs/>
          <w:color w:val="auto"/>
          <w:spacing w:val="1"/>
          <w:sz w:val="24"/>
          <w:highlight w:val="none"/>
        </w:rPr>
        <w:t>开</w:t>
      </w:r>
      <w:r>
        <w:rPr>
          <w:rFonts w:hint="eastAsia" w:ascii="CQDPIK+·ÂËÎ" w:hAnsi="CQDPIK+·ÂËÎ" w:cs="CQDPIK+·ÂËÎ"/>
          <w:b/>
          <w:bCs/>
          <w:color w:val="auto"/>
          <w:spacing w:val="1"/>
          <w:sz w:val="24"/>
          <w:highlight w:val="none"/>
          <w:lang w:val="en-US" w:eastAsia="zh-CN"/>
        </w:rPr>
        <w:t>启</w:t>
      </w:r>
      <w:r>
        <w:rPr>
          <w:rFonts w:ascii="CQDPIK+·ÂËÎ" w:hAnsi="CQDPIK+·ÂËÎ" w:cs="CQDPIK+·ÂËÎ"/>
          <w:b/>
          <w:bCs/>
          <w:color w:val="auto"/>
          <w:spacing w:val="1"/>
          <w:sz w:val="24"/>
          <w:highlight w:val="none"/>
        </w:rPr>
        <w:t>与评审</w:t>
      </w:r>
      <w:bookmarkEnd w:id="195"/>
      <w:bookmarkEnd w:id="196"/>
      <w:bookmarkEnd w:id="197"/>
      <w:bookmarkEnd w:id="198"/>
      <w:bookmarkEnd w:id="199"/>
    </w:p>
    <w:p w14:paraId="148D6F17">
      <w:pPr>
        <w:keepNext w:val="0"/>
        <w:keepLines w:val="0"/>
        <w:pageBreakBefore w:val="0"/>
        <w:kinsoku/>
        <w:wordWrap/>
        <w:overflowPunct/>
        <w:topLinePunct w:val="0"/>
        <w:bidi w:val="0"/>
        <w:spacing w:line="360" w:lineRule="exact"/>
        <w:ind w:left="0" w:leftChars="0" w:firstLine="0" w:firstLineChars="0"/>
        <w:textAlignment w:val="auto"/>
        <w:rPr>
          <w:rFonts w:hint="eastAsia" w:hAnsi="Calibri" w:eastAsiaTheme="minorEastAsia"/>
          <w:color w:val="auto"/>
          <w:sz w:val="24"/>
          <w:highlight w:val="none"/>
          <w:lang w:eastAsia="zh-CN"/>
        </w:rPr>
      </w:pPr>
      <w:r>
        <w:rPr>
          <w:rFonts w:hAnsi="Calibri"/>
          <w:b w:val="0"/>
          <w:bCs/>
          <w:color w:val="auto"/>
          <w:sz w:val="24"/>
          <w:highlight w:val="none"/>
        </w:rPr>
        <w:t>30.</w:t>
      </w:r>
      <w:r>
        <w:rPr>
          <w:rFonts w:hAnsi="Calibri"/>
          <w:b/>
          <w:color w:val="auto"/>
          <w:spacing w:val="60"/>
          <w:sz w:val="24"/>
          <w:highlight w:val="none"/>
        </w:rPr>
        <w:t xml:space="preserve"> </w:t>
      </w:r>
      <w:r>
        <w:rPr>
          <w:rFonts w:ascii="CQDPIK+·ÂËÎ" w:hAnsi="CQDPIK+·ÂËÎ" w:cs="CQDPIK+·ÂËÎ"/>
          <w:color w:val="auto"/>
          <w:spacing w:val="2"/>
          <w:sz w:val="24"/>
          <w:highlight w:val="none"/>
        </w:rPr>
        <w:t>开</w:t>
      </w:r>
      <w:r>
        <w:rPr>
          <w:rFonts w:hint="eastAsia" w:ascii="CQDPIK+·ÂËÎ" w:hAnsi="CQDPIK+·ÂËÎ" w:cs="CQDPIK+·ÂËÎ"/>
          <w:color w:val="auto"/>
          <w:spacing w:val="2"/>
          <w:sz w:val="24"/>
          <w:highlight w:val="none"/>
          <w:lang w:val="en-US" w:eastAsia="zh-CN"/>
        </w:rPr>
        <w:t>启</w:t>
      </w:r>
    </w:p>
    <w:p w14:paraId="3812D13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pacing w:val="3"/>
          <w:sz w:val="24"/>
          <w:highlight w:val="none"/>
        </w:rPr>
        <w:t>由采购</w:t>
      </w:r>
      <w:r>
        <w:rPr>
          <w:rFonts w:hint="eastAsia" w:ascii="CQDPIK+·ÂËÎ" w:hAnsi="CQDPIK+·ÂËÎ" w:cs="CQDPIK+·ÂËÎ"/>
          <w:color w:val="auto"/>
          <w:spacing w:val="3"/>
          <w:sz w:val="24"/>
          <w:highlight w:val="none"/>
        </w:rPr>
        <w:t>代理机构</w:t>
      </w:r>
      <w:r>
        <w:rPr>
          <w:rFonts w:ascii="CQDPIK+·ÂËÎ" w:hAnsi="CQDPIK+·ÂËÎ" w:cs="CQDPIK+·ÂËÎ"/>
          <w:color w:val="auto"/>
          <w:spacing w:val="3"/>
          <w:sz w:val="24"/>
          <w:highlight w:val="none"/>
        </w:rPr>
        <w:t>按磋商文件规定的时间和地点主持采购会议，参会人员由采购</w:t>
      </w:r>
      <w:r>
        <w:rPr>
          <w:rFonts w:hint="eastAsia" w:ascii="CQDPIK+·ÂËÎ" w:hAnsi="CQDPIK+·ÂËÎ" w:cs="CQDPIK+·ÂËÎ"/>
          <w:color w:val="auto"/>
          <w:spacing w:val="3"/>
          <w:sz w:val="24"/>
          <w:highlight w:val="none"/>
        </w:rPr>
        <w:t>代理机构</w:t>
      </w:r>
      <w:r>
        <w:rPr>
          <w:rFonts w:ascii="CQDPIK+·ÂËÎ" w:hAnsi="CQDPIK+·ÂËÎ" w:cs="CQDPIK+·ÂËÎ"/>
          <w:color w:val="auto"/>
          <w:spacing w:val="3"/>
          <w:sz w:val="24"/>
          <w:highlight w:val="none"/>
        </w:rPr>
        <w:t>工作人</w:t>
      </w:r>
      <w:r>
        <w:rPr>
          <w:rFonts w:ascii="CQDPIK+·ÂËÎ" w:hAnsi="CQDPIK+·ÂËÎ" w:cs="CQDPIK+·ÂËÎ"/>
          <w:color w:val="auto"/>
          <w:sz w:val="24"/>
          <w:highlight w:val="none"/>
        </w:rPr>
        <w:t>员（主持人、记录人）、监标人员（采购人代表）、以及供应商组成。</w:t>
      </w:r>
    </w:p>
    <w:p w14:paraId="6E9C2CC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 xml:space="preserve">30.1 </w:t>
      </w:r>
      <w:r>
        <w:rPr>
          <w:rFonts w:ascii="CQDPIK+·ÂËÎ" w:hAnsi="CQDPIK+·ÂËÎ" w:cs="CQDPIK+·ÂËÎ"/>
          <w:color w:val="auto"/>
          <w:sz w:val="24"/>
          <w:highlight w:val="none"/>
        </w:rPr>
        <w:t>开</w:t>
      </w:r>
      <w:r>
        <w:rPr>
          <w:rFonts w:hint="eastAsia" w:ascii="CQDPIK+·ÂËÎ" w:hAnsi="CQDPIK+·ÂËÎ" w:cs="CQDPIK+·ÂËÎ"/>
          <w:color w:val="auto"/>
          <w:sz w:val="24"/>
          <w:highlight w:val="none"/>
          <w:lang w:val="en-US" w:eastAsia="zh-CN"/>
        </w:rPr>
        <w:t>启</w:t>
      </w:r>
      <w:r>
        <w:rPr>
          <w:rFonts w:ascii="CQDPIK+·ÂËÎ" w:hAnsi="CQDPIK+·ÂËÎ" w:cs="CQDPIK+·ÂËÎ"/>
          <w:color w:val="auto"/>
          <w:sz w:val="24"/>
          <w:highlight w:val="none"/>
        </w:rPr>
        <w:t>时，出现下列情形之一的，采购</w:t>
      </w:r>
      <w:r>
        <w:rPr>
          <w:rFonts w:hint="eastAsia" w:ascii="CQDPIK+·ÂËÎ" w:hAnsi="CQDPIK+·ÂËÎ" w:cs="CQDPIK+·ÂËÎ"/>
          <w:color w:val="auto"/>
          <w:sz w:val="24"/>
          <w:highlight w:val="none"/>
        </w:rPr>
        <w:t>代理机构</w:t>
      </w:r>
      <w:r>
        <w:rPr>
          <w:rFonts w:ascii="CQDPIK+·ÂËÎ" w:hAnsi="CQDPIK+·ÂËÎ" w:cs="CQDPIK+·ÂËÎ"/>
          <w:color w:val="auto"/>
          <w:sz w:val="24"/>
          <w:highlight w:val="none"/>
        </w:rPr>
        <w:t>不予受理，不得进入评审：</w:t>
      </w:r>
    </w:p>
    <w:p w14:paraId="277608BC">
      <w:pPr>
        <w:keepNext w:val="0"/>
        <w:keepLines w:val="0"/>
        <w:pageBreakBefore w:val="0"/>
        <w:kinsoku/>
        <w:wordWrap/>
        <w:overflowPunct/>
        <w:topLinePunct w:val="0"/>
        <w:bidi w:val="0"/>
        <w:spacing w:line="360" w:lineRule="exact"/>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）电子响应文件未按磋商文件要求提交的；</w:t>
      </w:r>
    </w:p>
    <w:p w14:paraId="0ADBA92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ascii="CQDPIK+·ÂËÎ" w:hAnsi="CQDPIK+·ÂËÎ" w:cs="CQDPIK+·ÂËÎ"/>
          <w:color w:val="auto"/>
          <w:sz w:val="24"/>
          <w:highlight w:val="none"/>
        </w:rPr>
        <w:t>未按磋商文件内容执行的或其他违反法律、法规的情形。</w:t>
      </w:r>
    </w:p>
    <w:p w14:paraId="242087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Ansi="Calibri"/>
          <w:color w:val="auto"/>
          <w:spacing w:val="60"/>
          <w:sz w:val="24"/>
          <w:highlight w:val="none"/>
        </w:rPr>
        <w:t xml:space="preserve"> </w:t>
      </w:r>
      <w:r>
        <w:rPr>
          <w:rFonts w:ascii="CQDPIK+·ÂËÎ" w:hAnsi="CQDPIK+·ÂËÎ" w:cs="CQDPIK+·ÂËÎ"/>
          <w:color w:val="auto"/>
          <w:sz w:val="24"/>
          <w:highlight w:val="none"/>
        </w:rPr>
        <w:t>开</w:t>
      </w:r>
      <w:r>
        <w:rPr>
          <w:rFonts w:hint="eastAsia" w:ascii="CQDPIK+·ÂËÎ" w:hAnsi="CQDPIK+·ÂËÎ" w:cs="CQDPIK+·ÂËÎ"/>
          <w:color w:val="auto"/>
          <w:sz w:val="24"/>
          <w:highlight w:val="none"/>
          <w:lang w:val="en-US" w:eastAsia="zh-CN"/>
        </w:rPr>
        <w:t>启</w:t>
      </w:r>
      <w:r>
        <w:rPr>
          <w:rFonts w:ascii="CQDPIK+·ÂËÎ" w:hAnsi="CQDPIK+·ÂËÎ" w:cs="CQDPIK+·ÂËÎ"/>
          <w:color w:val="auto"/>
          <w:sz w:val="24"/>
          <w:highlight w:val="none"/>
        </w:rPr>
        <w:t>程序</w:t>
      </w:r>
    </w:p>
    <w:p w14:paraId="45ADB61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int="eastAsia" w:hAnsi="Calibri"/>
          <w:color w:val="auto"/>
          <w:sz w:val="24"/>
          <w:highlight w:val="none"/>
          <w:lang w:val="en-US" w:eastAsia="zh-CN"/>
        </w:rPr>
        <w:t>1</w:t>
      </w:r>
      <w:r>
        <w:rPr>
          <w:rFonts w:hAnsi="Calibri"/>
          <w:color w:val="auto"/>
          <w:spacing w:val="38"/>
          <w:sz w:val="24"/>
          <w:highlight w:val="none"/>
        </w:rPr>
        <w:t xml:space="preserve"> </w:t>
      </w:r>
      <w:r>
        <w:rPr>
          <w:rFonts w:ascii="CQDPIK+·ÂËÎ" w:hAnsi="CQDPIK+·ÂËÎ" w:cs="CQDPIK+·ÂËÎ"/>
          <w:color w:val="auto"/>
          <w:spacing w:val="2"/>
          <w:sz w:val="24"/>
          <w:highlight w:val="none"/>
        </w:rPr>
        <w:t>资格审查：根据法律法规和磋商文件的规定，监标人及</w:t>
      </w:r>
      <w:r>
        <w:rPr>
          <w:rFonts w:hint="eastAsia" w:ascii="CQDPIK+·ÂËÎ" w:hAnsi="CQDPIK+·ÂËÎ" w:cs="CQDPIK+·ÂËÎ"/>
          <w:color w:val="auto"/>
          <w:spacing w:val="2"/>
          <w:sz w:val="24"/>
          <w:highlight w:val="none"/>
        </w:rPr>
        <w:t>工作</w:t>
      </w:r>
      <w:r>
        <w:rPr>
          <w:rFonts w:ascii="CQDPIK+·ÂËÎ" w:hAnsi="CQDPIK+·ÂËÎ" w:cs="CQDPIK+·ÂËÎ"/>
          <w:color w:val="auto"/>
          <w:spacing w:val="2"/>
          <w:sz w:val="24"/>
          <w:highlight w:val="none"/>
        </w:rPr>
        <w:t>人员对供应商进行</w:t>
      </w:r>
      <w:r>
        <w:rPr>
          <w:rFonts w:ascii="CQDPIK+·ÂËÎ" w:hAnsi="CQDPIK+·ÂËÎ" w:cs="CQDPIK+·ÂËÎ"/>
          <w:color w:val="auto"/>
          <w:sz w:val="24"/>
          <w:highlight w:val="none"/>
        </w:rPr>
        <w:t>资格审查，以确定供应商是否具备响应资格，并现场宣布审查结果。</w:t>
      </w:r>
    </w:p>
    <w:p w14:paraId="3766CC2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int="eastAsia" w:hAnsi="Calibri"/>
          <w:color w:val="auto"/>
          <w:sz w:val="24"/>
          <w:highlight w:val="none"/>
          <w:lang w:val="en-US" w:eastAsia="zh-CN"/>
        </w:rPr>
        <w:t>2</w:t>
      </w:r>
      <w:r>
        <w:rPr>
          <w:rFonts w:hAnsi="Calibri"/>
          <w:color w:val="auto"/>
          <w:spacing w:val="38"/>
          <w:sz w:val="24"/>
          <w:highlight w:val="none"/>
        </w:rPr>
        <w:t xml:space="preserve"> </w:t>
      </w:r>
      <w:r>
        <w:rPr>
          <w:rFonts w:ascii="CQDPIK+·ÂËÎ" w:hAnsi="CQDPIK+·ÂËÎ" w:cs="CQDPIK+·ÂËÎ"/>
          <w:color w:val="auto"/>
          <w:spacing w:val="2"/>
          <w:sz w:val="24"/>
          <w:highlight w:val="none"/>
        </w:rPr>
        <w:t>唱标：主持人当众宣读供应商的名称、报价，供货期及质保期或完工期及服务</w:t>
      </w:r>
      <w:r>
        <w:rPr>
          <w:rFonts w:ascii="CQDPIK+·ÂËÎ" w:hAnsi="CQDPIK+·ÂËÎ" w:cs="CQDPIK+·ÂËÎ"/>
          <w:color w:val="auto"/>
          <w:sz w:val="24"/>
          <w:highlight w:val="none"/>
        </w:rPr>
        <w:t>期等采购</w:t>
      </w:r>
      <w:r>
        <w:rPr>
          <w:rFonts w:hint="eastAsia" w:ascii="CQDPIK+·ÂËÎ" w:hAnsi="CQDPIK+·ÂËÎ" w:cs="CQDPIK+·ÂËÎ"/>
          <w:color w:val="auto"/>
          <w:sz w:val="24"/>
          <w:highlight w:val="none"/>
        </w:rPr>
        <w:t>代理机构</w:t>
      </w:r>
      <w:r>
        <w:rPr>
          <w:rFonts w:ascii="CQDPIK+·ÂËÎ" w:hAnsi="CQDPIK+·ÂËÎ" w:cs="CQDPIK+·ÂËÎ"/>
          <w:color w:val="auto"/>
          <w:sz w:val="24"/>
          <w:highlight w:val="none"/>
        </w:rPr>
        <w:t>认为合适的其他详细内容。</w:t>
      </w:r>
    </w:p>
    <w:p w14:paraId="5D150CF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w:t>
      </w:r>
      <w:r>
        <w:rPr>
          <w:rFonts w:hAnsi="Calibri"/>
          <w:b/>
          <w:color w:val="auto"/>
          <w:spacing w:val="60"/>
          <w:sz w:val="24"/>
          <w:highlight w:val="none"/>
        </w:rPr>
        <w:t xml:space="preserve"> </w:t>
      </w:r>
      <w:r>
        <w:rPr>
          <w:rFonts w:ascii="IHPKHT+·ÂËÎ" w:hAnsi="IHPKHT+·ÂËÎ" w:cs="IHPKHT+·ÂËÎ"/>
          <w:color w:val="auto"/>
          <w:spacing w:val="2"/>
          <w:sz w:val="24"/>
          <w:highlight w:val="none"/>
        </w:rPr>
        <w:t>评审</w:t>
      </w:r>
    </w:p>
    <w:p w14:paraId="2E6E70E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31.1</w:t>
      </w:r>
      <w:r>
        <w:rPr>
          <w:rFonts w:hAnsi="Calibri"/>
          <w:b/>
          <w:color w:val="auto"/>
          <w:spacing w:val="60"/>
          <w:sz w:val="24"/>
          <w:highlight w:val="none"/>
        </w:rPr>
        <w:t xml:space="preserve"> </w:t>
      </w:r>
      <w:r>
        <w:rPr>
          <w:rFonts w:ascii="IHPKHT+·ÂËÎ" w:hAnsi="IHPKHT+·ÂËÎ" w:cs="IHPKHT+·ÂËÎ"/>
          <w:color w:val="auto"/>
          <w:spacing w:val="1"/>
          <w:sz w:val="24"/>
          <w:highlight w:val="none"/>
        </w:rPr>
        <w:t>磋商小组</w:t>
      </w:r>
    </w:p>
    <w:p w14:paraId="6A9E6D8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31.1.1</w:t>
      </w:r>
      <w:r>
        <w:rPr>
          <w:rFonts w:hAnsi="Calibri"/>
          <w:color w:val="auto"/>
          <w:spacing w:val="41"/>
          <w:sz w:val="24"/>
          <w:highlight w:val="none"/>
        </w:rPr>
        <w:t xml:space="preserve"> </w:t>
      </w:r>
      <w:r>
        <w:rPr>
          <w:rFonts w:ascii="IHPKHT+·ÂËÎ" w:hAnsi="IHPKHT+·ÂËÎ" w:cs="IHPKHT+·ÂËÎ"/>
          <w:color w:val="auto"/>
          <w:spacing w:val="4"/>
          <w:sz w:val="24"/>
          <w:highlight w:val="none"/>
        </w:rPr>
        <w:t>评审由依法组建的奇数人数组成的磋商小组负责。评审依法进行，任何单位和</w:t>
      </w:r>
      <w:r>
        <w:rPr>
          <w:rFonts w:ascii="IHPKHT+·ÂËÎ" w:hAnsi="IHPKHT+·ÂËÎ" w:cs="IHPKHT+·ÂËÎ"/>
          <w:color w:val="auto"/>
          <w:sz w:val="24"/>
          <w:highlight w:val="none"/>
        </w:rPr>
        <w:t>个人不得干预、影响评审的过程和结果。</w:t>
      </w:r>
    </w:p>
    <w:p w14:paraId="6ACC11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31.2</w:t>
      </w:r>
      <w:r>
        <w:rPr>
          <w:rFonts w:hAnsi="Calibri"/>
          <w:b/>
          <w:color w:val="auto"/>
          <w:spacing w:val="60"/>
          <w:sz w:val="24"/>
          <w:highlight w:val="none"/>
        </w:rPr>
        <w:t xml:space="preserve"> </w:t>
      </w:r>
      <w:r>
        <w:rPr>
          <w:rFonts w:ascii="IHPKHT+·ÂËÎ" w:hAnsi="IHPKHT+·ÂËÎ" w:cs="IHPKHT+·ÂËÎ"/>
          <w:color w:val="auto"/>
          <w:spacing w:val="2"/>
          <w:sz w:val="24"/>
          <w:highlight w:val="none"/>
        </w:rPr>
        <w:t>评审原则</w:t>
      </w:r>
    </w:p>
    <w:p w14:paraId="74E5276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1</w:t>
      </w:r>
      <w:r>
        <w:rPr>
          <w:rFonts w:ascii="IHPKHT+·ÂËÎ" w:hAnsi="IHPKHT+·ÂËÎ" w:cs="IHPKHT+·ÂËÎ"/>
          <w:color w:val="auto"/>
          <w:sz w:val="24"/>
          <w:highlight w:val="none"/>
        </w:rPr>
        <w:t>）评审过程中应遵循公开、公平、公正、择优的原则；</w:t>
      </w:r>
    </w:p>
    <w:p w14:paraId="6F512F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2</w:t>
      </w:r>
      <w:r>
        <w:rPr>
          <w:rFonts w:ascii="IHPKHT+·ÂËÎ" w:hAnsi="IHPKHT+·ÂËÎ" w:cs="IHPKHT+·ÂËÎ"/>
          <w:color w:val="auto"/>
          <w:sz w:val="24"/>
          <w:highlight w:val="none"/>
        </w:rPr>
        <w:t>）评审应同时维护采购人和供应商的利益；</w:t>
      </w:r>
    </w:p>
    <w:p w14:paraId="482AC16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3</w:t>
      </w:r>
      <w:r>
        <w:rPr>
          <w:rFonts w:ascii="IHPKHT+·ÂËÎ" w:hAnsi="IHPKHT+·ÂËÎ" w:cs="IHPKHT+·ÂËÎ"/>
          <w:color w:val="auto"/>
          <w:sz w:val="24"/>
          <w:highlight w:val="none"/>
        </w:rPr>
        <w:t>）资格审查合格的供应商，成交机会均等；</w:t>
      </w:r>
    </w:p>
    <w:p w14:paraId="2111A12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4</w:t>
      </w:r>
      <w:r>
        <w:rPr>
          <w:rFonts w:ascii="IHPKHT+·ÂËÎ" w:hAnsi="IHPKHT+·ÂËÎ" w:cs="IHPKHT+·ÂËÎ"/>
          <w:color w:val="auto"/>
          <w:sz w:val="24"/>
          <w:highlight w:val="none"/>
        </w:rPr>
        <w:t>）磋商小组成员应独立进行评审，对个人的评审意见承担法律责任；</w:t>
      </w:r>
    </w:p>
    <w:p w14:paraId="3DECD35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5</w:t>
      </w:r>
      <w:r>
        <w:rPr>
          <w:rFonts w:ascii="IHPKHT+·ÂËÎ" w:hAnsi="IHPKHT+·ÂËÎ" w:cs="IHPKHT+·ÂËÎ"/>
          <w:color w:val="auto"/>
          <w:sz w:val="24"/>
          <w:highlight w:val="none"/>
        </w:rPr>
        <w:t>）磋商小组成员不得私自泄露评审内容；</w:t>
      </w:r>
    </w:p>
    <w:p w14:paraId="0174152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6</w:t>
      </w:r>
      <w:r>
        <w:rPr>
          <w:rFonts w:ascii="IHPKHT+·ÂËÎ" w:hAnsi="IHPKHT+·ÂËÎ" w:cs="IHPKHT+·ÂËÎ"/>
          <w:color w:val="auto"/>
          <w:sz w:val="24"/>
          <w:highlight w:val="none"/>
        </w:rPr>
        <w:t>）评审采取质量、性能、价格、服务综合评比。</w:t>
      </w:r>
    </w:p>
    <w:p w14:paraId="19D476F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31.3</w:t>
      </w:r>
      <w:r>
        <w:rPr>
          <w:rFonts w:hAnsi="Calibri"/>
          <w:b/>
          <w:color w:val="auto"/>
          <w:spacing w:val="60"/>
          <w:sz w:val="24"/>
          <w:highlight w:val="none"/>
        </w:rPr>
        <w:t xml:space="preserve"> </w:t>
      </w:r>
      <w:r>
        <w:rPr>
          <w:rFonts w:ascii="IHPKHT+·ÂËÎ" w:hAnsi="IHPKHT+·ÂËÎ" w:cs="IHPKHT+·ÂËÎ"/>
          <w:color w:val="auto"/>
          <w:spacing w:val="2"/>
          <w:sz w:val="24"/>
          <w:highlight w:val="none"/>
        </w:rPr>
        <w:t>评审方法</w:t>
      </w:r>
    </w:p>
    <w:p w14:paraId="4B4FDC2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pacing w:val="3"/>
          <w:sz w:val="24"/>
          <w:highlight w:val="none"/>
        </w:rPr>
        <w:t>评审方法：综合评分法，是指响应文件满足磋商文件全部实质性要求，按照评审因素</w:t>
      </w:r>
      <w:r>
        <w:rPr>
          <w:rFonts w:ascii="IHPKHT+·ÂËÎ" w:hAnsi="IHPKHT+·ÂËÎ" w:cs="IHPKHT+·ÂËÎ"/>
          <w:color w:val="auto"/>
          <w:sz w:val="24"/>
          <w:highlight w:val="none"/>
        </w:rPr>
        <w:t>的量化指标评审，综合得分最高的供应商为成交候选人的评审方法。</w:t>
      </w:r>
    </w:p>
    <w:p w14:paraId="7303C61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31.4</w:t>
      </w:r>
      <w:r>
        <w:rPr>
          <w:rFonts w:hAnsi="Calibri"/>
          <w:b/>
          <w:color w:val="auto"/>
          <w:spacing w:val="60"/>
          <w:sz w:val="24"/>
          <w:highlight w:val="none"/>
        </w:rPr>
        <w:t xml:space="preserve"> </w:t>
      </w:r>
      <w:r>
        <w:rPr>
          <w:rFonts w:ascii="IHPKHT+·ÂËÎ" w:hAnsi="IHPKHT+·ÂËÎ" w:cs="IHPKHT+·ÂËÎ"/>
          <w:color w:val="auto"/>
          <w:spacing w:val="1"/>
          <w:sz w:val="24"/>
          <w:highlight w:val="none"/>
        </w:rPr>
        <w:t>响应文件的初步评审</w:t>
      </w:r>
    </w:p>
    <w:p w14:paraId="1EA9AC12">
      <w:pPr>
        <w:keepNext w:val="0"/>
        <w:keepLines w:val="0"/>
        <w:pageBreakBefore w:val="0"/>
        <w:kinsoku/>
        <w:wordWrap/>
        <w:overflowPunct/>
        <w:topLinePunct w:val="0"/>
        <w:bidi w:val="0"/>
        <w:spacing w:line="360" w:lineRule="exact"/>
        <w:ind w:left="0" w:leftChars="0" w:firstLine="0" w:firstLineChars="0"/>
        <w:textAlignment w:val="auto"/>
        <w:rPr>
          <w:rFonts w:ascii="IHPKHT+·ÂËÎ" w:hAnsi="IHPKHT+·ÂËÎ" w:cs="IHPKHT+·ÂËÎ"/>
          <w:color w:val="auto"/>
          <w:spacing w:val="4"/>
          <w:sz w:val="24"/>
          <w:highlight w:val="none"/>
        </w:rPr>
      </w:pPr>
      <w:r>
        <w:rPr>
          <w:rFonts w:hAnsi="Calibri"/>
          <w:color w:val="auto"/>
          <w:sz w:val="24"/>
          <w:highlight w:val="none"/>
        </w:rPr>
        <w:t>31.4.1</w:t>
      </w:r>
      <w:r>
        <w:rPr>
          <w:rFonts w:hAnsi="Calibri"/>
          <w:color w:val="auto"/>
          <w:spacing w:val="41"/>
          <w:sz w:val="24"/>
          <w:highlight w:val="none"/>
        </w:rPr>
        <w:t xml:space="preserve"> </w:t>
      </w:r>
      <w:r>
        <w:rPr>
          <w:rFonts w:ascii="IHPKHT+·ÂËÎ" w:hAnsi="IHPKHT+·ÂËÎ" w:cs="IHPKHT+·ÂËÎ"/>
          <w:color w:val="auto"/>
          <w:spacing w:val="4"/>
          <w:sz w:val="24"/>
          <w:highlight w:val="none"/>
        </w:rPr>
        <w:t>符合性审查</w:t>
      </w:r>
    </w:p>
    <w:p w14:paraId="0CEA1BE1">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ascii="IHPKHT+·ÂËÎ" w:hAnsi="IHPKHT+·ÂËÎ" w:cs="IHPKHT+·ÂËÎ"/>
          <w:color w:val="auto"/>
          <w:spacing w:val="4"/>
          <w:sz w:val="24"/>
          <w:highlight w:val="none"/>
        </w:rPr>
        <w:t>磋商小组将对进入评审阶段的响应文件进行审查，依据磋商文件</w:t>
      </w:r>
      <w:r>
        <w:rPr>
          <w:rFonts w:ascii="IHPKHT+·ÂËÎ" w:hAnsi="IHPKHT+·ÂËÎ" w:cs="IHPKHT+·ÂËÎ"/>
          <w:color w:val="auto"/>
          <w:spacing w:val="1"/>
          <w:sz w:val="24"/>
          <w:highlight w:val="none"/>
        </w:rPr>
        <w:t>的规定，针对响应文件的有效性、完整性和响应程度按照以下对照表逐项列出全部偏差，</w:t>
      </w:r>
      <w:r>
        <w:rPr>
          <w:rFonts w:ascii="IHPKHT+·ÂËÎ" w:hAnsi="IHPKHT+·ÂËÎ" w:cs="IHPKHT+·ÂËÎ"/>
          <w:color w:val="auto"/>
          <w:sz w:val="24"/>
          <w:highlight w:val="none"/>
        </w:rPr>
        <w:t>以确定是否对磋商文件的实质性要求做出响应。响应偏差分为重大偏差和细微偏差。</w:t>
      </w:r>
    </w:p>
    <w:p w14:paraId="0F45689E">
      <w:pPr>
        <w:pStyle w:val="15"/>
        <w:pageBreakBefore w:val="0"/>
        <w:kinsoku/>
        <w:wordWrap/>
        <w:overflowPunct/>
        <w:topLinePunct w:val="0"/>
        <w:bidi w:val="0"/>
        <w:spacing w:line="360" w:lineRule="auto"/>
        <w:jc w:val="center"/>
        <w:rPr>
          <w:rFonts w:hint="eastAsia"/>
          <w:b/>
          <w:bCs/>
          <w:color w:val="auto"/>
          <w:sz w:val="24"/>
          <w:highlight w:val="none"/>
        </w:rPr>
      </w:pPr>
    </w:p>
    <w:p w14:paraId="68CC3DA0">
      <w:pPr>
        <w:pStyle w:val="15"/>
        <w:pageBreakBefore w:val="0"/>
        <w:kinsoku/>
        <w:wordWrap/>
        <w:overflowPunct/>
        <w:topLinePunct w:val="0"/>
        <w:bidi w:val="0"/>
        <w:spacing w:line="360" w:lineRule="auto"/>
        <w:jc w:val="center"/>
        <w:rPr>
          <w:rFonts w:hint="eastAsia"/>
          <w:b/>
          <w:bCs/>
          <w:color w:val="auto"/>
          <w:sz w:val="24"/>
          <w:highlight w:val="none"/>
        </w:rPr>
      </w:pPr>
    </w:p>
    <w:p w14:paraId="15377624">
      <w:pPr>
        <w:pStyle w:val="15"/>
        <w:pageBreakBefore w:val="0"/>
        <w:kinsoku/>
        <w:wordWrap/>
        <w:overflowPunct/>
        <w:topLinePunct w:val="0"/>
        <w:bidi w:val="0"/>
        <w:spacing w:line="360" w:lineRule="auto"/>
        <w:jc w:val="center"/>
        <w:rPr>
          <w:color w:val="auto"/>
          <w:sz w:val="24"/>
          <w:highlight w:val="none"/>
        </w:rPr>
      </w:pPr>
      <w:r>
        <w:rPr>
          <w:rFonts w:hint="eastAsia"/>
          <w:b/>
          <w:bCs/>
          <w:color w:val="auto"/>
          <w:sz w:val="24"/>
          <w:highlight w:val="none"/>
        </w:rPr>
        <w:t>符合性审查对照表</w:t>
      </w:r>
    </w:p>
    <w:tbl>
      <w:tblPr>
        <w:tblStyle w:val="26"/>
        <w:tblW w:w="0" w:type="auto"/>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593"/>
        <w:gridCol w:w="3576"/>
        <w:gridCol w:w="843"/>
        <w:gridCol w:w="843"/>
        <w:gridCol w:w="891"/>
      </w:tblGrid>
      <w:tr w14:paraId="3250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9280" w:type="dxa"/>
            <w:gridSpan w:val="6"/>
          </w:tcPr>
          <w:p w14:paraId="675F96E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天山区东门街道区域养老服务中心改造项目（监理）</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eastAsia="zh-CN"/>
              </w:rPr>
              <w:t>ZDJD2025-CS-019</w:t>
            </w:r>
            <w:r>
              <w:rPr>
                <w:rFonts w:hint="eastAsia" w:ascii="宋体" w:hAnsi="宋体" w:eastAsia="宋体" w:cs="宋体"/>
                <w:color w:val="auto"/>
                <w:sz w:val="24"/>
                <w:szCs w:val="24"/>
                <w:highlight w:val="none"/>
              </w:rPr>
              <w:t>)评审细则</w:t>
            </w:r>
          </w:p>
        </w:tc>
      </w:tr>
      <w:tr w14:paraId="5146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48" w:type="dxa"/>
            <w:vMerge w:val="restart"/>
            <w:vAlign w:val="center"/>
          </w:tcPr>
          <w:p w14:paraId="539EBB0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268" w:type="dxa"/>
            <w:vMerge w:val="restart"/>
            <w:vAlign w:val="center"/>
          </w:tcPr>
          <w:p w14:paraId="342FDB8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2977" w:type="dxa"/>
            <w:vMerge w:val="restart"/>
            <w:vAlign w:val="center"/>
          </w:tcPr>
          <w:p w14:paraId="39B47E1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审查因素</w:t>
            </w:r>
          </w:p>
        </w:tc>
        <w:tc>
          <w:tcPr>
            <w:tcW w:w="2268" w:type="dxa"/>
            <w:gridSpan w:val="2"/>
            <w:vAlign w:val="center"/>
          </w:tcPr>
          <w:p w14:paraId="28B018B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是否符合</w:t>
            </w:r>
          </w:p>
        </w:tc>
        <w:tc>
          <w:tcPr>
            <w:tcW w:w="1219" w:type="dxa"/>
            <w:vMerge w:val="restart"/>
            <w:vAlign w:val="center"/>
          </w:tcPr>
          <w:p w14:paraId="00672F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611F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48" w:type="dxa"/>
            <w:vMerge w:val="continue"/>
            <w:vAlign w:val="center"/>
          </w:tcPr>
          <w:p w14:paraId="1485593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268" w:type="dxa"/>
            <w:vMerge w:val="continue"/>
            <w:vAlign w:val="center"/>
          </w:tcPr>
          <w:p w14:paraId="670F5F2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977" w:type="dxa"/>
            <w:vMerge w:val="continue"/>
            <w:vAlign w:val="center"/>
          </w:tcPr>
          <w:p w14:paraId="5957F1C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vAlign w:val="center"/>
          </w:tcPr>
          <w:p w14:paraId="0EA8765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34" w:type="dxa"/>
            <w:vAlign w:val="center"/>
          </w:tcPr>
          <w:p w14:paraId="7F06F89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c>
          <w:tcPr>
            <w:tcW w:w="1219" w:type="dxa"/>
            <w:vMerge w:val="continue"/>
          </w:tcPr>
          <w:p w14:paraId="641472A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48E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8" w:type="dxa"/>
            <w:vAlign w:val="center"/>
          </w:tcPr>
          <w:p w14:paraId="660854D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68" w:type="dxa"/>
            <w:vAlign w:val="center"/>
          </w:tcPr>
          <w:p w14:paraId="2B4B76F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响应文件签署</w:t>
            </w:r>
          </w:p>
        </w:tc>
        <w:tc>
          <w:tcPr>
            <w:tcW w:w="2977" w:type="dxa"/>
          </w:tcPr>
          <w:p w14:paraId="47F761F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响应文件按磋商文件的规定签章</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签名</w:t>
            </w:r>
          </w:p>
        </w:tc>
        <w:tc>
          <w:tcPr>
            <w:tcW w:w="1134" w:type="dxa"/>
          </w:tcPr>
          <w:p w14:paraId="14D40EA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21CDDE4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8228A2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005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48" w:type="dxa"/>
            <w:vAlign w:val="center"/>
          </w:tcPr>
          <w:p w14:paraId="40FF5FA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268" w:type="dxa"/>
            <w:vAlign w:val="center"/>
          </w:tcPr>
          <w:p w14:paraId="225FAF56">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响应文件编制要求</w:t>
            </w:r>
          </w:p>
        </w:tc>
        <w:tc>
          <w:tcPr>
            <w:tcW w:w="2977" w:type="dxa"/>
          </w:tcPr>
          <w:p w14:paraId="11FA963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按照磋商文件要求提交响应文件，字迹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图表等</w:t>
            </w:r>
            <w:r>
              <w:rPr>
                <w:rFonts w:hint="eastAsia" w:ascii="宋体" w:hAnsi="宋体" w:eastAsia="宋体" w:cs="宋体"/>
                <w:color w:val="auto"/>
                <w:sz w:val="24"/>
                <w:szCs w:val="24"/>
                <w:highlight w:val="none"/>
              </w:rPr>
              <w:t>清晰</w:t>
            </w:r>
          </w:p>
        </w:tc>
        <w:tc>
          <w:tcPr>
            <w:tcW w:w="1134" w:type="dxa"/>
          </w:tcPr>
          <w:p w14:paraId="4189D4C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4A187EC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630057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868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28778DEE">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268" w:type="dxa"/>
            <w:vAlign w:val="center"/>
          </w:tcPr>
          <w:p w14:paraId="5CD6B7EB">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响应有效期</w:t>
            </w:r>
          </w:p>
        </w:tc>
        <w:tc>
          <w:tcPr>
            <w:tcW w:w="2977" w:type="dxa"/>
          </w:tcPr>
          <w:p w14:paraId="0E56FB5E">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符合磋商文件前附表的规定</w:t>
            </w:r>
          </w:p>
        </w:tc>
        <w:tc>
          <w:tcPr>
            <w:tcW w:w="1134" w:type="dxa"/>
          </w:tcPr>
          <w:p w14:paraId="555ABABB">
            <w:pPr>
              <w:pStyle w:val="2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334F115">
            <w:pPr>
              <w:pStyle w:val="2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377225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379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3AAC85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268" w:type="dxa"/>
            <w:vAlign w:val="center"/>
          </w:tcPr>
          <w:p w14:paraId="3CF8935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投标报价唯一</w:t>
            </w:r>
          </w:p>
        </w:tc>
        <w:tc>
          <w:tcPr>
            <w:tcW w:w="2977" w:type="dxa"/>
          </w:tcPr>
          <w:p w14:paraId="4F600D7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报价唯一；报价未超过预算金额或者 最高限价</w:t>
            </w:r>
          </w:p>
        </w:tc>
        <w:tc>
          <w:tcPr>
            <w:tcW w:w="1134" w:type="dxa"/>
          </w:tcPr>
          <w:p w14:paraId="21F194B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5C7B309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9B90E1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32E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240FF73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268" w:type="dxa"/>
            <w:vAlign w:val="center"/>
          </w:tcPr>
          <w:p w14:paraId="61A61C7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财务会计制度</w:t>
            </w:r>
          </w:p>
        </w:tc>
        <w:tc>
          <w:tcPr>
            <w:tcW w:w="2977" w:type="dxa"/>
          </w:tcPr>
          <w:p w14:paraId="603D5FF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应提供202</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年经第三方财务审计的审计报告</w:t>
            </w:r>
            <w:r>
              <w:rPr>
                <w:rFonts w:hint="eastAsia" w:ascii="宋体" w:hAnsi="宋体" w:eastAsia="宋体" w:cs="宋体"/>
                <w:color w:val="auto"/>
                <w:sz w:val="24"/>
                <w:szCs w:val="24"/>
                <w:highlight w:val="none"/>
                <w:lang w:val="en-US" w:eastAsia="zh-CN"/>
              </w:rPr>
              <w:t>或公司内部财务报表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年新成立的公司应提供成立之日至今其基本开户银行出具的资信证明</w:t>
            </w:r>
          </w:p>
        </w:tc>
        <w:tc>
          <w:tcPr>
            <w:tcW w:w="1134" w:type="dxa"/>
          </w:tcPr>
          <w:p w14:paraId="6EE24DF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3404C6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DCEACB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72D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75A25A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268" w:type="dxa"/>
            <w:vAlign w:val="center"/>
          </w:tcPr>
          <w:p w14:paraId="07A759F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有依法缴纳税收和社会保障资金的良好记录</w:t>
            </w:r>
          </w:p>
        </w:tc>
        <w:tc>
          <w:tcPr>
            <w:tcW w:w="2977" w:type="dxa"/>
          </w:tcPr>
          <w:p w14:paraId="6B5FC97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提交响应文件截止时间前一年内至少一个月</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社保缴纳记录凭证</w:t>
            </w:r>
          </w:p>
          <w:p w14:paraId="3F5AE18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2、提供税务部门出具的无欠税证明；</w:t>
            </w:r>
            <w:r>
              <w:rPr>
                <w:rFonts w:hint="eastAsia"/>
                <w:color w:val="auto"/>
                <w:sz w:val="24"/>
                <w:szCs w:val="24"/>
                <w:highlight w:val="none"/>
                <w:lang w:val="en-US" w:eastAsia="zh-CN"/>
              </w:rPr>
              <w:t>（搜索电子税务局-我要办税-证明开具-无欠税证明）</w:t>
            </w:r>
          </w:p>
          <w:p w14:paraId="2FF9992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如依法免税或不需要缴纳社会保障资金的，应提供相应文件证明。</w:t>
            </w:r>
          </w:p>
        </w:tc>
        <w:tc>
          <w:tcPr>
            <w:tcW w:w="1134" w:type="dxa"/>
          </w:tcPr>
          <w:p w14:paraId="1D4A3B4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E5DB95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6F74A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5B9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F12FC9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268" w:type="dxa"/>
            <w:vAlign w:val="center"/>
          </w:tcPr>
          <w:p w14:paraId="22D9063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参加政府采购活动前三年内，在经营活动中无重大违法记录；</w:t>
            </w:r>
          </w:p>
        </w:tc>
        <w:tc>
          <w:tcPr>
            <w:tcW w:w="2977" w:type="dxa"/>
          </w:tcPr>
          <w:p w14:paraId="262842B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提供参加本次政府采购活动前3 年内在经营活动中没有重大违法记录声明函</w:t>
            </w:r>
          </w:p>
        </w:tc>
        <w:tc>
          <w:tcPr>
            <w:tcW w:w="1134" w:type="dxa"/>
          </w:tcPr>
          <w:p w14:paraId="7ABC40C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DF857E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7957B7B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E8A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7B213D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268" w:type="dxa"/>
            <w:vAlign w:val="center"/>
          </w:tcPr>
          <w:p w14:paraId="24D43F5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具有履行合同所必需的设备和专业技术能力</w:t>
            </w:r>
          </w:p>
        </w:tc>
        <w:tc>
          <w:tcPr>
            <w:tcW w:w="2977" w:type="dxa"/>
          </w:tcPr>
          <w:p w14:paraId="50D73A1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提供履行合同所必需的设备和专业技术能力相关的证明材料或声明，加盖公章</w:t>
            </w:r>
          </w:p>
        </w:tc>
        <w:tc>
          <w:tcPr>
            <w:tcW w:w="1134" w:type="dxa"/>
          </w:tcPr>
          <w:p w14:paraId="617FE6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4A3C1CE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4052E5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A73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27450C9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68" w:type="dxa"/>
            <w:vAlign w:val="center"/>
          </w:tcPr>
          <w:p w14:paraId="3CAE13E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信誉情况</w:t>
            </w:r>
          </w:p>
        </w:tc>
        <w:tc>
          <w:tcPr>
            <w:tcW w:w="2977" w:type="dxa"/>
          </w:tcPr>
          <w:p w14:paraId="4BA4933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投标人未被列入“信用中国”网站(www.creditchina.gov.cn)“记录失信被执行人或重大税收违法案件当事人名单”记录名单；不处于中国政府采购网(www.ccgp.go v.cn)“政府采购严重违法失信行为信息记录”中的禁止参加政府采购活动期间。（以采购代理机构于投标（响应）截止时间当天在“信用中国”网站（www.creditchi na.gov.cn）及中国政府采购网（http://www.ccgp.gov.cn/）查询结果为准，如相关失信记录已失效，投标人需提供相关证明资料）</w:t>
            </w:r>
          </w:p>
        </w:tc>
        <w:tc>
          <w:tcPr>
            <w:tcW w:w="1134" w:type="dxa"/>
          </w:tcPr>
          <w:p w14:paraId="0D62BCA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2A6AE12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44FFF3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A8C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9A8917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68" w:type="dxa"/>
            <w:vAlign w:val="center"/>
          </w:tcPr>
          <w:p w14:paraId="753E95F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廉政承诺</w:t>
            </w:r>
          </w:p>
        </w:tc>
        <w:tc>
          <w:tcPr>
            <w:tcW w:w="2977" w:type="dxa"/>
          </w:tcPr>
          <w:p w14:paraId="490F905B">
            <w:pPr>
              <w:keepNext w:val="0"/>
              <w:keepLines w:val="0"/>
              <w:pageBreakBefore w:val="0"/>
              <w:kinsoku/>
              <w:wordWrap/>
              <w:overflowPunct/>
              <w:topLinePunct w:val="0"/>
              <w:bidi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反商业贿赂承诺书</w:t>
            </w:r>
          </w:p>
        </w:tc>
        <w:tc>
          <w:tcPr>
            <w:tcW w:w="1134" w:type="dxa"/>
          </w:tcPr>
          <w:p w14:paraId="74693DD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8BFFC6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1998E4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811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4DAB365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268" w:type="dxa"/>
            <w:vAlign w:val="center"/>
          </w:tcPr>
          <w:p w14:paraId="2F18C8A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p>
        </w:tc>
        <w:tc>
          <w:tcPr>
            <w:tcW w:w="2977" w:type="dxa"/>
          </w:tcPr>
          <w:p w14:paraId="2813F1A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满足磋商文件的要求</w:t>
            </w:r>
          </w:p>
        </w:tc>
        <w:tc>
          <w:tcPr>
            <w:tcW w:w="1134" w:type="dxa"/>
          </w:tcPr>
          <w:p w14:paraId="41DE5CD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5D463ED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7FE3E3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356B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48" w:type="dxa"/>
            <w:vAlign w:val="center"/>
          </w:tcPr>
          <w:p w14:paraId="2ECB528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268" w:type="dxa"/>
            <w:vAlign w:val="center"/>
          </w:tcPr>
          <w:p w14:paraId="5498304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是否满足投标范围的完整性要求</w:t>
            </w:r>
          </w:p>
        </w:tc>
        <w:tc>
          <w:tcPr>
            <w:tcW w:w="2977" w:type="dxa"/>
          </w:tcPr>
          <w:p w14:paraId="23587B7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是否有拆包响应或缺项漏项</w:t>
            </w:r>
          </w:p>
        </w:tc>
        <w:tc>
          <w:tcPr>
            <w:tcW w:w="1134" w:type="dxa"/>
          </w:tcPr>
          <w:p w14:paraId="15C3FB4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F55958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DE14EF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7EAF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48" w:type="dxa"/>
            <w:vAlign w:val="center"/>
          </w:tcPr>
          <w:p w14:paraId="7BE008B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2268" w:type="dxa"/>
            <w:vAlign w:val="center"/>
          </w:tcPr>
          <w:p w14:paraId="70B4C35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不能接受的条件</w:t>
            </w:r>
          </w:p>
        </w:tc>
        <w:tc>
          <w:tcPr>
            <w:tcW w:w="2977" w:type="dxa"/>
          </w:tcPr>
          <w:p w14:paraId="018583A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响应文件中无采购人不能接受的条件</w:t>
            </w:r>
          </w:p>
        </w:tc>
        <w:tc>
          <w:tcPr>
            <w:tcW w:w="1134" w:type="dxa"/>
          </w:tcPr>
          <w:p w14:paraId="4FFDBAA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214FCE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149BEB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95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2D0F0F8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2268" w:type="dxa"/>
            <w:vAlign w:val="center"/>
          </w:tcPr>
          <w:p w14:paraId="0491010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违法投标行为</w:t>
            </w:r>
          </w:p>
        </w:tc>
        <w:tc>
          <w:tcPr>
            <w:tcW w:w="2977" w:type="dxa"/>
          </w:tcPr>
          <w:p w14:paraId="05E135B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无磋商文件29款中的任一情形</w:t>
            </w:r>
          </w:p>
        </w:tc>
        <w:tc>
          <w:tcPr>
            <w:tcW w:w="1134" w:type="dxa"/>
          </w:tcPr>
          <w:p w14:paraId="50961A7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0DB587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C10C4E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BC2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48" w:type="dxa"/>
            <w:vAlign w:val="center"/>
          </w:tcPr>
          <w:p w14:paraId="5A1DE67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2268" w:type="dxa"/>
            <w:vAlign w:val="center"/>
          </w:tcPr>
          <w:p w14:paraId="4C8C5CD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w:t>
            </w:r>
          </w:p>
        </w:tc>
        <w:tc>
          <w:tcPr>
            <w:tcW w:w="2977" w:type="dxa"/>
          </w:tcPr>
          <w:p w14:paraId="1798954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符合法律法规和磋商文件规定的其他实质性条款</w:t>
            </w:r>
          </w:p>
        </w:tc>
        <w:tc>
          <w:tcPr>
            <w:tcW w:w="1134" w:type="dxa"/>
          </w:tcPr>
          <w:p w14:paraId="250243A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864318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45046D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bl>
    <w:p w14:paraId="27F0674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下列情况属于重大偏差：</w:t>
      </w:r>
    </w:p>
    <w:p w14:paraId="42D3507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w:t>
      </w:r>
      <w:r>
        <w:rPr>
          <w:rFonts w:hAnsi="Calibri"/>
          <w:color w:val="auto"/>
          <w:sz w:val="24"/>
          <w:highlight w:val="none"/>
        </w:rPr>
        <w:t>1</w:t>
      </w:r>
      <w:r>
        <w:rPr>
          <w:rFonts w:ascii="QODNGT+·ÂËÎ" w:hAnsi="QODNGT+·ÂËÎ" w:cs="QODNGT+·ÂËÎ"/>
          <w:color w:val="auto"/>
          <w:sz w:val="24"/>
          <w:highlight w:val="none"/>
        </w:rPr>
        <w:t>）不完全满足资格审查条件；</w:t>
      </w:r>
    </w:p>
    <w:p w14:paraId="61AD553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w:t>
      </w:r>
      <w:r>
        <w:rPr>
          <w:rFonts w:hAnsi="Calibri"/>
          <w:color w:val="auto"/>
          <w:sz w:val="24"/>
          <w:highlight w:val="none"/>
        </w:rPr>
        <w:t>2</w:t>
      </w:r>
      <w:r>
        <w:rPr>
          <w:rFonts w:ascii="QODNGT+·ÂËÎ" w:hAnsi="QODNGT+·ÂËÎ" w:cs="QODNGT+·ÂËÎ"/>
          <w:color w:val="auto"/>
          <w:sz w:val="24"/>
          <w:highlight w:val="none"/>
        </w:rPr>
        <w:t>）响应文件未按磋商文件的规定签章</w:t>
      </w:r>
      <w:r>
        <w:rPr>
          <w:rFonts w:hint="eastAsia" w:ascii="QODNGT+·ÂËÎ" w:hAnsi="QODNGT+·ÂËÎ" w:cs="QODNGT+·ÂËÎ"/>
          <w:color w:val="auto"/>
          <w:sz w:val="24"/>
          <w:highlight w:val="none"/>
          <w:lang w:val="en-US" w:eastAsia="zh-CN"/>
        </w:rPr>
        <w:t>及</w:t>
      </w:r>
      <w:r>
        <w:rPr>
          <w:rFonts w:ascii="QODNGT+·ÂËÎ" w:hAnsi="QODNGT+·ÂËÎ" w:cs="QODNGT+·ÂËÎ"/>
          <w:color w:val="auto"/>
          <w:sz w:val="24"/>
          <w:highlight w:val="none"/>
        </w:rPr>
        <w:t>签名；</w:t>
      </w:r>
    </w:p>
    <w:p w14:paraId="07151E5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QODNGT+·ÂËÎ" w:hAnsi="QODNGT+·ÂËÎ" w:cs="QODNGT+·ÂËÎ"/>
          <w:color w:val="auto"/>
          <w:sz w:val="24"/>
          <w:highlight w:val="none"/>
        </w:rPr>
      </w:pPr>
      <w:r>
        <w:rPr>
          <w:rFonts w:ascii="QODNGT+·ÂËÎ" w:hAnsi="QODNGT+·ÂËÎ" w:cs="QODNGT+·ÂËÎ"/>
          <w:color w:val="auto"/>
          <w:sz w:val="24"/>
          <w:highlight w:val="none"/>
        </w:rPr>
        <w:t>（</w:t>
      </w:r>
      <w:r>
        <w:rPr>
          <w:rFonts w:hAnsi="Calibri"/>
          <w:color w:val="auto"/>
          <w:sz w:val="24"/>
          <w:highlight w:val="none"/>
        </w:rPr>
        <w:t>3</w:t>
      </w:r>
      <w:r>
        <w:rPr>
          <w:rFonts w:ascii="QODNGT+·ÂËÎ" w:hAnsi="QODNGT+·ÂËÎ" w:cs="QODNGT+·ÂËÎ"/>
          <w:color w:val="auto"/>
          <w:sz w:val="24"/>
          <w:highlight w:val="none"/>
        </w:rPr>
        <w:t>）响应文件附有采购人不能接受的条件；</w:t>
      </w:r>
    </w:p>
    <w:p w14:paraId="28EB26A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4</w:t>
      </w:r>
      <w:r>
        <w:rPr>
          <w:rFonts w:ascii="TNWRRB+·ÂËÎ" w:hAnsi="TNWRRB+·ÂËÎ" w:cs="TNWRRB+·ÂËÎ"/>
          <w:color w:val="auto"/>
          <w:sz w:val="24"/>
          <w:highlight w:val="none"/>
        </w:rPr>
        <w:t>）响应文件载明的生产、检验标准和方法等不符合磋商文件的要求；</w:t>
      </w:r>
    </w:p>
    <w:p w14:paraId="11357A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5</w:t>
      </w:r>
      <w:r>
        <w:rPr>
          <w:rFonts w:ascii="TNWRRB+·ÂËÎ" w:hAnsi="TNWRRB+·ÂËÎ" w:cs="TNWRRB+·ÂËÎ"/>
          <w:color w:val="auto"/>
          <w:sz w:val="24"/>
          <w:highlight w:val="none"/>
        </w:rPr>
        <w:t>）不符合磋商文件中规定的其他实质性要求。如：</w:t>
      </w:r>
    </w:p>
    <w:p w14:paraId="3909B7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①</w:t>
      </w:r>
      <w:r>
        <w:rPr>
          <w:rFonts w:hAnsi="Calibri"/>
          <w:color w:val="auto"/>
          <w:spacing w:val="60"/>
          <w:sz w:val="24"/>
          <w:highlight w:val="none"/>
        </w:rPr>
        <w:t xml:space="preserve"> </w:t>
      </w:r>
      <w:r>
        <w:rPr>
          <w:rFonts w:ascii="TNWRRB+·ÂËÎ" w:hAnsi="TNWRRB+·ÂËÎ" w:cs="TNWRRB+·ÂËÎ"/>
          <w:color w:val="auto"/>
          <w:sz w:val="24"/>
          <w:highlight w:val="none"/>
        </w:rPr>
        <w:t>未按照磋商文件要求提交响应文件，字迹模糊不清；</w:t>
      </w:r>
    </w:p>
    <w:p w14:paraId="0D096FB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②</w:t>
      </w:r>
      <w:r>
        <w:rPr>
          <w:rFonts w:hAnsi="Calibri"/>
          <w:color w:val="auto"/>
          <w:spacing w:val="60"/>
          <w:sz w:val="24"/>
          <w:highlight w:val="none"/>
        </w:rPr>
        <w:t xml:space="preserve"> </w:t>
      </w:r>
      <w:r>
        <w:rPr>
          <w:rFonts w:ascii="TNWRRB+·ÂËÎ" w:hAnsi="TNWRRB+·ÂËÎ" w:cs="TNWRRB+·ÂËÎ"/>
          <w:color w:val="auto"/>
          <w:sz w:val="24"/>
          <w:highlight w:val="none"/>
        </w:rPr>
        <w:t>响应有效期不足；</w:t>
      </w:r>
    </w:p>
    <w:p w14:paraId="162401D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③</w:t>
      </w:r>
      <w:r>
        <w:rPr>
          <w:rFonts w:hAnsi="Calibri"/>
          <w:color w:val="auto"/>
          <w:spacing w:val="60"/>
          <w:sz w:val="24"/>
          <w:highlight w:val="none"/>
        </w:rPr>
        <w:t xml:space="preserve"> </w:t>
      </w:r>
      <w:r>
        <w:rPr>
          <w:rFonts w:ascii="TNWRRB+·ÂËÎ" w:hAnsi="TNWRRB+·ÂËÎ" w:cs="TNWRRB+·ÂËÎ"/>
          <w:color w:val="auto"/>
          <w:sz w:val="24"/>
          <w:highlight w:val="none"/>
        </w:rPr>
        <w:t>对同一项目报有两个或多个报价、报价超过预算金额或者最高限价；</w:t>
      </w:r>
    </w:p>
    <w:p w14:paraId="752ECF9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④</w:t>
      </w:r>
      <w:r>
        <w:rPr>
          <w:rFonts w:hAnsi="Calibri"/>
          <w:color w:val="auto"/>
          <w:spacing w:val="60"/>
          <w:sz w:val="24"/>
          <w:highlight w:val="none"/>
        </w:rPr>
        <w:t xml:space="preserve"> </w:t>
      </w:r>
      <w:r>
        <w:rPr>
          <w:rFonts w:ascii="TNWRRB+·ÂËÎ" w:hAnsi="TNWRRB+·ÂËÎ" w:cs="TNWRRB+·ÂËÎ"/>
          <w:color w:val="auto"/>
          <w:sz w:val="24"/>
          <w:highlight w:val="none"/>
        </w:rPr>
        <w:t>报价不合理，存在重大漏项、笔误；</w:t>
      </w:r>
    </w:p>
    <w:p w14:paraId="6AB9A8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⑤</w:t>
      </w:r>
      <w:r>
        <w:rPr>
          <w:rFonts w:hAnsi="Calibri"/>
          <w:color w:val="auto"/>
          <w:spacing w:val="60"/>
          <w:sz w:val="24"/>
          <w:highlight w:val="none"/>
        </w:rPr>
        <w:t xml:space="preserve"> </w:t>
      </w:r>
      <w:r>
        <w:rPr>
          <w:rFonts w:ascii="TNWRRB+·ÂËÎ" w:hAnsi="TNWRRB+·ÂËÎ" w:cs="TNWRRB+·ÂËÎ"/>
          <w:color w:val="auto"/>
          <w:sz w:val="24"/>
          <w:highlight w:val="none"/>
        </w:rPr>
        <w:t>供货期及质保期或完工期及服务期不满足磋商文件的要求。</w:t>
      </w:r>
    </w:p>
    <w:p w14:paraId="56993D5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6</w:t>
      </w:r>
      <w:r>
        <w:rPr>
          <w:rFonts w:ascii="TNWRRB+·ÂËÎ" w:hAnsi="TNWRRB+·ÂËÎ" w:cs="TNWRRB+·ÂËÎ"/>
          <w:color w:val="auto"/>
          <w:sz w:val="24"/>
          <w:highlight w:val="none"/>
        </w:rPr>
        <w:t>）响应范围小于磋商文件规定的采购范围，缺漏磋商文件要求的内容；</w:t>
      </w:r>
    </w:p>
    <w:p w14:paraId="56753790">
      <w:pPr>
        <w:keepNext w:val="0"/>
        <w:keepLines w:val="0"/>
        <w:pageBreakBefore w:val="0"/>
        <w:widowControl w:val="0"/>
        <w:kinsoku/>
        <w:wordWrap/>
        <w:overflowPunct/>
        <w:topLinePunct w:val="0"/>
        <w:autoSpaceDE/>
        <w:autoSpaceDN/>
        <w:bidi w:val="0"/>
        <w:adjustRightInd/>
        <w:snapToGrid/>
        <w:spacing w:line="360" w:lineRule="exact"/>
        <w:ind w:left="0" w:firstLine="488" w:firstLineChars="200"/>
        <w:textAlignment w:val="auto"/>
        <w:rPr>
          <w:rFonts w:hAnsi="Calibri"/>
          <w:color w:val="auto"/>
          <w:sz w:val="24"/>
          <w:highlight w:val="none"/>
        </w:rPr>
      </w:pPr>
      <w:r>
        <w:rPr>
          <w:rFonts w:ascii="TNWRRB+·ÂËÎ" w:hAnsi="TNWRRB+·ÂËÎ" w:cs="TNWRRB+·ÂËÎ"/>
          <w:color w:val="auto"/>
          <w:spacing w:val="2"/>
          <w:sz w:val="24"/>
          <w:highlight w:val="none"/>
        </w:rPr>
        <w:t>响应文件如有上述重大偏差之一的，视为未能对磋商文件</w:t>
      </w:r>
      <w:r>
        <w:rPr>
          <w:rFonts w:hint="eastAsia" w:ascii="TNWRRB+·ÂËÎ" w:hAnsi="TNWRRB+·ÂËÎ" w:cs="TNWRRB+·ÂËÎ"/>
          <w:color w:val="auto"/>
          <w:spacing w:val="2"/>
          <w:sz w:val="24"/>
          <w:highlight w:val="none"/>
          <w:lang w:eastAsia="zh-CN"/>
        </w:rPr>
        <w:t>作出</w:t>
      </w:r>
      <w:r>
        <w:rPr>
          <w:rFonts w:ascii="TNWRRB+·ÂËÎ" w:hAnsi="TNWRRB+·ÂËÎ" w:cs="TNWRRB+·ÂËÎ"/>
          <w:color w:val="auto"/>
          <w:spacing w:val="2"/>
          <w:sz w:val="24"/>
          <w:highlight w:val="none"/>
        </w:rPr>
        <w:t>实质性响应，为无效响</w:t>
      </w:r>
      <w:r>
        <w:rPr>
          <w:rFonts w:ascii="TNWRRB+·ÂËÎ" w:hAnsi="TNWRRB+·ÂËÎ" w:cs="TNWRRB+·ÂËÎ"/>
          <w:color w:val="auto"/>
          <w:sz w:val="24"/>
          <w:highlight w:val="none"/>
        </w:rPr>
        <w:t>应，不再进入以后的评审程序。</w:t>
      </w:r>
    </w:p>
    <w:p w14:paraId="16A96FEB">
      <w:pPr>
        <w:keepNext w:val="0"/>
        <w:keepLines w:val="0"/>
        <w:pageBreakBefore w:val="0"/>
        <w:widowControl w:val="0"/>
        <w:kinsoku/>
        <w:wordWrap/>
        <w:overflowPunct/>
        <w:topLinePunct w:val="0"/>
        <w:autoSpaceDE/>
        <w:autoSpaceDN/>
        <w:bidi w:val="0"/>
        <w:adjustRightInd/>
        <w:snapToGrid/>
        <w:spacing w:line="360" w:lineRule="exact"/>
        <w:ind w:left="0" w:firstLine="492" w:firstLineChars="200"/>
        <w:textAlignment w:val="auto"/>
        <w:rPr>
          <w:rFonts w:hAnsi="Calibri"/>
          <w:color w:val="auto"/>
          <w:sz w:val="24"/>
          <w:highlight w:val="none"/>
        </w:rPr>
      </w:pPr>
      <w:r>
        <w:rPr>
          <w:rFonts w:ascii="TNWRRB+·ÂËÎ" w:hAnsi="TNWRRB+·ÂËÎ" w:cs="TNWRRB+·ÂËÎ"/>
          <w:color w:val="auto"/>
          <w:spacing w:val="3"/>
          <w:sz w:val="24"/>
          <w:highlight w:val="none"/>
        </w:rPr>
        <w:t>细微偏差是指响应文件实质性响应磋商文件要求，但在个别地方存在漏项或者提供了</w:t>
      </w:r>
      <w:r>
        <w:rPr>
          <w:rFonts w:ascii="TNWRRB+·ÂËÎ" w:hAnsi="TNWRRB+·ÂËÎ" w:cs="TNWRRB+·ÂËÎ"/>
          <w:color w:val="auto"/>
          <w:spacing w:val="1"/>
          <w:sz w:val="24"/>
          <w:highlight w:val="none"/>
        </w:rPr>
        <w:t>不完整的技术信息或数据等情况，并且补正这些遗漏或者不完整不会对其他供应商造成不</w:t>
      </w:r>
      <w:r>
        <w:rPr>
          <w:rFonts w:ascii="TNWRRB+·ÂËÎ" w:hAnsi="TNWRRB+·ÂËÎ" w:cs="TNWRRB+·ÂËÎ"/>
          <w:color w:val="auto"/>
          <w:sz w:val="24"/>
          <w:highlight w:val="none"/>
        </w:rPr>
        <w:t>公平结果。细微偏差不影响响应文件的有效性。</w:t>
      </w:r>
    </w:p>
    <w:p w14:paraId="45143DFE">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Ansi="Calibri"/>
          <w:color w:val="auto"/>
          <w:sz w:val="24"/>
          <w:highlight w:val="none"/>
        </w:rPr>
      </w:pPr>
      <w:r>
        <w:rPr>
          <w:rFonts w:ascii="TNWRRB+·ÂËÎ" w:hAnsi="TNWRRB+·ÂËÎ" w:cs="TNWRRB+·ÂËÎ"/>
          <w:color w:val="auto"/>
          <w:sz w:val="24"/>
          <w:highlight w:val="none"/>
        </w:rPr>
        <w:t>磋商小组应当书面要求存在细微偏差的供应商在评审结</w:t>
      </w:r>
      <w:r>
        <w:rPr>
          <w:rFonts w:hint="eastAsia" w:ascii="TNWRRB+·ÂËÎ" w:hAnsi="TNWRRB+·ÂËÎ" w:cs="TNWRRB+·ÂËÎ"/>
          <w:color w:val="auto"/>
          <w:sz w:val="24"/>
          <w:highlight w:val="none"/>
          <w:lang w:val="en-US" w:eastAsia="zh-CN"/>
        </w:rPr>
        <w:t>束</w:t>
      </w:r>
      <w:r>
        <w:rPr>
          <w:rFonts w:ascii="TNWRRB+·ÂËÎ" w:hAnsi="TNWRRB+·ÂËÎ" w:cs="TNWRRB+·ÂËÎ"/>
          <w:color w:val="auto"/>
          <w:sz w:val="24"/>
          <w:highlight w:val="none"/>
        </w:rPr>
        <w:t>前予以补正。</w:t>
      </w:r>
    </w:p>
    <w:p w14:paraId="46FC572F">
      <w:pPr>
        <w:keepNext w:val="0"/>
        <w:keepLines w:val="0"/>
        <w:pageBreakBefore w:val="0"/>
        <w:widowControl w:val="0"/>
        <w:kinsoku/>
        <w:wordWrap/>
        <w:overflowPunct/>
        <w:topLinePunct w:val="0"/>
        <w:autoSpaceDE/>
        <w:autoSpaceDN/>
        <w:bidi w:val="0"/>
        <w:adjustRightInd/>
        <w:snapToGrid/>
        <w:spacing w:line="360" w:lineRule="exact"/>
        <w:ind w:left="0" w:firstLine="492" w:firstLineChars="200"/>
        <w:textAlignment w:val="auto"/>
        <w:rPr>
          <w:rFonts w:hAnsi="Calibri"/>
          <w:color w:val="auto"/>
          <w:sz w:val="24"/>
          <w:highlight w:val="none"/>
        </w:rPr>
      </w:pPr>
      <w:r>
        <w:rPr>
          <w:rFonts w:ascii="TNWRRB+·ÂËÎ" w:hAnsi="TNWRRB+·ÂËÎ" w:cs="TNWRRB+·ÂËÎ"/>
          <w:color w:val="auto"/>
          <w:spacing w:val="3"/>
          <w:sz w:val="24"/>
          <w:highlight w:val="none"/>
        </w:rPr>
        <w:t>磋商小组根据上述评审标准，确定入围供应商名单，只有成为入围供应商，才能进入</w:t>
      </w:r>
      <w:r>
        <w:rPr>
          <w:rFonts w:ascii="TNWRRB+·ÂËÎ" w:hAnsi="TNWRRB+·ÂËÎ" w:cs="TNWRRB+·ÂËÎ"/>
          <w:color w:val="auto"/>
          <w:sz w:val="24"/>
          <w:highlight w:val="none"/>
        </w:rPr>
        <w:t>综合评审阶段。</w:t>
      </w:r>
    </w:p>
    <w:p w14:paraId="5AE6F222">
      <w:pPr>
        <w:keepNext w:val="0"/>
        <w:keepLines w:val="0"/>
        <w:pageBreakBefore w:val="0"/>
        <w:widowControl w:val="0"/>
        <w:kinsoku/>
        <w:wordWrap/>
        <w:overflowPunct/>
        <w:topLinePunct w:val="0"/>
        <w:autoSpaceDE/>
        <w:autoSpaceDN/>
        <w:bidi w:val="0"/>
        <w:adjustRightInd/>
        <w:snapToGrid/>
        <w:spacing w:line="360" w:lineRule="exact"/>
        <w:ind w:left="0" w:firstLine="512" w:firstLineChars="200"/>
        <w:textAlignment w:val="auto"/>
        <w:rPr>
          <w:rFonts w:hAnsi="Calibri"/>
          <w:color w:val="auto"/>
          <w:sz w:val="24"/>
          <w:highlight w:val="none"/>
        </w:rPr>
      </w:pPr>
      <w:r>
        <w:rPr>
          <w:rFonts w:ascii="TNWRRB+·ÂËÎ" w:hAnsi="TNWRRB+·ÂËÎ" w:cs="TNWRRB+·ÂËÎ"/>
          <w:color w:val="auto"/>
          <w:spacing w:val="8"/>
          <w:sz w:val="24"/>
          <w:highlight w:val="none"/>
        </w:rPr>
        <w:t>磋商小组判定响应文件是否实质性响应只根据响应文件的内容，而不依据外部的证</w:t>
      </w:r>
      <w:r>
        <w:rPr>
          <w:rFonts w:ascii="TNWRRB+·ÂËÎ" w:hAnsi="TNWRRB+·ÂËÎ" w:cs="TNWRRB+·ÂËÎ"/>
          <w:color w:val="auto"/>
          <w:spacing w:val="1"/>
          <w:sz w:val="24"/>
          <w:highlight w:val="none"/>
        </w:rPr>
        <w:t>据，但响应文件有不真实、不正确的内容时除外。供应商不得通过修正或撤销不符合要求</w:t>
      </w:r>
      <w:r>
        <w:rPr>
          <w:rFonts w:ascii="TNWRRB+·ÂËÎ" w:hAnsi="TNWRRB+·ÂËÎ" w:cs="TNWRRB+·ÂËÎ"/>
          <w:color w:val="auto"/>
          <w:sz w:val="24"/>
          <w:highlight w:val="none"/>
        </w:rPr>
        <w:t>的偏离使其成为实质性响应。</w:t>
      </w:r>
    </w:p>
    <w:p w14:paraId="4E5F5D9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31.4.2</w:t>
      </w:r>
      <w:r>
        <w:rPr>
          <w:rFonts w:hAnsi="Calibri"/>
          <w:color w:val="auto"/>
          <w:spacing w:val="60"/>
          <w:sz w:val="24"/>
          <w:highlight w:val="none"/>
        </w:rPr>
        <w:t xml:space="preserve"> </w:t>
      </w:r>
      <w:r>
        <w:rPr>
          <w:rFonts w:ascii="TNWRRB+·ÂËÎ" w:hAnsi="TNWRRB+·ÂËÎ" w:cs="TNWRRB+·ÂËÎ"/>
          <w:color w:val="auto"/>
          <w:sz w:val="24"/>
          <w:highlight w:val="none"/>
        </w:rPr>
        <w:t>如有下列情形之一，磋商小组应予以废标，并将理由通知所有供应商。</w:t>
      </w:r>
    </w:p>
    <w:p w14:paraId="10C2190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1</w:t>
      </w:r>
      <w:r>
        <w:rPr>
          <w:rFonts w:ascii="TNWRRB+·ÂËÎ" w:hAnsi="TNWRRB+·ÂËÎ" w:cs="TNWRRB+·ÂËÎ"/>
          <w:color w:val="auto"/>
          <w:sz w:val="24"/>
          <w:highlight w:val="none"/>
        </w:rPr>
        <w:t>）符合专业条件的供应商或者对磋商文件</w:t>
      </w:r>
      <w:r>
        <w:rPr>
          <w:rFonts w:hint="eastAsia" w:ascii="TNWRRB+·ÂËÎ" w:hAnsi="TNWRRB+·ÂËÎ" w:cs="TNWRRB+·ÂËÎ"/>
          <w:color w:val="auto"/>
          <w:sz w:val="24"/>
          <w:highlight w:val="none"/>
          <w:lang w:eastAsia="zh-CN"/>
        </w:rPr>
        <w:t>作出</w:t>
      </w:r>
      <w:r>
        <w:rPr>
          <w:rFonts w:ascii="TNWRRB+·ÂËÎ" w:hAnsi="TNWRRB+·ÂËÎ" w:cs="TNWRRB+·ÂËÎ"/>
          <w:color w:val="auto"/>
          <w:sz w:val="24"/>
          <w:highlight w:val="none"/>
        </w:rPr>
        <w:t>实质性响应的供应商不足三家的；</w:t>
      </w:r>
    </w:p>
    <w:p w14:paraId="3D7C078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2</w:t>
      </w:r>
      <w:r>
        <w:rPr>
          <w:rFonts w:ascii="TNWRRB+·ÂËÎ" w:hAnsi="TNWRRB+·ÂËÎ" w:cs="TNWRRB+·ÂËÎ"/>
          <w:color w:val="auto"/>
          <w:sz w:val="24"/>
          <w:highlight w:val="none"/>
        </w:rPr>
        <w:t>）出现影响采购公正的违法、违规行为的；</w:t>
      </w:r>
    </w:p>
    <w:p w14:paraId="021135C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3</w:t>
      </w:r>
      <w:r>
        <w:rPr>
          <w:rFonts w:ascii="TNWRRB+·ÂËÎ" w:hAnsi="TNWRRB+·ÂËÎ" w:cs="TNWRRB+·ÂËÎ"/>
          <w:color w:val="auto"/>
          <w:sz w:val="24"/>
          <w:highlight w:val="none"/>
        </w:rPr>
        <w:t>）供应商的报价均超过了采购预算金额的；</w:t>
      </w:r>
    </w:p>
    <w:p w14:paraId="27E4416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4</w:t>
      </w:r>
      <w:r>
        <w:rPr>
          <w:rFonts w:ascii="TNWRRB+·ÂËÎ" w:hAnsi="TNWRRB+·ÂËÎ" w:cs="TNWRRB+·ÂËÎ"/>
          <w:color w:val="auto"/>
          <w:sz w:val="24"/>
          <w:highlight w:val="none"/>
        </w:rPr>
        <w:t>）因重大变故，采购任务取消的。</w:t>
      </w:r>
    </w:p>
    <w:p w14:paraId="0DBB2C6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31.4.3</w:t>
      </w:r>
      <w:r>
        <w:rPr>
          <w:rFonts w:hAnsi="Calibri"/>
          <w:color w:val="auto"/>
          <w:spacing w:val="60"/>
          <w:sz w:val="24"/>
          <w:highlight w:val="none"/>
        </w:rPr>
        <w:t xml:space="preserve"> </w:t>
      </w:r>
      <w:r>
        <w:rPr>
          <w:rFonts w:ascii="TNWRRB+·ÂËÎ" w:hAnsi="TNWRRB+·ÂËÎ" w:cs="TNWRRB+·ÂËÎ"/>
          <w:color w:val="auto"/>
          <w:sz w:val="24"/>
          <w:highlight w:val="none"/>
        </w:rPr>
        <w:t>多家供应商提供同一品牌产品响应的，在统计供应商数量时要求如下：</w:t>
      </w:r>
    </w:p>
    <w:p w14:paraId="4ADA2B5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pacing w:val="7"/>
          <w:sz w:val="24"/>
          <w:highlight w:val="none"/>
        </w:rPr>
        <w:t>（</w:t>
      </w:r>
      <w:r>
        <w:rPr>
          <w:rFonts w:hAnsi="Calibri"/>
          <w:color w:val="auto"/>
          <w:spacing w:val="7"/>
          <w:sz w:val="24"/>
          <w:highlight w:val="none"/>
        </w:rPr>
        <w:t>1</w:t>
      </w:r>
      <w:r>
        <w:rPr>
          <w:rFonts w:ascii="TNWRRB+·ÂËÎ" w:hAnsi="TNWRRB+·ÂËÎ" w:cs="TNWRRB+·ÂËÎ"/>
          <w:color w:val="auto"/>
          <w:spacing w:val="6"/>
          <w:sz w:val="24"/>
          <w:highlight w:val="none"/>
        </w:rPr>
        <w:t>）提供相同品牌产品且通过资格审查、符合性审查的不同供应商响应同一合同项</w:t>
      </w:r>
      <w:r>
        <w:rPr>
          <w:rFonts w:ascii="TNWRRB+·ÂËÎ" w:hAnsi="TNWRRB+·ÂËÎ" w:cs="TNWRRB+·ÂËÎ"/>
          <w:color w:val="auto"/>
          <w:spacing w:val="1"/>
          <w:sz w:val="24"/>
          <w:highlight w:val="none"/>
        </w:rPr>
        <w:t>下采购的，按一家供应商计算，评审后综合得分最高的同品牌供应商获得成交供应商推荐资格；评审得分相同的，由采购人或者采购人委托磋商小组按照磋商文件规定的方式确定一个供应商获得成交供应商推荐资格，磋商文件未规定的采取随机抽取方式确定，其他同</w:t>
      </w:r>
      <w:r>
        <w:rPr>
          <w:rFonts w:ascii="TNWRRB+·ÂËÎ" w:hAnsi="TNWRRB+·ÂËÎ" w:cs="TNWRRB+·ÂËÎ"/>
          <w:color w:val="auto"/>
          <w:sz w:val="24"/>
          <w:highlight w:val="none"/>
        </w:rPr>
        <w:t>品牌供应商不作为成交候选人。</w:t>
      </w:r>
    </w:p>
    <w:p w14:paraId="02B3C35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pacing w:val="5"/>
          <w:sz w:val="24"/>
          <w:highlight w:val="none"/>
        </w:rPr>
        <w:t>（</w:t>
      </w:r>
      <w:r>
        <w:rPr>
          <w:rFonts w:hAnsi="Calibri"/>
          <w:color w:val="auto"/>
          <w:spacing w:val="5"/>
          <w:sz w:val="24"/>
          <w:highlight w:val="none"/>
        </w:rPr>
        <w:t>2</w:t>
      </w:r>
      <w:r>
        <w:rPr>
          <w:rFonts w:ascii="TNWRRB+·ÂËÎ" w:hAnsi="TNWRRB+·ÂËÎ" w:cs="TNWRRB+·ÂËÎ"/>
          <w:color w:val="auto"/>
          <w:spacing w:val="5"/>
          <w:sz w:val="24"/>
          <w:highlight w:val="none"/>
        </w:rPr>
        <w:t>）非单一产品采购项目时，多家供应商提供的磋商文件载明的核心产品品牌相同</w:t>
      </w:r>
      <w:r>
        <w:rPr>
          <w:rFonts w:ascii="JTIOTF+·ÂËÎ" w:hAnsi="JTIOTF+·ÂËÎ" w:cs="JTIOTF+·ÂËÎ"/>
          <w:color w:val="auto"/>
          <w:sz w:val="24"/>
          <w:highlight w:val="none"/>
        </w:rPr>
        <w:t>的，按前（</w:t>
      </w:r>
      <w:r>
        <w:rPr>
          <w:rFonts w:hAnsi="Calibri"/>
          <w:color w:val="auto"/>
          <w:sz w:val="24"/>
          <w:highlight w:val="none"/>
        </w:rPr>
        <w:t>1</w:t>
      </w:r>
      <w:r>
        <w:rPr>
          <w:rFonts w:ascii="JTIOTF+·ÂËÎ" w:hAnsi="JTIOTF+·ÂËÎ" w:cs="JTIOTF+·ÂËÎ"/>
          <w:color w:val="auto"/>
          <w:sz w:val="24"/>
          <w:highlight w:val="none"/>
        </w:rPr>
        <w:t>）规定处理。</w:t>
      </w:r>
    </w:p>
    <w:p w14:paraId="555C6B2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31.5</w:t>
      </w:r>
      <w:r>
        <w:rPr>
          <w:rFonts w:hAnsi="Calibri"/>
          <w:b/>
          <w:color w:val="auto"/>
          <w:spacing w:val="60"/>
          <w:sz w:val="24"/>
          <w:highlight w:val="none"/>
        </w:rPr>
        <w:t xml:space="preserve"> </w:t>
      </w:r>
      <w:r>
        <w:rPr>
          <w:rFonts w:ascii="JTIOTF+·ÂËÎ" w:hAnsi="JTIOTF+·ÂËÎ" w:cs="JTIOTF+·ÂËÎ"/>
          <w:color w:val="auto"/>
          <w:spacing w:val="1"/>
          <w:sz w:val="24"/>
          <w:highlight w:val="none"/>
        </w:rPr>
        <w:t>澄清有关问题</w:t>
      </w:r>
    </w:p>
    <w:p w14:paraId="067ABA3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31.5.1</w:t>
      </w:r>
      <w:r>
        <w:rPr>
          <w:rFonts w:hAnsi="Calibri"/>
          <w:color w:val="auto"/>
          <w:spacing w:val="41"/>
          <w:sz w:val="24"/>
          <w:highlight w:val="none"/>
        </w:rPr>
        <w:t xml:space="preserve"> </w:t>
      </w:r>
      <w:r>
        <w:rPr>
          <w:rFonts w:ascii="JTIOTF+·ÂËÎ" w:hAnsi="JTIOTF+·ÂËÎ" w:cs="JTIOTF+·ÂËÎ"/>
          <w:color w:val="auto"/>
          <w:spacing w:val="4"/>
          <w:sz w:val="24"/>
          <w:highlight w:val="none"/>
        </w:rPr>
        <w:t>对于响应文件中含义不明确、同类问题表述不一致或者有明显文字和计算错误</w:t>
      </w:r>
      <w:r>
        <w:rPr>
          <w:rFonts w:ascii="JTIOTF+·ÂËÎ" w:hAnsi="JTIOTF+·ÂËÎ" w:cs="JTIOTF+·ÂËÎ"/>
          <w:color w:val="auto"/>
          <w:sz w:val="24"/>
          <w:highlight w:val="none"/>
        </w:rPr>
        <w:t>的内容，磋商小组可以要求供应商作出必要的澄清、说明或者更正。</w:t>
      </w:r>
    </w:p>
    <w:p w14:paraId="18E94C2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31.5.2</w:t>
      </w:r>
      <w:r>
        <w:rPr>
          <w:rFonts w:hAnsi="Calibri"/>
          <w:color w:val="auto"/>
          <w:spacing w:val="41"/>
          <w:sz w:val="24"/>
          <w:highlight w:val="none"/>
        </w:rPr>
        <w:t xml:space="preserve"> </w:t>
      </w:r>
      <w:r>
        <w:rPr>
          <w:rFonts w:ascii="JTIOTF+·ÂËÎ" w:hAnsi="JTIOTF+·ÂËÎ" w:cs="JTIOTF+·ÂËÎ"/>
          <w:color w:val="auto"/>
          <w:spacing w:val="4"/>
          <w:sz w:val="24"/>
          <w:highlight w:val="none"/>
        </w:rPr>
        <w:t>磋商小组为了有助于响应文件的评审，可以要求供应商就响应文件中非改变实</w:t>
      </w:r>
      <w:r>
        <w:rPr>
          <w:rFonts w:ascii="JTIOTF+·ÂËÎ" w:hAnsi="JTIOTF+·ÂËÎ" w:cs="JTIOTF+·ÂËÎ"/>
          <w:color w:val="auto"/>
          <w:spacing w:val="1"/>
          <w:sz w:val="24"/>
          <w:highlight w:val="none"/>
        </w:rPr>
        <w:t>质性内容的部分做出书面说明并提供相关材料进行澄清，但改变响应文件实质性内容的澄</w:t>
      </w:r>
      <w:r>
        <w:rPr>
          <w:rFonts w:ascii="JTIOTF+·ÂËÎ" w:hAnsi="JTIOTF+·ÂËÎ" w:cs="JTIOTF+·ÂËÎ"/>
          <w:color w:val="auto"/>
          <w:sz w:val="24"/>
          <w:highlight w:val="none"/>
        </w:rPr>
        <w:t>清，磋商小组将不予接受。</w:t>
      </w:r>
    </w:p>
    <w:p w14:paraId="18DCCCB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31.5.3</w:t>
      </w:r>
      <w:r>
        <w:rPr>
          <w:rFonts w:hAnsi="Calibri"/>
          <w:color w:val="auto"/>
          <w:spacing w:val="41"/>
          <w:sz w:val="24"/>
          <w:highlight w:val="none"/>
        </w:rPr>
        <w:t xml:space="preserve"> </w:t>
      </w:r>
      <w:r>
        <w:rPr>
          <w:rFonts w:ascii="JTIOTF+·ÂËÎ" w:hAnsi="JTIOTF+·ÂËÎ" w:cs="JTIOTF+·ÂËÎ"/>
          <w:color w:val="auto"/>
          <w:spacing w:val="4"/>
          <w:sz w:val="24"/>
          <w:highlight w:val="none"/>
        </w:rPr>
        <w:t>供应商的澄清、说明或者更正应当采用</w:t>
      </w:r>
      <w:r>
        <w:rPr>
          <w:rFonts w:hint="eastAsia" w:ascii="JTIOTF+·ÂËÎ" w:hAnsi="JTIOTF+·ÂËÎ" w:cs="JTIOTF+·ÂËÎ"/>
          <w:color w:val="auto"/>
          <w:spacing w:val="4"/>
          <w:sz w:val="24"/>
          <w:highlight w:val="none"/>
        </w:rPr>
        <w:t>文字</w:t>
      </w:r>
      <w:r>
        <w:rPr>
          <w:rFonts w:ascii="JTIOTF+·ÂËÎ" w:hAnsi="JTIOTF+·ÂËÎ" w:cs="JTIOTF+·ÂËÎ"/>
          <w:color w:val="auto"/>
          <w:spacing w:val="4"/>
          <w:sz w:val="24"/>
          <w:highlight w:val="none"/>
        </w:rPr>
        <w:t>形式，并根据要求进行签</w:t>
      </w:r>
      <w:r>
        <w:rPr>
          <w:rFonts w:ascii="JTIOTF+·ÂËÎ" w:hAnsi="JTIOTF+·ÂËÎ" w:cs="JTIOTF+·ÂËÎ"/>
          <w:color w:val="auto"/>
          <w:spacing w:val="1"/>
          <w:sz w:val="24"/>
          <w:highlight w:val="none"/>
        </w:rPr>
        <w:t>章。供应商的澄清、说明或者更正不得超出响应文件的响应范围或者改变响应文件的实质</w:t>
      </w:r>
      <w:r>
        <w:rPr>
          <w:rFonts w:ascii="JTIOTF+·ÂËÎ" w:hAnsi="JTIOTF+·ÂËÎ" w:cs="JTIOTF+·ÂËÎ"/>
          <w:color w:val="auto"/>
          <w:sz w:val="24"/>
          <w:highlight w:val="none"/>
        </w:rPr>
        <w:t>性内容。</w:t>
      </w:r>
    </w:p>
    <w:p w14:paraId="008DCC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31.5.4</w:t>
      </w:r>
      <w:r>
        <w:rPr>
          <w:rFonts w:hAnsi="Calibri"/>
          <w:color w:val="auto"/>
          <w:spacing w:val="48"/>
          <w:sz w:val="24"/>
          <w:highlight w:val="none"/>
        </w:rPr>
        <w:t xml:space="preserve"> </w:t>
      </w:r>
      <w:r>
        <w:rPr>
          <w:rFonts w:ascii="JTIOTF+·ÂËÎ" w:hAnsi="JTIOTF+·ÂËÎ" w:cs="JTIOTF+·ÂËÎ"/>
          <w:color w:val="auto"/>
          <w:spacing w:val="11"/>
          <w:sz w:val="24"/>
          <w:highlight w:val="none"/>
        </w:rPr>
        <w:t>响应文件报价出现前后不一致的，除磋商文件另有规定外，按照下列规定修</w:t>
      </w:r>
      <w:r>
        <w:rPr>
          <w:rFonts w:ascii="JTIOTF+·ÂËÎ" w:hAnsi="JTIOTF+·ÂËÎ" w:cs="JTIOTF+·ÂËÎ"/>
          <w:color w:val="auto"/>
          <w:sz w:val="24"/>
          <w:highlight w:val="none"/>
        </w:rPr>
        <w:t>正：</w:t>
      </w:r>
    </w:p>
    <w:p w14:paraId="3329061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5"/>
          <w:sz w:val="24"/>
          <w:highlight w:val="none"/>
        </w:rPr>
        <w:t>（</w:t>
      </w:r>
      <w:r>
        <w:rPr>
          <w:rFonts w:hAnsi="Calibri"/>
          <w:color w:val="auto"/>
          <w:spacing w:val="5"/>
          <w:sz w:val="24"/>
          <w:highlight w:val="none"/>
        </w:rPr>
        <w:t>1</w:t>
      </w:r>
      <w:r>
        <w:rPr>
          <w:rFonts w:ascii="JTIOTF+·ÂËÎ" w:hAnsi="JTIOTF+·ÂËÎ" w:cs="JTIOTF+·ÂËÎ"/>
          <w:color w:val="auto"/>
          <w:spacing w:val="5"/>
          <w:sz w:val="24"/>
          <w:highlight w:val="none"/>
        </w:rPr>
        <w:t>）响应文件中《开标一览表》内容与响应文件中相应内容不一致的，以《开标一</w:t>
      </w:r>
      <w:r>
        <w:rPr>
          <w:rFonts w:ascii="JTIOTF+·ÂËÎ" w:hAnsi="JTIOTF+·ÂËÎ" w:cs="JTIOTF+·ÂËÎ"/>
          <w:color w:val="auto"/>
          <w:sz w:val="24"/>
          <w:highlight w:val="none"/>
        </w:rPr>
        <w:t>览表》为准；</w:t>
      </w:r>
    </w:p>
    <w:p w14:paraId="7730A63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z w:val="24"/>
          <w:highlight w:val="none"/>
        </w:rPr>
        <w:t>（</w:t>
      </w:r>
      <w:r>
        <w:rPr>
          <w:rFonts w:hAnsi="Calibri"/>
          <w:color w:val="auto"/>
          <w:sz w:val="24"/>
          <w:highlight w:val="none"/>
        </w:rPr>
        <w:t>2</w:t>
      </w:r>
      <w:r>
        <w:rPr>
          <w:rFonts w:ascii="JTIOTF+·ÂËÎ" w:hAnsi="JTIOTF+·ÂËÎ" w:cs="JTIOTF+·ÂËÎ"/>
          <w:color w:val="auto"/>
          <w:sz w:val="24"/>
          <w:highlight w:val="none"/>
        </w:rPr>
        <w:t>）大写金额和小写金额不一致的，以大写金额为准；</w:t>
      </w:r>
    </w:p>
    <w:p w14:paraId="5E458F5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5"/>
          <w:sz w:val="24"/>
          <w:highlight w:val="none"/>
        </w:rPr>
        <w:t>（</w:t>
      </w:r>
      <w:r>
        <w:rPr>
          <w:rFonts w:hAnsi="Calibri"/>
          <w:color w:val="auto"/>
          <w:spacing w:val="5"/>
          <w:sz w:val="24"/>
          <w:highlight w:val="none"/>
        </w:rPr>
        <w:t>3</w:t>
      </w:r>
      <w:r>
        <w:rPr>
          <w:rFonts w:ascii="JTIOTF+·ÂËÎ" w:hAnsi="JTIOTF+·ÂËÎ" w:cs="JTIOTF+·ÂËÎ"/>
          <w:color w:val="auto"/>
          <w:spacing w:val="4"/>
          <w:sz w:val="24"/>
          <w:highlight w:val="none"/>
        </w:rPr>
        <w:t>）单价金额小数点或者百分比有明显错位的，以《开标一览表》的总价为准，并</w:t>
      </w:r>
      <w:r>
        <w:rPr>
          <w:rFonts w:ascii="JTIOTF+·ÂËÎ" w:hAnsi="JTIOTF+·ÂËÎ" w:cs="JTIOTF+·ÂËÎ"/>
          <w:color w:val="auto"/>
          <w:sz w:val="24"/>
          <w:highlight w:val="none"/>
        </w:rPr>
        <w:t>修改单价；</w:t>
      </w:r>
    </w:p>
    <w:p w14:paraId="1FF4464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z w:val="24"/>
          <w:highlight w:val="none"/>
        </w:rPr>
        <w:t>（</w:t>
      </w:r>
      <w:r>
        <w:rPr>
          <w:rFonts w:hAnsi="Calibri"/>
          <w:color w:val="auto"/>
          <w:sz w:val="24"/>
          <w:highlight w:val="none"/>
        </w:rPr>
        <w:t>4</w:t>
      </w:r>
      <w:r>
        <w:rPr>
          <w:rFonts w:ascii="JTIOTF+·ÂËÎ" w:hAnsi="JTIOTF+·ÂËÎ" w:cs="JTIOTF+·ÂËÎ"/>
          <w:color w:val="auto"/>
          <w:sz w:val="24"/>
          <w:highlight w:val="none"/>
        </w:rPr>
        <w:t>）总价金额与按单价汇总金额不一致的，以单价金额计算结果为准。</w:t>
      </w:r>
    </w:p>
    <w:p w14:paraId="617352C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1"/>
          <w:sz w:val="24"/>
          <w:highlight w:val="none"/>
        </w:rPr>
        <w:t>同时出现两种以上不一致的，按照前款规定的顺序修正。供应商应对修正后的报价进</w:t>
      </w:r>
      <w:r>
        <w:rPr>
          <w:rFonts w:ascii="JTIOTF+·ÂËÎ" w:hAnsi="JTIOTF+·ÂËÎ" w:cs="JTIOTF+·ÂËÎ"/>
          <w:color w:val="auto"/>
          <w:sz w:val="24"/>
          <w:highlight w:val="none"/>
        </w:rPr>
        <w:t>行确认，如不确认，评审时将视为无效响应。</w:t>
      </w:r>
    </w:p>
    <w:p w14:paraId="1DEC39E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31.5.5</w:t>
      </w:r>
      <w:r>
        <w:rPr>
          <w:rFonts w:hAnsi="Calibri"/>
          <w:color w:val="auto"/>
          <w:spacing w:val="46"/>
          <w:sz w:val="24"/>
          <w:highlight w:val="none"/>
        </w:rPr>
        <w:t xml:space="preserve"> </w:t>
      </w:r>
      <w:r>
        <w:rPr>
          <w:rFonts w:ascii="JTIOTF+·ÂËÎ" w:hAnsi="JTIOTF+·ÂËÎ" w:cs="JTIOTF+·ÂËÎ"/>
          <w:color w:val="auto"/>
          <w:spacing w:val="9"/>
          <w:sz w:val="24"/>
          <w:highlight w:val="none"/>
        </w:rPr>
        <w:t>有效的</w:t>
      </w:r>
      <w:r>
        <w:rPr>
          <w:rFonts w:hint="eastAsia" w:ascii="JTIOTF+·ÂËÎ" w:hAnsi="JTIOTF+·ÂËÎ" w:cs="JTIOTF+·ÂËÎ"/>
          <w:color w:val="auto"/>
          <w:spacing w:val="9"/>
          <w:sz w:val="24"/>
          <w:highlight w:val="none"/>
        </w:rPr>
        <w:t>文字</w:t>
      </w:r>
      <w:r>
        <w:rPr>
          <w:rFonts w:ascii="JTIOTF+·ÂËÎ" w:hAnsi="JTIOTF+·ÂËÎ" w:cs="JTIOTF+·ÂËÎ"/>
          <w:color w:val="auto"/>
          <w:spacing w:val="9"/>
          <w:sz w:val="24"/>
          <w:highlight w:val="none"/>
        </w:rPr>
        <w:t>澄清材料，是响应文件的补充材料，成为响应文件的组成部</w:t>
      </w:r>
      <w:r>
        <w:rPr>
          <w:rFonts w:ascii="JTIOTF+·ÂËÎ" w:hAnsi="JTIOTF+·ÂËÎ" w:cs="JTIOTF+·ÂËÎ"/>
          <w:color w:val="auto"/>
          <w:sz w:val="24"/>
          <w:highlight w:val="none"/>
        </w:rPr>
        <w:t>分。</w:t>
      </w:r>
    </w:p>
    <w:p w14:paraId="31DE9EF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31.6</w:t>
      </w:r>
      <w:r>
        <w:rPr>
          <w:rFonts w:hAnsi="Calibri"/>
          <w:b/>
          <w:color w:val="auto"/>
          <w:spacing w:val="60"/>
          <w:sz w:val="24"/>
          <w:highlight w:val="none"/>
        </w:rPr>
        <w:t xml:space="preserve"> </w:t>
      </w:r>
      <w:r>
        <w:rPr>
          <w:rFonts w:ascii="JTIOTF+·ÂËÎ" w:hAnsi="JTIOTF+·ÂËÎ" w:cs="JTIOTF+·ÂËÎ"/>
          <w:color w:val="auto"/>
          <w:spacing w:val="1"/>
          <w:sz w:val="24"/>
          <w:highlight w:val="none"/>
        </w:rPr>
        <w:t>综合评审</w:t>
      </w:r>
    </w:p>
    <w:p w14:paraId="70E4A05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31.6.1</w:t>
      </w:r>
      <w:r>
        <w:rPr>
          <w:rFonts w:hAnsi="Calibri"/>
          <w:color w:val="auto"/>
          <w:spacing w:val="38"/>
          <w:sz w:val="24"/>
          <w:highlight w:val="none"/>
        </w:rPr>
        <w:t xml:space="preserve"> </w:t>
      </w:r>
      <w:r>
        <w:rPr>
          <w:rFonts w:ascii="JTIOTF+·ÂËÎ" w:hAnsi="JTIOTF+·ÂËÎ" w:cs="JTIOTF+·ÂËÎ"/>
          <w:color w:val="auto"/>
          <w:spacing w:val="2"/>
          <w:sz w:val="24"/>
          <w:highlight w:val="none"/>
        </w:rPr>
        <w:t>磋商小组应按照磋商文件中规定的评审方法和标准，对符合性审查合格的响应</w:t>
      </w:r>
      <w:r>
        <w:rPr>
          <w:rFonts w:ascii="JTIOTF+·ÂËÎ" w:hAnsi="JTIOTF+·ÂËÎ" w:cs="JTIOTF+·ÂËÎ"/>
          <w:color w:val="auto"/>
          <w:sz w:val="24"/>
          <w:highlight w:val="none"/>
        </w:rPr>
        <w:t>文件进行商务和技术评估，综合比较与评价。</w:t>
      </w:r>
    </w:p>
    <w:p w14:paraId="24F1C88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31.6.2</w:t>
      </w:r>
      <w:r>
        <w:rPr>
          <w:rFonts w:hAnsi="Calibri"/>
          <w:color w:val="auto"/>
          <w:spacing w:val="60"/>
          <w:sz w:val="24"/>
          <w:highlight w:val="none"/>
        </w:rPr>
        <w:t xml:space="preserve"> </w:t>
      </w:r>
      <w:r>
        <w:rPr>
          <w:rFonts w:ascii="JTIOTF+·ÂËÎ" w:hAnsi="JTIOTF+·ÂËÎ" w:cs="JTIOTF+·ÂËÎ"/>
          <w:color w:val="auto"/>
          <w:sz w:val="24"/>
          <w:highlight w:val="none"/>
        </w:rPr>
        <w:t>评审时，磋商小组各成员应当对每一份响应文件进行独立评价、计分。</w:t>
      </w:r>
    </w:p>
    <w:p w14:paraId="0949F99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31.6.3</w:t>
      </w:r>
      <w:r>
        <w:rPr>
          <w:rFonts w:hAnsi="Calibri"/>
          <w:color w:val="auto"/>
          <w:spacing w:val="60"/>
          <w:sz w:val="24"/>
          <w:highlight w:val="none"/>
        </w:rPr>
        <w:t xml:space="preserve"> </w:t>
      </w:r>
      <w:r>
        <w:rPr>
          <w:rFonts w:ascii="JTIOTF+·ÂËÎ" w:hAnsi="JTIOTF+·ÂËÎ" w:cs="JTIOTF+·ÂËÎ"/>
          <w:color w:val="auto"/>
          <w:sz w:val="24"/>
          <w:highlight w:val="none"/>
        </w:rPr>
        <w:t>经济部分评审：</w:t>
      </w:r>
    </w:p>
    <w:p w14:paraId="3739318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7"/>
          <w:sz w:val="24"/>
          <w:highlight w:val="none"/>
        </w:rPr>
        <w:t>（</w:t>
      </w:r>
      <w:r>
        <w:rPr>
          <w:rFonts w:hAnsi="Calibri"/>
          <w:color w:val="auto"/>
          <w:spacing w:val="7"/>
          <w:sz w:val="24"/>
          <w:highlight w:val="none"/>
        </w:rPr>
        <w:t>1</w:t>
      </w:r>
      <w:r>
        <w:rPr>
          <w:rFonts w:ascii="JTIOTF+·ÂËÎ" w:hAnsi="JTIOTF+·ÂËÎ" w:cs="JTIOTF+·ÂËÎ"/>
          <w:color w:val="auto"/>
          <w:spacing w:val="6"/>
          <w:sz w:val="24"/>
          <w:highlight w:val="none"/>
        </w:rPr>
        <w:t>）本次采购方式为竞争性磋商，供应商在响应截止时间内递交的响应文件中的报</w:t>
      </w:r>
      <w:r>
        <w:rPr>
          <w:rFonts w:ascii="JTIOTF+·ÂËÎ" w:hAnsi="JTIOTF+·ÂËÎ" w:cs="JTIOTF+·ÂËÎ"/>
          <w:color w:val="auto"/>
          <w:spacing w:val="1"/>
          <w:sz w:val="24"/>
          <w:highlight w:val="none"/>
        </w:rPr>
        <w:t>价为首次报价；磋商小组分别与供应商进行技术、服务等的</w:t>
      </w:r>
      <w:r>
        <w:rPr>
          <w:rFonts w:hint="eastAsia" w:ascii="JTIOTF+·ÂËÎ" w:hAnsi="JTIOTF+·ÂËÎ" w:cs="JTIOTF+·ÂËÎ"/>
          <w:color w:val="auto"/>
          <w:spacing w:val="1"/>
          <w:sz w:val="24"/>
          <w:highlight w:val="none"/>
          <w:lang w:val="en-US" w:eastAsia="zh-CN"/>
        </w:rPr>
        <w:t>磋商</w:t>
      </w:r>
      <w:r>
        <w:rPr>
          <w:rFonts w:ascii="JTIOTF+·ÂËÎ" w:hAnsi="JTIOTF+·ÂËÎ" w:cs="JTIOTF+·ÂËÎ"/>
          <w:color w:val="auto"/>
          <w:spacing w:val="1"/>
          <w:sz w:val="24"/>
          <w:highlight w:val="none"/>
        </w:rPr>
        <w:t>，</w:t>
      </w:r>
      <w:r>
        <w:rPr>
          <w:rFonts w:ascii="JTIOTF+·ÂËÎ" w:hAnsi="JTIOTF+·ÂËÎ" w:cs="JTIOTF+·ÂËÎ"/>
          <w:b w:val="0"/>
          <w:bCs w:val="0"/>
          <w:color w:val="auto"/>
          <w:spacing w:val="1"/>
          <w:sz w:val="24"/>
          <w:highlight w:val="none"/>
        </w:rPr>
        <w:t>评审过程中，磋商小组可以要求所有实质性响应磋商文件的供应商在规定的时间内再次提交报价，该报价为最后报价，</w:t>
      </w:r>
      <w:r>
        <w:rPr>
          <w:rFonts w:ascii="JTIOTF+·ÂËÎ" w:hAnsi="JTIOTF+·ÂËÎ" w:cs="JTIOTF+·ÂËÎ"/>
          <w:color w:val="auto"/>
          <w:spacing w:val="1"/>
          <w:sz w:val="24"/>
          <w:highlight w:val="none"/>
        </w:rPr>
        <w:t>供应商的最后报价进入经济部分评审。评审阶段如采购内容无实质性增加，则供应商最后报价不得高于首次报价，否则经济部分评审按零分处理，且报价不纳入计分体系。</w:t>
      </w:r>
      <w:r>
        <w:rPr>
          <w:rFonts w:ascii="HEKJFG+·ÂËÎ" w:hAnsi="HEKJFG+·ÂËÎ" w:cs="HEKJFG+·ÂËÎ"/>
          <w:color w:val="auto"/>
          <w:sz w:val="24"/>
          <w:highlight w:val="none"/>
        </w:rPr>
        <w:t>供应商最后报价的下浮高于首次报价的</w:t>
      </w:r>
      <w:r>
        <w:rPr>
          <w:rFonts w:hAnsi="Calibri"/>
          <w:color w:val="auto"/>
          <w:sz w:val="24"/>
          <w:highlight w:val="none"/>
        </w:rPr>
        <w:t>10%</w:t>
      </w:r>
      <w:r>
        <w:rPr>
          <w:rFonts w:ascii="HEKJFG+·ÂËÎ" w:hAnsi="HEKJFG+·ÂËÎ" w:cs="HEKJFG+·ÂËÎ"/>
          <w:color w:val="auto"/>
          <w:sz w:val="24"/>
          <w:highlight w:val="none"/>
        </w:rPr>
        <w:t>以上（含</w:t>
      </w:r>
      <w:r>
        <w:rPr>
          <w:rFonts w:hAnsi="Calibri"/>
          <w:color w:val="auto"/>
          <w:spacing w:val="2"/>
          <w:sz w:val="24"/>
          <w:highlight w:val="none"/>
        </w:rPr>
        <w:t xml:space="preserve"> </w:t>
      </w:r>
      <w:r>
        <w:rPr>
          <w:rFonts w:hAnsi="Calibri"/>
          <w:color w:val="auto"/>
          <w:sz w:val="24"/>
          <w:highlight w:val="none"/>
        </w:rPr>
        <w:t>10%</w:t>
      </w:r>
      <w:r>
        <w:rPr>
          <w:rFonts w:ascii="HEKJFG+·ÂËÎ" w:hAnsi="HEKJFG+·ÂËÎ" w:cs="HEKJFG+·ÂËÎ"/>
          <w:color w:val="auto"/>
          <w:sz w:val="24"/>
          <w:highlight w:val="none"/>
        </w:rPr>
        <w:t>）的，应在报价单上注明降低报价的主要构成。</w:t>
      </w:r>
    </w:p>
    <w:p w14:paraId="6BC1C19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1"/>
          <w:sz w:val="24"/>
          <w:highlight w:val="none"/>
        </w:rPr>
        <w:t>经济部分采用低价优先法计算，即满足磋商文件要求且响应价格最低的报价为评审基</w:t>
      </w:r>
      <w:r>
        <w:rPr>
          <w:rFonts w:ascii="HEKJFG+·ÂËÎ" w:hAnsi="HEKJFG+·ÂËÎ" w:cs="HEKJFG+·ÂËÎ"/>
          <w:color w:val="auto"/>
          <w:sz w:val="24"/>
          <w:highlight w:val="none"/>
        </w:rPr>
        <w:t>准价，其经济得分为满分，其他有效供应商的经济得分统一按照下列公式计算：</w:t>
      </w:r>
    </w:p>
    <w:p w14:paraId="5994726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经济得分</w:t>
      </w:r>
      <w:r>
        <w:rPr>
          <w:rFonts w:hAnsi="Calibri"/>
          <w:color w:val="auto"/>
          <w:spacing w:val="-1"/>
          <w:sz w:val="24"/>
          <w:highlight w:val="none"/>
        </w:rPr>
        <w:t>=</w:t>
      </w:r>
      <w:r>
        <w:rPr>
          <w:rFonts w:hint="eastAsia" w:hAnsi="TBUBVS+·ÂËÎ" w:cs="TBUBVS+·ÂËÎ"/>
          <w:color w:val="auto"/>
          <w:sz w:val="24"/>
          <w:highlight w:val="none"/>
        </w:rPr>
        <w:t>（评标基准价／投标报价）×价格权值×100</w:t>
      </w:r>
    </w:p>
    <w:p w14:paraId="40441CF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评审过程中，不得去掉报价中的最高报价和最低报价。</w:t>
      </w:r>
    </w:p>
    <w:p w14:paraId="4D1ADE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w:t>
      </w:r>
      <w:r>
        <w:rPr>
          <w:rFonts w:hAnsi="Calibri"/>
          <w:color w:val="auto"/>
          <w:sz w:val="24"/>
          <w:highlight w:val="none"/>
        </w:rPr>
        <w:t>2</w:t>
      </w:r>
      <w:r>
        <w:rPr>
          <w:rFonts w:ascii="HEKJFG+·ÂËÎ" w:hAnsi="HEKJFG+·ÂËÎ" w:cs="HEKJFG+·ÂËÎ"/>
          <w:color w:val="auto"/>
          <w:sz w:val="24"/>
          <w:highlight w:val="none"/>
        </w:rPr>
        <w:t>）因落实政府采购政策进行价格调整的，以调整后的价格参与经济部分评审。</w:t>
      </w:r>
    </w:p>
    <w:p w14:paraId="3635DBE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5"/>
          <w:sz w:val="24"/>
          <w:highlight w:val="none"/>
        </w:rPr>
        <w:t>（</w:t>
      </w:r>
      <w:r>
        <w:rPr>
          <w:rFonts w:hAnsi="Calibri"/>
          <w:color w:val="auto"/>
          <w:spacing w:val="5"/>
          <w:sz w:val="24"/>
          <w:highlight w:val="none"/>
        </w:rPr>
        <w:t>3</w:t>
      </w:r>
      <w:r>
        <w:rPr>
          <w:rFonts w:ascii="HEKJFG+·ÂËÎ" w:hAnsi="HEKJFG+·ÂËÎ" w:cs="HEKJFG+·ÂËÎ"/>
          <w:color w:val="auto"/>
          <w:spacing w:val="4"/>
          <w:sz w:val="24"/>
          <w:highlight w:val="none"/>
        </w:rPr>
        <w:t>）涉及政府采购政策优惠的，按磋商文件前附表规定调整供应商的技术、价格得</w:t>
      </w:r>
      <w:r>
        <w:rPr>
          <w:rFonts w:ascii="HEKJFG+·ÂËÎ" w:hAnsi="HEKJFG+·ÂËÎ" w:cs="HEKJFG+·ÂËÎ"/>
          <w:color w:val="auto"/>
          <w:sz w:val="24"/>
          <w:highlight w:val="none"/>
        </w:rPr>
        <w:t>分或总得分。</w:t>
      </w:r>
    </w:p>
    <w:p w14:paraId="490BB87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5"/>
          <w:sz w:val="24"/>
          <w:highlight w:val="none"/>
        </w:rPr>
        <w:t>（</w:t>
      </w:r>
      <w:r>
        <w:rPr>
          <w:rFonts w:hAnsi="Calibri"/>
          <w:color w:val="auto"/>
          <w:spacing w:val="5"/>
          <w:sz w:val="24"/>
          <w:highlight w:val="none"/>
        </w:rPr>
        <w:t>4</w:t>
      </w:r>
      <w:r>
        <w:rPr>
          <w:rFonts w:ascii="HEKJFG+·ÂËÎ" w:hAnsi="HEKJFG+·ÂËÎ" w:cs="HEKJFG+·ÂËÎ"/>
          <w:color w:val="auto"/>
          <w:spacing w:val="5"/>
          <w:sz w:val="24"/>
          <w:highlight w:val="none"/>
        </w:rPr>
        <w:t>）磋商小组认为供应商的报价明显低于其他通过符合性审查的供应商的报价，使</w:t>
      </w:r>
      <w:r>
        <w:rPr>
          <w:rFonts w:ascii="HEKJFG+·ÂËÎ" w:hAnsi="HEKJFG+·ÂËÎ" w:cs="HEKJFG+·ÂËÎ"/>
          <w:color w:val="auto"/>
          <w:spacing w:val="1"/>
          <w:sz w:val="24"/>
          <w:highlight w:val="none"/>
        </w:rPr>
        <w:t>其报价可能低于其个别成本，有可能影响产品质量或者不能诚信履约的，应当要求其在评审现场合理的时间内提供</w:t>
      </w:r>
      <w:r>
        <w:rPr>
          <w:rFonts w:hint="eastAsia" w:ascii="HEKJFG+·ÂËÎ" w:hAnsi="HEKJFG+·ÂËÎ" w:cs="HEKJFG+·ÂËÎ"/>
          <w:color w:val="auto"/>
          <w:spacing w:val="1"/>
          <w:sz w:val="24"/>
          <w:highlight w:val="none"/>
        </w:rPr>
        <w:t>书面</w:t>
      </w:r>
      <w:r>
        <w:rPr>
          <w:rFonts w:ascii="HEKJFG+·ÂËÎ" w:hAnsi="HEKJFG+·ÂËÎ" w:cs="HEKJFG+·ÂËÎ"/>
          <w:color w:val="auto"/>
          <w:spacing w:val="1"/>
          <w:sz w:val="24"/>
          <w:highlight w:val="none"/>
        </w:rPr>
        <w:t>说明，必要时提交相关证明材料；供应</w:t>
      </w:r>
      <w:r>
        <w:rPr>
          <w:rFonts w:ascii="HEKJFG+·ÂËÎ" w:hAnsi="HEKJFG+·ÂËÎ" w:cs="HEKJFG+·ÂËÎ"/>
          <w:color w:val="auto"/>
          <w:sz w:val="24"/>
          <w:highlight w:val="none"/>
        </w:rPr>
        <w:t>商不能证明其报价合理的，磋商小组应当将其视为无效响应。</w:t>
      </w:r>
    </w:p>
    <w:p w14:paraId="5D1876E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31.6.4</w:t>
      </w:r>
      <w:r>
        <w:rPr>
          <w:rFonts w:hAnsi="Calibri"/>
          <w:color w:val="auto"/>
          <w:spacing w:val="60"/>
          <w:sz w:val="24"/>
          <w:highlight w:val="none"/>
        </w:rPr>
        <w:t xml:space="preserve"> </w:t>
      </w:r>
      <w:r>
        <w:rPr>
          <w:rFonts w:ascii="HEKJFG+·ÂËÎ" w:hAnsi="HEKJFG+·ÂËÎ" w:cs="HEKJFG+·ÂËÎ"/>
          <w:color w:val="auto"/>
          <w:sz w:val="24"/>
          <w:highlight w:val="none"/>
        </w:rPr>
        <w:t>商务、技术部分评审：</w:t>
      </w:r>
    </w:p>
    <w:p w14:paraId="5C2D407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磋商小组各成员依据评审因素的量化指标及评审原则，对响应文件进行评审打分。</w:t>
      </w:r>
    </w:p>
    <w:p w14:paraId="64ED7A0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31.6.5</w:t>
      </w:r>
      <w:r>
        <w:rPr>
          <w:rFonts w:hAnsi="Calibri"/>
          <w:color w:val="auto"/>
          <w:spacing w:val="60"/>
          <w:sz w:val="24"/>
          <w:highlight w:val="none"/>
        </w:rPr>
        <w:t xml:space="preserve"> </w:t>
      </w:r>
      <w:r>
        <w:rPr>
          <w:rFonts w:ascii="HEKJFG+·ÂËÎ" w:hAnsi="HEKJFG+·ÂËÎ" w:cs="HEKJFG+·ÂËÎ"/>
          <w:color w:val="auto"/>
          <w:sz w:val="24"/>
          <w:highlight w:val="none"/>
        </w:rPr>
        <w:t>综合得分：</w:t>
      </w:r>
    </w:p>
    <w:p w14:paraId="42FC42A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8"/>
          <w:sz w:val="24"/>
          <w:highlight w:val="none"/>
        </w:rPr>
        <w:t>经济得分与商务、技术得分的总和为供应商的综合得分。计算综合得分时，如有小</w:t>
      </w:r>
      <w:r>
        <w:rPr>
          <w:rFonts w:ascii="HEKJFG+·ÂËÎ" w:hAnsi="HEKJFG+·ÂËÎ" w:cs="HEKJFG+·ÂËÎ"/>
          <w:color w:val="auto"/>
          <w:spacing w:val="1"/>
          <w:sz w:val="24"/>
          <w:highlight w:val="none"/>
        </w:rPr>
        <w:t>数，保留两位小数。综合得分最高者为推荐成交供应商，若出现几家供应商综合得分相同</w:t>
      </w:r>
      <w:r>
        <w:rPr>
          <w:rFonts w:ascii="HEKJFG+·ÂËÎ" w:hAnsi="HEKJFG+·ÂËÎ" w:cs="HEKJFG+·ÂËÎ"/>
          <w:color w:val="auto"/>
          <w:sz w:val="24"/>
          <w:highlight w:val="none"/>
        </w:rPr>
        <w:t>的情况，报价最低者为推荐成交供应商。</w:t>
      </w:r>
    </w:p>
    <w:p w14:paraId="3DAC50A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31.6.6</w:t>
      </w:r>
      <w:r>
        <w:rPr>
          <w:rFonts w:hAnsi="Calibri"/>
          <w:color w:val="auto"/>
          <w:spacing w:val="38"/>
          <w:sz w:val="24"/>
          <w:highlight w:val="none"/>
        </w:rPr>
        <w:t xml:space="preserve"> </w:t>
      </w:r>
      <w:r>
        <w:rPr>
          <w:rFonts w:ascii="HEKJFG+·ÂËÎ" w:hAnsi="HEKJFG+·ÂËÎ" w:cs="HEKJFG+·ÂËÎ"/>
          <w:color w:val="auto"/>
          <w:spacing w:val="2"/>
          <w:sz w:val="24"/>
          <w:highlight w:val="none"/>
        </w:rPr>
        <w:t>磋商小组若发现磋商文件存在歧义、重大缺陷导致评审工作无法进行，或者磋</w:t>
      </w:r>
      <w:r>
        <w:rPr>
          <w:rFonts w:ascii="HEKJFG+·ÂËÎ" w:hAnsi="HEKJFG+·ÂËÎ" w:cs="HEKJFG+·ÂËÎ"/>
          <w:color w:val="auto"/>
          <w:spacing w:val="1"/>
          <w:sz w:val="24"/>
          <w:highlight w:val="none"/>
        </w:rPr>
        <w:t>商文件内容违反国家有关强制性规定的，应当停止评审工作，与采购人及采购</w:t>
      </w:r>
      <w:r>
        <w:rPr>
          <w:rFonts w:hint="eastAsia" w:ascii="HEKJFG+·ÂËÎ" w:hAnsi="HEKJFG+·ÂËÎ" w:cs="HEKJFG+·ÂËÎ"/>
          <w:color w:val="auto"/>
          <w:spacing w:val="1"/>
          <w:sz w:val="24"/>
          <w:highlight w:val="none"/>
        </w:rPr>
        <w:t>代理机构</w:t>
      </w:r>
      <w:r>
        <w:rPr>
          <w:rFonts w:ascii="HEKJFG+·ÂËÎ" w:hAnsi="HEKJFG+·ÂËÎ" w:cs="HEKJFG+·ÂËÎ"/>
          <w:color w:val="auto"/>
          <w:spacing w:val="1"/>
          <w:sz w:val="24"/>
          <w:highlight w:val="none"/>
        </w:rPr>
        <w:t>沟通并</w:t>
      </w:r>
      <w:r>
        <w:rPr>
          <w:rFonts w:ascii="HEKJFG+·ÂËÎ" w:hAnsi="HEKJFG+·ÂËÎ" w:cs="HEKJFG+·ÂËÎ"/>
          <w:color w:val="auto"/>
          <w:sz w:val="24"/>
          <w:highlight w:val="none"/>
        </w:rPr>
        <w:t>作书面记录。采购人及采购</w:t>
      </w:r>
      <w:r>
        <w:rPr>
          <w:rFonts w:hint="eastAsia" w:ascii="HEKJFG+·ÂËÎ" w:hAnsi="HEKJFG+·ÂËÎ" w:cs="HEKJFG+·ÂËÎ"/>
          <w:color w:val="auto"/>
          <w:sz w:val="24"/>
          <w:highlight w:val="none"/>
        </w:rPr>
        <w:t>代理机构</w:t>
      </w:r>
      <w:r>
        <w:rPr>
          <w:rFonts w:ascii="HEKJFG+·ÂËÎ" w:hAnsi="HEKJFG+·ÂËÎ" w:cs="HEKJFG+·ÂËÎ"/>
          <w:color w:val="auto"/>
          <w:sz w:val="24"/>
          <w:highlight w:val="none"/>
        </w:rPr>
        <w:t>确认后，应当修改磋商文件，重新组织采购活动。</w:t>
      </w:r>
    </w:p>
    <w:p w14:paraId="44E50E4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31.7</w:t>
      </w:r>
      <w:r>
        <w:rPr>
          <w:rFonts w:hAnsi="Calibri"/>
          <w:b/>
          <w:color w:val="auto"/>
          <w:spacing w:val="60"/>
          <w:sz w:val="24"/>
          <w:highlight w:val="none"/>
        </w:rPr>
        <w:t xml:space="preserve"> </w:t>
      </w:r>
      <w:r>
        <w:rPr>
          <w:rFonts w:ascii="HEKJFG+·ÂËÎ" w:hAnsi="HEKJFG+·ÂËÎ" w:cs="HEKJFG+·ÂËÎ"/>
          <w:color w:val="auto"/>
          <w:spacing w:val="1"/>
          <w:sz w:val="24"/>
          <w:highlight w:val="none"/>
        </w:rPr>
        <w:t>推荐成交候选人名单</w:t>
      </w:r>
    </w:p>
    <w:p w14:paraId="6FC020E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31.7.1</w:t>
      </w:r>
      <w:r>
        <w:rPr>
          <w:rFonts w:hAnsi="Calibri"/>
          <w:color w:val="auto"/>
          <w:spacing w:val="38"/>
          <w:sz w:val="24"/>
          <w:highlight w:val="none"/>
        </w:rPr>
        <w:t xml:space="preserve"> </w:t>
      </w:r>
      <w:r>
        <w:rPr>
          <w:rFonts w:ascii="HEKJFG+·ÂËÎ" w:hAnsi="HEKJFG+·ÂËÎ" w:cs="HEKJFG+·ÂËÎ"/>
          <w:color w:val="auto"/>
          <w:spacing w:val="2"/>
          <w:sz w:val="24"/>
          <w:highlight w:val="none"/>
        </w:rPr>
        <w:t>磋商小组经过初步评审、综合评审后，须按照“真实、公正、可行”的原则，</w:t>
      </w:r>
      <w:r>
        <w:rPr>
          <w:rFonts w:ascii="HEKJFG+·ÂËÎ" w:hAnsi="HEKJFG+·ÂËÎ" w:cs="HEKJFG+·ÂËÎ"/>
          <w:color w:val="auto"/>
          <w:spacing w:val="1"/>
          <w:sz w:val="24"/>
          <w:highlight w:val="none"/>
        </w:rPr>
        <w:t>通过审查分析，对实质上响应磋商文件要求的供应商的响应情况编写评审报告，按综合得</w:t>
      </w:r>
      <w:r>
        <w:rPr>
          <w:rFonts w:ascii="HEKJFG+·ÂËÎ" w:hAnsi="HEKJFG+·ÂËÎ" w:cs="HEKJFG+·ÂËÎ"/>
          <w:color w:val="auto"/>
          <w:sz w:val="24"/>
          <w:highlight w:val="none"/>
        </w:rPr>
        <w:t>分由高到低顺序（综合得分相同的，按价格由低到高顺序）推荐前</w:t>
      </w:r>
      <w:r>
        <w:rPr>
          <w:rFonts w:hAnsi="Calibri"/>
          <w:color w:val="auto"/>
          <w:spacing w:val="1"/>
          <w:sz w:val="24"/>
          <w:highlight w:val="none"/>
        </w:rPr>
        <w:t xml:space="preserve"> </w:t>
      </w:r>
      <w:r>
        <w:rPr>
          <w:rFonts w:hAnsi="Calibri"/>
          <w:color w:val="auto"/>
          <w:sz w:val="24"/>
          <w:highlight w:val="none"/>
        </w:rPr>
        <w:t>3</w:t>
      </w:r>
      <w:r>
        <w:rPr>
          <w:rFonts w:hAnsi="Calibri"/>
          <w:color w:val="auto"/>
          <w:spacing w:val="-12"/>
          <w:sz w:val="24"/>
          <w:highlight w:val="none"/>
        </w:rPr>
        <w:t xml:space="preserve"> </w:t>
      </w:r>
      <w:r>
        <w:rPr>
          <w:rFonts w:ascii="HEKJFG+·ÂËÎ" w:hAnsi="HEKJFG+·ÂËÎ" w:cs="HEKJFG+·ÂËÎ"/>
          <w:color w:val="auto"/>
          <w:sz w:val="24"/>
          <w:highlight w:val="none"/>
        </w:rPr>
        <w:t>名为成交候选人。</w:t>
      </w:r>
    </w:p>
    <w:p w14:paraId="30ED387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HEKJFG+·ÂËÎ" w:hAnsi="HEKJFG+·ÂËÎ" w:cs="HEKJFG+·ÂËÎ"/>
          <w:bCs/>
          <w:color w:val="auto"/>
          <w:sz w:val="24"/>
          <w:highlight w:val="none"/>
        </w:rPr>
      </w:pPr>
      <w:r>
        <w:rPr>
          <w:rFonts w:hAnsi="Calibri"/>
          <w:color w:val="auto"/>
          <w:sz w:val="24"/>
          <w:highlight w:val="none"/>
        </w:rPr>
        <w:t>31.7.2</w:t>
      </w:r>
      <w:r>
        <w:rPr>
          <w:rFonts w:hAnsi="Calibri"/>
          <w:color w:val="auto"/>
          <w:spacing w:val="26"/>
          <w:sz w:val="24"/>
          <w:highlight w:val="none"/>
        </w:rPr>
        <w:t xml:space="preserve"> </w:t>
      </w:r>
      <w:r>
        <w:rPr>
          <w:rFonts w:ascii="HEKJFG+·ÂËÎ" w:hAnsi="HEKJFG+·ÂËÎ" w:cs="HEKJFG+·ÂËÎ"/>
          <w:color w:val="auto"/>
          <w:sz w:val="24"/>
          <w:highlight w:val="none"/>
        </w:rPr>
        <w:t>由磋商小组推荐的前</w:t>
      </w:r>
      <w:r>
        <w:rPr>
          <w:rFonts w:hAnsi="Calibri"/>
          <w:color w:val="auto"/>
          <w:sz w:val="24"/>
          <w:highlight w:val="none"/>
        </w:rPr>
        <w:t>3</w:t>
      </w:r>
      <w:r>
        <w:rPr>
          <w:rFonts w:ascii="HEKJFG+·ÂËÎ" w:hAnsi="HEKJFG+·ÂËÎ" w:cs="HEKJFG+·ÂËÎ"/>
          <w:color w:val="auto"/>
          <w:sz w:val="24"/>
          <w:highlight w:val="none"/>
        </w:rPr>
        <w:t>名成交候选人名单中确定成交供应商。确定成交供应商</w:t>
      </w:r>
      <w:r>
        <w:rPr>
          <w:rFonts w:ascii="HEKJFG+·ÂËÎ" w:hAnsi="HEKJFG+·ÂËÎ" w:cs="HEKJFG+·ÂËÎ"/>
          <w:color w:val="auto"/>
          <w:spacing w:val="1"/>
          <w:sz w:val="24"/>
          <w:highlight w:val="none"/>
        </w:rPr>
        <w:t>的原则：排名第一的成交候选人为成交供应商。排名第一的成交候选人放弃成交、因不可抗力提出不能履行合同，或者未能按磋商文件的规定</w:t>
      </w:r>
      <w:r>
        <w:rPr>
          <w:rFonts w:hint="eastAsia" w:ascii="HEKJFG+·ÂËÎ" w:hAnsi="HEKJFG+·ÂËÎ" w:cs="HEKJFG+·ÂËÎ"/>
          <w:color w:val="auto"/>
          <w:spacing w:val="1"/>
          <w:sz w:val="24"/>
          <w:highlight w:val="none"/>
          <w:lang w:eastAsia="zh-CN"/>
        </w:rPr>
        <w:t>缴纳响应保证金</w:t>
      </w:r>
      <w:r>
        <w:rPr>
          <w:rFonts w:ascii="HEKJFG+·ÂËÎ" w:hAnsi="HEKJFG+·ÂËÎ" w:cs="HEKJFG+·ÂËÎ"/>
          <w:color w:val="auto"/>
          <w:spacing w:val="1"/>
          <w:sz w:val="24"/>
          <w:highlight w:val="none"/>
        </w:rPr>
        <w:t>的，确定排名第二的</w:t>
      </w:r>
      <w:r>
        <w:rPr>
          <w:rFonts w:ascii="HEKJFG+·ÂËÎ" w:hAnsi="HEKJFG+·ÂËÎ" w:cs="HEKJFG+·ÂËÎ"/>
          <w:color w:val="auto"/>
          <w:spacing w:val="8"/>
          <w:sz w:val="24"/>
          <w:highlight w:val="none"/>
        </w:rPr>
        <w:t>成交候选人为成交供应商。排名第二的成交候选人因前款规定的同样原因不能签订合同</w:t>
      </w:r>
      <w:r>
        <w:rPr>
          <w:rFonts w:ascii="HEKJFG+·ÂËÎ" w:hAnsi="HEKJFG+·ÂËÎ" w:cs="HEKJFG+·ÂËÎ"/>
          <w:bCs/>
          <w:color w:val="auto"/>
          <w:sz w:val="24"/>
          <w:highlight w:val="none"/>
        </w:rPr>
        <w:t>的，确定排名第三的成交候选人为成交供应商。</w:t>
      </w:r>
    </w:p>
    <w:p w14:paraId="2C67491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00" w:name="_Toc6193"/>
      <w:bookmarkStart w:id="201" w:name="_Toc24539"/>
      <w:bookmarkStart w:id="202" w:name="_Toc9517"/>
      <w:bookmarkStart w:id="203" w:name="_Toc18449"/>
      <w:bookmarkStart w:id="204" w:name="_Toc23717"/>
      <w:r>
        <w:rPr>
          <w:rFonts w:ascii="EENQPB+·ÂËÎ" w:hAnsi="EENQPB+·ÂËÎ" w:cs="EENQPB+·ÂËÎ"/>
          <w:color w:val="auto"/>
          <w:spacing w:val="1"/>
          <w:sz w:val="24"/>
          <w:highlight w:val="none"/>
        </w:rPr>
        <w:t>六、成交公告与成交通知书</w:t>
      </w:r>
      <w:bookmarkEnd w:id="200"/>
      <w:bookmarkEnd w:id="201"/>
      <w:bookmarkEnd w:id="202"/>
      <w:bookmarkEnd w:id="203"/>
      <w:bookmarkEnd w:id="204"/>
    </w:p>
    <w:p w14:paraId="7C104F2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32</w:t>
      </w:r>
      <w:r>
        <w:rPr>
          <w:rFonts w:hAnsi="Calibri"/>
          <w:b/>
          <w:color w:val="auto"/>
          <w:sz w:val="24"/>
          <w:highlight w:val="none"/>
        </w:rPr>
        <w:t>.</w:t>
      </w:r>
      <w:r>
        <w:rPr>
          <w:rFonts w:hAnsi="Calibri"/>
          <w:b/>
          <w:color w:val="auto"/>
          <w:spacing w:val="60"/>
          <w:sz w:val="24"/>
          <w:highlight w:val="none"/>
        </w:rPr>
        <w:t xml:space="preserve"> </w:t>
      </w:r>
      <w:r>
        <w:rPr>
          <w:rFonts w:ascii="EENQPB+·ÂËÎ" w:hAnsi="EENQPB+·ÂËÎ" w:cs="EENQPB+·ÂËÎ"/>
          <w:color w:val="auto"/>
          <w:spacing w:val="1"/>
          <w:sz w:val="24"/>
          <w:highlight w:val="none"/>
        </w:rPr>
        <w:t>成交公告</w:t>
      </w:r>
    </w:p>
    <w:p w14:paraId="4472B77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确定成交供应商之日起</w:t>
      </w:r>
      <w:r>
        <w:rPr>
          <w:rFonts w:hint="eastAsia" w:hAnsi="Calibri"/>
          <w:color w:val="auto"/>
          <w:sz w:val="24"/>
          <w:highlight w:val="none"/>
          <w:lang w:val="en-US" w:eastAsia="zh-CN"/>
        </w:rPr>
        <w:t>1</w:t>
      </w:r>
      <w:r>
        <w:rPr>
          <w:rFonts w:ascii="EENQPB+·ÂËÎ" w:hAnsi="EENQPB+·ÂËÎ" w:cs="EENQPB+·ÂËÎ"/>
          <w:color w:val="auto"/>
          <w:sz w:val="24"/>
          <w:highlight w:val="none"/>
        </w:rPr>
        <w:t>个工作日内，采购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在财政部门指定的网站上发布成交结果。</w:t>
      </w:r>
    </w:p>
    <w:p w14:paraId="7917638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33</w:t>
      </w:r>
      <w:r>
        <w:rPr>
          <w:rFonts w:hAnsi="Calibri"/>
          <w:b/>
          <w:color w:val="auto"/>
          <w:sz w:val="24"/>
          <w:highlight w:val="none"/>
        </w:rPr>
        <w:t>.</w:t>
      </w:r>
      <w:r>
        <w:rPr>
          <w:rFonts w:hAnsi="Calibri"/>
          <w:b/>
          <w:color w:val="auto"/>
          <w:spacing w:val="60"/>
          <w:sz w:val="24"/>
          <w:highlight w:val="none"/>
        </w:rPr>
        <w:t xml:space="preserve"> </w:t>
      </w:r>
      <w:r>
        <w:rPr>
          <w:rFonts w:ascii="EENQPB+·ÂËÎ" w:hAnsi="EENQPB+·ÂËÎ" w:cs="EENQPB+·ÂËÎ"/>
          <w:color w:val="auto"/>
          <w:spacing w:val="1"/>
          <w:sz w:val="24"/>
          <w:highlight w:val="none"/>
        </w:rPr>
        <w:t>成交通知书</w:t>
      </w:r>
    </w:p>
    <w:p w14:paraId="724355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33.1</w:t>
      </w:r>
      <w:r>
        <w:rPr>
          <w:rFonts w:hAnsi="Calibri"/>
          <w:color w:val="auto"/>
          <w:spacing w:val="36"/>
          <w:sz w:val="24"/>
          <w:highlight w:val="none"/>
        </w:rPr>
        <w:t xml:space="preserve"> </w:t>
      </w:r>
      <w:r>
        <w:rPr>
          <w:rFonts w:ascii="EENQPB+·ÂËÎ" w:hAnsi="EENQPB+·ÂËÎ" w:cs="EENQPB+·ÂËÎ"/>
          <w:color w:val="auto"/>
          <w:sz w:val="24"/>
          <w:highlight w:val="none"/>
        </w:rPr>
        <w:t>成交公告的公示期满后，采购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将以数字电文形式向成交供应商发出《成交通</w:t>
      </w:r>
      <w:r>
        <w:rPr>
          <w:rFonts w:ascii="EENQPB+·ÂËÎ" w:hAnsi="EENQPB+·ÂËÎ" w:cs="EENQPB+·ÂËÎ"/>
          <w:color w:val="auto"/>
          <w:spacing w:val="8"/>
          <w:sz w:val="24"/>
          <w:highlight w:val="none"/>
        </w:rPr>
        <w:t>知书》，宣告其响应已被接受。《成交通知书》对采购人和成交供应商具有同等法律效</w:t>
      </w:r>
      <w:r>
        <w:rPr>
          <w:rFonts w:ascii="EENQPB+·ÂËÎ" w:hAnsi="EENQPB+·ÂËÎ" w:cs="EENQPB+·ÂËÎ"/>
          <w:color w:val="auto"/>
          <w:sz w:val="24"/>
          <w:highlight w:val="none"/>
        </w:rPr>
        <w:t>力。</w:t>
      </w:r>
    </w:p>
    <w:p w14:paraId="6BDBE46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pacing w:val="1"/>
          <w:sz w:val="24"/>
          <w:highlight w:val="none"/>
        </w:rPr>
        <w:t>33.2</w:t>
      </w:r>
      <w:r>
        <w:rPr>
          <w:rFonts w:ascii="EENQPB+·ÂËÎ" w:hAnsi="EENQPB+·ÂËÎ" w:cs="EENQPB+·ÂËÎ"/>
          <w:color w:val="auto"/>
          <w:spacing w:val="3"/>
          <w:sz w:val="24"/>
          <w:highlight w:val="none"/>
        </w:rPr>
        <w:t>《成交通知书》发出后，采购人不得擅自改变成交结果，成交供应商无正当理由</w:t>
      </w:r>
      <w:r>
        <w:rPr>
          <w:rFonts w:ascii="EENQPB+·ÂËÎ" w:hAnsi="EENQPB+·ÂËÎ" w:cs="EENQPB+·ÂËÎ"/>
          <w:color w:val="auto"/>
          <w:sz w:val="24"/>
          <w:highlight w:val="none"/>
        </w:rPr>
        <w:t>不得放弃成交资格。</w:t>
      </w:r>
    </w:p>
    <w:p w14:paraId="2D516F4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33.3</w:t>
      </w:r>
      <w:r>
        <w:rPr>
          <w:rFonts w:hAnsi="Calibri"/>
          <w:color w:val="auto"/>
          <w:spacing w:val="38"/>
          <w:sz w:val="24"/>
          <w:highlight w:val="none"/>
        </w:rPr>
        <w:t xml:space="preserve"> </w:t>
      </w:r>
      <w:r>
        <w:rPr>
          <w:rFonts w:ascii="EENQPB+·ÂËÎ" w:hAnsi="EENQPB+·ÂËÎ" w:cs="EENQPB+·ÂËÎ"/>
          <w:color w:val="auto"/>
          <w:spacing w:val="1"/>
          <w:sz w:val="24"/>
          <w:highlight w:val="none"/>
        </w:rPr>
        <w:t>公示期满后</w:t>
      </w:r>
      <w:r>
        <w:rPr>
          <w:rFonts w:hAnsi="Calibri"/>
          <w:color w:val="auto"/>
          <w:sz w:val="24"/>
          <w:highlight w:val="none"/>
        </w:rPr>
        <w:t>10</w:t>
      </w:r>
      <w:r>
        <w:rPr>
          <w:rFonts w:ascii="EENQPB+·ÂËÎ" w:hAnsi="EENQPB+·ÂËÎ" w:cs="EENQPB+·ÂËÎ"/>
          <w:color w:val="auto"/>
          <w:spacing w:val="1"/>
          <w:sz w:val="24"/>
          <w:highlight w:val="none"/>
        </w:rPr>
        <w:t>个工作日内，成交供应商未领取《成交通知书》，将视为成交供</w:t>
      </w:r>
      <w:r>
        <w:rPr>
          <w:rFonts w:ascii="EENQPB+·ÂËÎ" w:hAnsi="EENQPB+·ÂËÎ" w:cs="EENQPB+·ÂËÎ"/>
          <w:color w:val="auto"/>
          <w:sz w:val="24"/>
          <w:highlight w:val="none"/>
        </w:rPr>
        <w:t>应商放弃成交资格，采购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可直接调整成交结果。</w:t>
      </w:r>
    </w:p>
    <w:p w14:paraId="244559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05" w:name="_Toc15255"/>
      <w:bookmarkStart w:id="206" w:name="_Toc16993"/>
      <w:bookmarkStart w:id="207" w:name="_Toc19937"/>
      <w:bookmarkStart w:id="208" w:name="_Toc17571"/>
      <w:bookmarkStart w:id="209" w:name="_Toc2460"/>
      <w:r>
        <w:rPr>
          <w:rFonts w:ascii="EENQPB+·ÂËÎ" w:hAnsi="EENQPB+·ÂËÎ" w:cs="EENQPB+·ÂËÎ"/>
          <w:color w:val="auto"/>
          <w:spacing w:val="1"/>
          <w:sz w:val="24"/>
          <w:highlight w:val="none"/>
        </w:rPr>
        <w:t>七、质疑</w:t>
      </w:r>
      <w:bookmarkEnd w:id="205"/>
      <w:bookmarkEnd w:id="206"/>
      <w:bookmarkEnd w:id="207"/>
      <w:bookmarkEnd w:id="208"/>
      <w:bookmarkEnd w:id="209"/>
    </w:p>
    <w:p w14:paraId="18D493A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34.</w:t>
      </w:r>
      <w:r>
        <w:rPr>
          <w:rFonts w:hAnsi="Calibri"/>
          <w:color w:val="auto"/>
          <w:spacing w:val="60"/>
          <w:sz w:val="24"/>
          <w:highlight w:val="none"/>
        </w:rPr>
        <w:t xml:space="preserve"> </w:t>
      </w:r>
      <w:r>
        <w:rPr>
          <w:rFonts w:ascii="EENQPB+·ÂËÎ" w:hAnsi="EENQPB+·ÂËÎ" w:cs="EENQPB+·ÂËÎ"/>
          <w:color w:val="auto"/>
          <w:sz w:val="24"/>
          <w:highlight w:val="none"/>
        </w:rPr>
        <w:t>提出质疑的供应商应当是直接参与本次采购活动的供应商。</w:t>
      </w:r>
    </w:p>
    <w:p w14:paraId="7CD8217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35.</w:t>
      </w:r>
      <w:r>
        <w:rPr>
          <w:rFonts w:hAnsi="Calibri"/>
          <w:color w:val="auto"/>
          <w:spacing w:val="120"/>
          <w:sz w:val="24"/>
          <w:highlight w:val="none"/>
        </w:rPr>
        <w:t xml:space="preserve"> </w:t>
      </w:r>
      <w:r>
        <w:rPr>
          <w:rFonts w:ascii="EENQPB+·ÂËÎ" w:hAnsi="EENQPB+·ÂËÎ" w:cs="EENQPB+·ÂËÎ"/>
          <w:color w:val="auto"/>
          <w:sz w:val="24"/>
          <w:highlight w:val="none"/>
        </w:rPr>
        <w:t>供应商提出质疑和投诉应当坚持依法依规、诚实信用原则。</w:t>
      </w:r>
    </w:p>
    <w:p w14:paraId="26788EC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36.</w:t>
      </w:r>
      <w:r>
        <w:rPr>
          <w:rFonts w:hAnsi="Calibri"/>
          <w:color w:val="auto"/>
          <w:spacing w:val="41"/>
          <w:sz w:val="24"/>
          <w:highlight w:val="none"/>
        </w:rPr>
        <w:t xml:space="preserve"> </w:t>
      </w:r>
      <w:r>
        <w:rPr>
          <w:rFonts w:ascii="EENQPB+·ÂËÎ" w:hAnsi="EENQPB+·ÂËÎ" w:cs="EENQPB+·ÂËÎ"/>
          <w:color w:val="auto"/>
          <w:spacing w:val="4"/>
          <w:sz w:val="24"/>
          <w:highlight w:val="none"/>
        </w:rPr>
        <w:t>供应商认为采购文件、采购过程和成交结果使自己的权益受到损害的，可以在知</w:t>
      </w:r>
      <w:r>
        <w:rPr>
          <w:rFonts w:ascii="EENQPB+·ÂËÎ" w:hAnsi="EENQPB+·ÂËÎ" w:cs="EENQPB+·ÂËÎ"/>
          <w:color w:val="auto"/>
          <w:spacing w:val="1"/>
          <w:sz w:val="24"/>
          <w:highlight w:val="none"/>
        </w:rPr>
        <w:t>道或者应知其权益受到损害之日起七个工作日内，以书面形式向采购人或者采购</w:t>
      </w:r>
      <w:r>
        <w:rPr>
          <w:rFonts w:hint="eastAsia" w:ascii="EENQPB+·ÂËÎ" w:hAnsi="EENQPB+·ÂËÎ" w:cs="EENQPB+·ÂËÎ"/>
          <w:color w:val="auto"/>
          <w:spacing w:val="1"/>
          <w:sz w:val="24"/>
          <w:highlight w:val="none"/>
        </w:rPr>
        <w:t>代理机构</w:t>
      </w:r>
      <w:r>
        <w:rPr>
          <w:rFonts w:ascii="EENQPB+·ÂËÎ" w:hAnsi="EENQPB+·ÂËÎ" w:cs="EENQPB+·ÂËÎ"/>
          <w:color w:val="auto"/>
          <w:spacing w:val="1"/>
          <w:sz w:val="24"/>
          <w:highlight w:val="none"/>
        </w:rPr>
        <w:t>提出</w:t>
      </w:r>
      <w:r>
        <w:rPr>
          <w:rFonts w:ascii="EENQPB+·ÂËÎ" w:hAnsi="EENQPB+·ÂËÎ" w:cs="EENQPB+·ÂËÎ"/>
          <w:color w:val="auto"/>
          <w:sz w:val="24"/>
          <w:highlight w:val="none"/>
        </w:rPr>
        <w:t>质疑。</w:t>
      </w:r>
    </w:p>
    <w:p w14:paraId="7C6B022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37.</w:t>
      </w:r>
      <w:r>
        <w:rPr>
          <w:rFonts w:hAnsi="Calibri"/>
          <w:color w:val="auto"/>
          <w:spacing w:val="60"/>
          <w:sz w:val="24"/>
          <w:highlight w:val="none"/>
        </w:rPr>
        <w:t xml:space="preserve"> </w:t>
      </w:r>
      <w:r>
        <w:rPr>
          <w:rFonts w:ascii="EENQPB+·ÂËÎ" w:hAnsi="EENQPB+·ÂËÎ" w:cs="EENQPB+·ÂËÎ"/>
          <w:color w:val="auto"/>
          <w:sz w:val="24"/>
          <w:highlight w:val="none"/>
        </w:rPr>
        <w:t>前款供应商“应知其权益受到损害之日”是指：</w:t>
      </w:r>
    </w:p>
    <w:p w14:paraId="63F02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pacing w:val="5"/>
          <w:sz w:val="24"/>
          <w:highlight w:val="none"/>
        </w:rPr>
        <w:t>（</w:t>
      </w:r>
      <w:r>
        <w:rPr>
          <w:rFonts w:hAnsi="Calibri"/>
          <w:color w:val="auto"/>
          <w:spacing w:val="5"/>
          <w:sz w:val="24"/>
          <w:highlight w:val="none"/>
        </w:rPr>
        <w:t>1</w:t>
      </w:r>
      <w:r>
        <w:rPr>
          <w:rFonts w:ascii="EENQPB+·ÂËÎ" w:hAnsi="EENQPB+·ÂËÎ" w:cs="EENQPB+·ÂËÎ"/>
          <w:color w:val="auto"/>
          <w:spacing w:val="5"/>
          <w:sz w:val="24"/>
          <w:highlight w:val="none"/>
        </w:rPr>
        <w:t>）对可以质疑的采购文件提出质疑的，为收到采购文件之日或者采购文件公告期</w:t>
      </w:r>
      <w:r>
        <w:rPr>
          <w:rFonts w:ascii="EENQPB+·ÂËÎ" w:hAnsi="EENQPB+·ÂËÎ" w:cs="EENQPB+·ÂËÎ"/>
          <w:color w:val="auto"/>
          <w:sz w:val="24"/>
          <w:highlight w:val="none"/>
        </w:rPr>
        <w:t>限届满之日；</w:t>
      </w:r>
    </w:p>
    <w:p w14:paraId="7459505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2</w:t>
      </w:r>
      <w:r>
        <w:rPr>
          <w:rFonts w:ascii="EENQPB+·ÂËÎ" w:hAnsi="EENQPB+·ÂËÎ" w:cs="EENQPB+·ÂËÎ"/>
          <w:color w:val="auto"/>
          <w:sz w:val="24"/>
          <w:highlight w:val="none"/>
        </w:rPr>
        <w:t>）对采购过程提出质疑的，为各采购程序环节结束之日；</w:t>
      </w:r>
    </w:p>
    <w:p w14:paraId="231B541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3</w:t>
      </w:r>
      <w:r>
        <w:rPr>
          <w:rFonts w:ascii="EENQPB+·ÂËÎ" w:hAnsi="EENQPB+·ÂËÎ" w:cs="EENQPB+·ÂËÎ"/>
          <w:color w:val="auto"/>
          <w:sz w:val="24"/>
          <w:highlight w:val="none"/>
        </w:rPr>
        <w:t>）对成交或者成交结果提出质疑的，为成交或者成交结果公告期限届满之日。</w:t>
      </w:r>
    </w:p>
    <w:p w14:paraId="7C4FE89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38.</w:t>
      </w:r>
      <w:r>
        <w:rPr>
          <w:rFonts w:hAnsi="Calibri"/>
          <w:color w:val="auto"/>
          <w:spacing w:val="60"/>
          <w:sz w:val="24"/>
          <w:highlight w:val="none"/>
        </w:rPr>
        <w:t xml:space="preserve"> </w:t>
      </w:r>
      <w:r>
        <w:rPr>
          <w:rFonts w:ascii="EENQPB+·ÂËÎ" w:hAnsi="EENQPB+·ÂËÎ" w:cs="EENQPB+·ÂËÎ"/>
          <w:color w:val="auto"/>
          <w:sz w:val="24"/>
          <w:highlight w:val="none"/>
        </w:rPr>
        <w:t>供应商提出质疑的，应提供质疑函和必要的证明材料。</w:t>
      </w:r>
    </w:p>
    <w:p w14:paraId="3086072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39.</w:t>
      </w:r>
      <w:r>
        <w:rPr>
          <w:rFonts w:hAnsi="Calibri"/>
          <w:color w:val="auto"/>
          <w:spacing w:val="60"/>
          <w:sz w:val="24"/>
          <w:highlight w:val="none"/>
        </w:rPr>
        <w:t xml:space="preserve"> </w:t>
      </w:r>
      <w:r>
        <w:rPr>
          <w:rFonts w:ascii="EENQPB+·ÂËÎ" w:hAnsi="EENQPB+·ÂËÎ" w:cs="EENQPB+·ÂËÎ"/>
          <w:color w:val="auto"/>
          <w:sz w:val="24"/>
          <w:highlight w:val="none"/>
        </w:rPr>
        <w:t>质疑函应当包括以下内容：</w:t>
      </w:r>
    </w:p>
    <w:p w14:paraId="0DB68C5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1</w:t>
      </w:r>
      <w:r>
        <w:rPr>
          <w:rFonts w:ascii="EENQPB+·ÂËÎ" w:hAnsi="EENQPB+·ÂËÎ" w:cs="EENQPB+·ÂËÎ"/>
          <w:color w:val="auto"/>
          <w:sz w:val="24"/>
          <w:highlight w:val="none"/>
        </w:rPr>
        <w:t>）供应商的姓名或者名称、地址、邮编、联系人及联系电话；</w:t>
      </w:r>
    </w:p>
    <w:p w14:paraId="20F4175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2</w:t>
      </w:r>
      <w:r>
        <w:rPr>
          <w:rFonts w:ascii="EENQPB+·ÂËÎ" w:hAnsi="EENQPB+·ÂËÎ" w:cs="EENQPB+·ÂËÎ"/>
          <w:color w:val="auto"/>
          <w:sz w:val="24"/>
          <w:highlight w:val="none"/>
        </w:rPr>
        <w:t>）质疑项目的名称、编号；</w:t>
      </w:r>
    </w:p>
    <w:p w14:paraId="1DAF076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3</w:t>
      </w:r>
      <w:r>
        <w:rPr>
          <w:rFonts w:ascii="EENQPB+·ÂËÎ" w:hAnsi="EENQPB+·ÂËÎ" w:cs="EENQPB+·ÂËÎ"/>
          <w:color w:val="auto"/>
          <w:sz w:val="24"/>
          <w:highlight w:val="none"/>
        </w:rPr>
        <w:t>）具体、明确的质疑事项和与质疑事项相关的请求；</w:t>
      </w:r>
    </w:p>
    <w:p w14:paraId="7D838D5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4</w:t>
      </w:r>
      <w:r>
        <w:rPr>
          <w:rFonts w:ascii="EENQPB+·ÂËÎ" w:hAnsi="EENQPB+·ÂËÎ" w:cs="EENQPB+·ÂËÎ"/>
          <w:color w:val="auto"/>
          <w:sz w:val="24"/>
          <w:highlight w:val="none"/>
        </w:rPr>
        <w:t>）事实依据；</w:t>
      </w:r>
    </w:p>
    <w:p w14:paraId="5B2CC3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5</w:t>
      </w:r>
      <w:r>
        <w:rPr>
          <w:rFonts w:ascii="EENQPB+·ÂËÎ" w:hAnsi="EENQPB+·ÂËÎ" w:cs="EENQPB+·ÂËÎ"/>
          <w:color w:val="auto"/>
          <w:sz w:val="24"/>
          <w:highlight w:val="none"/>
        </w:rPr>
        <w:t>）必要的法律依据；</w:t>
      </w:r>
    </w:p>
    <w:p w14:paraId="34FF120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EENQPB+·ÂËÎ" w:hAnsi="EENQPB+·ÂËÎ" w:cs="EENQPB+·ÂËÎ"/>
          <w:color w:val="auto"/>
          <w:sz w:val="24"/>
          <w:highlight w:val="none"/>
        </w:rPr>
      </w:pPr>
      <w:r>
        <w:rPr>
          <w:rFonts w:ascii="EENQPB+·ÂËÎ" w:hAnsi="EENQPB+·ÂËÎ" w:cs="EENQPB+·ÂËÎ"/>
          <w:color w:val="auto"/>
          <w:sz w:val="24"/>
          <w:highlight w:val="none"/>
        </w:rPr>
        <w:t>（</w:t>
      </w:r>
      <w:r>
        <w:rPr>
          <w:rFonts w:hAnsi="Calibri"/>
          <w:color w:val="auto"/>
          <w:sz w:val="24"/>
          <w:highlight w:val="none"/>
        </w:rPr>
        <w:t>6</w:t>
      </w:r>
      <w:r>
        <w:rPr>
          <w:rFonts w:ascii="EENQPB+·ÂËÎ" w:hAnsi="EENQPB+·ÂËÎ" w:cs="EENQPB+·ÂËÎ"/>
          <w:color w:val="auto"/>
          <w:sz w:val="24"/>
          <w:highlight w:val="none"/>
        </w:rPr>
        <w:t>）提出质疑的日期。</w:t>
      </w:r>
    </w:p>
    <w:p w14:paraId="2713689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40.</w:t>
      </w:r>
      <w:r>
        <w:rPr>
          <w:rFonts w:hint="eastAsia" w:hAnsi="Calibri"/>
          <w:color w:val="auto"/>
          <w:sz w:val="24"/>
          <w:highlight w:val="none"/>
        </w:rPr>
        <w:t xml:space="preserve"> </w:t>
      </w:r>
      <w:r>
        <w:rPr>
          <w:rFonts w:ascii="NKBUPC+·ÂËÎ" w:hAnsi="NKBUPC+·ÂËÎ" w:cs="NKBUPC+·ÂËÎ"/>
          <w:color w:val="auto"/>
          <w:spacing w:val="1"/>
          <w:sz w:val="24"/>
          <w:highlight w:val="none"/>
        </w:rPr>
        <w:t>质疑函应当由供应商法定代表人或其授权代表（附法定代表人授权委托书）签名</w:t>
      </w:r>
      <w:r>
        <w:rPr>
          <w:rFonts w:ascii="NKBUPC+·ÂËÎ" w:hAnsi="NKBUPC+·ÂËÎ" w:cs="NKBUPC+·ÂËÎ"/>
          <w:color w:val="auto"/>
          <w:sz w:val="24"/>
          <w:highlight w:val="none"/>
        </w:rPr>
        <w:t>并加盖公章。</w:t>
      </w:r>
    </w:p>
    <w:p w14:paraId="777AD46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41.</w:t>
      </w:r>
      <w:r>
        <w:rPr>
          <w:rFonts w:hAnsi="Calibri"/>
          <w:color w:val="auto"/>
          <w:spacing w:val="41"/>
          <w:sz w:val="24"/>
          <w:highlight w:val="none"/>
        </w:rPr>
        <w:t xml:space="preserve"> </w:t>
      </w:r>
      <w:r>
        <w:rPr>
          <w:rFonts w:ascii="NKBUPC+·ÂËÎ" w:hAnsi="NKBUPC+·ÂËÎ" w:cs="NKBUPC+·ÂËÎ"/>
          <w:color w:val="auto"/>
          <w:spacing w:val="4"/>
          <w:sz w:val="24"/>
          <w:highlight w:val="none"/>
        </w:rPr>
        <w:t>采购人或者采购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应当在收到供应商的书面质疑后七个工作日内作出答复，并</w:t>
      </w:r>
      <w:r>
        <w:rPr>
          <w:rFonts w:ascii="NKBUPC+·ÂËÎ" w:hAnsi="NKBUPC+·ÂËÎ" w:cs="NKBUPC+·ÂËÎ"/>
          <w:color w:val="auto"/>
          <w:sz w:val="24"/>
          <w:highlight w:val="none"/>
        </w:rPr>
        <w:t>以书面形式通知质疑供应商和其他有关供应商。</w:t>
      </w:r>
    </w:p>
    <w:p w14:paraId="422C8F5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42.</w:t>
      </w:r>
      <w:r>
        <w:rPr>
          <w:rFonts w:hAnsi="Calibri"/>
          <w:color w:val="auto"/>
          <w:spacing w:val="41"/>
          <w:sz w:val="24"/>
          <w:highlight w:val="none"/>
        </w:rPr>
        <w:t xml:space="preserve"> </w:t>
      </w:r>
      <w:r>
        <w:rPr>
          <w:rFonts w:ascii="NKBUPC+·ÂËÎ" w:hAnsi="NKBUPC+·ÂËÎ" w:cs="NKBUPC+·ÂËÎ"/>
          <w:color w:val="auto"/>
          <w:spacing w:val="4"/>
          <w:sz w:val="24"/>
          <w:highlight w:val="none"/>
        </w:rPr>
        <w:t>质疑供应商对采购人、采购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的答复不满意或者采购人、采购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未在规定的</w:t>
      </w:r>
      <w:r>
        <w:rPr>
          <w:rFonts w:ascii="NKBUPC+·ÂËÎ" w:hAnsi="NKBUPC+·ÂËÎ" w:cs="NKBUPC+·ÂËÎ"/>
          <w:color w:val="auto"/>
          <w:spacing w:val="7"/>
          <w:sz w:val="24"/>
          <w:highlight w:val="none"/>
        </w:rPr>
        <w:t>时间内作出答复的，可以在答复期满后十五个工作日内向同级政府采购监督管理部门投</w:t>
      </w:r>
      <w:r>
        <w:rPr>
          <w:rFonts w:ascii="NKBUPC+·ÂËÎ" w:hAnsi="NKBUPC+·ÂËÎ" w:cs="NKBUPC+·ÂËÎ"/>
          <w:color w:val="auto"/>
          <w:sz w:val="24"/>
          <w:highlight w:val="none"/>
        </w:rPr>
        <w:t>诉。</w:t>
      </w:r>
    </w:p>
    <w:p w14:paraId="2DE32DF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10" w:name="_Toc22440"/>
      <w:bookmarkStart w:id="211" w:name="_Toc13025"/>
      <w:bookmarkStart w:id="212" w:name="_Toc14731"/>
      <w:bookmarkStart w:id="213" w:name="_Toc8594"/>
      <w:bookmarkStart w:id="214" w:name="_Toc11256"/>
      <w:r>
        <w:rPr>
          <w:rFonts w:ascii="NKBUPC+·ÂËÎ" w:hAnsi="NKBUPC+·ÂËÎ" w:cs="NKBUPC+·ÂËÎ"/>
          <w:color w:val="auto"/>
          <w:spacing w:val="1"/>
          <w:sz w:val="24"/>
          <w:highlight w:val="none"/>
        </w:rPr>
        <w:t>八、合同签订</w:t>
      </w:r>
      <w:bookmarkEnd w:id="210"/>
      <w:bookmarkEnd w:id="211"/>
      <w:bookmarkEnd w:id="212"/>
      <w:bookmarkEnd w:id="213"/>
      <w:bookmarkEnd w:id="214"/>
    </w:p>
    <w:p w14:paraId="5D52C12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43.主要条款</w:t>
      </w:r>
    </w:p>
    <w:p w14:paraId="1D8AC26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采购人或采购代理机构根据采购服务项目特点自行拟定包含但不仅限于以下内容：</w:t>
      </w:r>
    </w:p>
    <w:p w14:paraId="79E2D29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服务周期：                           </w:t>
      </w:r>
    </w:p>
    <w:p w14:paraId="5BC018C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质量标准及验收办法：                       </w:t>
      </w:r>
    </w:p>
    <w:p w14:paraId="1381C9F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付款方式：                                 </w:t>
      </w:r>
    </w:p>
    <w:p w14:paraId="0EF942E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考核评标体系：                    </w:t>
      </w:r>
    </w:p>
    <w:p w14:paraId="037654F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b/>
          <w:color w:val="auto"/>
          <w:sz w:val="24"/>
          <w:highlight w:val="none"/>
        </w:rPr>
      </w:pPr>
      <w:r>
        <w:rPr>
          <w:rFonts w:hint="eastAsia"/>
          <w:color w:val="auto"/>
          <w:sz w:val="24"/>
          <w:highlight w:val="none"/>
        </w:rPr>
        <w:t xml:space="preserve">服务周期清算办法：     </w:t>
      </w:r>
    </w:p>
    <w:p w14:paraId="6B2525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w:t>
      </w:r>
    </w:p>
    <w:p w14:paraId="2E5BCA3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44.</w:t>
      </w:r>
      <w:r>
        <w:rPr>
          <w:rFonts w:hAnsi="Calibri"/>
          <w:b/>
          <w:color w:val="auto"/>
          <w:spacing w:val="60"/>
          <w:sz w:val="24"/>
          <w:highlight w:val="none"/>
        </w:rPr>
        <w:t xml:space="preserve"> </w:t>
      </w:r>
      <w:r>
        <w:rPr>
          <w:rFonts w:ascii="NKBUPC+·ÂËÎ" w:hAnsi="NKBUPC+·ÂËÎ" w:cs="NKBUPC+·ÂËÎ"/>
          <w:color w:val="auto"/>
          <w:spacing w:val="1"/>
          <w:sz w:val="24"/>
          <w:highlight w:val="none"/>
        </w:rPr>
        <w:t>签订合同</w:t>
      </w:r>
    </w:p>
    <w:p w14:paraId="66FBB7A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44.1</w:t>
      </w:r>
      <w:r>
        <w:rPr>
          <w:rFonts w:hAnsi="Calibri"/>
          <w:color w:val="auto"/>
          <w:spacing w:val="36"/>
          <w:sz w:val="24"/>
          <w:highlight w:val="none"/>
        </w:rPr>
        <w:t xml:space="preserve"> </w:t>
      </w:r>
      <w:r>
        <w:rPr>
          <w:rFonts w:ascii="NKBUPC+·ÂËÎ" w:hAnsi="NKBUPC+·ÂËÎ" w:cs="NKBUPC+·ÂËÎ"/>
          <w:color w:val="auto"/>
          <w:spacing w:val="1"/>
          <w:sz w:val="24"/>
          <w:highlight w:val="none"/>
        </w:rPr>
        <w:t>采购人应当自《成交通知书》发出之日起</w:t>
      </w:r>
      <w:r>
        <w:rPr>
          <w:rFonts w:hAnsi="Calibri"/>
          <w:color w:val="auto"/>
          <w:spacing w:val="60"/>
          <w:sz w:val="24"/>
          <w:highlight w:val="none"/>
        </w:rPr>
        <w:t xml:space="preserve"> </w:t>
      </w:r>
      <w:r>
        <w:rPr>
          <w:rFonts w:hAnsi="Calibri"/>
          <w:color w:val="auto"/>
          <w:sz w:val="24"/>
          <w:highlight w:val="none"/>
        </w:rPr>
        <w:t>30</w:t>
      </w:r>
      <w:r>
        <w:rPr>
          <w:rFonts w:hAnsi="Calibri"/>
          <w:color w:val="auto"/>
          <w:spacing w:val="36"/>
          <w:sz w:val="24"/>
          <w:highlight w:val="none"/>
        </w:rPr>
        <w:t xml:space="preserve"> </w:t>
      </w:r>
      <w:r>
        <w:rPr>
          <w:rFonts w:ascii="NKBUPC+·ÂËÎ" w:hAnsi="NKBUPC+·ÂËÎ" w:cs="NKBUPC+·ÂËÎ"/>
          <w:color w:val="auto"/>
          <w:spacing w:val="1"/>
          <w:sz w:val="24"/>
          <w:highlight w:val="none"/>
        </w:rPr>
        <w:t>日内，依据磋商文件和成交供应商的响应文件与成交供应商签订书面合同。所签订的合同不得对磋商文件确定的事项和成交</w:t>
      </w:r>
      <w:r>
        <w:rPr>
          <w:rFonts w:ascii="VFMOMV+·ÂËÎ" w:hAnsi="VFMOMV+·ÂËÎ" w:cs="VFMOMV+·ÂËÎ"/>
          <w:color w:val="auto"/>
          <w:sz w:val="24"/>
          <w:highlight w:val="none"/>
        </w:rPr>
        <w:t>供应商的响应文件作实质性修改。</w:t>
      </w:r>
    </w:p>
    <w:p w14:paraId="15C6DC5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44.2</w:t>
      </w:r>
      <w:r>
        <w:rPr>
          <w:rFonts w:hAnsi="Calibri"/>
          <w:color w:val="auto"/>
          <w:spacing w:val="36"/>
          <w:sz w:val="24"/>
          <w:highlight w:val="none"/>
        </w:rPr>
        <w:t xml:space="preserve"> </w:t>
      </w:r>
      <w:r>
        <w:rPr>
          <w:rFonts w:ascii="VFMOMV+·ÂËÎ" w:hAnsi="VFMOMV+·ÂËÎ" w:cs="VFMOMV+·ÂËÎ"/>
          <w:color w:val="auto"/>
          <w:sz w:val="24"/>
          <w:highlight w:val="none"/>
        </w:rPr>
        <w:t>合同签订时，采购人和成交供应商必须以磋商小组确认的响应文件为依据，采购</w:t>
      </w:r>
      <w:r>
        <w:rPr>
          <w:rFonts w:ascii="VFMOMV+·ÂËÎ" w:hAnsi="VFMOMV+·ÂËÎ" w:cs="VFMOMV+·ÂËÎ"/>
          <w:color w:val="auto"/>
          <w:spacing w:val="1"/>
          <w:sz w:val="24"/>
          <w:highlight w:val="none"/>
        </w:rPr>
        <w:t>人不得与成交供应商私自协商变更响应文件“供货一览表”中的设备，降低产品性能，骗取财政性资金。若因系统建设需要，不得不更改产品的品牌及配置，必须经相关部门审核</w:t>
      </w:r>
      <w:r>
        <w:rPr>
          <w:rFonts w:ascii="VFMOMV+·ÂËÎ" w:hAnsi="VFMOMV+·ÂËÎ" w:cs="VFMOMV+·ÂËÎ"/>
          <w:color w:val="auto"/>
          <w:sz w:val="24"/>
          <w:highlight w:val="none"/>
        </w:rPr>
        <w:t>同意后方可变更，否则变更无效。</w:t>
      </w:r>
    </w:p>
    <w:p w14:paraId="3F08249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Cs w:val="22"/>
          <w:highlight w:val="none"/>
        </w:rPr>
      </w:pPr>
      <w:r>
        <w:rPr>
          <w:rFonts w:hAnsi="Calibri"/>
          <w:color w:val="auto"/>
          <w:sz w:val="24"/>
          <w:highlight w:val="none"/>
        </w:rPr>
        <w:t>44.3</w:t>
      </w:r>
      <w:r>
        <w:rPr>
          <w:rFonts w:hAnsi="Calibri"/>
          <w:color w:val="auto"/>
          <w:spacing w:val="60"/>
          <w:sz w:val="24"/>
          <w:highlight w:val="none"/>
        </w:rPr>
        <w:t xml:space="preserve"> </w:t>
      </w:r>
      <w:r>
        <w:rPr>
          <w:rFonts w:ascii="VFMOMV+·ÂËÎ" w:hAnsi="VFMOMV+·ÂËÎ" w:cs="VFMOMV+·ÂËÎ"/>
          <w:color w:val="auto"/>
          <w:spacing w:val="1"/>
          <w:sz w:val="24"/>
          <w:highlight w:val="none"/>
        </w:rPr>
        <w:t>合同自签订之日起三个工作日内，成交供应商应向采购人提供一份详细的工作时间表。</w:t>
      </w:r>
    </w:p>
    <w:p w14:paraId="2696A225">
      <w:pPr>
        <w:pStyle w:val="1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color w:val="auto"/>
          <w:sz w:val="24"/>
          <w:highlight w:val="none"/>
        </w:rPr>
      </w:pPr>
      <w:bookmarkStart w:id="215" w:name="_Toc8718"/>
      <w:bookmarkStart w:id="216" w:name="_Toc15849"/>
      <w:bookmarkStart w:id="217" w:name="_Toc17177"/>
      <w:bookmarkStart w:id="218" w:name="_Toc19408"/>
      <w:bookmarkStart w:id="219" w:name="_Toc32095"/>
      <w:r>
        <w:rPr>
          <w:rFonts w:hint="eastAsia"/>
          <w:color w:val="auto"/>
          <w:sz w:val="24"/>
          <w:highlight w:val="none"/>
        </w:rPr>
        <w:t>九、其他规定</w:t>
      </w:r>
      <w:bookmarkEnd w:id="215"/>
      <w:bookmarkEnd w:id="216"/>
      <w:bookmarkEnd w:id="217"/>
      <w:bookmarkEnd w:id="218"/>
      <w:bookmarkEnd w:id="219"/>
    </w:p>
    <w:p w14:paraId="543EB746">
      <w:pPr>
        <w:pStyle w:val="1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45. 本磋商文件的解释权归新疆重道敬德招标咨询有限公司所有。</w:t>
      </w:r>
    </w:p>
    <w:p w14:paraId="64939BB8">
      <w:pPr>
        <w:rPr>
          <w:rFonts w:ascii="TKEBTB+ËÎÌå" w:hAnsi="TKEBTB+ËÎÌå" w:cs="TKEBTB+ËÎÌå"/>
          <w:color w:val="auto"/>
          <w:spacing w:val="2"/>
          <w:sz w:val="32"/>
          <w:szCs w:val="22"/>
          <w:highlight w:val="none"/>
        </w:rPr>
      </w:pPr>
      <w:bookmarkStart w:id="220" w:name="_Toc406672413"/>
      <w:bookmarkStart w:id="221" w:name="_Toc406671148"/>
      <w:bookmarkStart w:id="222" w:name="_Toc424213040"/>
      <w:bookmarkStart w:id="223" w:name="_Toc406671717"/>
      <w:bookmarkStart w:id="224" w:name="_Toc406670777"/>
      <w:r>
        <w:rPr>
          <w:rFonts w:ascii="TKEBTB+ËÎÌå" w:hAnsi="TKEBTB+ËÎÌå" w:cs="TKEBTB+ËÎÌå"/>
          <w:color w:val="auto"/>
          <w:spacing w:val="2"/>
          <w:sz w:val="32"/>
          <w:szCs w:val="22"/>
          <w:highlight w:val="none"/>
        </w:rPr>
        <w:br w:type="page"/>
      </w:r>
    </w:p>
    <w:p w14:paraId="7F8C306C">
      <w:pPr>
        <w:pageBreakBefore w:val="0"/>
        <w:kinsoku/>
        <w:wordWrap/>
        <w:overflowPunct/>
        <w:topLinePunct w:val="0"/>
        <w:bidi w:val="0"/>
        <w:spacing w:before="1047" w:line="360" w:lineRule="auto"/>
        <w:jc w:val="center"/>
        <w:outlineLvl w:val="0"/>
        <w:rPr>
          <w:rFonts w:hAnsi="Calibri"/>
          <w:b/>
          <w:bCs/>
          <w:color w:val="auto"/>
          <w:sz w:val="32"/>
          <w:szCs w:val="22"/>
          <w:highlight w:val="none"/>
        </w:rPr>
      </w:pPr>
      <w:bookmarkStart w:id="225" w:name="_Toc22378"/>
      <w:r>
        <w:rPr>
          <w:rFonts w:ascii="TKEBTB+ËÎÌå" w:hAnsi="TKEBTB+ËÎÌå" w:cs="TKEBTB+ËÎÌå"/>
          <w:b/>
          <w:bCs/>
          <w:color w:val="auto"/>
          <w:spacing w:val="2"/>
          <w:sz w:val="32"/>
          <w:szCs w:val="22"/>
          <w:highlight w:val="none"/>
        </w:rPr>
        <w:t>第四章</w:t>
      </w:r>
      <w:r>
        <w:rPr>
          <w:rFonts w:hint="eastAsia" w:ascii="TKEBTB+ËÎÌå" w:hAnsi="TKEBTB+ËÎÌå" w:cs="TKEBTB+ËÎÌå"/>
          <w:b/>
          <w:bCs/>
          <w:color w:val="auto"/>
          <w:spacing w:val="2"/>
          <w:sz w:val="32"/>
          <w:szCs w:val="22"/>
          <w:highlight w:val="none"/>
          <w:lang w:val="en-US" w:eastAsia="zh-CN"/>
        </w:rPr>
        <w:t xml:space="preserve">  </w:t>
      </w:r>
      <w:r>
        <w:rPr>
          <w:rFonts w:ascii="TKEBTB+ËÎÌå" w:hAnsi="TKEBTB+ËÎÌå" w:cs="TKEBTB+ËÎÌå"/>
          <w:b/>
          <w:bCs/>
          <w:color w:val="auto"/>
          <w:spacing w:val="2"/>
          <w:sz w:val="32"/>
          <w:szCs w:val="22"/>
          <w:highlight w:val="none"/>
        </w:rPr>
        <w:t>合同</w:t>
      </w:r>
      <w:bookmarkEnd w:id="225"/>
    </w:p>
    <w:p w14:paraId="5A736E76">
      <w:pPr>
        <w:jc w:val="center"/>
        <w:rPr>
          <w:rFonts w:hint="eastAsia" w:ascii="仿宋" w:hAnsi="仿宋" w:eastAsia="仿宋"/>
          <w:b/>
          <w:color w:val="auto"/>
          <w:sz w:val="24"/>
          <w:highlight w:val="none"/>
        </w:rPr>
      </w:pPr>
    </w:p>
    <w:p w14:paraId="2BE1FB05">
      <w:pPr>
        <w:jc w:val="cente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（提供的建设工程监理合同仅供参考，以最终签订的合同为准）</w:t>
      </w:r>
    </w:p>
    <w:p w14:paraId="15F47F14">
      <w:pPr>
        <w:tabs>
          <w:tab w:val="center" w:pos="4832"/>
          <w:tab w:val="left" w:pos="7140"/>
        </w:tabs>
        <w:spacing w:line="360" w:lineRule="auto"/>
        <w:jc w:val="center"/>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合同协议书</w:t>
      </w:r>
    </w:p>
    <w:p w14:paraId="3806F31B">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委托人（全称）：</w:t>
      </w:r>
      <w:r>
        <w:rPr>
          <w:rFonts w:hint="eastAsia" w:ascii="仿宋" w:hAnsi="仿宋" w:eastAsia="仿宋" w:cs="仿宋"/>
          <w:b/>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
          <w:color w:val="auto"/>
          <w:sz w:val="24"/>
          <w:szCs w:val="24"/>
          <w:highlight w:val="none"/>
          <w:u w:val="single"/>
        </w:rPr>
        <w:t xml:space="preserve">              </w:t>
      </w:r>
    </w:p>
    <w:p w14:paraId="370B71A3">
      <w:pPr>
        <w:spacing w:line="400" w:lineRule="exact"/>
        <w:ind w:firstLine="482" w:firstLineChars="200"/>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监理人（全称）：</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p>
    <w:p w14:paraId="19862353">
      <w:pPr>
        <w:spacing w:line="400" w:lineRule="exact"/>
        <w:ind w:firstLine="480" w:firstLineChars="2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根据《中华人民共和国民法典》、《中华人民共和国建筑法》及其他有关法律、法规，遵循平等、自愿、公平和诚信的原则，双方就下述工程委托监理与相关服务事项协商一致，订立本合同。</w:t>
      </w:r>
    </w:p>
    <w:p w14:paraId="220BBC24">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一、工程概况</w:t>
      </w:r>
    </w:p>
    <w:p w14:paraId="4EFCFC43">
      <w:pPr>
        <w:spacing w:line="400" w:lineRule="exact"/>
        <w:ind w:firstLine="480" w:firstLineChars="2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 工程名称：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14:paraId="182F516D">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工程地点：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14:paraId="7464FBC5">
      <w:pPr>
        <w:spacing w:line="400" w:lineRule="exact"/>
        <w:ind w:firstLine="480" w:firstLineChars="2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 工程规模：</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 </w:t>
      </w:r>
    </w:p>
    <w:p w14:paraId="21313F36">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工程概算投资额或建筑安装工程费：</w:t>
      </w:r>
      <w:r>
        <w:rPr>
          <w:rFonts w:hint="eastAsia" w:ascii="仿宋" w:hAnsi="仿宋" w:eastAsia="仿宋" w:cs="仿宋"/>
          <w:color w:val="auto"/>
          <w:kern w:val="0"/>
          <w:sz w:val="24"/>
          <w:szCs w:val="24"/>
          <w:highlight w:val="none"/>
          <w:u w:val="single"/>
        </w:rPr>
        <w:t xml:space="preserve">             </w:t>
      </w:r>
    </w:p>
    <w:p w14:paraId="1C5A86DD">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二、词语限定</w:t>
      </w:r>
    </w:p>
    <w:p w14:paraId="541523C9">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协议书中相关词语的含义与通用条件中的定义与解释相同。</w:t>
      </w:r>
    </w:p>
    <w:p w14:paraId="4BCECD7D">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三、组成本合同的文件</w:t>
      </w:r>
    </w:p>
    <w:p w14:paraId="46E4FAE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协议书；</w:t>
      </w:r>
    </w:p>
    <w:p w14:paraId="641F2F32">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中标通知书（适用于招标工程）或委托书（适用于非招标工程）；</w:t>
      </w:r>
    </w:p>
    <w:p w14:paraId="0B88BD5D">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（适用于招标工程）或监理与相关服务建议书（适用于非招标工程）；</w:t>
      </w:r>
    </w:p>
    <w:p w14:paraId="410E11F3">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专用条件；</w:t>
      </w:r>
    </w:p>
    <w:p w14:paraId="6A275043">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通用条件；</w:t>
      </w:r>
    </w:p>
    <w:p w14:paraId="1AC99CD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附录，即：</w:t>
      </w:r>
    </w:p>
    <w:p w14:paraId="28794DD7">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附录A  相关服务的范围和内容</w:t>
      </w:r>
    </w:p>
    <w:p w14:paraId="7734DEF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附录B  委托人派遣的人员和提供的</w:t>
      </w:r>
      <w:r>
        <w:rPr>
          <w:rFonts w:hint="eastAsia" w:ascii="仿宋" w:hAnsi="仿宋" w:eastAsia="仿宋" w:cs="仿宋"/>
          <w:bCs/>
          <w:color w:val="auto"/>
          <w:sz w:val="24"/>
          <w:szCs w:val="24"/>
          <w:highlight w:val="none"/>
        </w:rPr>
        <w:t>房屋、资料</w:t>
      </w:r>
      <w:r>
        <w:rPr>
          <w:rFonts w:hint="eastAsia" w:ascii="仿宋" w:hAnsi="仿宋" w:eastAsia="仿宋" w:cs="仿宋"/>
          <w:color w:val="auto"/>
          <w:sz w:val="24"/>
          <w:szCs w:val="24"/>
          <w:highlight w:val="none"/>
        </w:rPr>
        <w:t>、设备</w:t>
      </w:r>
    </w:p>
    <w:p w14:paraId="6745C334">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本合同签订后，双方依法签订的补充协议也是本合同文件的组成部分。</w:t>
      </w:r>
    </w:p>
    <w:p w14:paraId="6896781E">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在实施过程中双方共同签署的补充与修正文件</w:t>
      </w:r>
      <w:r>
        <w:rPr>
          <w:rFonts w:hint="eastAsia" w:ascii="仿宋" w:hAnsi="仿宋" w:eastAsia="仿宋" w:cs="仿宋"/>
          <w:color w:val="auto"/>
          <w:sz w:val="24"/>
          <w:szCs w:val="24"/>
          <w:highlight w:val="none"/>
          <w:lang w:eastAsia="zh-CN"/>
        </w:rPr>
        <w:t>；</w:t>
      </w:r>
    </w:p>
    <w:p w14:paraId="65260154">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四、总监理工程师</w:t>
      </w:r>
    </w:p>
    <w:p w14:paraId="408A75D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总监理工程师姓名：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，身份证号码：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，注册号：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EC608A2">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五、签约酬金</w:t>
      </w:r>
    </w:p>
    <w:p w14:paraId="55F2CC8D">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签约酬金：人民币（小写）：（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；（其中：不含税金额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元，税额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u w:val="single"/>
        </w:rPr>
        <w:t xml:space="preserve">（暂控）；                                </w:t>
      </w:r>
    </w:p>
    <w:p w14:paraId="2BA0B64D">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w:t>
      </w:r>
    </w:p>
    <w:p w14:paraId="4F06F769">
      <w:pPr>
        <w:spacing w:line="400" w:lineRule="exact"/>
        <w:ind w:firstLine="480" w:firstLineChars="2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1．监理酬金：人民币（小写）：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；（其中：不含税金额</w:t>
      </w:r>
      <w:r>
        <w:rPr>
          <w:rFonts w:hint="eastAsia" w:ascii="仿宋" w:hAnsi="仿宋" w:eastAsia="仿宋" w:cs="仿宋"/>
          <w:color w:val="auto"/>
          <w:sz w:val="24"/>
          <w:szCs w:val="24"/>
          <w:highlight w:val="none"/>
          <w:u w:val="single"/>
        </w:rPr>
        <w:t xml:space="preserve">        元</w:t>
      </w:r>
      <w:r>
        <w:rPr>
          <w:rFonts w:hint="eastAsia" w:ascii="仿宋" w:hAnsi="仿宋" w:eastAsia="仿宋" w:cs="仿宋"/>
          <w:color w:val="auto"/>
          <w:sz w:val="24"/>
          <w:szCs w:val="24"/>
          <w:highlight w:val="none"/>
        </w:rPr>
        <w:t>，税额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u w:val="single"/>
        </w:rPr>
        <w:t xml:space="preserve">（暂控）；               </w:t>
      </w:r>
    </w:p>
    <w:p w14:paraId="67ADAA79">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相关服务酬金：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9ED13C7">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w:t>
      </w:r>
    </w:p>
    <w:p w14:paraId="31A72098">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（1）勘察阶段服务酬金：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011AC74">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（2）设计阶段服务酬金：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FBEF34B">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（3）保修阶段服务酬金：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AAB3D57">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（4）其他相关服务酬金：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631D590">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p w14:paraId="0BFD346D">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六、期限</w:t>
      </w:r>
    </w:p>
    <w:p w14:paraId="68694E5B">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监理期限：</w:t>
      </w:r>
    </w:p>
    <w:p w14:paraId="468FB7F5">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始，至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日止。</w:t>
      </w:r>
    </w:p>
    <w:p w14:paraId="7D877B9C">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相关服务期限：</w:t>
      </w:r>
    </w:p>
    <w:p w14:paraId="636381CC">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（1）勘察阶段服务期限自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日始，至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日止。</w:t>
      </w:r>
    </w:p>
    <w:p w14:paraId="405BA27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（2）设计阶段服务期限自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日始，至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日止。</w:t>
      </w:r>
    </w:p>
    <w:p w14:paraId="430B9710">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（3）保修阶段服务期限自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日始，至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日止。</w:t>
      </w:r>
    </w:p>
    <w:p w14:paraId="4D7C988A">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（4）其他相关服务期限自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日始，至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日止。</w:t>
      </w:r>
    </w:p>
    <w:p w14:paraId="486BCE38">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七、双方承诺</w:t>
      </w:r>
    </w:p>
    <w:p w14:paraId="7F3286FA">
      <w:pPr>
        <w:spacing w:line="400" w:lineRule="exact"/>
        <w:ind w:firstLine="480" w:firstLineChars="200"/>
        <w:outlineLvl w:val="9"/>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 监理人向委托人承诺，按照本合同约定提供监理与相关服务。</w:t>
      </w:r>
    </w:p>
    <w:p w14:paraId="1CE1E6EB">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委托人向监理人承诺，按照本合同约定派遣相应的人员，提供</w:t>
      </w:r>
      <w:r>
        <w:rPr>
          <w:rFonts w:hint="eastAsia" w:ascii="仿宋" w:hAnsi="仿宋" w:eastAsia="仿宋" w:cs="仿宋"/>
          <w:bCs/>
          <w:color w:val="auto"/>
          <w:sz w:val="24"/>
          <w:szCs w:val="24"/>
          <w:highlight w:val="none"/>
        </w:rPr>
        <w:t>房屋、资料</w:t>
      </w:r>
      <w:r>
        <w:rPr>
          <w:rFonts w:hint="eastAsia" w:ascii="仿宋" w:hAnsi="仿宋" w:eastAsia="仿宋" w:cs="仿宋"/>
          <w:color w:val="auto"/>
          <w:sz w:val="24"/>
          <w:szCs w:val="24"/>
          <w:highlight w:val="none"/>
        </w:rPr>
        <w:t>、设备，并按本合同约定支付酬金。</w:t>
      </w:r>
    </w:p>
    <w:p w14:paraId="66AADB43">
      <w:pPr>
        <w:spacing w:line="400" w:lineRule="exact"/>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八、合同订立</w:t>
      </w:r>
    </w:p>
    <w:p w14:paraId="2E6BDE3E">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F049EE4">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订立地点：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42EC74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p>
    <w:p w14:paraId="7F892BB8">
      <w:pPr>
        <w:spacing w:line="400" w:lineRule="exact"/>
        <w:ind w:firstLine="480" w:firstLineChars="2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w:t>
      </w:r>
      <w:r>
        <w:rPr>
          <w:rFonts w:hint="eastAsia" w:ascii="仿宋" w:hAnsi="仿宋" w:eastAsia="仿宋" w:cs="仿宋"/>
          <w:color w:val="auto"/>
          <w:sz w:val="24"/>
          <w:szCs w:val="24"/>
          <w:highlight w:val="none"/>
          <w:u w:val="none"/>
        </w:rPr>
        <w:t>本合同双方约定</w:t>
      </w:r>
      <w:r>
        <w:rPr>
          <w:rFonts w:hint="eastAsia" w:ascii="仿宋" w:hAnsi="仿宋" w:eastAsia="仿宋" w:cs="仿宋"/>
          <w:color w:val="auto"/>
          <w:sz w:val="24"/>
          <w:szCs w:val="24"/>
          <w:highlight w:val="none"/>
          <w:u w:val="none"/>
          <w:lang w:val="en-US" w:eastAsia="zh-CN"/>
        </w:rPr>
        <w:t>___________</w:t>
      </w:r>
      <w:r>
        <w:rPr>
          <w:rFonts w:hint="eastAsia" w:ascii="仿宋" w:hAnsi="仿宋" w:eastAsia="仿宋" w:cs="仿宋"/>
          <w:color w:val="auto"/>
          <w:sz w:val="24"/>
          <w:szCs w:val="24"/>
          <w:highlight w:val="none"/>
          <w:u w:val="none"/>
        </w:rPr>
        <w:t>后生效。</w:t>
      </w:r>
    </w:p>
    <w:p w14:paraId="45CC084F">
      <w:pPr>
        <w:spacing w:line="400" w:lineRule="exact"/>
        <w:ind w:firstLine="480" w:firstLineChars="200"/>
        <w:outlineLvl w:val="9"/>
        <w:rPr>
          <w:rFonts w:hint="eastAsia" w:ascii="仿宋" w:hAnsi="仿宋" w:eastAsia="仿宋" w:cs="仿宋"/>
          <w:color w:val="auto"/>
          <w:sz w:val="24"/>
          <w:szCs w:val="24"/>
          <w:highlight w:val="none"/>
        </w:rPr>
      </w:pPr>
    </w:p>
    <w:p w14:paraId="7DCA44A7">
      <w:pPr>
        <w:spacing w:line="400" w:lineRule="exact"/>
        <w:ind w:firstLine="480" w:firstLineChars="200"/>
        <w:outlineLvl w:val="9"/>
        <w:rPr>
          <w:rFonts w:hint="eastAsia" w:ascii="仿宋" w:hAnsi="仿宋" w:eastAsia="仿宋" w:cs="仿宋"/>
          <w:color w:val="auto"/>
          <w:sz w:val="24"/>
          <w:szCs w:val="24"/>
          <w:highlight w:val="none"/>
        </w:rPr>
      </w:pPr>
    </w:p>
    <w:p w14:paraId="162B18F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监理人：</w:t>
      </w:r>
    </w:p>
    <w:p w14:paraId="4BA926E4">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住所：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住所： </w:t>
      </w:r>
    </w:p>
    <w:p w14:paraId="719CB4B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w:t>
      </w:r>
    </w:p>
    <w:p w14:paraId="677FE858">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开户银行： </w:t>
      </w:r>
    </w:p>
    <w:p w14:paraId="5290C72F">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账号：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账号： </w:t>
      </w:r>
    </w:p>
    <w:p w14:paraId="535E8CD5">
      <w:pPr>
        <w:spacing w:line="400" w:lineRule="exact"/>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邮编：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邮编：  </w:t>
      </w:r>
    </w:p>
    <w:p w14:paraId="643A6392">
      <w:pPr>
        <w:spacing w:line="400" w:lineRule="exact"/>
        <w:ind w:firstLine="480" w:firstLineChars="200"/>
        <w:jc w:val="both"/>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电话：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w:t>
      </w:r>
    </w:p>
    <w:p w14:paraId="6482C69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0CFE46C1">
      <w:pPr>
        <w:spacing w:line="400" w:lineRule="exact"/>
        <w:ind w:firstLine="482" w:firstLineChars="200"/>
        <w:jc w:val="center"/>
        <w:outlineLvl w:val="1"/>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第二部分  通用条款</w:t>
      </w:r>
    </w:p>
    <w:p w14:paraId="0FF790C2">
      <w:pPr>
        <w:spacing w:line="49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定义与解释</w:t>
      </w:r>
    </w:p>
    <w:p w14:paraId="1F49CBB3">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1.1 </w:t>
      </w:r>
      <w:r>
        <w:rPr>
          <w:rFonts w:hint="eastAsia" w:ascii="仿宋" w:hAnsi="仿宋" w:eastAsia="仿宋" w:cs="仿宋"/>
          <w:bCs/>
          <w:color w:val="auto"/>
          <w:sz w:val="24"/>
          <w:szCs w:val="24"/>
          <w:highlight w:val="none"/>
        </w:rPr>
        <w:t>定义</w:t>
      </w:r>
    </w:p>
    <w:p w14:paraId="39145B8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除根据上下文另有其意义外，组成本合同的全部文件中的下列名词和用语应具有本款所赋予的含义：</w:t>
      </w:r>
    </w:p>
    <w:p w14:paraId="7CFFBDA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“工程”是指按照本合同约定实施监理与相关服务的建设工程。</w:t>
      </w:r>
    </w:p>
    <w:p w14:paraId="103667B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“委托人”是指本合同中委托监理与相关服务的一方，及其合法的继承人或受让人。</w:t>
      </w:r>
    </w:p>
    <w:p w14:paraId="77B59B8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“监理人”是指本合同中提供监理与相关服务的一方，及其合法的继承人。</w:t>
      </w:r>
    </w:p>
    <w:p w14:paraId="7126CF9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“承包人”是指在工程范围内与委托人签订勘察、设计、施工等有关合同的当事人，及其合法的继承人。</w:t>
      </w:r>
    </w:p>
    <w:p w14:paraId="037051EC">
      <w:pPr>
        <w:pStyle w:val="15"/>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3FA2014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 “相关服务”是指监理人受委托人的委托 ，按照本合同约定，在勘察、设计、保修等阶段提供的服务活动。</w:t>
      </w:r>
    </w:p>
    <w:p w14:paraId="3185DC2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 “正常工作”指本合同订立时通用条件和专用条件中约定的监理人的工作。</w:t>
      </w:r>
    </w:p>
    <w:p w14:paraId="67B294B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 “附加工作”是指本合同约定的正常工作以外监理人的工作。</w:t>
      </w:r>
    </w:p>
    <w:p w14:paraId="40AFDC1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 “项目监理机构”是指监理人派驻工程负责履行本合同的组织机构。</w:t>
      </w:r>
    </w:p>
    <w:p w14:paraId="7BDC381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1.1.10 “总监理工程师”是指由监理人的法定代表人书面授权，全面负责履行本合同、主持项目监理机构工作的注册监理工程师。</w:t>
      </w:r>
    </w:p>
    <w:p w14:paraId="0F689C4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 “酬金”是指监理人履行本合同义务，委托人按照本合同约定给付监理人的金额。</w:t>
      </w:r>
    </w:p>
    <w:p w14:paraId="7AD160A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 “正常工作酬金”是指监理人完成正常工作，委托人应给付监理人并在协议书中载明的签约酬金额。</w:t>
      </w:r>
    </w:p>
    <w:p w14:paraId="0B8D81CE">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1.1.13 “附加工作酬金”是指监理人完成附加工作，委托人应给付监理人的金额。</w:t>
      </w:r>
    </w:p>
    <w:p w14:paraId="7BF8383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1.1.14 “一方”是指委托人或监理人；“双方”是指委托人和监理人；“第三方”是指除委托人和监理人以外的有关方。</w:t>
      </w:r>
    </w:p>
    <w:p w14:paraId="6E3B953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1.1.15 “书面形式”是指合同书、信件和数据电文（包括电报、电传、传真、电子数据交换和电子邮件）等可以有形地表现所载内容的形式。</w:t>
      </w:r>
    </w:p>
    <w:p w14:paraId="68A56CD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1.1.16 “天”是指第一天零时至第二天零时的时间。</w:t>
      </w:r>
    </w:p>
    <w:p w14:paraId="268A5E5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1.1.17“月”是指按公历从一个月中任何一天开始的一个公历月时间。</w:t>
      </w:r>
    </w:p>
    <w:p w14:paraId="7EEB873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1D85903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 xml:space="preserve">1.2 </w:t>
      </w:r>
      <w:r>
        <w:rPr>
          <w:rFonts w:hint="eastAsia" w:ascii="仿宋" w:hAnsi="仿宋" w:eastAsia="仿宋" w:cs="仿宋"/>
          <w:color w:val="auto"/>
          <w:sz w:val="24"/>
          <w:szCs w:val="24"/>
          <w:highlight w:val="none"/>
        </w:rPr>
        <w:t>解释</w:t>
      </w:r>
    </w:p>
    <w:p w14:paraId="5F495189">
      <w:pPr>
        <w:tabs>
          <w:tab w:val="left" w:pos="6140"/>
        </w:tabs>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1.2.1本合同使用中文书写、解释和说明。如专用条件约定使用两种及以上语言文字时，应以中文为准。</w:t>
      </w:r>
    </w:p>
    <w:p w14:paraId="5E24B930">
      <w:pPr>
        <w:tabs>
          <w:tab w:val="left" w:pos="6140"/>
        </w:tabs>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组成本合同的下列文件彼此应能相互解释、互为说明。除专用条件另有约定外，本合同文件的解释顺序如下：</w:t>
      </w:r>
    </w:p>
    <w:p w14:paraId="6261E02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（1）协议书；</w:t>
      </w:r>
    </w:p>
    <w:p w14:paraId="5AC9F49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（2）中标通知书（适用于招标工程）或委托书（适用于非招标工程）；</w:t>
      </w:r>
    </w:p>
    <w:p w14:paraId="116B5B7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（3）专用条件及附录A、附录B；</w:t>
      </w:r>
    </w:p>
    <w:p w14:paraId="67C0805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（4）通用条件；</w:t>
      </w:r>
    </w:p>
    <w:p w14:paraId="55807A9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（适用于招标工程）或监理与相关服务建议书（适用于非招标工程）。</w:t>
      </w:r>
    </w:p>
    <w:p w14:paraId="3FEB951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双方签订的补充协议与其他文件发生矛盾或歧义时，属于同一类内容的文件，应以最新签署的为准。</w:t>
      </w:r>
    </w:p>
    <w:p w14:paraId="4159C68C">
      <w:pPr>
        <w:spacing w:line="49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监理人的义务</w:t>
      </w:r>
    </w:p>
    <w:p w14:paraId="71BCF572">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2.1 监理的范围和工作内容</w:t>
      </w:r>
    </w:p>
    <w:p w14:paraId="0DEDD07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监理范围在专用条件中约定。</w:t>
      </w:r>
    </w:p>
    <w:p w14:paraId="3E9274D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除专用条件另有约定外，监理工作内容包括：</w:t>
      </w:r>
    </w:p>
    <w:p w14:paraId="428FEFC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（1）收到工程设计文件后编制监理规划，并在第一次工地会议7天前报委托人。根据有关规定和监理工作需要，编制监理实施细则；</w:t>
      </w:r>
    </w:p>
    <w:p w14:paraId="7B3F0D5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（2）熟悉工程设计文件，并参加由委托人主持的图纸会审和设计交底会议；</w:t>
      </w:r>
    </w:p>
    <w:p w14:paraId="58479F0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（3）参加由委托人主持的第一次工地会议；主持监理例会并根据工程需要主持或参加专题会议；</w:t>
      </w:r>
    </w:p>
    <w:p w14:paraId="66DFA5D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（4）审查施工承包人提交的施工组织设计，重点审查其中的质量安全技术措施、专项施工方案与工程建设强制性标准的符合性；</w:t>
      </w:r>
    </w:p>
    <w:p w14:paraId="59753DA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（5）检查施工承包人工程质量、安全生产管理制度及组织机构和人员资格； </w:t>
      </w:r>
    </w:p>
    <w:p w14:paraId="4BA6108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（6）检查施工承包人专职安全生产管理人员的配备情况；</w:t>
      </w:r>
    </w:p>
    <w:p w14:paraId="7A60368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（7）审查施工承包人提交的施工进度计划，</w:t>
      </w:r>
      <w:r>
        <w:rPr>
          <w:rFonts w:hint="eastAsia" w:ascii="仿宋" w:hAnsi="仿宋" w:eastAsia="仿宋" w:cs="仿宋"/>
          <w:color w:val="auto"/>
          <w:sz w:val="24"/>
          <w:szCs w:val="24"/>
          <w:highlight w:val="none"/>
          <w:lang w:val="en-US" w:eastAsia="zh-CN"/>
        </w:rPr>
        <w:t>及时提出调整意见，控制工作进度；</w:t>
      </w:r>
      <w:r>
        <w:rPr>
          <w:rFonts w:hint="eastAsia" w:ascii="仿宋" w:hAnsi="仿宋" w:eastAsia="仿宋" w:cs="仿宋"/>
          <w:color w:val="auto"/>
          <w:sz w:val="24"/>
          <w:szCs w:val="24"/>
          <w:highlight w:val="none"/>
        </w:rPr>
        <w:t>核查承包人对施工进度计划的调整；</w:t>
      </w:r>
    </w:p>
    <w:p w14:paraId="26377CD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（8）检查施工承包人的试验室；</w:t>
      </w:r>
    </w:p>
    <w:p w14:paraId="3721E1C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（9）审核施工分包人资质条件；</w:t>
      </w:r>
    </w:p>
    <w:p w14:paraId="446022F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（10）查验施工承包人的施工测量放线成果；</w:t>
      </w:r>
    </w:p>
    <w:p w14:paraId="1F65FB8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（11）审查工程开工条件，对条件具备的签发开工令；</w:t>
      </w:r>
    </w:p>
    <w:p w14:paraId="7AD9312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（12）审查施工承包人报送的工程材料、构配件、设备质量证明文件的有效性和符合性，并按规定对用于工程的材料采取平行检验或见证取样方式进行抽检；</w:t>
      </w:r>
    </w:p>
    <w:p w14:paraId="37D476EB">
      <w:pPr>
        <w:spacing w:line="490" w:lineRule="exact"/>
        <w:ind w:left="-97" w:leftChars="-46"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（13）审核施工承包人提交的工程款支付申请，签发或出具工程款支付证书，并报委托人审核、批准；</w:t>
      </w:r>
    </w:p>
    <w:p w14:paraId="2474822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（14）在巡视、旁站和检验过程中，发现工程质量、施工安全存在事故隐患的，要求施工承包人整改并报委托人；</w:t>
      </w:r>
    </w:p>
    <w:p w14:paraId="0E8B11A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（15）经委托人同意，签发工程暂停令和复工令；</w:t>
      </w:r>
    </w:p>
    <w:p w14:paraId="3221C19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（16）审查施工承包人提交的采用新材料、新工艺、新技术、新设备的论证材料及相关验收标准；</w:t>
      </w:r>
    </w:p>
    <w:p w14:paraId="2AFCD50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（17）核查施工过程中的主要部位、环节以及验收隐蔽工程、分部分项工程；</w:t>
      </w:r>
    </w:p>
    <w:p w14:paraId="6FBACE6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（18）审查施工承包人提交的工程变更申请，协调处理施工进度调整、费用索赔、合同争议等事项；</w:t>
      </w:r>
    </w:p>
    <w:p w14:paraId="3DCC886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（19）审查施工承包人提交的竣工验收申请，编写工程质量评估报告；</w:t>
      </w:r>
    </w:p>
    <w:p w14:paraId="34AF85A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（20）参加工程竣工验收，签署竣工验收意见；</w:t>
      </w:r>
    </w:p>
    <w:p w14:paraId="6F48EE1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工程竣工后，</w:t>
      </w:r>
      <w:r>
        <w:rPr>
          <w:rFonts w:hint="eastAsia" w:ascii="仿宋" w:hAnsi="仿宋" w:eastAsia="仿宋" w:cs="仿宋"/>
          <w:color w:val="auto"/>
          <w:sz w:val="24"/>
          <w:szCs w:val="24"/>
          <w:highlight w:val="none"/>
        </w:rPr>
        <w:t>审查施工承包人提交的竣工结算申请并报委托人；</w:t>
      </w:r>
    </w:p>
    <w:p w14:paraId="56C44EF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（22）编制、整理工程监理归档文件并报委托人。</w:t>
      </w:r>
    </w:p>
    <w:p w14:paraId="014A29E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相关服务的范围和内容在附录A中约定。</w:t>
      </w:r>
    </w:p>
    <w:p w14:paraId="6D7B0040">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2.2 </w:t>
      </w:r>
      <w:r>
        <w:rPr>
          <w:rFonts w:hint="eastAsia" w:ascii="仿宋" w:hAnsi="仿宋" w:eastAsia="仿宋" w:cs="仿宋"/>
          <w:bCs/>
          <w:color w:val="auto"/>
          <w:sz w:val="24"/>
          <w:szCs w:val="24"/>
          <w:highlight w:val="none"/>
        </w:rPr>
        <w:t>监理与相关服务依据</w:t>
      </w:r>
    </w:p>
    <w:p w14:paraId="521AB71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 监理依据包括：</w:t>
      </w:r>
    </w:p>
    <w:p w14:paraId="31CD9F2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（1）适用的法律、行政法规及部门规章；</w:t>
      </w:r>
    </w:p>
    <w:p w14:paraId="6690E1A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（2）与工程有关的标准；</w:t>
      </w:r>
    </w:p>
    <w:p w14:paraId="5564081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（3）工程设计及有关文件；</w:t>
      </w:r>
    </w:p>
    <w:p w14:paraId="4FBF204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（4）本合同及委托人与第三方签订的与实施工程有关的其他合同。</w:t>
      </w:r>
    </w:p>
    <w:p w14:paraId="481277BF">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双方根据工程的行业和地域特点，在专用条件中具体约定监理依据。</w:t>
      </w:r>
    </w:p>
    <w:p w14:paraId="264E5AF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 相关服务依据在专用条件中约定。</w:t>
      </w:r>
    </w:p>
    <w:p w14:paraId="504DDE4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项目监理机构和人员</w:t>
      </w:r>
    </w:p>
    <w:p w14:paraId="401944B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监理人应组建满足工作需要的项目监理机构，配备必要的检测设备。项目监理机构的主要人员应具有相应的资格条件。</w:t>
      </w:r>
    </w:p>
    <w:p w14:paraId="2293CDD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2.3.2本合同履行过程中，总监理工程师及重要岗位监理人员应保持相对稳定，以保证监理工作正常进行。</w:t>
      </w:r>
    </w:p>
    <w:p w14:paraId="6C39A55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73805AE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2.3.4 监理人应及时更换有下列情形之一的监理人员：</w:t>
      </w:r>
    </w:p>
    <w:p w14:paraId="7D83BED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（1）严重过失行为的；</w:t>
      </w:r>
    </w:p>
    <w:p w14:paraId="187607A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（2）有违法行为不能履行职责的；</w:t>
      </w:r>
    </w:p>
    <w:p w14:paraId="5B458BC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（3）涉嫌犯罪的；</w:t>
      </w:r>
    </w:p>
    <w:p w14:paraId="79A4C00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（4）不能胜任岗位职责的；</w:t>
      </w:r>
    </w:p>
    <w:p w14:paraId="217B65C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（5）严重违反职业道德的；</w:t>
      </w:r>
    </w:p>
    <w:p w14:paraId="4330D60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（6）专用条件约定的其他情形。</w:t>
      </w:r>
    </w:p>
    <w:p w14:paraId="4DE810C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2.3.5 委托人可要求监理人更换不能胜任本职工作的项目监理机构人员。</w:t>
      </w:r>
    </w:p>
    <w:p w14:paraId="7EE327E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履行职责</w:t>
      </w:r>
    </w:p>
    <w:p w14:paraId="00EC495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监理人应遵循职业道德准则和行为规范，严格按照法律法规、工程建设有关标准及本合同履行职责。</w:t>
      </w:r>
    </w:p>
    <w:p w14:paraId="410F8E9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 在监理与相关服务范围内，委托人和承包人提出的意见和要求，监理人应及时提出处置意见。当委托人与承包人之间发生合同争议时，监理人应协助委托人、承包人协商解决。</w:t>
      </w:r>
    </w:p>
    <w:p w14:paraId="0B577D3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当委托人与承包人之间的合同争议提交仲裁机构仲裁或人民法院审理时，监理人应提供必要的证明资料。</w:t>
      </w:r>
    </w:p>
    <w:p w14:paraId="78C3914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 监理人应在专用条件约定的授权范围内，处理委托人与承包人所签订合同的变更事宜。如果变更超过授权范围，应以书面形式报委托人批准。</w:t>
      </w:r>
    </w:p>
    <w:p w14:paraId="10A034F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在紧急情况下，为了保护财产和人身安全，监理人所发出的指令未能事先报委托人批准时，应在发出指令后的24小时内以书面形式报委托人。</w:t>
      </w:r>
    </w:p>
    <w:p w14:paraId="58423F1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 除专用条件另有约定外，监理人发现承包人的人员不能胜任本职工作的，有权要求承包人予以调换。</w:t>
      </w:r>
    </w:p>
    <w:p w14:paraId="7E0A7A0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 提交报告</w:t>
      </w:r>
    </w:p>
    <w:p w14:paraId="3A0D0A1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监理人应按专用条件约定的种类、时间和份数向委托人提交监理与相关服务的报告。</w:t>
      </w:r>
    </w:p>
    <w:p w14:paraId="6C6CC5E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 文件资料</w:t>
      </w:r>
    </w:p>
    <w:p w14:paraId="7252F89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在本合同履行期内，监理人应在现场保留工作所用的图纸、报告及记录监理工作的相关文件。工程竣工后，应当按照档案管理规定将监理有关文件归档。</w:t>
      </w:r>
    </w:p>
    <w:p w14:paraId="7CA1363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 使用委托人的财产</w:t>
      </w:r>
    </w:p>
    <w:p w14:paraId="3AA1DCC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494FCBD5">
      <w:pPr>
        <w:spacing w:line="49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3．委托人的义务</w:t>
      </w:r>
    </w:p>
    <w:p w14:paraId="0D0F526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告知</w:t>
      </w:r>
    </w:p>
    <w:p w14:paraId="076D9EF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委托人应在委托人与承包人签订的合同中明确监理人、总监理工程师和授予项目监理机构的权限。如有变更，应及时通知承包人。</w:t>
      </w:r>
    </w:p>
    <w:p w14:paraId="54700CE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提供资料</w:t>
      </w:r>
    </w:p>
    <w:p w14:paraId="421D837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委托人应按照附录B约定，无偿向监理人提供工程有关的资料。在本合同履行过程中，委托人应及时向监理人提供最新的与工程有关的资料。</w:t>
      </w:r>
    </w:p>
    <w:p w14:paraId="7DCD322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提供工作条件</w:t>
      </w:r>
    </w:p>
    <w:p w14:paraId="756BA4A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委托人应为监理人完成监理与相关服务提供必要的条件。</w:t>
      </w:r>
    </w:p>
    <w:p w14:paraId="01DC0D4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委托人应按照附录B约定，派遣相应的人员，提供房屋、设备，供监理人无偿使用。</w:t>
      </w:r>
    </w:p>
    <w:p w14:paraId="6ACBDA7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委托人应负责协调工程建设中所有外部关系，为监理人履行本合同提供必要的外部条件。</w:t>
      </w:r>
    </w:p>
    <w:p w14:paraId="0451B2D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委托人代表</w:t>
      </w:r>
    </w:p>
    <w:p w14:paraId="4D73EECE">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委托人应授权一名熟悉工程情况的代表，负责与监理人联系。委托人应在双方签订本合同后7天内，将委托人代表的姓名和职责书面告知监理人。当委托人更换委托人代表时，应提前7天通知监理人。</w:t>
      </w:r>
    </w:p>
    <w:p w14:paraId="5EC6F2F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委托人意见或要求</w:t>
      </w:r>
    </w:p>
    <w:p w14:paraId="2DC4B75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在本合同约定的监理与相关服务工作范围内，委托人对承包人的任何意见或要求应通知监理人，由监理人向承包人发出相应指令。</w:t>
      </w:r>
    </w:p>
    <w:p w14:paraId="5D35395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 答复</w:t>
      </w:r>
    </w:p>
    <w:p w14:paraId="2FAA40A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委托人应在专用条件约定的时间内，对监理人以书面形式提交并要求作出决定的事宜，给予书面答复。逾期未答复的，视为委托人认可。</w:t>
      </w:r>
    </w:p>
    <w:p w14:paraId="463AD48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 支付</w:t>
      </w:r>
    </w:p>
    <w:p w14:paraId="7926ED9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委托人应按本合同约定，向监理人支付酬金。</w:t>
      </w:r>
    </w:p>
    <w:p w14:paraId="49C5CC68">
      <w:pPr>
        <w:spacing w:line="49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 违约责任</w:t>
      </w:r>
    </w:p>
    <w:p w14:paraId="0743C773">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监理人的违约责任</w:t>
      </w:r>
    </w:p>
    <w:p w14:paraId="199FFE8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监理人未履行本合同义务的，应承担相应的责任。</w:t>
      </w:r>
    </w:p>
    <w:p w14:paraId="1BE60AB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4.1.1 因监理人违反本合同约定给委托人造成损失的，监理人应当赔偿委托人损失。赔偿金额的确定方法在专用条件中约定。监理人承担部分赔偿责任的，其承担赔偿金额由双方协商确定。</w:t>
      </w:r>
    </w:p>
    <w:p w14:paraId="4974F0F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4.1.2 监理人向委托人的索赔不成立时，监理人应赔偿委托人由此发生的费用。</w:t>
      </w:r>
    </w:p>
    <w:p w14:paraId="4B3B243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委托人的违约责任</w:t>
      </w:r>
    </w:p>
    <w:p w14:paraId="32A0541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委托人未履行本合同义务的，应承担相应的责任。</w:t>
      </w:r>
    </w:p>
    <w:p w14:paraId="5D56AB0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4.2.1 委托人违反本合同约定造成监理人损失的，委托人应予以赔偿。</w:t>
      </w:r>
    </w:p>
    <w:p w14:paraId="1DC5EAF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 委托人向监理人的索赔不成立时，应赔偿监理人由此引起的费用。</w:t>
      </w:r>
    </w:p>
    <w:p w14:paraId="2E3E979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4.2.3 委托人未能按期支付酬金超过28天，应按专用条件约定支付逾期付款利息。</w:t>
      </w:r>
    </w:p>
    <w:p w14:paraId="456E91E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 除外责任</w:t>
      </w:r>
    </w:p>
    <w:p w14:paraId="111AA79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因非监理人的原因，且监理人无过错，发生工程质量事故、安全事故、工期延误等造成的损失，监理人不承担赔偿责任。</w:t>
      </w:r>
    </w:p>
    <w:p w14:paraId="4665A0E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因不可抗力导致本合同全部或部分不能履行时，双方各自承担其因此而造成的损失、损害。</w:t>
      </w:r>
    </w:p>
    <w:p w14:paraId="10520E30">
      <w:pPr>
        <w:spacing w:line="49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 支付</w:t>
      </w:r>
    </w:p>
    <w:p w14:paraId="0A52A95D">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5.1 </w:t>
      </w:r>
      <w:r>
        <w:rPr>
          <w:rFonts w:hint="eastAsia" w:ascii="仿宋" w:hAnsi="仿宋" w:eastAsia="仿宋" w:cs="仿宋"/>
          <w:bCs/>
          <w:color w:val="auto"/>
          <w:sz w:val="24"/>
          <w:szCs w:val="24"/>
          <w:highlight w:val="none"/>
        </w:rPr>
        <w:t>支付货币</w:t>
      </w:r>
    </w:p>
    <w:p w14:paraId="58780F7A">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除专用条件另有约定外，酬金均以人民币支付。涉及外币支付的，所采用的货币种类、比例和汇率在专用条件中约定。</w:t>
      </w:r>
    </w:p>
    <w:p w14:paraId="7B05361F">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5.2 支付申请</w:t>
      </w:r>
    </w:p>
    <w:p w14:paraId="299B2E1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监理人应在本合同约定的每次应付款时间的7天前，向委托人提交支付申请书。支付申请书应当说明当期应付款总额，并列出当期应支付的款项及其金额。</w:t>
      </w:r>
    </w:p>
    <w:p w14:paraId="6663C28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支付酬金</w:t>
      </w:r>
    </w:p>
    <w:p w14:paraId="064189E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支付的酬金包括正常工作酬金、附加工作酬金、合理化建议奖励金额及费用。</w:t>
      </w:r>
    </w:p>
    <w:p w14:paraId="06B79573">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5.4 </w:t>
      </w:r>
      <w:r>
        <w:rPr>
          <w:rFonts w:hint="eastAsia" w:ascii="仿宋" w:hAnsi="仿宋" w:eastAsia="仿宋" w:cs="仿宋"/>
          <w:bCs/>
          <w:color w:val="auto"/>
          <w:sz w:val="24"/>
          <w:szCs w:val="24"/>
          <w:highlight w:val="none"/>
        </w:rPr>
        <w:t>有争议部分的付款</w:t>
      </w:r>
    </w:p>
    <w:p w14:paraId="1254A85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委托人对监理人提交的支付申请书有异议时，应当在收到监理人提交的支付申请书后7天内，以书面形式向监理人发出异议通知。无异议部分的款项应按期支付，有异议部分的款项按第7条约定办理。</w:t>
      </w:r>
    </w:p>
    <w:p w14:paraId="7063B4D9">
      <w:pPr>
        <w:spacing w:line="49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 合同生效、变更、暂停、解除与终止</w:t>
      </w:r>
    </w:p>
    <w:p w14:paraId="02463738">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6.1生效</w:t>
      </w:r>
    </w:p>
    <w:p w14:paraId="3925DE2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除法律另有规定或者专用条件另有约定外，委托人和监理人的法定代表人或其授权代理人在协议书上签字并盖单位章后本合同生效。</w:t>
      </w:r>
    </w:p>
    <w:p w14:paraId="27996BD0">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6.2</w:t>
      </w:r>
      <w:r>
        <w:rPr>
          <w:rFonts w:hint="eastAsia" w:ascii="仿宋" w:hAnsi="仿宋" w:eastAsia="仿宋" w:cs="仿宋"/>
          <w:bCs/>
          <w:color w:val="auto"/>
          <w:sz w:val="24"/>
          <w:szCs w:val="24"/>
          <w:highlight w:val="none"/>
        </w:rPr>
        <w:t>变更</w:t>
      </w:r>
    </w:p>
    <w:p w14:paraId="1521E8B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6.2.1 任何一方提出变更请求时，双方经协商一致后可进行变更。</w:t>
      </w:r>
    </w:p>
    <w:p w14:paraId="042113FF">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54F2BD80">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14:paraId="357D557E">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6.2.4合同签订后，遇有与工程相关的法律法规、标准颁布或修订的，双方应遵照执行。由此引起监理与相关服务的范围、时间、酬金变化的，双方应通过协商进行相应调整。</w:t>
      </w:r>
    </w:p>
    <w:p w14:paraId="52AEF845">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6.2.5 因非监理人原因造成工程概算投资额或建筑安装工程费增加时，正常工作酬金应作相应调整。调整方法在专用条件中约定。</w:t>
      </w:r>
    </w:p>
    <w:p w14:paraId="17130054">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6.2.6 因工程规模、监理范围的变化导致监理人的正常工作量减少时，正常工作酬金应作相应调整。调整方法在专用条件中约定。</w:t>
      </w:r>
    </w:p>
    <w:p w14:paraId="36DB09C0">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6.3 暂停与</w:t>
      </w:r>
      <w:r>
        <w:rPr>
          <w:rFonts w:hint="eastAsia" w:ascii="仿宋" w:hAnsi="仿宋" w:eastAsia="仿宋" w:cs="仿宋"/>
          <w:bCs/>
          <w:color w:val="auto"/>
          <w:sz w:val="24"/>
          <w:szCs w:val="24"/>
          <w:highlight w:val="none"/>
        </w:rPr>
        <w:t>解除</w:t>
      </w:r>
    </w:p>
    <w:p w14:paraId="1591183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除双方协商一致可以解除本合同外，当一方无正当理由未履行本合同约定的义务时，另一方可以根据本合同约定暂停履行本合同直至解除本合同。</w:t>
      </w:r>
    </w:p>
    <w:p w14:paraId="0C3A47A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13F0F43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因解除本合同或解除监理人的部分义务导致监理人遭受的损失，除依法可以免除责任的情况外，应由委托人予以补偿，补偿金额由双方协商确定。</w:t>
      </w:r>
    </w:p>
    <w:p w14:paraId="346137FC">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解除本合同的协议必须采取书面形式，协议未达成之前，本合同仍然有效。</w:t>
      </w:r>
    </w:p>
    <w:p w14:paraId="4D0B79C6">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4283EA5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第4.2款约定的责任。</w:t>
      </w:r>
    </w:p>
    <w:p w14:paraId="42130F5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14:paraId="424E208A">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05C5BC0D">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6.3.5 因不可抗力致使本合同部分或全部不能履行时，一方应立即通知另一方，可暂停或解除本合同。</w:t>
      </w:r>
    </w:p>
    <w:p w14:paraId="76FC875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6.3.6 本合同解除后，本合同约定的有关结算、清理、争议解决方式的条件仍然有效。</w:t>
      </w:r>
    </w:p>
    <w:p w14:paraId="506FBD7E">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6.4 </w:t>
      </w:r>
      <w:r>
        <w:rPr>
          <w:rFonts w:hint="eastAsia" w:ascii="仿宋" w:hAnsi="仿宋" w:eastAsia="仿宋" w:cs="仿宋"/>
          <w:bCs/>
          <w:color w:val="auto"/>
          <w:sz w:val="24"/>
          <w:szCs w:val="24"/>
          <w:highlight w:val="none"/>
        </w:rPr>
        <w:t>终止</w:t>
      </w:r>
    </w:p>
    <w:p w14:paraId="535C4C4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以下条件全部满足时，本合同即告终止：</w:t>
      </w:r>
    </w:p>
    <w:p w14:paraId="36B7C17B">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（1）监理人完成本合同约定的全部工作；</w:t>
      </w:r>
    </w:p>
    <w:p w14:paraId="27338E7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（2）委托人与监理人结清并支付全部酬金。</w:t>
      </w:r>
    </w:p>
    <w:p w14:paraId="6F9739B6">
      <w:pPr>
        <w:spacing w:line="49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7. 争议解决</w:t>
      </w:r>
    </w:p>
    <w:p w14:paraId="06686142">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7.1</w:t>
      </w:r>
      <w:r>
        <w:rPr>
          <w:rFonts w:hint="eastAsia" w:ascii="仿宋" w:hAnsi="仿宋" w:eastAsia="仿宋" w:cs="仿宋"/>
          <w:bCs/>
          <w:color w:val="auto"/>
          <w:sz w:val="24"/>
          <w:szCs w:val="24"/>
          <w:highlight w:val="none"/>
        </w:rPr>
        <w:t>协商</w:t>
      </w:r>
    </w:p>
    <w:p w14:paraId="39B3F405">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双方应本着诚信原则协商解决彼此间的争议。</w:t>
      </w:r>
    </w:p>
    <w:p w14:paraId="0E21295F">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7.2</w:t>
      </w:r>
      <w:r>
        <w:rPr>
          <w:rFonts w:hint="eastAsia" w:ascii="仿宋" w:hAnsi="仿宋" w:eastAsia="仿宋" w:cs="仿宋"/>
          <w:bCs/>
          <w:color w:val="auto"/>
          <w:sz w:val="24"/>
          <w:szCs w:val="24"/>
          <w:highlight w:val="none"/>
        </w:rPr>
        <w:t>调解</w:t>
      </w:r>
    </w:p>
    <w:p w14:paraId="3A78A952">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如果双方不能在14天内或双方商定的其他时间内解决本合同争议，可以将其提交给专用条件约定的或事后达成协议的调解人进行调解。</w:t>
      </w:r>
    </w:p>
    <w:p w14:paraId="02375688">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7.3</w:t>
      </w:r>
      <w:r>
        <w:rPr>
          <w:rFonts w:hint="eastAsia" w:ascii="仿宋" w:hAnsi="仿宋" w:eastAsia="仿宋" w:cs="仿宋"/>
          <w:bCs/>
          <w:color w:val="auto"/>
          <w:sz w:val="24"/>
          <w:szCs w:val="24"/>
          <w:highlight w:val="none"/>
        </w:rPr>
        <w:t>仲裁或诉讼</w:t>
      </w:r>
    </w:p>
    <w:p w14:paraId="6D7A8A62">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双方均有权不经调解直接向专用条件约定的仲裁机构申请仲裁或向有管辖权的人民法院提起诉讼。</w:t>
      </w:r>
    </w:p>
    <w:p w14:paraId="2165E32E">
      <w:pPr>
        <w:spacing w:line="49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8. 其他</w:t>
      </w:r>
    </w:p>
    <w:p w14:paraId="394B90CB">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8.1 </w:t>
      </w:r>
      <w:r>
        <w:rPr>
          <w:rFonts w:hint="eastAsia" w:ascii="仿宋" w:hAnsi="仿宋" w:eastAsia="仿宋" w:cs="仿宋"/>
          <w:bCs/>
          <w:color w:val="auto"/>
          <w:sz w:val="24"/>
          <w:szCs w:val="24"/>
          <w:highlight w:val="none"/>
        </w:rPr>
        <w:t>外出考察费用</w:t>
      </w:r>
    </w:p>
    <w:p w14:paraId="48A92045">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经委托人同意，监理人员外出考察发生的费用由委托人审核后支付。</w:t>
      </w:r>
    </w:p>
    <w:p w14:paraId="4B954D63">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8.2 </w:t>
      </w:r>
      <w:r>
        <w:rPr>
          <w:rFonts w:hint="eastAsia" w:ascii="仿宋" w:hAnsi="仿宋" w:eastAsia="仿宋" w:cs="仿宋"/>
          <w:bCs/>
          <w:color w:val="auto"/>
          <w:sz w:val="24"/>
          <w:szCs w:val="24"/>
          <w:highlight w:val="none"/>
        </w:rPr>
        <w:t>检测费用</w:t>
      </w:r>
    </w:p>
    <w:p w14:paraId="49EC796D">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委托人要求监理人进行的材料和设备检测所发生的费用，由委托人支付，支付时间在专用条件中约定。</w:t>
      </w:r>
    </w:p>
    <w:p w14:paraId="63C9E5E7">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8.3 </w:t>
      </w:r>
      <w:r>
        <w:rPr>
          <w:rFonts w:hint="eastAsia" w:ascii="仿宋" w:hAnsi="仿宋" w:eastAsia="仿宋" w:cs="仿宋"/>
          <w:bCs/>
          <w:color w:val="auto"/>
          <w:sz w:val="24"/>
          <w:szCs w:val="24"/>
          <w:highlight w:val="none"/>
        </w:rPr>
        <w:t>咨询费用</w:t>
      </w:r>
    </w:p>
    <w:p w14:paraId="132A8D4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经委托人同意，根据工程需要由监理人组织的相关咨询论证会以及聘请相关专家等发生的费用由委托人支付，支付时间在专用条件中约定。</w:t>
      </w:r>
    </w:p>
    <w:p w14:paraId="679C76F8">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8.4 </w:t>
      </w:r>
      <w:r>
        <w:rPr>
          <w:rFonts w:hint="eastAsia" w:ascii="仿宋" w:hAnsi="仿宋" w:eastAsia="仿宋" w:cs="仿宋"/>
          <w:bCs/>
          <w:color w:val="auto"/>
          <w:sz w:val="24"/>
          <w:szCs w:val="24"/>
          <w:highlight w:val="none"/>
        </w:rPr>
        <w:t>奖励</w:t>
      </w:r>
    </w:p>
    <w:p w14:paraId="71D1DA59">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监理人在服务过程中提出的合理化建议，使委托人获得经济效益的，双方在专用条件中约定奖励金额的确定方法。奖励金额在合理化建议被采纳后，与最近一期的正常工作酬金同期支付。</w:t>
      </w:r>
    </w:p>
    <w:p w14:paraId="3C890AD5">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8.5 </w:t>
      </w:r>
      <w:r>
        <w:rPr>
          <w:rFonts w:hint="eastAsia" w:ascii="仿宋" w:hAnsi="仿宋" w:eastAsia="仿宋" w:cs="仿宋"/>
          <w:bCs/>
          <w:color w:val="auto"/>
          <w:sz w:val="24"/>
          <w:szCs w:val="24"/>
          <w:highlight w:val="none"/>
        </w:rPr>
        <w:t>守法诚信</w:t>
      </w:r>
    </w:p>
    <w:p w14:paraId="699845DE">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监理人及其工作人员不得从与实施工程有关的第三方处获得任何经济利益。</w:t>
      </w:r>
    </w:p>
    <w:p w14:paraId="1C4901A4">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8.6 </w:t>
      </w:r>
      <w:r>
        <w:rPr>
          <w:rFonts w:hint="eastAsia" w:ascii="仿宋" w:hAnsi="仿宋" w:eastAsia="仿宋" w:cs="仿宋"/>
          <w:bCs/>
          <w:color w:val="auto"/>
          <w:sz w:val="24"/>
          <w:szCs w:val="24"/>
          <w:highlight w:val="none"/>
        </w:rPr>
        <w:t>保密</w:t>
      </w:r>
    </w:p>
    <w:p w14:paraId="30C39E5D">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双方不得泄露对方申明的保密资料，亦不得泄露与实施工程有关的第三方所提供的保密资料，保密事项在专用条件中约定。</w:t>
      </w:r>
    </w:p>
    <w:p w14:paraId="52536176">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8.7 </w:t>
      </w:r>
      <w:r>
        <w:rPr>
          <w:rFonts w:hint="eastAsia" w:ascii="仿宋" w:hAnsi="仿宋" w:eastAsia="仿宋" w:cs="仿宋"/>
          <w:bCs/>
          <w:color w:val="auto"/>
          <w:sz w:val="24"/>
          <w:szCs w:val="24"/>
          <w:highlight w:val="none"/>
        </w:rPr>
        <w:t>通知</w:t>
      </w:r>
    </w:p>
    <w:p w14:paraId="18DC8FE1">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本合同涉及的通知均应当采用书面形式，并在送达对方时生效，收件人应书面签收。</w:t>
      </w:r>
    </w:p>
    <w:p w14:paraId="1A76D676">
      <w:pPr>
        <w:spacing w:line="49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8.8 </w:t>
      </w:r>
      <w:r>
        <w:rPr>
          <w:rFonts w:hint="eastAsia" w:ascii="仿宋" w:hAnsi="仿宋" w:eastAsia="仿宋" w:cs="仿宋"/>
          <w:bCs/>
          <w:color w:val="auto"/>
          <w:sz w:val="24"/>
          <w:szCs w:val="24"/>
          <w:highlight w:val="none"/>
        </w:rPr>
        <w:t>著作权</w:t>
      </w:r>
    </w:p>
    <w:p w14:paraId="461A41B1">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监理人对其编制的文件拥有著作权。</w:t>
      </w:r>
    </w:p>
    <w:p w14:paraId="46B288A7">
      <w:pPr>
        <w:spacing w:line="4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0AE23227">
      <w:pPr>
        <w:adjustRightInd w:val="0"/>
        <w:snapToGri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br w:type="page"/>
      </w:r>
    </w:p>
    <w:p w14:paraId="179DC5A0">
      <w:pPr>
        <w:tabs>
          <w:tab w:val="center" w:pos="4832"/>
          <w:tab w:val="left" w:pos="7140"/>
        </w:tabs>
        <w:spacing w:line="360" w:lineRule="auto"/>
        <w:jc w:val="center"/>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第三部分  专用条款</w:t>
      </w:r>
    </w:p>
    <w:p w14:paraId="6E8865B4">
      <w:pPr>
        <w:spacing w:line="5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定义与解释</w:t>
      </w:r>
    </w:p>
    <w:p w14:paraId="36CA836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解释</w:t>
      </w:r>
    </w:p>
    <w:p w14:paraId="10D6E922">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本合同文件除使用中文外，还可用</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5DD6EE32">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约定本合同文件的解释顺序为：  ：（1）合同协议书；（2）中标通知书；（3）</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；（4）专用合同条款；（5）通用合同条款；（6）技术标准和要求；（7）图纸；（8）其他合同文件。</w:t>
      </w:r>
    </w:p>
    <w:p w14:paraId="39081AC9">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 监理人义务</w:t>
      </w:r>
    </w:p>
    <w:p w14:paraId="6095EEEB">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监理的范围和内容</w:t>
      </w:r>
    </w:p>
    <w:p w14:paraId="1BB280E5">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监理范围包括：</w:t>
      </w:r>
      <w:r>
        <w:rPr>
          <w:rFonts w:hint="eastAsia" w:ascii="仿宋" w:hAnsi="仿宋" w:eastAsia="仿宋" w:cs="仿宋"/>
          <w:color w:val="auto"/>
          <w:sz w:val="24"/>
          <w:szCs w:val="24"/>
          <w:highlight w:val="none"/>
          <w:u w:val="single"/>
          <w:lang w:eastAsia="zh-CN"/>
        </w:rPr>
        <w:t>建设本项目相关工程（含与本项目有关的相关工作内容及设计变更签证）的全过程监理，含缺陷责任期全部内容</w:t>
      </w:r>
      <w:r>
        <w:rPr>
          <w:rFonts w:hint="eastAsia" w:ascii="仿宋" w:hAnsi="仿宋" w:eastAsia="仿宋" w:cs="仿宋"/>
          <w:color w:val="auto"/>
          <w:sz w:val="24"/>
          <w:szCs w:val="24"/>
          <w:highlight w:val="none"/>
          <w:u w:val="single"/>
        </w:rPr>
        <w:t>。</w:t>
      </w:r>
    </w:p>
    <w:p w14:paraId="37CBE03C">
      <w:pPr>
        <w:spacing w:line="5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2.1.2 监理工作内容还包括：</w:t>
      </w:r>
      <w:r>
        <w:rPr>
          <w:rFonts w:hint="eastAsia" w:ascii="仿宋" w:hAnsi="仿宋" w:eastAsia="仿宋" w:cs="仿宋"/>
          <w:color w:val="auto"/>
          <w:sz w:val="24"/>
          <w:szCs w:val="24"/>
          <w:highlight w:val="none"/>
          <w:u w:val="single"/>
        </w:rPr>
        <w:t xml:space="preserve"> 按通用条款第2.1.2条执行。</w:t>
      </w:r>
    </w:p>
    <w:p w14:paraId="580164C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监理与相关服务依据</w:t>
      </w:r>
    </w:p>
    <w:p w14:paraId="20CD749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 监理依据包括：</w:t>
      </w:r>
      <w:r>
        <w:rPr>
          <w:rFonts w:hint="eastAsia" w:ascii="仿宋" w:hAnsi="仿宋" w:eastAsia="仿宋" w:cs="仿宋"/>
          <w:color w:val="auto"/>
          <w:sz w:val="24"/>
          <w:szCs w:val="24"/>
          <w:highlight w:val="none"/>
          <w:u w:val="single"/>
        </w:rPr>
        <w:t>（1）适用的法律、行政法规及部门规章；（2）与工程有关的标准；（3）工程设计及有关文件；（4）本合同及委托人与第三方签订的与实施工程有关的其他合同。</w:t>
      </w:r>
    </w:p>
    <w:p w14:paraId="25778AF7">
      <w:pPr>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2.2.2 相关服务依据包括：</w:t>
      </w:r>
      <w:r>
        <w:rPr>
          <w:rFonts w:hint="eastAsia" w:ascii="仿宋" w:hAnsi="仿宋" w:eastAsia="仿宋" w:cs="仿宋"/>
          <w:color w:val="auto"/>
          <w:sz w:val="24"/>
          <w:szCs w:val="24"/>
          <w:highlight w:val="none"/>
          <w:u w:val="single"/>
        </w:rPr>
        <w:t>（1）适用的法律、行政法规及部门规章；（2）与工程有关的标准；（3）工程设计及有关文件；（4）本合同及委托人与第三方签订的与实施工程有关的其他合同</w:t>
      </w:r>
      <w:r>
        <w:rPr>
          <w:rFonts w:hint="eastAsia" w:ascii="仿宋" w:hAnsi="仿宋" w:eastAsia="仿宋" w:cs="仿宋"/>
          <w:color w:val="auto"/>
          <w:sz w:val="24"/>
          <w:szCs w:val="24"/>
          <w:highlight w:val="none"/>
          <w:u w:val="single"/>
          <w:lang w:eastAsia="zh-CN"/>
        </w:rPr>
        <w:t>。</w:t>
      </w:r>
    </w:p>
    <w:p w14:paraId="74604ACE">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项目监理机构和人员</w:t>
      </w:r>
    </w:p>
    <w:p w14:paraId="102B8F1F">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2.3.4 更换监理人员的其他情形：</w:t>
      </w:r>
      <w:r>
        <w:rPr>
          <w:rFonts w:hint="eastAsia" w:ascii="仿宋" w:hAnsi="仿宋" w:eastAsia="仿宋" w:cs="仿宋"/>
          <w:color w:val="auto"/>
          <w:sz w:val="24"/>
          <w:szCs w:val="24"/>
          <w:highlight w:val="none"/>
          <w:u w:val="single"/>
        </w:rPr>
        <w:t>监理人若由于特殊原因更换监理人员时，监理人将以不低于</w:t>
      </w:r>
      <w:r>
        <w:rPr>
          <w:rFonts w:hint="eastAsia" w:ascii="仿宋" w:hAnsi="仿宋" w:eastAsia="仿宋" w:cs="仿宋"/>
          <w:color w:val="auto"/>
          <w:sz w:val="24"/>
          <w:szCs w:val="24"/>
          <w:highlight w:val="none"/>
          <w:u w:val="single"/>
          <w:lang w:eastAsia="zh-CN"/>
        </w:rPr>
        <w:t>响应文件</w:t>
      </w:r>
      <w:r>
        <w:rPr>
          <w:rFonts w:hint="eastAsia" w:ascii="仿宋" w:hAnsi="仿宋" w:eastAsia="仿宋" w:cs="仿宋"/>
          <w:color w:val="auto"/>
          <w:sz w:val="24"/>
          <w:szCs w:val="24"/>
          <w:highlight w:val="none"/>
          <w:u w:val="single"/>
        </w:rPr>
        <w:t>中所报资质的人员替换，并报发包人审查，经审查批准后，方可更换；若未经发包人批准擅自更换，每发现一次处以拾万元人民币的违约金。</w:t>
      </w:r>
      <w:r>
        <w:rPr>
          <w:rFonts w:hint="eastAsia" w:ascii="仿宋" w:hAnsi="仿宋" w:eastAsia="仿宋" w:cs="仿宋"/>
          <w:color w:val="auto"/>
          <w:sz w:val="24"/>
          <w:szCs w:val="24"/>
          <w:highlight w:val="none"/>
        </w:rPr>
        <w:t>。</w:t>
      </w:r>
    </w:p>
    <w:p w14:paraId="69852BA3">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履行职责</w:t>
      </w:r>
    </w:p>
    <w:p w14:paraId="503C8B11">
      <w:pPr>
        <w:suppressAutoHyphens/>
        <w:adjustRightInd w:val="0"/>
        <w:snapToGrid w:val="0"/>
        <w:spacing w:line="45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2.4.1 对监理人的授权范围：</w:t>
      </w:r>
      <w:r>
        <w:rPr>
          <w:rFonts w:hint="eastAsia" w:ascii="仿宋" w:hAnsi="仿宋" w:eastAsia="仿宋" w:cs="宋体"/>
          <w:color w:val="auto"/>
          <w:kern w:val="0"/>
          <w:sz w:val="24"/>
          <w:highlight w:val="none"/>
          <w:u w:val="single"/>
        </w:rPr>
        <w:t>任何涉及合同实质性内容的变更（包括但不限于：设计、工期、质量、安全、价款、工程量、验收等）应当提交委托人进行确认，监理人不得自行处理与合同变更的相关事宜，否则，委托人对此不予认可，监理人自行承担因此产生的责任</w:t>
      </w:r>
      <w:r>
        <w:rPr>
          <w:rFonts w:hint="eastAsia" w:ascii="仿宋" w:hAnsi="仿宋" w:eastAsia="仿宋" w:cs="宋体"/>
          <w:color w:val="auto"/>
          <w:sz w:val="24"/>
          <w:highlight w:val="none"/>
        </w:rPr>
        <w:t>。</w:t>
      </w:r>
    </w:p>
    <w:p w14:paraId="78EF08BC">
      <w:pPr>
        <w:suppressAutoHyphens/>
        <w:adjustRightInd w:val="0"/>
        <w:snapToGrid w:val="0"/>
        <w:spacing w:line="450" w:lineRule="exact"/>
        <w:ind w:firstLine="480" w:firstLineChars="200"/>
        <w:outlineLvl w:val="0"/>
        <w:rPr>
          <w:rFonts w:ascii="仿宋" w:hAnsi="仿宋" w:eastAsia="仿宋" w:cs="宋体"/>
          <w:color w:val="auto"/>
          <w:sz w:val="24"/>
          <w:highlight w:val="none"/>
        </w:rPr>
      </w:pPr>
      <w:bookmarkStart w:id="226" w:name="_Toc145674339"/>
      <w:bookmarkStart w:id="227" w:name="_Toc145518917"/>
      <w:r>
        <w:rPr>
          <w:rFonts w:hint="eastAsia" w:ascii="仿宋" w:hAnsi="仿宋" w:eastAsia="仿宋" w:cs="宋体"/>
          <w:color w:val="auto"/>
          <w:sz w:val="24"/>
          <w:highlight w:val="none"/>
        </w:rPr>
        <w:t>在涉及工程延期</w:t>
      </w:r>
      <w:r>
        <w:rPr>
          <w:rFonts w:hint="eastAsia" w:ascii="仿宋" w:hAnsi="仿宋" w:eastAsia="仿宋" w:cs="宋体"/>
          <w:color w:val="auto"/>
          <w:sz w:val="24"/>
          <w:highlight w:val="none"/>
          <w:u w:val="single"/>
        </w:rPr>
        <w:t xml:space="preserve">  /  </w:t>
      </w:r>
      <w:r>
        <w:rPr>
          <w:rFonts w:hint="eastAsia" w:ascii="仿宋" w:hAnsi="仿宋" w:eastAsia="仿宋" w:cs="宋体"/>
          <w:color w:val="auto"/>
          <w:sz w:val="24"/>
          <w:highlight w:val="none"/>
        </w:rPr>
        <w:t>天内和（或）金额</w:t>
      </w:r>
      <w:r>
        <w:rPr>
          <w:rFonts w:hint="eastAsia" w:ascii="仿宋" w:hAnsi="仿宋" w:eastAsia="仿宋" w:cs="宋体"/>
          <w:color w:val="auto"/>
          <w:sz w:val="24"/>
          <w:highlight w:val="none"/>
          <w:u w:val="single"/>
        </w:rPr>
        <w:t xml:space="preserve">   /   </w:t>
      </w:r>
      <w:r>
        <w:rPr>
          <w:rFonts w:hint="eastAsia" w:ascii="仿宋" w:hAnsi="仿宋" w:eastAsia="仿宋" w:cs="宋体"/>
          <w:color w:val="auto"/>
          <w:sz w:val="24"/>
          <w:highlight w:val="none"/>
        </w:rPr>
        <w:t>万元内的变更，监理人不需请示委托人即可向承包人发布变更通知。</w:t>
      </w:r>
      <w:bookmarkEnd w:id="226"/>
      <w:bookmarkEnd w:id="227"/>
    </w:p>
    <w:p w14:paraId="452425C7">
      <w:pPr>
        <w:suppressAutoHyphens/>
        <w:adjustRightInd w:val="0"/>
        <w:snapToGrid w:val="0"/>
        <w:spacing w:line="450" w:lineRule="exact"/>
        <w:ind w:firstLine="480" w:firstLineChars="200"/>
        <w:rPr>
          <w:rFonts w:ascii="仿宋" w:hAnsi="仿宋" w:eastAsia="仿宋"/>
          <w:color w:val="auto"/>
          <w:sz w:val="24"/>
          <w:highlight w:val="none"/>
        </w:rPr>
      </w:pPr>
      <w:r>
        <w:rPr>
          <w:rFonts w:hint="eastAsia" w:ascii="仿宋" w:hAnsi="仿宋" w:eastAsia="仿宋" w:cs="宋体"/>
          <w:color w:val="auto"/>
          <w:kern w:val="0"/>
          <w:sz w:val="24"/>
          <w:highlight w:val="none"/>
        </w:rPr>
        <w:t>2.4.2 监理人有权要求承包人调换其人员</w:t>
      </w:r>
      <w:r>
        <w:rPr>
          <w:rFonts w:hint="eastAsia" w:ascii="仿宋" w:hAnsi="仿宋" w:eastAsia="仿宋" w:cs="宋体"/>
          <w:color w:val="auto"/>
          <w:sz w:val="24"/>
          <w:highlight w:val="none"/>
        </w:rPr>
        <w:t>的限制条件：</w:t>
      </w:r>
      <w:r>
        <w:rPr>
          <w:rFonts w:hint="eastAsia" w:ascii="仿宋" w:hAnsi="仿宋" w:eastAsia="仿宋" w:cs="宋体"/>
          <w:color w:val="auto"/>
          <w:sz w:val="24"/>
          <w:highlight w:val="none"/>
          <w:u w:val="single"/>
        </w:rPr>
        <w:t xml:space="preserve"> 按通用条款2.4.4条执行</w:t>
      </w:r>
      <w:r>
        <w:rPr>
          <w:rFonts w:hint="eastAsia" w:ascii="仿宋" w:hAnsi="仿宋" w:eastAsia="仿宋"/>
          <w:color w:val="auto"/>
          <w:sz w:val="24"/>
          <w:highlight w:val="none"/>
        </w:rPr>
        <w:t>。</w:t>
      </w:r>
    </w:p>
    <w:p w14:paraId="39D2B62F">
      <w:pPr>
        <w:suppressAutoHyphens/>
        <w:adjustRightInd w:val="0"/>
        <w:snapToGrid w:val="0"/>
        <w:spacing w:line="45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2.4.5监理人（包括监理总工程师、其他监理人员）在施工现场的时间为：每周不得少于 5 天，每天不得少于 8 小时，如不满足上述条件的，监理人应当按照 500 元/次/人向委托人支付违约金。</w:t>
      </w:r>
    </w:p>
    <w:p w14:paraId="395E107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 提交报告</w:t>
      </w:r>
    </w:p>
    <w:p w14:paraId="20F44C1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监理人应提交报告的种类(包括监理规划、监理月报及约定的专项报告)、时间和份数：</w:t>
      </w:r>
      <w:r>
        <w:rPr>
          <w:rFonts w:hint="eastAsia" w:ascii="仿宋" w:hAnsi="仿宋" w:eastAsia="仿宋" w:cs="仿宋"/>
          <w:color w:val="auto"/>
          <w:sz w:val="24"/>
          <w:szCs w:val="24"/>
          <w:highlight w:val="none"/>
          <w:u w:val="single"/>
        </w:rPr>
        <w:t>开工时提供监理规划，次月5日前提供监理月报，工程竣工验收合格后7日内提供监理工作总结及质量评估报告，各一套；工程竣工验收后，监理单位所报送全套工程资料，必须报送发包人两套，以供发包人留存 。</w:t>
      </w:r>
    </w:p>
    <w:p w14:paraId="73F7D920">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 使用委托人的财产</w:t>
      </w:r>
    </w:p>
    <w:p w14:paraId="1F07A8D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附录 B 中由委托人无偿提供的房屋、设备的所有权属于：</w:t>
      </w:r>
      <w:r>
        <w:rPr>
          <w:rFonts w:hint="eastAsia" w:ascii="仿宋" w:hAnsi="仿宋" w:eastAsia="仿宋" w:cs="仿宋"/>
          <w:color w:val="auto"/>
          <w:sz w:val="24"/>
          <w:szCs w:val="24"/>
          <w:highlight w:val="none"/>
          <w:u w:val="single"/>
        </w:rPr>
        <w:t xml:space="preserve">委托人和承包商不提供 </w:t>
      </w:r>
      <w:r>
        <w:rPr>
          <w:rFonts w:hint="eastAsia" w:ascii="仿宋" w:hAnsi="仿宋" w:eastAsia="仿宋" w:cs="仿宋"/>
          <w:color w:val="auto"/>
          <w:sz w:val="24"/>
          <w:szCs w:val="24"/>
          <w:highlight w:val="none"/>
        </w:rPr>
        <w:t>。</w:t>
      </w:r>
    </w:p>
    <w:p w14:paraId="05DA0120">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监理人应在本合同终止后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天内移交委托人无偿提供的房屋、设备，移交的时间和方式为：</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78F49ED5">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 委托人义务</w:t>
      </w:r>
    </w:p>
    <w:p w14:paraId="21D3AE2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委托人代表</w:t>
      </w:r>
    </w:p>
    <w:p w14:paraId="7177DD72">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委托人代表为：</w:t>
      </w:r>
      <w:r>
        <w:rPr>
          <w:rFonts w:hint="eastAsia" w:ascii="仿宋" w:hAnsi="仿宋" w:eastAsia="仿宋" w:cs="仿宋"/>
          <w:color w:val="auto"/>
          <w:sz w:val="24"/>
          <w:szCs w:val="24"/>
          <w:highlight w:val="none"/>
          <w:u w:val="single"/>
        </w:rPr>
        <w:t xml:space="preserve">签订合同时确定  </w:t>
      </w:r>
      <w:r>
        <w:rPr>
          <w:rFonts w:hint="eastAsia" w:ascii="仿宋" w:hAnsi="仿宋" w:eastAsia="仿宋" w:cs="仿宋"/>
          <w:color w:val="auto"/>
          <w:sz w:val="24"/>
          <w:szCs w:val="24"/>
          <w:highlight w:val="none"/>
        </w:rPr>
        <w:t>。</w:t>
      </w:r>
    </w:p>
    <w:p w14:paraId="2F573F5B">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 答复</w:t>
      </w:r>
    </w:p>
    <w:p w14:paraId="68FFEBDE">
      <w:pPr>
        <w:spacing w:line="5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委托人同意在 7 天内，对监理人书面提交并要求做出决定的事宜给予书面答复</w:t>
      </w:r>
      <w:r>
        <w:rPr>
          <w:rFonts w:hint="eastAsia" w:ascii="仿宋" w:hAnsi="仿宋" w:eastAsia="仿宋" w:cs="宋体"/>
          <w:color w:val="auto"/>
          <w:sz w:val="24"/>
          <w:highlight w:val="none"/>
          <w:u w:val="single"/>
        </w:rPr>
        <w:t>；在委托人答复之前，不视为同意认可监理人提出的要求或申请</w:t>
      </w:r>
      <w:r>
        <w:rPr>
          <w:rFonts w:hint="eastAsia" w:ascii="仿宋" w:hAnsi="仿宋" w:eastAsia="仿宋" w:cs="仿宋"/>
          <w:color w:val="auto"/>
          <w:sz w:val="24"/>
          <w:szCs w:val="24"/>
          <w:highlight w:val="none"/>
          <w:u w:val="single"/>
        </w:rPr>
        <w:t>。</w:t>
      </w:r>
    </w:p>
    <w:p w14:paraId="7477583C">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 违约责任</w:t>
      </w:r>
    </w:p>
    <w:p w14:paraId="6ED3FCFF">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监理人的违约责任</w:t>
      </w:r>
    </w:p>
    <w:p w14:paraId="6CA7A8C7">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4.1.1 监理人赔偿金额按下列方法确定：</w:t>
      </w:r>
    </w:p>
    <w:p w14:paraId="3BAD0961">
      <w:pPr>
        <w:spacing w:line="5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赔偿金＝直接经济损失×正常工作酬金÷工程概算投资额（或建筑安装工程费）上述赔偿金无法覆盖委托人全部损失时，监理人应赔偿委托人全部实际损失，包括但不限于委托人用于实现债权的费用（诉讼费、交通费、差旅费等）</w:t>
      </w:r>
    </w:p>
    <w:p w14:paraId="7FF82503">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委托人的违约责任</w:t>
      </w:r>
    </w:p>
    <w:p w14:paraId="0CB51BC4">
      <w:pPr>
        <w:suppressAutoHyphens/>
        <w:spacing w:line="45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sz w:val="24"/>
          <w:highlight w:val="none"/>
        </w:rPr>
        <w:t>4.2.1 委托人</w:t>
      </w:r>
      <w:r>
        <w:rPr>
          <w:rFonts w:hint="eastAsia" w:ascii="仿宋" w:hAnsi="仿宋" w:eastAsia="仿宋" w:cs="宋体"/>
          <w:color w:val="auto"/>
          <w:kern w:val="0"/>
          <w:sz w:val="24"/>
          <w:highlight w:val="none"/>
        </w:rPr>
        <w:t>逾期付款利息按下列方法确定：</w:t>
      </w:r>
    </w:p>
    <w:p w14:paraId="7D465855">
      <w:pPr>
        <w:suppressAutoHyphens/>
        <w:spacing w:line="45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逾期付款利息＝当期应付款总额×全国银行间同业拆借中心公布的一年期贷款市场报价（LPR）×拖延支付天数</w:t>
      </w:r>
    </w:p>
    <w:p w14:paraId="1B918995">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 支付</w:t>
      </w:r>
    </w:p>
    <w:p w14:paraId="4AE5215B">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支付货币</w:t>
      </w:r>
    </w:p>
    <w:p w14:paraId="0A860179">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币种为：</w:t>
      </w:r>
      <w:r>
        <w:rPr>
          <w:rFonts w:hint="eastAsia" w:ascii="仿宋" w:hAnsi="仿宋" w:eastAsia="仿宋" w:cs="仿宋"/>
          <w:color w:val="auto"/>
          <w:sz w:val="24"/>
          <w:szCs w:val="24"/>
          <w:highlight w:val="none"/>
          <w:u w:val="single"/>
        </w:rPr>
        <w:t xml:space="preserve"> 人民币 </w:t>
      </w:r>
      <w:r>
        <w:rPr>
          <w:rFonts w:hint="eastAsia" w:ascii="仿宋" w:hAnsi="仿宋" w:eastAsia="仿宋" w:cs="仿宋"/>
          <w:color w:val="auto"/>
          <w:sz w:val="24"/>
          <w:szCs w:val="24"/>
          <w:highlight w:val="none"/>
        </w:rPr>
        <w:t>，比例为：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，汇率为：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1B4B1E5">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支付酬金</w:t>
      </w:r>
    </w:p>
    <w:p w14:paraId="15048969">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正常工作酬金的支付：</w:t>
      </w:r>
    </w:p>
    <w:p w14:paraId="748EAA2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的酬金为总价酬金，监理人的全部酬金应是一个不超过合同价格的固定的总价，包括全部工作人员费用(含工资、奖金、社会福利费（含养老金、医疗保险和人寿保险、生病医疗、按国家有关规定需交纳的基金）、假日工资、管理费、利润、税金)、差旅费、生活补贴、通讯费、超时加班费、节假日加班费、文书杂务费和类似费用，以及在监理过程中发生的其它全部费用（中标人所报的人员酬金、可报销开支、杂项开支的总和）。</w:t>
      </w:r>
    </w:p>
    <w:p w14:paraId="7B659203">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（1）合同签订后支付合同总价款的</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0%，工程主体竣工后支付合同总价款的40%，工程整体竣工后支付合同价款的20%，监理资料移交完毕且保修期结束后支付合同价款的</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w:t>
      </w:r>
    </w:p>
    <w:p w14:paraId="597AA9CA">
      <w:pPr>
        <w:spacing w:line="5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（2）支付申请表中必须附上经业主签认的监理人员考勤表。</w:t>
      </w:r>
    </w:p>
    <w:p w14:paraId="5CDC2322">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合同生效、变更、暂停、解除与终止</w:t>
      </w:r>
    </w:p>
    <w:p w14:paraId="11ECADE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生效</w:t>
      </w:r>
    </w:p>
    <w:p w14:paraId="7FB8139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本合同生效条件：</w:t>
      </w:r>
      <w:r>
        <w:rPr>
          <w:rFonts w:hint="eastAsia" w:ascii="仿宋" w:hAnsi="仿宋" w:eastAsia="仿宋" w:cs="仿宋"/>
          <w:color w:val="auto"/>
          <w:sz w:val="24"/>
          <w:szCs w:val="24"/>
          <w:highlight w:val="none"/>
          <w:u w:val="single"/>
        </w:rPr>
        <w:t>双方签字盖章之日起生效</w:t>
      </w:r>
      <w:r>
        <w:rPr>
          <w:rFonts w:hint="eastAsia" w:ascii="仿宋" w:hAnsi="仿宋" w:eastAsia="仿宋" w:cs="仿宋"/>
          <w:color w:val="auto"/>
          <w:sz w:val="24"/>
          <w:szCs w:val="24"/>
          <w:highlight w:val="none"/>
        </w:rPr>
        <w:t>。</w:t>
      </w:r>
    </w:p>
    <w:p w14:paraId="4EEDC70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变更</w:t>
      </w:r>
    </w:p>
    <w:p w14:paraId="36ED2EB3">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 除不可抗力外， 因非监理人原因导致本合同期限延长时，附加工作酬金按下列方法确定：</w:t>
      </w:r>
      <w:r>
        <w:rPr>
          <w:rFonts w:hint="eastAsia" w:ascii="仿宋" w:hAnsi="仿宋" w:eastAsia="仿宋" w:cs="仿宋"/>
          <w:color w:val="auto"/>
          <w:sz w:val="24"/>
          <w:szCs w:val="24"/>
          <w:highlight w:val="none"/>
          <w:u w:val="single"/>
        </w:rPr>
        <w:t>合同酬金不作调整。</w:t>
      </w:r>
    </w:p>
    <w:p w14:paraId="15E65F3D">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6.2.3 附加工作酬金按下列方法确定：</w:t>
      </w:r>
    </w:p>
    <w:p w14:paraId="7184AE4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配合业主对前期工程进行计量及结算的审核工作属监理人义务，合同酬金不作调整。另需签订补充协议的附加工作，在补充协议中约定。</w:t>
      </w:r>
    </w:p>
    <w:p w14:paraId="6C0FDF21">
      <w:pPr>
        <w:spacing w:line="5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6.2.5 正常工作酬金增加额及因工程规模、监理范围的变化导致监理人的正常工作量减少或增加时，按下列方法确定：</w:t>
      </w:r>
      <w:r>
        <w:rPr>
          <w:rFonts w:hint="eastAsia" w:ascii="仿宋" w:hAnsi="仿宋" w:eastAsia="仿宋" w:cs="仿宋"/>
          <w:color w:val="auto"/>
          <w:sz w:val="24"/>
          <w:szCs w:val="24"/>
          <w:highlight w:val="none"/>
          <w:u w:val="single"/>
        </w:rPr>
        <w:t xml:space="preserve">按国家最新有关规定执行，若无国家相应的规定，则不做调整。 </w:t>
      </w:r>
    </w:p>
    <w:p w14:paraId="340CECBF">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7. 争议解决</w:t>
      </w:r>
    </w:p>
    <w:p w14:paraId="51BB7EA1">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 调解</w:t>
      </w:r>
    </w:p>
    <w:p w14:paraId="465D352D">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本合同争议进行调解时，可提交</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进行调解。</w:t>
      </w:r>
    </w:p>
    <w:p w14:paraId="1B0A9D70">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 仲裁或诉讼</w:t>
      </w:r>
    </w:p>
    <w:p w14:paraId="372DB721">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合同争议的最终解决方式为下列第（</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 种方式：</w:t>
      </w:r>
    </w:p>
    <w:p w14:paraId="18E7BE0F">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（1）提请合同签订地仲裁委员会进行仲裁。</w:t>
      </w:r>
    </w:p>
    <w:p w14:paraId="2892F3AC">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（2）向</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人民法院提起诉讼。</w:t>
      </w:r>
    </w:p>
    <w:p w14:paraId="40878693">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8. 其他</w:t>
      </w:r>
    </w:p>
    <w:p w14:paraId="490A64C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检测费用</w:t>
      </w:r>
    </w:p>
    <w:p w14:paraId="00C564C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委托人应在检测工作完成后</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天内支付检测费用。</w:t>
      </w:r>
    </w:p>
    <w:p w14:paraId="7D3BD27D">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 咨询费用</w:t>
      </w:r>
    </w:p>
    <w:p w14:paraId="11E7BFF4">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委托人应在咨询工作完成后</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天内支付咨询费用。</w:t>
      </w:r>
    </w:p>
    <w:p w14:paraId="3C20CF1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 奖励</w:t>
      </w:r>
    </w:p>
    <w:p w14:paraId="5DD528F1">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合理化建议的奖励金额按下列方法确定为：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672D2">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8.6 保密</w:t>
      </w:r>
    </w:p>
    <w:p w14:paraId="74DFABBF">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委托人申明的保密事项和期限：</w:t>
      </w:r>
      <w:r>
        <w:rPr>
          <w:rFonts w:hint="eastAsia" w:ascii="仿宋" w:hAnsi="仿宋" w:eastAsia="仿宋" w:cs="仿宋"/>
          <w:color w:val="auto"/>
          <w:sz w:val="24"/>
          <w:szCs w:val="24"/>
          <w:highlight w:val="none"/>
          <w:u w:val="single"/>
        </w:rPr>
        <w:t xml:space="preserve"> 监理人及监理人相关人员应当对合同履行过程中知悉的委托人相关文件及信息等履行保密义务，未经委托人书面同意，不得擅自向第三方披露，法律、法规规定必须披露的除外，保密期限：至有关文件或信息公开之日止。监理人违反前述约定的，监理人向委托人支付违约金500元并赔偿委托人的全部损失，同时，委托人有权解除本合同。 本条款为独立条款，不论本合同是否签署、变更、解除、终止或无效等，本条款均有效 </w:t>
      </w:r>
      <w:r>
        <w:rPr>
          <w:rFonts w:hint="eastAsia" w:ascii="仿宋" w:hAnsi="仿宋" w:eastAsia="仿宋" w:cs="仿宋"/>
          <w:color w:val="auto"/>
          <w:sz w:val="24"/>
          <w:szCs w:val="24"/>
          <w:highlight w:val="none"/>
        </w:rPr>
        <w:t>。</w:t>
      </w:r>
    </w:p>
    <w:p w14:paraId="39783A5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监理人申明的保密事项和期限：</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694A96A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第三方申明的保密事项和期限：</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56DF2E8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8.8 著作权</w:t>
      </w:r>
    </w:p>
    <w:p w14:paraId="3CAA6183">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监理人在本合同履行期间及本合同终止后两年内出版涉及本工程的有关监理与相关服务的资料的限制条件：</w:t>
      </w:r>
      <w:r>
        <w:rPr>
          <w:rFonts w:hint="eastAsia" w:ascii="仿宋" w:hAnsi="仿宋" w:eastAsia="仿宋" w:cs="宋体"/>
          <w:color w:val="auto"/>
          <w:kern w:val="0"/>
          <w:sz w:val="24"/>
          <w:highlight w:val="none"/>
          <w:u w:val="single"/>
        </w:rPr>
        <w:t>涉及本工程的有关监理与相关服务的资料经委托人书面同意后方可出版</w:t>
      </w:r>
      <w:r>
        <w:rPr>
          <w:rFonts w:hint="eastAsia" w:ascii="仿宋" w:hAnsi="仿宋" w:eastAsia="仿宋" w:cs="仿宋"/>
          <w:color w:val="auto"/>
          <w:sz w:val="24"/>
          <w:szCs w:val="24"/>
          <w:highlight w:val="none"/>
        </w:rPr>
        <w:t>。</w:t>
      </w:r>
    </w:p>
    <w:p w14:paraId="455E4B1B">
      <w:pPr>
        <w:numPr>
          <w:ilvl w:val="0"/>
          <w:numId w:val="4"/>
        </w:numPr>
        <w:spacing w:line="49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补充条款</w:t>
      </w:r>
    </w:p>
    <w:p w14:paraId="17FA24C8">
      <w:pPr>
        <w:widowControl/>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________________________________________________________________。</w:t>
      </w:r>
      <w:r>
        <w:rPr>
          <w:rFonts w:hint="eastAsia" w:ascii="仿宋" w:hAnsi="仿宋" w:eastAsia="仿宋" w:cs="仿宋"/>
          <w:color w:val="auto"/>
          <w:sz w:val="24"/>
          <w:szCs w:val="24"/>
          <w:highlight w:val="none"/>
          <w:u w:val="single"/>
        </w:rPr>
        <w:br w:type="page"/>
      </w:r>
    </w:p>
    <w:p w14:paraId="124551E6">
      <w:pPr>
        <w:spacing w:line="5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附录A  相关服务的范围和内容</w:t>
      </w:r>
    </w:p>
    <w:p w14:paraId="352060D5">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A-1 勘察阶段：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A85DD6B">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A-2 设计阶段：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41FF392">
      <w:pPr>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A-3 保修阶段：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006E396">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A-4 其他（专业技术咨询、外部协调工作等）：</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4F300E7">
      <w:pPr>
        <w:pageBreakBefore/>
        <w:spacing w:line="360" w:lineRule="auto"/>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附录B  委托人派遣的人员和提供的房屋、资料、设备</w:t>
      </w:r>
    </w:p>
    <w:p w14:paraId="132223D5">
      <w:pPr>
        <w:spacing w:before="156" w:beforeLines="50"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B-1  委托人派遣的人员</w:t>
      </w:r>
    </w:p>
    <w:tbl>
      <w:tblPr>
        <w:tblStyle w:val="2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0888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4598A541">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770" w:type="dxa"/>
            <w:noWrap w:val="0"/>
            <w:vAlign w:val="top"/>
          </w:tcPr>
          <w:p w14:paraId="66EF9EA5">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2130" w:type="dxa"/>
            <w:noWrap w:val="0"/>
            <w:vAlign w:val="top"/>
          </w:tcPr>
          <w:p w14:paraId="25096F2E">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工作要求</w:t>
            </w:r>
          </w:p>
        </w:tc>
        <w:tc>
          <w:tcPr>
            <w:tcW w:w="1860" w:type="dxa"/>
            <w:noWrap w:val="0"/>
            <w:vAlign w:val="top"/>
          </w:tcPr>
          <w:p w14:paraId="3395D60E">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提供时间</w:t>
            </w:r>
          </w:p>
        </w:tc>
      </w:tr>
      <w:tr w14:paraId="173C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71BAFCE7">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工程技术人员 </w:t>
            </w:r>
          </w:p>
        </w:tc>
        <w:tc>
          <w:tcPr>
            <w:tcW w:w="1770" w:type="dxa"/>
            <w:noWrap w:val="0"/>
            <w:vAlign w:val="top"/>
          </w:tcPr>
          <w:p w14:paraId="276959F4">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521657FF">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12A0CC7E">
            <w:pPr>
              <w:spacing w:line="360" w:lineRule="auto"/>
              <w:outlineLvl w:val="9"/>
              <w:rPr>
                <w:rFonts w:hint="eastAsia" w:ascii="仿宋" w:hAnsi="仿宋" w:eastAsia="仿宋" w:cs="仿宋"/>
                <w:color w:val="auto"/>
                <w:sz w:val="24"/>
                <w:szCs w:val="24"/>
                <w:highlight w:val="none"/>
              </w:rPr>
            </w:pPr>
          </w:p>
        </w:tc>
      </w:tr>
      <w:tr w14:paraId="460E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06729CD">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辅助工作人员</w:t>
            </w:r>
          </w:p>
        </w:tc>
        <w:tc>
          <w:tcPr>
            <w:tcW w:w="1770" w:type="dxa"/>
            <w:noWrap w:val="0"/>
            <w:vAlign w:val="top"/>
          </w:tcPr>
          <w:p w14:paraId="17F211EA">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069D8FA0">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17AAA646">
            <w:pPr>
              <w:spacing w:line="360" w:lineRule="auto"/>
              <w:outlineLvl w:val="9"/>
              <w:rPr>
                <w:rFonts w:hint="eastAsia" w:ascii="仿宋" w:hAnsi="仿宋" w:eastAsia="仿宋" w:cs="仿宋"/>
                <w:color w:val="auto"/>
                <w:sz w:val="24"/>
                <w:szCs w:val="24"/>
                <w:highlight w:val="none"/>
              </w:rPr>
            </w:pPr>
          </w:p>
        </w:tc>
      </w:tr>
      <w:tr w14:paraId="7F35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2A0516A7">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其他人员</w:t>
            </w:r>
          </w:p>
        </w:tc>
        <w:tc>
          <w:tcPr>
            <w:tcW w:w="1770" w:type="dxa"/>
            <w:noWrap w:val="0"/>
            <w:vAlign w:val="top"/>
          </w:tcPr>
          <w:p w14:paraId="6F5B24CF">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5952F308">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134E40C0">
            <w:pPr>
              <w:spacing w:line="360" w:lineRule="auto"/>
              <w:outlineLvl w:val="9"/>
              <w:rPr>
                <w:rFonts w:hint="eastAsia" w:ascii="仿宋" w:hAnsi="仿宋" w:eastAsia="仿宋" w:cs="仿宋"/>
                <w:color w:val="auto"/>
                <w:sz w:val="24"/>
                <w:szCs w:val="24"/>
                <w:highlight w:val="none"/>
              </w:rPr>
            </w:pPr>
          </w:p>
        </w:tc>
      </w:tr>
    </w:tbl>
    <w:p w14:paraId="74D0A9A7">
      <w:pPr>
        <w:spacing w:before="156" w:beforeLines="50"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B-2  委托人提供的房屋</w:t>
      </w:r>
    </w:p>
    <w:tbl>
      <w:tblPr>
        <w:tblStyle w:val="2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16E9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5365EC54">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2130" w:type="dxa"/>
            <w:noWrap w:val="0"/>
            <w:vAlign w:val="top"/>
          </w:tcPr>
          <w:p w14:paraId="43D8737F">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2130" w:type="dxa"/>
            <w:noWrap w:val="0"/>
            <w:vAlign w:val="top"/>
          </w:tcPr>
          <w:p w14:paraId="5264D5A3">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面积</w:t>
            </w:r>
          </w:p>
        </w:tc>
        <w:tc>
          <w:tcPr>
            <w:tcW w:w="1860" w:type="dxa"/>
            <w:noWrap w:val="0"/>
            <w:vAlign w:val="top"/>
          </w:tcPr>
          <w:p w14:paraId="7033D371">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提供时间</w:t>
            </w:r>
          </w:p>
        </w:tc>
      </w:tr>
      <w:tr w14:paraId="68DB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58B8BF6F">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办公用房</w:t>
            </w:r>
          </w:p>
        </w:tc>
        <w:tc>
          <w:tcPr>
            <w:tcW w:w="2130" w:type="dxa"/>
            <w:noWrap w:val="0"/>
            <w:vAlign w:val="top"/>
          </w:tcPr>
          <w:p w14:paraId="6DF16EC8">
            <w:pPr>
              <w:spacing w:line="360" w:lineRule="auto"/>
              <w:ind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2130" w:type="dxa"/>
            <w:noWrap w:val="0"/>
            <w:vAlign w:val="top"/>
          </w:tcPr>
          <w:p w14:paraId="366E3238">
            <w:pPr>
              <w:spacing w:line="360" w:lineRule="auto"/>
              <w:ind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1860" w:type="dxa"/>
            <w:noWrap w:val="0"/>
            <w:vAlign w:val="top"/>
          </w:tcPr>
          <w:p w14:paraId="049259E8">
            <w:pPr>
              <w:spacing w:line="360" w:lineRule="auto"/>
              <w:outlineLvl w:val="9"/>
              <w:rPr>
                <w:rFonts w:hint="eastAsia" w:ascii="仿宋" w:hAnsi="仿宋" w:eastAsia="仿宋" w:cs="仿宋"/>
                <w:color w:val="auto"/>
                <w:sz w:val="24"/>
                <w:szCs w:val="24"/>
                <w:highlight w:val="none"/>
              </w:rPr>
            </w:pPr>
          </w:p>
        </w:tc>
      </w:tr>
      <w:tr w14:paraId="148E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4D72A090">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生活用房</w:t>
            </w:r>
          </w:p>
        </w:tc>
        <w:tc>
          <w:tcPr>
            <w:tcW w:w="2130" w:type="dxa"/>
            <w:noWrap w:val="0"/>
            <w:vAlign w:val="top"/>
          </w:tcPr>
          <w:p w14:paraId="13C37289">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04380520">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63EAF0A4">
            <w:pPr>
              <w:spacing w:line="360" w:lineRule="auto"/>
              <w:outlineLvl w:val="9"/>
              <w:rPr>
                <w:rFonts w:hint="eastAsia" w:ascii="仿宋" w:hAnsi="仿宋" w:eastAsia="仿宋" w:cs="仿宋"/>
                <w:color w:val="auto"/>
                <w:sz w:val="24"/>
                <w:szCs w:val="24"/>
                <w:highlight w:val="none"/>
              </w:rPr>
            </w:pPr>
          </w:p>
        </w:tc>
      </w:tr>
      <w:tr w14:paraId="70B1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6E488820">
            <w:pPr>
              <w:spacing w:line="360" w:lineRule="auto"/>
              <w:outlineLvl w:val="9"/>
              <w:rPr>
                <w:rFonts w:hint="eastAsia" w:ascii="仿宋" w:hAnsi="仿宋" w:eastAsia="仿宋" w:cs="仿宋"/>
                <w:dstrike/>
                <w:color w:val="auto"/>
                <w:sz w:val="24"/>
                <w:szCs w:val="24"/>
                <w:highlight w:val="none"/>
              </w:rPr>
            </w:pPr>
            <w:r>
              <w:rPr>
                <w:rFonts w:hint="eastAsia" w:ascii="仿宋" w:hAnsi="仿宋" w:eastAsia="仿宋" w:cs="仿宋"/>
                <w:color w:val="auto"/>
                <w:sz w:val="24"/>
                <w:szCs w:val="24"/>
                <w:highlight w:val="none"/>
              </w:rPr>
              <w:t>3. 试验用房</w:t>
            </w:r>
          </w:p>
        </w:tc>
        <w:tc>
          <w:tcPr>
            <w:tcW w:w="2130" w:type="dxa"/>
            <w:noWrap w:val="0"/>
            <w:vAlign w:val="top"/>
          </w:tcPr>
          <w:p w14:paraId="3CCD3EBA">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0BD7B66C">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6A9C7266">
            <w:pPr>
              <w:spacing w:line="360" w:lineRule="auto"/>
              <w:outlineLvl w:val="9"/>
              <w:rPr>
                <w:rFonts w:hint="eastAsia" w:ascii="仿宋" w:hAnsi="仿宋" w:eastAsia="仿宋" w:cs="仿宋"/>
                <w:color w:val="auto"/>
                <w:sz w:val="24"/>
                <w:szCs w:val="24"/>
                <w:highlight w:val="none"/>
              </w:rPr>
            </w:pPr>
          </w:p>
        </w:tc>
      </w:tr>
      <w:tr w14:paraId="1DF7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2DEFA4D1">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样品用房</w:t>
            </w:r>
          </w:p>
        </w:tc>
        <w:tc>
          <w:tcPr>
            <w:tcW w:w="2130" w:type="dxa"/>
            <w:noWrap w:val="0"/>
            <w:vAlign w:val="top"/>
          </w:tcPr>
          <w:p w14:paraId="563EA2FF">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4AEF7B07">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44898CED">
            <w:pPr>
              <w:spacing w:line="360" w:lineRule="auto"/>
              <w:outlineLvl w:val="9"/>
              <w:rPr>
                <w:rFonts w:hint="eastAsia" w:ascii="仿宋" w:hAnsi="仿宋" w:eastAsia="仿宋" w:cs="仿宋"/>
                <w:color w:val="auto"/>
                <w:sz w:val="24"/>
                <w:szCs w:val="24"/>
                <w:highlight w:val="none"/>
              </w:rPr>
            </w:pPr>
          </w:p>
        </w:tc>
      </w:tr>
      <w:tr w14:paraId="1ED2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2E845B69">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用餐及其他生活条件</w:t>
            </w:r>
          </w:p>
        </w:tc>
        <w:tc>
          <w:tcPr>
            <w:tcW w:w="6120" w:type="dxa"/>
            <w:gridSpan w:val="3"/>
            <w:noWrap w:val="0"/>
            <w:vAlign w:val="top"/>
          </w:tcPr>
          <w:p w14:paraId="1B52A806">
            <w:pPr>
              <w:spacing w:line="360" w:lineRule="auto"/>
              <w:outlineLvl w:val="9"/>
              <w:rPr>
                <w:rFonts w:hint="eastAsia" w:ascii="仿宋" w:hAnsi="仿宋" w:eastAsia="仿宋" w:cs="仿宋"/>
                <w:color w:val="auto"/>
                <w:sz w:val="24"/>
                <w:szCs w:val="24"/>
                <w:highlight w:val="none"/>
              </w:rPr>
            </w:pPr>
          </w:p>
        </w:tc>
      </w:tr>
    </w:tbl>
    <w:p w14:paraId="71DF5E78">
      <w:pPr>
        <w:spacing w:before="156" w:beforeLines="50"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B-3  委托人提供的资料</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1276"/>
        <w:gridCol w:w="1701"/>
        <w:gridCol w:w="1468"/>
      </w:tblGrid>
      <w:tr w14:paraId="5760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3209DCD4">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276" w:type="dxa"/>
            <w:noWrap w:val="0"/>
            <w:vAlign w:val="top"/>
          </w:tcPr>
          <w:p w14:paraId="3F49A4BF">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份数</w:t>
            </w:r>
          </w:p>
        </w:tc>
        <w:tc>
          <w:tcPr>
            <w:tcW w:w="1701" w:type="dxa"/>
            <w:noWrap w:val="0"/>
            <w:vAlign w:val="top"/>
          </w:tcPr>
          <w:p w14:paraId="3A2FDA97">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提供时间</w:t>
            </w:r>
          </w:p>
        </w:tc>
        <w:tc>
          <w:tcPr>
            <w:tcW w:w="1468" w:type="dxa"/>
            <w:noWrap w:val="0"/>
            <w:vAlign w:val="top"/>
          </w:tcPr>
          <w:p w14:paraId="5D1A319C">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3F43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5D072F0E">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工程立项文件</w:t>
            </w:r>
          </w:p>
        </w:tc>
        <w:tc>
          <w:tcPr>
            <w:tcW w:w="1276" w:type="dxa"/>
            <w:noWrap w:val="0"/>
            <w:vAlign w:val="top"/>
          </w:tcPr>
          <w:p w14:paraId="4734F0B7">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6F2CDCB8">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0F18ACC7">
            <w:pPr>
              <w:spacing w:line="360" w:lineRule="auto"/>
              <w:outlineLvl w:val="9"/>
              <w:rPr>
                <w:rFonts w:hint="eastAsia" w:ascii="仿宋" w:hAnsi="仿宋" w:eastAsia="仿宋" w:cs="仿宋"/>
                <w:color w:val="auto"/>
                <w:sz w:val="24"/>
                <w:szCs w:val="24"/>
                <w:highlight w:val="none"/>
              </w:rPr>
            </w:pPr>
          </w:p>
        </w:tc>
      </w:tr>
      <w:tr w14:paraId="3A3C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7F78B3CE">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工程勘察文件</w:t>
            </w:r>
          </w:p>
        </w:tc>
        <w:tc>
          <w:tcPr>
            <w:tcW w:w="1276" w:type="dxa"/>
            <w:noWrap w:val="0"/>
            <w:vAlign w:val="top"/>
          </w:tcPr>
          <w:p w14:paraId="3D86DB1A">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0E4F94B8">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4ED14CF8">
            <w:pPr>
              <w:spacing w:line="360" w:lineRule="auto"/>
              <w:outlineLvl w:val="9"/>
              <w:rPr>
                <w:rFonts w:hint="eastAsia" w:ascii="仿宋" w:hAnsi="仿宋" w:eastAsia="仿宋" w:cs="仿宋"/>
                <w:color w:val="auto"/>
                <w:sz w:val="24"/>
                <w:szCs w:val="24"/>
                <w:highlight w:val="none"/>
              </w:rPr>
            </w:pPr>
          </w:p>
        </w:tc>
      </w:tr>
      <w:tr w14:paraId="2DFA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7F22CF90">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工程设计及施工图纸</w:t>
            </w:r>
          </w:p>
        </w:tc>
        <w:tc>
          <w:tcPr>
            <w:tcW w:w="1276" w:type="dxa"/>
            <w:noWrap w:val="0"/>
            <w:vAlign w:val="top"/>
          </w:tcPr>
          <w:p w14:paraId="73A49C6D">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752E9F54">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21284C6A">
            <w:pPr>
              <w:spacing w:line="360" w:lineRule="auto"/>
              <w:outlineLvl w:val="9"/>
              <w:rPr>
                <w:rFonts w:hint="eastAsia" w:ascii="仿宋" w:hAnsi="仿宋" w:eastAsia="仿宋" w:cs="仿宋"/>
                <w:color w:val="auto"/>
                <w:sz w:val="24"/>
                <w:szCs w:val="24"/>
                <w:highlight w:val="none"/>
              </w:rPr>
            </w:pPr>
          </w:p>
        </w:tc>
      </w:tr>
      <w:tr w14:paraId="64E5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73561C7E">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工程承包合同及其他相关合同</w:t>
            </w:r>
          </w:p>
        </w:tc>
        <w:tc>
          <w:tcPr>
            <w:tcW w:w="1276" w:type="dxa"/>
            <w:noWrap w:val="0"/>
            <w:vAlign w:val="top"/>
          </w:tcPr>
          <w:p w14:paraId="70A3B42B">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693645EF">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24E0AFA5">
            <w:pPr>
              <w:spacing w:line="360" w:lineRule="auto"/>
              <w:outlineLvl w:val="9"/>
              <w:rPr>
                <w:rFonts w:hint="eastAsia" w:ascii="仿宋" w:hAnsi="仿宋" w:eastAsia="仿宋" w:cs="仿宋"/>
                <w:color w:val="auto"/>
                <w:sz w:val="24"/>
                <w:szCs w:val="24"/>
                <w:highlight w:val="none"/>
              </w:rPr>
            </w:pPr>
          </w:p>
        </w:tc>
      </w:tr>
      <w:tr w14:paraId="7D28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693AC6B0">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施工许可文件</w:t>
            </w:r>
          </w:p>
        </w:tc>
        <w:tc>
          <w:tcPr>
            <w:tcW w:w="1276" w:type="dxa"/>
            <w:noWrap w:val="0"/>
            <w:vAlign w:val="top"/>
          </w:tcPr>
          <w:p w14:paraId="742819F4">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58A50CD4">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1FD95366">
            <w:pPr>
              <w:spacing w:line="360" w:lineRule="auto"/>
              <w:outlineLvl w:val="9"/>
              <w:rPr>
                <w:rFonts w:hint="eastAsia" w:ascii="仿宋" w:hAnsi="仿宋" w:eastAsia="仿宋" w:cs="仿宋"/>
                <w:color w:val="auto"/>
                <w:sz w:val="24"/>
                <w:szCs w:val="24"/>
                <w:highlight w:val="none"/>
              </w:rPr>
            </w:pPr>
          </w:p>
        </w:tc>
      </w:tr>
      <w:tr w14:paraId="6499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top"/>
          </w:tcPr>
          <w:p w14:paraId="46CD64D0">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其他文件</w:t>
            </w:r>
          </w:p>
        </w:tc>
        <w:tc>
          <w:tcPr>
            <w:tcW w:w="1276" w:type="dxa"/>
            <w:noWrap w:val="0"/>
            <w:vAlign w:val="top"/>
          </w:tcPr>
          <w:p w14:paraId="25C82A66">
            <w:pPr>
              <w:spacing w:line="360" w:lineRule="auto"/>
              <w:outlineLvl w:val="9"/>
              <w:rPr>
                <w:rFonts w:hint="eastAsia" w:ascii="仿宋" w:hAnsi="仿宋" w:eastAsia="仿宋" w:cs="仿宋"/>
                <w:color w:val="auto"/>
                <w:sz w:val="24"/>
                <w:szCs w:val="24"/>
                <w:highlight w:val="none"/>
              </w:rPr>
            </w:pPr>
          </w:p>
        </w:tc>
        <w:tc>
          <w:tcPr>
            <w:tcW w:w="1701" w:type="dxa"/>
            <w:noWrap w:val="0"/>
            <w:vAlign w:val="top"/>
          </w:tcPr>
          <w:p w14:paraId="3A50B228">
            <w:pPr>
              <w:spacing w:line="360" w:lineRule="auto"/>
              <w:outlineLvl w:val="9"/>
              <w:rPr>
                <w:rFonts w:hint="eastAsia" w:ascii="仿宋" w:hAnsi="仿宋" w:eastAsia="仿宋" w:cs="仿宋"/>
                <w:color w:val="auto"/>
                <w:sz w:val="24"/>
                <w:szCs w:val="24"/>
                <w:highlight w:val="none"/>
              </w:rPr>
            </w:pPr>
          </w:p>
        </w:tc>
        <w:tc>
          <w:tcPr>
            <w:tcW w:w="1468" w:type="dxa"/>
            <w:noWrap w:val="0"/>
            <w:vAlign w:val="top"/>
          </w:tcPr>
          <w:p w14:paraId="4BF12EF0">
            <w:pPr>
              <w:spacing w:line="360" w:lineRule="auto"/>
              <w:outlineLvl w:val="9"/>
              <w:rPr>
                <w:rFonts w:hint="eastAsia" w:ascii="仿宋" w:hAnsi="仿宋" w:eastAsia="仿宋" w:cs="仿宋"/>
                <w:color w:val="auto"/>
                <w:sz w:val="24"/>
                <w:szCs w:val="24"/>
                <w:highlight w:val="none"/>
              </w:rPr>
            </w:pPr>
          </w:p>
        </w:tc>
      </w:tr>
    </w:tbl>
    <w:p w14:paraId="107E2786">
      <w:pPr>
        <w:spacing w:before="156" w:beforeLines="50"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B-4 委托人提供的设备</w:t>
      </w:r>
    </w:p>
    <w:tbl>
      <w:tblPr>
        <w:tblStyle w:val="2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591C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09E1E0E8">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590" w:type="dxa"/>
            <w:noWrap w:val="0"/>
            <w:vAlign w:val="top"/>
          </w:tcPr>
          <w:p w14:paraId="02B5D915">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2130" w:type="dxa"/>
            <w:noWrap w:val="0"/>
            <w:vAlign w:val="top"/>
          </w:tcPr>
          <w:p w14:paraId="40E651FC">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型号与规格</w:t>
            </w:r>
          </w:p>
        </w:tc>
        <w:tc>
          <w:tcPr>
            <w:tcW w:w="1860" w:type="dxa"/>
            <w:noWrap w:val="0"/>
            <w:vAlign w:val="top"/>
          </w:tcPr>
          <w:p w14:paraId="3B08D87C">
            <w:pP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提供时间</w:t>
            </w:r>
          </w:p>
        </w:tc>
      </w:tr>
      <w:tr w14:paraId="5050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D0785A2">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通讯设备</w:t>
            </w:r>
          </w:p>
        </w:tc>
        <w:tc>
          <w:tcPr>
            <w:tcW w:w="1590" w:type="dxa"/>
            <w:noWrap w:val="0"/>
            <w:vAlign w:val="top"/>
          </w:tcPr>
          <w:p w14:paraId="61F52431">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3613B3C7">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21AEE9AC">
            <w:pPr>
              <w:spacing w:line="360" w:lineRule="auto"/>
              <w:outlineLvl w:val="9"/>
              <w:rPr>
                <w:rFonts w:hint="eastAsia" w:ascii="仿宋" w:hAnsi="仿宋" w:eastAsia="仿宋" w:cs="仿宋"/>
                <w:color w:val="auto"/>
                <w:sz w:val="24"/>
                <w:szCs w:val="24"/>
                <w:highlight w:val="none"/>
              </w:rPr>
            </w:pPr>
          </w:p>
        </w:tc>
      </w:tr>
      <w:tr w14:paraId="3F80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174EFF1D">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办公设备</w:t>
            </w:r>
          </w:p>
        </w:tc>
        <w:tc>
          <w:tcPr>
            <w:tcW w:w="1590" w:type="dxa"/>
            <w:noWrap w:val="0"/>
            <w:vAlign w:val="top"/>
          </w:tcPr>
          <w:p w14:paraId="7B989ECA">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0A1311FD">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2572742D">
            <w:pPr>
              <w:spacing w:line="360" w:lineRule="auto"/>
              <w:outlineLvl w:val="9"/>
              <w:rPr>
                <w:rFonts w:hint="eastAsia" w:ascii="仿宋" w:hAnsi="仿宋" w:eastAsia="仿宋" w:cs="仿宋"/>
                <w:color w:val="auto"/>
                <w:sz w:val="24"/>
                <w:szCs w:val="24"/>
                <w:highlight w:val="none"/>
              </w:rPr>
            </w:pPr>
          </w:p>
        </w:tc>
      </w:tr>
      <w:tr w14:paraId="098C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42EB3A0">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交通工具</w:t>
            </w:r>
          </w:p>
        </w:tc>
        <w:tc>
          <w:tcPr>
            <w:tcW w:w="1590" w:type="dxa"/>
            <w:noWrap w:val="0"/>
            <w:vAlign w:val="top"/>
          </w:tcPr>
          <w:p w14:paraId="6FC345B0">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39EAC8C2">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48632E88">
            <w:pPr>
              <w:spacing w:line="360" w:lineRule="auto"/>
              <w:outlineLvl w:val="9"/>
              <w:rPr>
                <w:rFonts w:hint="eastAsia" w:ascii="仿宋" w:hAnsi="仿宋" w:eastAsia="仿宋" w:cs="仿宋"/>
                <w:color w:val="auto"/>
                <w:sz w:val="24"/>
                <w:szCs w:val="24"/>
                <w:highlight w:val="none"/>
              </w:rPr>
            </w:pPr>
          </w:p>
        </w:tc>
      </w:tr>
      <w:tr w14:paraId="5CF5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78B1FABB">
            <w:pPr>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检测和试验设备</w:t>
            </w:r>
          </w:p>
        </w:tc>
        <w:tc>
          <w:tcPr>
            <w:tcW w:w="1590" w:type="dxa"/>
            <w:noWrap w:val="0"/>
            <w:vAlign w:val="top"/>
          </w:tcPr>
          <w:p w14:paraId="0AFA69D9">
            <w:pPr>
              <w:spacing w:line="360" w:lineRule="auto"/>
              <w:outlineLvl w:val="9"/>
              <w:rPr>
                <w:rFonts w:hint="eastAsia" w:ascii="仿宋" w:hAnsi="仿宋" w:eastAsia="仿宋" w:cs="仿宋"/>
                <w:color w:val="auto"/>
                <w:sz w:val="24"/>
                <w:szCs w:val="24"/>
                <w:highlight w:val="none"/>
              </w:rPr>
            </w:pPr>
          </w:p>
        </w:tc>
        <w:tc>
          <w:tcPr>
            <w:tcW w:w="2130" w:type="dxa"/>
            <w:noWrap w:val="0"/>
            <w:vAlign w:val="top"/>
          </w:tcPr>
          <w:p w14:paraId="1FF1CDE3">
            <w:pPr>
              <w:spacing w:line="360" w:lineRule="auto"/>
              <w:outlineLvl w:val="9"/>
              <w:rPr>
                <w:rFonts w:hint="eastAsia" w:ascii="仿宋" w:hAnsi="仿宋" w:eastAsia="仿宋" w:cs="仿宋"/>
                <w:color w:val="auto"/>
                <w:sz w:val="24"/>
                <w:szCs w:val="24"/>
                <w:highlight w:val="none"/>
              </w:rPr>
            </w:pPr>
          </w:p>
        </w:tc>
        <w:tc>
          <w:tcPr>
            <w:tcW w:w="1860" w:type="dxa"/>
            <w:noWrap w:val="0"/>
            <w:vAlign w:val="top"/>
          </w:tcPr>
          <w:p w14:paraId="42EB03BC">
            <w:pPr>
              <w:spacing w:line="360" w:lineRule="auto"/>
              <w:outlineLvl w:val="9"/>
              <w:rPr>
                <w:rFonts w:hint="eastAsia" w:ascii="仿宋" w:hAnsi="仿宋" w:eastAsia="仿宋" w:cs="仿宋"/>
                <w:color w:val="auto"/>
                <w:sz w:val="24"/>
                <w:szCs w:val="24"/>
                <w:highlight w:val="none"/>
              </w:rPr>
            </w:pPr>
          </w:p>
        </w:tc>
      </w:tr>
    </w:tbl>
    <w:p w14:paraId="4ACCFE8A">
      <w:pPr>
        <w:outlineLvl w:val="9"/>
        <w:rPr>
          <w:rFonts w:hint="eastAsia" w:ascii="仿宋" w:hAnsi="仿宋" w:eastAsia="仿宋" w:cs="仿宋"/>
          <w:color w:val="auto"/>
          <w:sz w:val="24"/>
          <w:szCs w:val="24"/>
          <w:highlight w:val="none"/>
        </w:rPr>
        <w:sectPr>
          <w:footerReference r:id="rId6" w:type="first"/>
          <w:footerReference r:id="rId5" w:type="default"/>
          <w:pgSz w:w="11906" w:h="16838"/>
          <w:pgMar w:top="1440" w:right="1797" w:bottom="1440" w:left="1797" w:header="851" w:footer="992" w:gutter="0"/>
          <w:pgNumType w:fmt="decimal"/>
          <w:cols w:space="720" w:num="1"/>
          <w:titlePg/>
          <w:docGrid w:type="lines" w:linePitch="312" w:charSpace="0"/>
        </w:sectPr>
      </w:pPr>
    </w:p>
    <w:p w14:paraId="6669BFD6">
      <w:pPr>
        <w:pageBreakBefore/>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监理人员名单</w:t>
      </w:r>
    </w:p>
    <w:tbl>
      <w:tblPr>
        <w:tblStyle w:val="26"/>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8"/>
        <w:gridCol w:w="851"/>
        <w:gridCol w:w="850"/>
        <w:gridCol w:w="851"/>
        <w:gridCol w:w="1559"/>
        <w:gridCol w:w="1559"/>
        <w:gridCol w:w="1560"/>
      </w:tblGrid>
      <w:tr w14:paraId="55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055433D">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姓名</w:t>
            </w:r>
          </w:p>
        </w:tc>
        <w:tc>
          <w:tcPr>
            <w:tcW w:w="708" w:type="dxa"/>
            <w:noWrap w:val="0"/>
            <w:vAlign w:val="center"/>
          </w:tcPr>
          <w:p w14:paraId="313D2F62">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年龄</w:t>
            </w:r>
          </w:p>
        </w:tc>
        <w:tc>
          <w:tcPr>
            <w:tcW w:w="851" w:type="dxa"/>
            <w:noWrap w:val="0"/>
            <w:vAlign w:val="center"/>
          </w:tcPr>
          <w:p w14:paraId="1A9A60E4">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性别</w:t>
            </w:r>
          </w:p>
        </w:tc>
        <w:tc>
          <w:tcPr>
            <w:tcW w:w="850" w:type="dxa"/>
            <w:noWrap w:val="0"/>
            <w:vAlign w:val="center"/>
          </w:tcPr>
          <w:p w14:paraId="32273DF9">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职务</w:t>
            </w:r>
          </w:p>
        </w:tc>
        <w:tc>
          <w:tcPr>
            <w:tcW w:w="851" w:type="dxa"/>
            <w:noWrap w:val="0"/>
            <w:vAlign w:val="center"/>
          </w:tcPr>
          <w:p w14:paraId="19B360BE">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职称</w:t>
            </w:r>
          </w:p>
        </w:tc>
        <w:tc>
          <w:tcPr>
            <w:tcW w:w="1559" w:type="dxa"/>
            <w:noWrap w:val="0"/>
            <w:vAlign w:val="center"/>
          </w:tcPr>
          <w:p w14:paraId="6035777D">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从事监理</w:t>
            </w:r>
          </w:p>
          <w:p w14:paraId="4F93D7DC">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工作时间</w:t>
            </w:r>
          </w:p>
        </w:tc>
        <w:tc>
          <w:tcPr>
            <w:tcW w:w="1559" w:type="dxa"/>
            <w:noWrap w:val="0"/>
            <w:vAlign w:val="center"/>
          </w:tcPr>
          <w:p w14:paraId="10565187">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证书编号</w:t>
            </w:r>
          </w:p>
        </w:tc>
        <w:tc>
          <w:tcPr>
            <w:tcW w:w="1560" w:type="dxa"/>
            <w:noWrap w:val="0"/>
            <w:vAlign w:val="center"/>
          </w:tcPr>
          <w:p w14:paraId="56CE4446">
            <w:pPr>
              <w:spacing w:before="100" w:after="100" w:line="400" w:lineRule="exact"/>
              <w:jc w:val="center"/>
              <w:outlineLvl w:val="9"/>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备注</w:t>
            </w:r>
          </w:p>
        </w:tc>
      </w:tr>
      <w:tr w14:paraId="44DC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50" w:type="dxa"/>
            <w:noWrap w:val="0"/>
            <w:vAlign w:val="center"/>
          </w:tcPr>
          <w:p w14:paraId="650B3155">
            <w:pPr>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708" w:type="dxa"/>
            <w:noWrap w:val="0"/>
            <w:vAlign w:val="center"/>
          </w:tcPr>
          <w:p w14:paraId="20022EC5">
            <w:pPr>
              <w:jc w:val="center"/>
              <w:outlineLvl w:val="9"/>
              <w:rPr>
                <w:rFonts w:hint="eastAsia" w:ascii="仿宋" w:hAnsi="仿宋" w:eastAsia="仿宋" w:cs="仿宋"/>
                <w:color w:val="auto"/>
                <w:sz w:val="24"/>
                <w:szCs w:val="24"/>
                <w:highlight w:val="none"/>
              </w:rPr>
            </w:pPr>
          </w:p>
        </w:tc>
        <w:tc>
          <w:tcPr>
            <w:tcW w:w="851" w:type="dxa"/>
            <w:noWrap w:val="0"/>
            <w:vAlign w:val="top"/>
          </w:tcPr>
          <w:p w14:paraId="7ACD4CF8">
            <w:pPr>
              <w:jc w:val="center"/>
              <w:outlineLvl w:val="9"/>
              <w:rPr>
                <w:rFonts w:hint="eastAsia" w:ascii="仿宋" w:hAnsi="仿宋" w:eastAsia="仿宋" w:cs="仿宋"/>
                <w:color w:val="auto"/>
                <w:sz w:val="24"/>
                <w:szCs w:val="24"/>
                <w:highlight w:val="none"/>
              </w:rPr>
            </w:pPr>
          </w:p>
        </w:tc>
        <w:tc>
          <w:tcPr>
            <w:tcW w:w="850" w:type="dxa"/>
            <w:noWrap w:val="0"/>
            <w:vAlign w:val="center"/>
          </w:tcPr>
          <w:p w14:paraId="49AAE430">
            <w:pPr>
              <w:jc w:val="center"/>
              <w:outlineLvl w:val="9"/>
              <w:rPr>
                <w:rFonts w:hint="eastAsia" w:ascii="仿宋" w:hAnsi="仿宋" w:eastAsia="仿宋" w:cs="仿宋"/>
                <w:color w:val="auto"/>
                <w:sz w:val="24"/>
                <w:szCs w:val="24"/>
                <w:highlight w:val="none"/>
              </w:rPr>
            </w:pPr>
          </w:p>
        </w:tc>
        <w:tc>
          <w:tcPr>
            <w:tcW w:w="851" w:type="dxa"/>
            <w:noWrap w:val="0"/>
            <w:vAlign w:val="top"/>
          </w:tcPr>
          <w:p w14:paraId="798330A0">
            <w:pPr>
              <w:jc w:val="center"/>
              <w:outlineLvl w:val="9"/>
              <w:rPr>
                <w:rFonts w:hint="eastAsia" w:ascii="仿宋" w:hAnsi="仿宋" w:eastAsia="仿宋" w:cs="仿宋"/>
                <w:color w:val="auto"/>
                <w:sz w:val="24"/>
                <w:szCs w:val="24"/>
                <w:highlight w:val="none"/>
              </w:rPr>
            </w:pPr>
          </w:p>
        </w:tc>
        <w:tc>
          <w:tcPr>
            <w:tcW w:w="1559" w:type="dxa"/>
            <w:noWrap w:val="0"/>
            <w:vAlign w:val="center"/>
          </w:tcPr>
          <w:p w14:paraId="73995B67">
            <w:pPr>
              <w:jc w:val="center"/>
              <w:outlineLvl w:val="9"/>
              <w:rPr>
                <w:rFonts w:hint="eastAsia" w:ascii="仿宋" w:hAnsi="仿宋" w:eastAsia="仿宋" w:cs="仿宋"/>
                <w:color w:val="auto"/>
                <w:sz w:val="24"/>
                <w:szCs w:val="24"/>
                <w:highlight w:val="none"/>
              </w:rPr>
            </w:pPr>
          </w:p>
        </w:tc>
        <w:tc>
          <w:tcPr>
            <w:tcW w:w="1559" w:type="dxa"/>
            <w:noWrap w:val="0"/>
            <w:vAlign w:val="center"/>
          </w:tcPr>
          <w:p w14:paraId="4DA74179">
            <w:pPr>
              <w:jc w:val="center"/>
              <w:outlineLvl w:val="9"/>
              <w:rPr>
                <w:rFonts w:hint="eastAsia" w:ascii="仿宋" w:hAnsi="仿宋" w:eastAsia="仿宋" w:cs="仿宋"/>
                <w:color w:val="auto"/>
                <w:sz w:val="24"/>
                <w:szCs w:val="24"/>
                <w:highlight w:val="none"/>
              </w:rPr>
            </w:pPr>
          </w:p>
        </w:tc>
        <w:tc>
          <w:tcPr>
            <w:tcW w:w="1560" w:type="dxa"/>
            <w:noWrap w:val="0"/>
            <w:vAlign w:val="center"/>
          </w:tcPr>
          <w:p w14:paraId="1863EEAC">
            <w:pPr>
              <w:spacing w:before="100" w:after="100"/>
              <w:jc w:val="center"/>
              <w:outlineLvl w:val="9"/>
              <w:rPr>
                <w:rFonts w:hint="eastAsia" w:ascii="仿宋" w:hAnsi="仿宋" w:eastAsia="仿宋" w:cs="仿宋"/>
                <w:b/>
                <w:color w:val="auto"/>
                <w:sz w:val="24"/>
                <w:szCs w:val="24"/>
                <w:highlight w:val="none"/>
                <w:lang w:val="zh-CN"/>
              </w:rPr>
            </w:pPr>
          </w:p>
        </w:tc>
      </w:tr>
      <w:tr w14:paraId="4E9F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50" w:type="dxa"/>
            <w:noWrap w:val="0"/>
            <w:vAlign w:val="center"/>
          </w:tcPr>
          <w:p w14:paraId="15720BEE">
            <w:pPr>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708" w:type="dxa"/>
            <w:noWrap w:val="0"/>
            <w:vAlign w:val="center"/>
          </w:tcPr>
          <w:p w14:paraId="65AEEF27">
            <w:pPr>
              <w:jc w:val="center"/>
              <w:outlineLvl w:val="9"/>
              <w:rPr>
                <w:rFonts w:hint="eastAsia" w:ascii="仿宋" w:hAnsi="仿宋" w:eastAsia="仿宋" w:cs="仿宋"/>
                <w:color w:val="auto"/>
                <w:sz w:val="24"/>
                <w:szCs w:val="24"/>
                <w:highlight w:val="none"/>
              </w:rPr>
            </w:pPr>
          </w:p>
        </w:tc>
        <w:tc>
          <w:tcPr>
            <w:tcW w:w="851" w:type="dxa"/>
            <w:noWrap w:val="0"/>
            <w:vAlign w:val="center"/>
          </w:tcPr>
          <w:p w14:paraId="1A29F170">
            <w:pPr>
              <w:jc w:val="center"/>
              <w:outlineLvl w:val="9"/>
              <w:rPr>
                <w:rFonts w:hint="eastAsia" w:ascii="仿宋" w:hAnsi="仿宋" w:eastAsia="仿宋" w:cs="仿宋"/>
                <w:color w:val="auto"/>
                <w:sz w:val="24"/>
                <w:szCs w:val="24"/>
                <w:highlight w:val="none"/>
              </w:rPr>
            </w:pPr>
          </w:p>
        </w:tc>
        <w:tc>
          <w:tcPr>
            <w:tcW w:w="850" w:type="dxa"/>
            <w:noWrap w:val="0"/>
            <w:vAlign w:val="center"/>
          </w:tcPr>
          <w:p w14:paraId="1FC7C65A">
            <w:pPr>
              <w:jc w:val="center"/>
              <w:outlineLvl w:val="9"/>
              <w:rPr>
                <w:rFonts w:hint="eastAsia" w:ascii="仿宋" w:hAnsi="仿宋" w:eastAsia="仿宋" w:cs="仿宋"/>
                <w:color w:val="auto"/>
                <w:sz w:val="24"/>
                <w:szCs w:val="24"/>
                <w:highlight w:val="none"/>
              </w:rPr>
            </w:pPr>
          </w:p>
        </w:tc>
        <w:tc>
          <w:tcPr>
            <w:tcW w:w="851" w:type="dxa"/>
            <w:noWrap w:val="0"/>
            <w:vAlign w:val="center"/>
          </w:tcPr>
          <w:p w14:paraId="4BC65865">
            <w:pPr>
              <w:jc w:val="center"/>
              <w:outlineLvl w:val="9"/>
              <w:rPr>
                <w:rFonts w:hint="eastAsia" w:ascii="仿宋" w:hAnsi="仿宋" w:eastAsia="仿宋" w:cs="仿宋"/>
                <w:color w:val="auto"/>
                <w:sz w:val="24"/>
                <w:szCs w:val="24"/>
                <w:highlight w:val="none"/>
              </w:rPr>
            </w:pPr>
          </w:p>
        </w:tc>
        <w:tc>
          <w:tcPr>
            <w:tcW w:w="1559" w:type="dxa"/>
            <w:noWrap w:val="0"/>
            <w:vAlign w:val="center"/>
          </w:tcPr>
          <w:p w14:paraId="4AB94408">
            <w:pPr>
              <w:jc w:val="center"/>
              <w:outlineLvl w:val="9"/>
              <w:rPr>
                <w:rFonts w:hint="eastAsia" w:ascii="仿宋" w:hAnsi="仿宋" w:eastAsia="仿宋" w:cs="仿宋"/>
                <w:color w:val="auto"/>
                <w:sz w:val="24"/>
                <w:szCs w:val="24"/>
                <w:highlight w:val="none"/>
              </w:rPr>
            </w:pPr>
          </w:p>
        </w:tc>
        <w:tc>
          <w:tcPr>
            <w:tcW w:w="1559" w:type="dxa"/>
            <w:noWrap w:val="0"/>
            <w:vAlign w:val="center"/>
          </w:tcPr>
          <w:p w14:paraId="78C7D167">
            <w:pPr>
              <w:jc w:val="center"/>
              <w:outlineLvl w:val="9"/>
              <w:rPr>
                <w:rFonts w:hint="eastAsia" w:ascii="仿宋" w:hAnsi="仿宋" w:eastAsia="仿宋" w:cs="仿宋"/>
                <w:color w:val="auto"/>
                <w:sz w:val="24"/>
                <w:szCs w:val="24"/>
                <w:highlight w:val="none"/>
              </w:rPr>
            </w:pPr>
          </w:p>
        </w:tc>
        <w:tc>
          <w:tcPr>
            <w:tcW w:w="1560" w:type="dxa"/>
            <w:noWrap w:val="0"/>
            <w:vAlign w:val="center"/>
          </w:tcPr>
          <w:p w14:paraId="4FD6F58E">
            <w:pPr>
              <w:spacing w:before="100" w:after="100"/>
              <w:jc w:val="center"/>
              <w:outlineLvl w:val="9"/>
              <w:rPr>
                <w:rFonts w:hint="eastAsia" w:ascii="仿宋" w:hAnsi="仿宋" w:eastAsia="仿宋" w:cs="仿宋"/>
                <w:b/>
                <w:color w:val="auto"/>
                <w:sz w:val="24"/>
                <w:szCs w:val="24"/>
                <w:highlight w:val="none"/>
                <w:lang w:val="zh-CN"/>
              </w:rPr>
            </w:pPr>
          </w:p>
        </w:tc>
      </w:tr>
      <w:tr w14:paraId="0DF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50" w:type="dxa"/>
            <w:noWrap w:val="0"/>
            <w:vAlign w:val="center"/>
          </w:tcPr>
          <w:p w14:paraId="1CCE1283">
            <w:pPr>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708" w:type="dxa"/>
            <w:noWrap w:val="0"/>
            <w:vAlign w:val="center"/>
          </w:tcPr>
          <w:p w14:paraId="4D25B96C">
            <w:pPr>
              <w:jc w:val="center"/>
              <w:outlineLvl w:val="9"/>
              <w:rPr>
                <w:rFonts w:hint="eastAsia" w:ascii="仿宋" w:hAnsi="仿宋" w:eastAsia="仿宋" w:cs="仿宋"/>
                <w:color w:val="auto"/>
                <w:sz w:val="24"/>
                <w:szCs w:val="24"/>
                <w:highlight w:val="none"/>
              </w:rPr>
            </w:pPr>
          </w:p>
        </w:tc>
        <w:tc>
          <w:tcPr>
            <w:tcW w:w="851" w:type="dxa"/>
            <w:noWrap w:val="0"/>
            <w:vAlign w:val="center"/>
          </w:tcPr>
          <w:p w14:paraId="3A7A0DE9">
            <w:pPr>
              <w:jc w:val="center"/>
              <w:outlineLvl w:val="9"/>
              <w:rPr>
                <w:rFonts w:hint="eastAsia" w:ascii="仿宋" w:hAnsi="仿宋" w:eastAsia="仿宋" w:cs="仿宋"/>
                <w:color w:val="auto"/>
                <w:sz w:val="24"/>
                <w:szCs w:val="24"/>
                <w:highlight w:val="none"/>
              </w:rPr>
            </w:pPr>
          </w:p>
        </w:tc>
        <w:tc>
          <w:tcPr>
            <w:tcW w:w="850" w:type="dxa"/>
            <w:noWrap w:val="0"/>
            <w:vAlign w:val="center"/>
          </w:tcPr>
          <w:p w14:paraId="04ECCC92">
            <w:pPr>
              <w:jc w:val="center"/>
              <w:outlineLvl w:val="9"/>
              <w:rPr>
                <w:rFonts w:hint="eastAsia" w:ascii="仿宋" w:hAnsi="仿宋" w:eastAsia="仿宋" w:cs="仿宋"/>
                <w:color w:val="auto"/>
                <w:sz w:val="24"/>
                <w:szCs w:val="24"/>
                <w:highlight w:val="none"/>
              </w:rPr>
            </w:pPr>
          </w:p>
        </w:tc>
        <w:tc>
          <w:tcPr>
            <w:tcW w:w="851" w:type="dxa"/>
            <w:noWrap w:val="0"/>
            <w:vAlign w:val="center"/>
          </w:tcPr>
          <w:p w14:paraId="6007331A">
            <w:pPr>
              <w:jc w:val="center"/>
              <w:outlineLvl w:val="9"/>
              <w:rPr>
                <w:rFonts w:hint="eastAsia" w:ascii="仿宋" w:hAnsi="仿宋" w:eastAsia="仿宋" w:cs="仿宋"/>
                <w:color w:val="auto"/>
                <w:sz w:val="24"/>
                <w:szCs w:val="24"/>
                <w:highlight w:val="none"/>
              </w:rPr>
            </w:pPr>
          </w:p>
        </w:tc>
        <w:tc>
          <w:tcPr>
            <w:tcW w:w="1559" w:type="dxa"/>
            <w:noWrap w:val="0"/>
            <w:vAlign w:val="center"/>
          </w:tcPr>
          <w:p w14:paraId="2CF24A8E">
            <w:pPr>
              <w:jc w:val="center"/>
              <w:outlineLvl w:val="9"/>
              <w:rPr>
                <w:rFonts w:hint="eastAsia" w:ascii="仿宋" w:hAnsi="仿宋" w:eastAsia="仿宋" w:cs="仿宋"/>
                <w:color w:val="auto"/>
                <w:sz w:val="24"/>
                <w:szCs w:val="24"/>
                <w:highlight w:val="none"/>
              </w:rPr>
            </w:pPr>
          </w:p>
        </w:tc>
        <w:tc>
          <w:tcPr>
            <w:tcW w:w="1559" w:type="dxa"/>
            <w:noWrap w:val="0"/>
            <w:vAlign w:val="center"/>
          </w:tcPr>
          <w:p w14:paraId="7CF61E79">
            <w:pPr>
              <w:jc w:val="center"/>
              <w:outlineLvl w:val="9"/>
              <w:rPr>
                <w:rFonts w:hint="eastAsia" w:ascii="仿宋" w:hAnsi="仿宋" w:eastAsia="仿宋" w:cs="仿宋"/>
                <w:color w:val="auto"/>
                <w:sz w:val="24"/>
                <w:szCs w:val="24"/>
                <w:highlight w:val="none"/>
              </w:rPr>
            </w:pPr>
          </w:p>
        </w:tc>
        <w:tc>
          <w:tcPr>
            <w:tcW w:w="1560" w:type="dxa"/>
            <w:noWrap w:val="0"/>
            <w:vAlign w:val="center"/>
          </w:tcPr>
          <w:p w14:paraId="0D179A1E">
            <w:pPr>
              <w:spacing w:before="100" w:after="100"/>
              <w:jc w:val="center"/>
              <w:outlineLvl w:val="9"/>
              <w:rPr>
                <w:rFonts w:hint="eastAsia" w:ascii="仿宋" w:hAnsi="仿宋" w:eastAsia="仿宋" w:cs="仿宋"/>
                <w:b/>
                <w:color w:val="auto"/>
                <w:sz w:val="24"/>
                <w:szCs w:val="24"/>
                <w:highlight w:val="none"/>
                <w:lang w:val="zh-CN"/>
              </w:rPr>
            </w:pPr>
          </w:p>
        </w:tc>
      </w:tr>
    </w:tbl>
    <w:p w14:paraId="209FD857">
      <w:pPr>
        <w:rPr>
          <w:rFonts w:hint="eastAsia"/>
          <w:highlight w:val="none"/>
        </w:rPr>
      </w:pPr>
    </w:p>
    <w:p w14:paraId="5B2AEEC6">
      <w:pPr>
        <w:rPr>
          <w:rFonts w:hint="eastAsia"/>
          <w:highlight w:val="none"/>
        </w:rPr>
      </w:pPr>
    </w:p>
    <w:p w14:paraId="313874D1">
      <w:pPr>
        <w:pStyle w:val="33"/>
        <w:pageBreakBefore w:val="0"/>
        <w:numPr>
          <w:ilvl w:val="0"/>
          <w:numId w:val="0"/>
        </w:numPr>
        <w:kinsoku/>
        <w:wordWrap/>
        <w:overflowPunct/>
        <w:topLinePunct w:val="0"/>
        <w:bidi w:val="0"/>
        <w:spacing w:line="360" w:lineRule="auto"/>
        <w:rPr>
          <w:rFonts w:ascii="宋体" w:hAnsi="宋体" w:eastAsia="宋体" w:cs="宋体"/>
          <w:color w:val="auto"/>
          <w:sz w:val="24"/>
          <w:highlight w:val="none"/>
        </w:rPr>
      </w:pPr>
    </w:p>
    <w:p w14:paraId="2860A920">
      <w:pPr>
        <w:pStyle w:val="33"/>
        <w:pageBreakBefore w:val="0"/>
        <w:numPr>
          <w:ilvl w:val="0"/>
          <w:numId w:val="0"/>
        </w:numPr>
        <w:kinsoku/>
        <w:wordWrap/>
        <w:overflowPunct/>
        <w:topLinePunct w:val="0"/>
        <w:bidi w:val="0"/>
        <w:spacing w:line="360" w:lineRule="auto"/>
        <w:rPr>
          <w:rFonts w:ascii="宋体" w:hAnsi="宋体" w:eastAsia="宋体" w:cs="宋体"/>
          <w:color w:val="auto"/>
          <w:sz w:val="24"/>
          <w:highlight w:val="none"/>
        </w:rPr>
      </w:pPr>
    </w:p>
    <w:p w14:paraId="704365C3">
      <w:pPr>
        <w:rPr>
          <w:rFonts w:ascii="宋体" w:hAnsi="宋体" w:eastAsia="宋体" w:cs="宋体"/>
          <w:color w:val="auto"/>
          <w:sz w:val="24"/>
          <w:highlight w:val="none"/>
        </w:rPr>
      </w:pPr>
      <w:r>
        <w:rPr>
          <w:rFonts w:ascii="宋体" w:hAnsi="宋体" w:eastAsia="宋体" w:cs="宋体"/>
          <w:color w:val="auto"/>
          <w:sz w:val="24"/>
          <w:highlight w:val="none"/>
        </w:rPr>
        <w:br w:type="page"/>
      </w:r>
    </w:p>
    <w:p w14:paraId="5B70E186">
      <w:pPr>
        <w:pageBreakBefore w:val="0"/>
        <w:kinsoku/>
        <w:wordWrap/>
        <w:overflowPunct/>
        <w:topLinePunct w:val="0"/>
        <w:bidi w:val="0"/>
        <w:spacing w:before="550" w:line="360" w:lineRule="auto"/>
        <w:jc w:val="center"/>
        <w:outlineLvl w:val="0"/>
        <w:rPr>
          <w:rFonts w:hAnsi="宋体" w:eastAsia="宋体" w:cs="宋体"/>
          <w:b/>
          <w:bCs/>
          <w:color w:val="auto"/>
          <w:sz w:val="28"/>
          <w:szCs w:val="28"/>
          <w:highlight w:val="none"/>
        </w:rPr>
      </w:pPr>
      <w:bookmarkStart w:id="228" w:name="_Toc518"/>
      <w:r>
        <w:rPr>
          <w:rFonts w:ascii="JALHGD+ËÎÌå" w:hAnsi="JALHGD+ËÎÌå" w:cs="JALHGD+ËÎÌå"/>
          <w:b/>
          <w:bCs/>
          <w:color w:val="auto"/>
          <w:spacing w:val="2"/>
          <w:sz w:val="32"/>
          <w:szCs w:val="22"/>
          <w:highlight w:val="none"/>
        </w:rPr>
        <w:t>第五章</w:t>
      </w:r>
      <w:r>
        <w:rPr>
          <w:rFonts w:hAnsi="Calibri"/>
          <w:b/>
          <w:bCs/>
          <w:color w:val="auto"/>
          <w:spacing w:val="78"/>
          <w:sz w:val="32"/>
          <w:szCs w:val="22"/>
          <w:highlight w:val="none"/>
        </w:rPr>
        <w:t xml:space="preserve"> </w:t>
      </w:r>
      <w:r>
        <w:rPr>
          <w:rFonts w:ascii="JALHGD+ËÎÌå" w:hAnsi="JALHGD+ËÎÌå" w:cs="JALHGD+ËÎÌå"/>
          <w:b/>
          <w:bCs/>
          <w:color w:val="auto"/>
          <w:spacing w:val="2"/>
          <w:sz w:val="32"/>
          <w:szCs w:val="22"/>
          <w:highlight w:val="none"/>
        </w:rPr>
        <w:t>综合评审方法</w:t>
      </w:r>
      <w:bookmarkEnd w:id="228"/>
    </w:p>
    <w:tbl>
      <w:tblPr>
        <w:tblStyle w:val="26"/>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98"/>
        <w:gridCol w:w="958"/>
        <w:gridCol w:w="7058"/>
      </w:tblGrid>
      <w:tr w14:paraId="166C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09" w:type="dxa"/>
            <w:noWrap w:val="0"/>
            <w:vAlign w:val="center"/>
          </w:tcPr>
          <w:p w14:paraId="3EF0EB5B">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序号</w:t>
            </w:r>
          </w:p>
        </w:tc>
        <w:tc>
          <w:tcPr>
            <w:tcW w:w="1198" w:type="dxa"/>
            <w:noWrap w:val="0"/>
            <w:vAlign w:val="center"/>
          </w:tcPr>
          <w:p w14:paraId="168D3D2E">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评分因素</w:t>
            </w:r>
          </w:p>
        </w:tc>
        <w:tc>
          <w:tcPr>
            <w:tcW w:w="958" w:type="dxa"/>
            <w:noWrap w:val="0"/>
            <w:vAlign w:val="center"/>
          </w:tcPr>
          <w:p w14:paraId="2ACB40D0">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标准分</w:t>
            </w:r>
          </w:p>
        </w:tc>
        <w:tc>
          <w:tcPr>
            <w:tcW w:w="7058" w:type="dxa"/>
            <w:noWrap w:val="0"/>
            <w:vAlign w:val="center"/>
          </w:tcPr>
          <w:p w14:paraId="54E84959">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评分细则</w:t>
            </w:r>
          </w:p>
        </w:tc>
      </w:tr>
      <w:tr w14:paraId="2C0E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923" w:type="dxa"/>
            <w:gridSpan w:val="4"/>
            <w:noWrap w:val="0"/>
            <w:vAlign w:val="center"/>
          </w:tcPr>
          <w:p w14:paraId="74AC1D73">
            <w:pPr>
              <w:jc w:val="center"/>
              <w:rPr>
                <w:rFonts w:ascii="仿宋" w:hAnsi="仿宋" w:eastAsia="仿宋"/>
                <w:color w:val="auto"/>
                <w:sz w:val="24"/>
                <w:szCs w:val="24"/>
                <w:highlight w:val="none"/>
              </w:rPr>
            </w:pPr>
            <w:r>
              <w:rPr>
                <w:rFonts w:hint="eastAsia" w:ascii="仿宋" w:hAnsi="仿宋" w:eastAsia="仿宋"/>
                <w:b/>
                <w:color w:val="auto"/>
                <w:sz w:val="24"/>
                <w:szCs w:val="24"/>
                <w:highlight w:val="none"/>
              </w:rPr>
              <w:t>一、价格部分（</w:t>
            </w:r>
            <w:r>
              <w:rPr>
                <w:rFonts w:hint="eastAsia" w:ascii="仿宋" w:hAnsi="仿宋" w:eastAsia="仿宋"/>
                <w:b/>
                <w:color w:val="auto"/>
                <w:sz w:val="24"/>
                <w:szCs w:val="24"/>
                <w:highlight w:val="none"/>
                <w:lang w:val="en-US" w:eastAsia="zh-CN"/>
              </w:rPr>
              <w:t>10</w:t>
            </w:r>
            <w:r>
              <w:rPr>
                <w:rFonts w:hint="eastAsia" w:ascii="仿宋" w:hAnsi="仿宋" w:eastAsia="仿宋"/>
                <w:b/>
                <w:color w:val="auto"/>
                <w:sz w:val="24"/>
                <w:szCs w:val="24"/>
                <w:highlight w:val="none"/>
              </w:rPr>
              <w:t>分）</w:t>
            </w:r>
          </w:p>
        </w:tc>
      </w:tr>
      <w:tr w14:paraId="7EC6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2D7B8D0">
            <w:pPr>
              <w:widowControl/>
              <w:jc w:val="both"/>
              <w:rPr>
                <w:rFonts w:ascii="仿宋" w:hAnsi="仿宋" w:eastAsia="仿宋"/>
                <w:color w:val="auto"/>
                <w:kern w:val="0"/>
                <w:sz w:val="24"/>
                <w:szCs w:val="24"/>
                <w:highlight w:val="none"/>
              </w:rPr>
            </w:pPr>
            <w:r>
              <w:rPr>
                <w:rFonts w:hint="eastAsia" w:ascii="仿宋" w:hAnsi="仿宋" w:eastAsia="仿宋"/>
                <w:color w:val="auto"/>
                <w:kern w:val="0"/>
                <w:sz w:val="24"/>
                <w:szCs w:val="24"/>
                <w:highlight w:val="none"/>
              </w:rPr>
              <w:t>1</w:t>
            </w:r>
          </w:p>
        </w:tc>
        <w:tc>
          <w:tcPr>
            <w:tcW w:w="1198" w:type="dxa"/>
            <w:noWrap w:val="0"/>
            <w:vAlign w:val="center"/>
          </w:tcPr>
          <w:p w14:paraId="2A40F356">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磋商报价</w:t>
            </w:r>
          </w:p>
        </w:tc>
        <w:tc>
          <w:tcPr>
            <w:tcW w:w="958" w:type="dxa"/>
            <w:noWrap w:val="0"/>
            <w:vAlign w:val="center"/>
          </w:tcPr>
          <w:p w14:paraId="25CD37B5">
            <w:pPr>
              <w:adjustRightInd w:val="0"/>
              <w:snapToGrid w:val="0"/>
              <w:spacing w:line="276" w:lineRule="auto"/>
              <w:jc w:val="center"/>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10</w:t>
            </w:r>
            <w:r>
              <w:rPr>
                <w:rFonts w:hint="eastAsia" w:ascii="仿宋" w:hAnsi="仿宋" w:eastAsia="仿宋" w:cs="Times New Roman"/>
                <w:color w:val="auto"/>
                <w:sz w:val="24"/>
                <w:szCs w:val="24"/>
                <w:highlight w:val="none"/>
              </w:rPr>
              <w:t>分</w:t>
            </w:r>
          </w:p>
        </w:tc>
        <w:tc>
          <w:tcPr>
            <w:tcW w:w="7058" w:type="dxa"/>
            <w:noWrap w:val="0"/>
            <w:vAlign w:val="center"/>
          </w:tcPr>
          <w:p w14:paraId="6274C15B">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采用低价优先法计算，即满足</w:t>
            </w:r>
            <w:r>
              <w:rPr>
                <w:rFonts w:hint="eastAsia" w:ascii="仿宋" w:hAnsi="仿宋" w:eastAsia="仿宋" w:cs="Times New Roman"/>
                <w:color w:val="auto"/>
                <w:sz w:val="24"/>
                <w:szCs w:val="24"/>
                <w:highlight w:val="none"/>
                <w:lang w:eastAsia="zh-CN"/>
              </w:rPr>
              <w:t>竞争性磋商文件</w:t>
            </w:r>
            <w:r>
              <w:rPr>
                <w:rFonts w:hint="eastAsia" w:ascii="仿宋" w:hAnsi="仿宋" w:eastAsia="仿宋" w:cs="Times New Roman"/>
                <w:color w:val="auto"/>
                <w:sz w:val="24"/>
                <w:szCs w:val="24"/>
                <w:highlight w:val="none"/>
              </w:rPr>
              <w:t>要求且最后报价最低的价格为磋商基准价，其价格分为满分。</w:t>
            </w:r>
          </w:p>
          <w:p w14:paraId="71D5DBC3">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其他供应商的价格分统一按照下列公式计算：</w:t>
            </w:r>
          </w:p>
          <w:p w14:paraId="7AD14C48">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磋商报价得分=（磋商基准价／最后磋商报价）×价格权值×100（小数点保留两位）。</w:t>
            </w:r>
          </w:p>
        </w:tc>
      </w:tr>
      <w:tr w14:paraId="06C3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923" w:type="dxa"/>
            <w:gridSpan w:val="4"/>
            <w:noWrap w:val="0"/>
            <w:vAlign w:val="center"/>
          </w:tcPr>
          <w:p w14:paraId="1247A080">
            <w:pPr>
              <w:adjustRightInd w:val="0"/>
              <w:snapToGrid w:val="0"/>
              <w:jc w:val="center"/>
              <w:rPr>
                <w:rFonts w:ascii="仿宋" w:hAnsi="仿宋" w:eastAsia="仿宋"/>
                <w:color w:val="auto"/>
                <w:sz w:val="24"/>
                <w:szCs w:val="24"/>
                <w:highlight w:val="none"/>
              </w:rPr>
            </w:pPr>
            <w:r>
              <w:rPr>
                <w:rFonts w:hint="eastAsia" w:ascii="仿宋" w:hAnsi="仿宋" w:eastAsia="仿宋"/>
                <w:b/>
                <w:color w:val="auto"/>
                <w:sz w:val="24"/>
                <w:szCs w:val="24"/>
                <w:highlight w:val="none"/>
              </w:rPr>
              <w:t>二、商务部分（</w:t>
            </w:r>
            <w:r>
              <w:rPr>
                <w:rFonts w:hint="eastAsia" w:ascii="仿宋" w:hAnsi="仿宋" w:eastAsia="仿宋"/>
                <w:b/>
                <w:color w:val="auto"/>
                <w:sz w:val="24"/>
                <w:szCs w:val="24"/>
                <w:highlight w:val="none"/>
                <w:lang w:val="en-US" w:eastAsia="zh-CN"/>
              </w:rPr>
              <w:t>24</w:t>
            </w:r>
            <w:r>
              <w:rPr>
                <w:rFonts w:hint="eastAsia" w:ascii="仿宋" w:hAnsi="仿宋" w:eastAsia="仿宋"/>
                <w:b/>
                <w:color w:val="auto"/>
                <w:sz w:val="24"/>
                <w:szCs w:val="24"/>
                <w:highlight w:val="none"/>
              </w:rPr>
              <w:t>分）</w:t>
            </w:r>
          </w:p>
        </w:tc>
      </w:tr>
      <w:tr w14:paraId="7AC2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709" w:type="dxa"/>
            <w:noWrap w:val="0"/>
            <w:vAlign w:val="center"/>
          </w:tcPr>
          <w:p w14:paraId="47B47E58">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w:t>
            </w:r>
          </w:p>
        </w:tc>
        <w:tc>
          <w:tcPr>
            <w:tcW w:w="1198" w:type="dxa"/>
            <w:noWrap w:val="0"/>
            <w:vAlign w:val="center"/>
          </w:tcPr>
          <w:p w14:paraId="166BA8EE">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供应商</w:t>
            </w:r>
            <w:r>
              <w:rPr>
                <w:rFonts w:hint="eastAsia" w:ascii="仿宋" w:hAnsi="仿宋" w:eastAsia="仿宋" w:cs="Times New Roman"/>
                <w:color w:val="auto"/>
                <w:sz w:val="24"/>
                <w:szCs w:val="24"/>
                <w:highlight w:val="none"/>
              </w:rPr>
              <w:t>近三年类似业绩</w:t>
            </w:r>
          </w:p>
        </w:tc>
        <w:tc>
          <w:tcPr>
            <w:tcW w:w="958" w:type="dxa"/>
            <w:noWrap w:val="0"/>
            <w:vAlign w:val="center"/>
          </w:tcPr>
          <w:p w14:paraId="73E5288A">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4分</w:t>
            </w:r>
          </w:p>
        </w:tc>
        <w:tc>
          <w:tcPr>
            <w:tcW w:w="7058" w:type="dxa"/>
            <w:noWrap w:val="0"/>
            <w:vAlign w:val="center"/>
          </w:tcPr>
          <w:p w14:paraId="5DD3A0B8">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供应商近三年(2022年1月1日-至今)完成的类似业绩，一项计1分，</w:t>
            </w:r>
            <w:r>
              <w:rPr>
                <w:rFonts w:hint="eastAsia" w:ascii="仿宋" w:hAnsi="仿宋" w:eastAsia="仿宋" w:cs="Times New Roman"/>
                <w:color w:val="auto"/>
                <w:sz w:val="24"/>
                <w:szCs w:val="24"/>
                <w:highlight w:val="none"/>
                <w:lang w:eastAsia="zh-CN"/>
              </w:rPr>
              <w:t>满分</w:t>
            </w:r>
            <w:r>
              <w:rPr>
                <w:rFonts w:hint="eastAsia" w:ascii="仿宋" w:hAnsi="仿宋" w:eastAsia="仿宋" w:cs="Times New Roman"/>
                <w:color w:val="auto"/>
                <w:sz w:val="24"/>
                <w:szCs w:val="24"/>
                <w:highlight w:val="none"/>
                <w:lang w:val="en-US" w:eastAsia="zh-CN"/>
              </w:rPr>
              <w:t>4分。(须提供中标通知书及监理合同)</w:t>
            </w:r>
          </w:p>
        </w:tc>
      </w:tr>
      <w:tr w14:paraId="774B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09" w:type="dxa"/>
            <w:noWrap w:val="0"/>
            <w:vAlign w:val="center"/>
          </w:tcPr>
          <w:p w14:paraId="3BC593EB">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3</w:t>
            </w:r>
          </w:p>
        </w:tc>
        <w:tc>
          <w:tcPr>
            <w:tcW w:w="1198" w:type="dxa"/>
            <w:noWrap w:val="0"/>
            <w:vAlign w:val="center"/>
          </w:tcPr>
          <w:p w14:paraId="205E281A">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项目总监</w:t>
            </w:r>
            <w:r>
              <w:rPr>
                <w:rFonts w:hint="eastAsia" w:ascii="仿宋" w:hAnsi="仿宋" w:eastAsia="仿宋" w:cs="Times New Roman"/>
                <w:color w:val="auto"/>
                <w:sz w:val="24"/>
                <w:szCs w:val="24"/>
                <w:highlight w:val="none"/>
              </w:rPr>
              <w:t>近三年类似业绩</w:t>
            </w:r>
          </w:p>
        </w:tc>
        <w:tc>
          <w:tcPr>
            <w:tcW w:w="958" w:type="dxa"/>
            <w:noWrap w:val="0"/>
            <w:vAlign w:val="center"/>
          </w:tcPr>
          <w:p w14:paraId="74BE566A">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4分</w:t>
            </w:r>
          </w:p>
        </w:tc>
        <w:tc>
          <w:tcPr>
            <w:tcW w:w="7058" w:type="dxa"/>
            <w:noWrap w:val="0"/>
            <w:vAlign w:val="center"/>
          </w:tcPr>
          <w:p w14:paraId="4E4B3AB9">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项目总监</w:t>
            </w:r>
            <w:r>
              <w:rPr>
                <w:rFonts w:hint="eastAsia" w:ascii="仿宋" w:hAnsi="仿宋" w:eastAsia="仿宋" w:cs="Times New Roman"/>
                <w:color w:val="auto"/>
                <w:sz w:val="24"/>
                <w:szCs w:val="24"/>
                <w:highlight w:val="none"/>
              </w:rPr>
              <w:t>近三年(202</w:t>
            </w:r>
            <w:r>
              <w:rPr>
                <w:rFonts w:hint="eastAsia" w:ascii="仿宋" w:hAnsi="仿宋" w:eastAsia="仿宋" w:cs="Times New Roman"/>
                <w:color w:val="auto"/>
                <w:sz w:val="24"/>
                <w:szCs w:val="24"/>
                <w:highlight w:val="none"/>
                <w:lang w:val="en-US" w:eastAsia="zh-CN"/>
              </w:rPr>
              <w:t>2</w:t>
            </w:r>
            <w:r>
              <w:rPr>
                <w:rFonts w:hint="eastAsia" w:ascii="仿宋" w:hAnsi="仿宋" w:eastAsia="仿宋" w:cs="Times New Roman"/>
                <w:color w:val="auto"/>
                <w:sz w:val="24"/>
                <w:szCs w:val="24"/>
                <w:highlight w:val="none"/>
              </w:rPr>
              <w:t>年1月1日-至今)完成的类似业绩，一项计</w:t>
            </w:r>
            <w:r>
              <w:rPr>
                <w:rFonts w:hint="eastAsia" w:ascii="仿宋" w:hAnsi="仿宋" w:eastAsia="仿宋" w:cs="Times New Roman"/>
                <w:color w:val="auto"/>
                <w:sz w:val="24"/>
                <w:szCs w:val="24"/>
                <w:highlight w:val="none"/>
                <w:lang w:val="en-US" w:eastAsia="zh-CN"/>
              </w:rPr>
              <w:t>2</w:t>
            </w:r>
            <w:r>
              <w:rPr>
                <w:rFonts w:hint="eastAsia" w:ascii="仿宋" w:hAnsi="仿宋" w:eastAsia="仿宋" w:cs="Times New Roman"/>
                <w:color w:val="auto"/>
                <w:sz w:val="24"/>
                <w:szCs w:val="24"/>
                <w:highlight w:val="none"/>
              </w:rPr>
              <w:t>分，</w:t>
            </w:r>
            <w:r>
              <w:rPr>
                <w:rFonts w:hint="eastAsia" w:ascii="仿宋" w:hAnsi="仿宋" w:eastAsia="仿宋" w:cs="Times New Roman"/>
                <w:color w:val="auto"/>
                <w:sz w:val="24"/>
                <w:szCs w:val="24"/>
                <w:highlight w:val="none"/>
                <w:lang w:eastAsia="zh-CN"/>
              </w:rPr>
              <w:t>满分</w:t>
            </w:r>
            <w:r>
              <w:rPr>
                <w:rFonts w:hint="eastAsia" w:ascii="仿宋" w:hAnsi="仿宋" w:eastAsia="仿宋" w:cs="Times New Roman"/>
                <w:color w:val="auto"/>
                <w:sz w:val="24"/>
                <w:szCs w:val="24"/>
                <w:highlight w:val="none"/>
                <w:lang w:val="en-US" w:eastAsia="zh-CN"/>
              </w:rPr>
              <w:t>4分。</w:t>
            </w:r>
            <w:r>
              <w:rPr>
                <w:rFonts w:hint="eastAsia" w:ascii="仿宋" w:hAnsi="仿宋" w:eastAsia="仿宋" w:cs="Times New Roman"/>
                <w:color w:val="auto"/>
                <w:sz w:val="24"/>
                <w:szCs w:val="24"/>
                <w:highlight w:val="none"/>
              </w:rPr>
              <w:t>(须提供</w:t>
            </w:r>
            <w:r>
              <w:rPr>
                <w:rFonts w:hint="eastAsia" w:ascii="仿宋" w:hAnsi="仿宋" w:eastAsia="仿宋" w:cs="Times New Roman"/>
                <w:color w:val="auto"/>
                <w:sz w:val="24"/>
                <w:szCs w:val="24"/>
                <w:highlight w:val="none"/>
                <w:lang w:val="en-US" w:eastAsia="zh-CN"/>
              </w:rPr>
              <w:t>中标通知书及监理合同</w:t>
            </w:r>
            <w:r>
              <w:rPr>
                <w:rFonts w:hint="eastAsia" w:ascii="仿宋" w:hAnsi="仿宋" w:eastAsia="仿宋" w:cs="Times New Roman"/>
                <w:color w:val="auto"/>
                <w:sz w:val="24"/>
                <w:szCs w:val="24"/>
                <w:highlight w:val="none"/>
                <w:lang w:eastAsia="zh-CN"/>
              </w:rPr>
              <w:t>，业绩证明材料须反映项目总监</w:t>
            </w:r>
            <w:r>
              <w:rPr>
                <w:rFonts w:hint="eastAsia" w:ascii="仿宋" w:hAnsi="仿宋" w:eastAsia="仿宋" w:cs="Times New Roman"/>
                <w:color w:val="auto"/>
                <w:sz w:val="24"/>
                <w:szCs w:val="24"/>
                <w:highlight w:val="none"/>
              </w:rPr>
              <w:t>)</w:t>
            </w:r>
          </w:p>
        </w:tc>
      </w:tr>
      <w:tr w14:paraId="7C20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trPr>
        <w:tc>
          <w:tcPr>
            <w:tcW w:w="709" w:type="dxa"/>
            <w:noWrap w:val="0"/>
            <w:vAlign w:val="center"/>
          </w:tcPr>
          <w:p w14:paraId="1E3EBBFB">
            <w:pPr>
              <w:adjustRightInd w:val="0"/>
              <w:snapToGrid w:val="0"/>
              <w:spacing w:line="276" w:lineRule="auto"/>
              <w:rPr>
                <w:rFonts w:hint="eastAsia" w:ascii="仿宋" w:hAnsi="仿宋" w:eastAsia="仿宋" w:cs="Times New Roman"/>
                <w:color w:val="auto"/>
                <w:sz w:val="24"/>
                <w:szCs w:val="24"/>
                <w:highlight w:val="none"/>
                <w:lang w:eastAsia="zh-CN"/>
              </w:rPr>
            </w:pPr>
            <w:r>
              <w:rPr>
                <w:rFonts w:hint="eastAsia" w:ascii="仿宋" w:hAnsi="仿宋" w:eastAsia="仿宋" w:cs="Times New Roman"/>
                <w:color w:val="auto"/>
                <w:sz w:val="24"/>
                <w:szCs w:val="24"/>
                <w:highlight w:val="none"/>
                <w:lang w:val="en-US" w:eastAsia="zh-CN"/>
              </w:rPr>
              <w:t>4</w:t>
            </w:r>
          </w:p>
        </w:tc>
        <w:tc>
          <w:tcPr>
            <w:tcW w:w="1198" w:type="dxa"/>
            <w:noWrap w:val="0"/>
            <w:vAlign w:val="center"/>
          </w:tcPr>
          <w:p w14:paraId="065DE4DD">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拟派人员</w:t>
            </w:r>
          </w:p>
        </w:tc>
        <w:tc>
          <w:tcPr>
            <w:tcW w:w="958" w:type="dxa"/>
            <w:noWrap w:val="0"/>
            <w:vAlign w:val="center"/>
          </w:tcPr>
          <w:p w14:paraId="6AD786A0">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12分</w:t>
            </w:r>
          </w:p>
        </w:tc>
        <w:tc>
          <w:tcPr>
            <w:tcW w:w="7058" w:type="dxa"/>
            <w:noWrap w:val="0"/>
            <w:vAlign w:val="center"/>
          </w:tcPr>
          <w:p w14:paraId="5A02D7F6">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（1）项目总监具有相关专业中级及以上职称得2分，初级职称得1分。满分2分</w:t>
            </w:r>
          </w:p>
          <w:p w14:paraId="151558D1">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（2）其它监理人员具有相关专业中级及以上职称得2分，初级职称得1分；最多计5人。满分10分</w:t>
            </w:r>
          </w:p>
          <w:p w14:paraId="5BE310CA">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注：需提供上述人员身份证、职称证。</w:t>
            </w:r>
          </w:p>
        </w:tc>
      </w:tr>
      <w:tr w14:paraId="6F20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09" w:type="dxa"/>
            <w:noWrap w:val="0"/>
            <w:vAlign w:val="center"/>
          </w:tcPr>
          <w:p w14:paraId="48821E8F">
            <w:pPr>
              <w:adjustRightInd w:val="0"/>
              <w:snapToGrid w:val="0"/>
              <w:spacing w:line="276" w:lineRule="auto"/>
              <w:rPr>
                <w:rFonts w:hint="eastAsia" w:ascii="仿宋" w:hAnsi="仿宋" w:eastAsia="仿宋" w:cs="Times New Roman"/>
                <w:color w:val="auto"/>
                <w:sz w:val="24"/>
                <w:szCs w:val="24"/>
                <w:highlight w:val="none"/>
                <w:lang w:eastAsia="zh-CN"/>
              </w:rPr>
            </w:pPr>
            <w:r>
              <w:rPr>
                <w:rFonts w:hint="eastAsia" w:ascii="仿宋" w:hAnsi="仿宋" w:eastAsia="仿宋" w:cs="Times New Roman"/>
                <w:color w:val="auto"/>
                <w:sz w:val="24"/>
                <w:szCs w:val="24"/>
                <w:highlight w:val="none"/>
                <w:lang w:val="en-US" w:eastAsia="zh-CN"/>
              </w:rPr>
              <w:t>5</w:t>
            </w:r>
          </w:p>
        </w:tc>
        <w:tc>
          <w:tcPr>
            <w:tcW w:w="1198" w:type="dxa"/>
            <w:noWrap w:val="0"/>
            <w:vAlign w:val="center"/>
          </w:tcPr>
          <w:p w14:paraId="68C58306">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服务</w:t>
            </w:r>
            <w:r>
              <w:rPr>
                <w:rFonts w:hint="eastAsia" w:ascii="仿宋" w:hAnsi="仿宋" w:eastAsia="仿宋" w:cs="Times New Roman"/>
                <w:color w:val="auto"/>
                <w:sz w:val="24"/>
                <w:szCs w:val="24"/>
                <w:highlight w:val="none"/>
                <w:lang w:val="en-US" w:eastAsia="zh-CN"/>
              </w:rPr>
              <w:t>保障措施</w:t>
            </w:r>
          </w:p>
        </w:tc>
        <w:tc>
          <w:tcPr>
            <w:tcW w:w="958" w:type="dxa"/>
            <w:noWrap w:val="0"/>
            <w:vAlign w:val="center"/>
          </w:tcPr>
          <w:p w14:paraId="17EF0530">
            <w:pPr>
              <w:adjustRightInd w:val="0"/>
              <w:snapToGrid w:val="0"/>
              <w:spacing w:line="276" w:lineRule="auto"/>
              <w:ind w:firstLine="240" w:firstLineChars="10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4分</w:t>
            </w:r>
          </w:p>
        </w:tc>
        <w:tc>
          <w:tcPr>
            <w:tcW w:w="7058" w:type="dxa"/>
            <w:noWrap w:val="0"/>
            <w:vAlign w:val="center"/>
          </w:tcPr>
          <w:p w14:paraId="74A1F99D">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针对该项目提供</w:t>
            </w:r>
            <w:r>
              <w:rPr>
                <w:rFonts w:hint="eastAsia" w:ascii="仿宋" w:hAnsi="仿宋" w:eastAsia="仿宋" w:cs="Times New Roman"/>
                <w:color w:val="auto"/>
                <w:sz w:val="24"/>
                <w:szCs w:val="24"/>
                <w:highlight w:val="none"/>
                <w:lang w:val="en-US" w:eastAsia="zh-CN"/>
              </w:rPr>
              <w:t>①</w:t>
            </w:r>
            <w:r>
              <w:rPr>
                <w:rFonts w:hint="eastAsia" w:ascii="仿宋" w:hAnsi="仿宋" w:eastAsia="仿宋" w:cs="Times New Roman"/>
                <w:color w:val="auto"/>
                <w:sz w:val="24"/>
                <w:szCs w:val="24"/>
                <w:highlight w:val="none"/>
              </w:rPr>
              <w:t>监理服务计划内容、</w:t>
            </w:r>
            <w:r>
              <w:rPr>
                <w:rFonts w:hint="eastAsia" w:ascii="仿宋" w:hAnsi="仿宋" w:eastAsia="仿宋" w:cs="Times New Roman"/>
                <w:color w:val="auto"/>
                <w:sz w:val="24"/>
                <w:szCs w:val="24"/>
                <w:highlight w:val="none"/>
                <w:lang w:val="en-US" w:eastAsia="zh-CN"/>
              </w:rPr>
              <w:t>②</w:t>
            </w:r>
            <w:r>
              <w:rPr>
                <w:rFonts w:hint="eastAsia" w:ascii="仿宋" w:hAnsi="仿宋" w:eastAsia="仿宋" w:cs="Times New Roman"/>
                <w:color w:val="auto"/>
                <w:sz w:val="24"/>
                <w:szCs w:val="24"/>
                <w:highlight w:val="none"/>
              </w:rPr>
              <w:t>服务保证措施、</w:t>
            </w:r>
            <w:r>
              <w:rPr>
                <w:rFonts w:hint="eastAsia" w:ascii="仿宋" w:hAnsi="仿宋" w:eastAsia="仿宋" w:cs="Times New Roman"/>
                <w:color w:val="auto"/>
                <w:sz w:val="24"/>
                <w:szCs w:val="24"/>
                <w:highlight w:val="none"/>
                <w:lang w:val="en-US" w:eastAsia="zh-CN"/>
              </w:rPr>
              <w:t>③</w:t>
            </w:r>
            <w:r>
              <w:rPr>
                <w:rFonts w:hint="eastAsia" w:ascii="仿宋" w:hAnsi="仿宋" w:eastAsia="仿宋" w:cs="Times New Roman"/>
                <w:color w:val="auto"/>
                <w:sz w:val="24"/>
                <w:szCs w:val="24"/>
                <w:highlight w:val="none"/>
              </w:rPr>
              <w:t>人员配备、</w:t>
            </w:r>
            <w:r>
              <w:rPr>
                <w:rFonts w:hint="eastAsia" w:ascii="仿宋" w:hAnsi="仿宋" w:eastAsia="仿宋" w:cs="Times New Roman"/>
                <w:color w:val="auto"/>
                <w:sz w:val="24"/>
                <w:szCs w:val="24"/>
                <w:highlight w:val="none"/>
                <w:lang w:val="en-US" w:eastAsia="zh-CN"/>
              </w:rPr>
              <w:t>④</w:t>
            </w:r>
            <w:r>
              <w:rPr>
                <w:rFonts w:hint="eastAsia" w:ascii="仿宋" w:hAnsi="仿宋" w:eastAsia="仿宋" w:cs="Times New Roman"/>
                <w:color w:val="auto"/>
                <w:sz w:val="24"/>
                <w:szCs w:val="24"/>
                <w:highlight w:val="none"/>
              </w:rPr>
              <w:t>应急管理措施等相关承诺或证明。结合项目实际每</w:t>
            </w:r>
            <w:r>
              <w:rPr>
                <w:rFonts w:hint="eastAsia" w:ascii="仿宋" w:hAnsi="仿宋" w:eastAsia="仿宋" w:cs="Times New Roman"/>
                <w:color w:val="auto"/>
                <w:sz w:val="24"/>
                <w:szCs w:val="24"/>
                <w:highlight w:val="none"/>
                <w:lang w:val="en-US" w:eastAsia="zh-CN"/>
              </w:rPr>
              <w:t>项</w:t>
            </w:r>
            <w:r>
              <w:rPr>
                <w:rFonts w:hint="eastAsia" w:ascii="仿宋" w:hAnsi="仿宋" w:eastAsia="仿宋" w:cs="Times New Roman"/>
                <w:color w:val="auto"/>
                <w:sz w:val="24"/>
                <w:szCs w:val="24"/>
                <w:highlight w:val="none"/>
              </w:rPr>
              <w:t>内容清晰、完整、符合项目实际要求1项内容得1分，共计</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分；承诺内容不够清晰完整或未提供不得分。</w:t>
            </w:r>
          </w:p>
        </w:tc>
      </w:tr>
      <w:tr w14:paraId="642A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923" w:type="dxa"/>
            <w:gridSpan w:val="4"/>
            <w:noWrap w:val="0"/>
            <w:vAlign w:val="center"/>
          </w:tcPr>
          <w:p w14:paraId="434CADFC">
            <w:pPr>
              <w:adjustRightInd w:val="0"/>
              <w:snapToGrid w:val="0"/>
              <w:spacing w:line="276" w:lineRule="auto"/>
              <w:jc w:val="center"/>
              <w:rPr>
                <w:rFonts w:hint="eastAsia" w:ascii="仿宋" w:hAnsi="仿宋" w:eastAsia="仿宋" w:cs="Times New Roman"/>
                <w:color w:val="auto"/>
                <w:sz w:val="24"/>
                <w:szCs w:val="24"/>
                <w:highlight w:val="none"/>
              </w:rPr>
            </w:pPr>
            <w:r>
              <w:rPr>
                <w:rFonts w:hint="eastAsia" w:ascii="仿宋" w:hAnsi="仿宋" w:eastAsia="仿宋" w:cs="Times New Roman"/>
                <w:b/>
                <w:color w:val="auto"/>
                <w:sz w:val="24"/>
                <w:szCs w:val="24"/>
                <w:highlight w:val="none"/>
              </w:rPr>
              <w:t>三、技术部分（</w:t>
            </w:r>
            <w:r>
              <w:rPr>
                <w:rFonts w:hint="eastAsia" w:ascii="仿宋" w:hAnsi="仿宋" w:eastAsia="仿宋" w:cs="Times New Roman"/>
                <w:b/>
                <w:color w:val="auto"/>
                <w:sz w:val="24"/>
                <w:szCs w:val="24"/>
                <w:highlight w:val="none"/>
                <w:lang w:val="en-US" w:eastAsia="zh-CN"/>
              </w:rPr>
              <w:t>66</w:t>
            </w:r>
            <w:r>
              <w:rPr>
                <w:rFonts w:hint="eastAsia" w:ascii="仿宋" w:hAnsi="仿宋" w:eastAsia="仿宋" w:cs="Times New Roman"/>
                <w:b/>
                <w:color w:val="auto"/>
                <w:sz w:val="24"/>
                <w:szCs w:val="24"/>
                <w:highlight w:val="none"/>
              </w:rPr>
              <w:t>分）</w:t>
            </w:r>
          </w:p>
        </w:tc>
      </w:tr>
      <w:tr w14:paraId="6011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noWrap w:val="0"/>
            <w:vAlign w:val="center"/>
          </w:tcPr>
          <w:p w14:paraId="1F26DEAF">
            <w:pPr>
              <w:adjustRightInd w:val="0"/>
              <w:snapToGrid w:val="0"/>
              <w:spacing w:line="276" w:lineRule="auto"/>
              <w:rPr>
                <w:rFonts w:hint="eastAsia" w:ascii="仿宋" w:hAnsi="仿宋" w:eastAsia="仿宋" w:cs="Times New Roman"/>
                <w:color w:val="auto"/>
                <w:sz w:val="24"/>
                <w:szCs w:val="24"/>
                <w:highlight w:val="none"/>
                <w:lang w:eastAsia="zh-CN"/>
              </w:rPr>
            </w:pPr>
            <w:r>
              <w:rPr>
                <w:rFonts w:hint="eastAsia" w:ascii="仿宋" w:hAnsi="仿宋" w:eastAsia="仿宋" w:cs="Times New Roman"/>
                <w:color w:val="auto"/>
                <w:sz w:val="24"/>
                <w:szCs w:val="24"/>
                <w:highlight w:val="none"/>
                <w:lang w:val="en-US" w:eastAsia="zh-CN"/>
              </w:rPr>
              <w:t>6</w:t>
            </w:r>
          </w:p>
        </w:tc>
        <w:tc>
          <w:tcPr>
            <w:tcW w:w="1198" w:type="dxa"/>
            <w:shd w:val="clear" w:color="auto" w:fill="auto"/>
            <w:noWrap w:val="0"/>
            <w:vAlign w:val="center"/>
          </w:tcPr>
          <w:p w14:paraId="1FBF36AB">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投资控制</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76580470">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12分</w:t>
            </w:r>
          </w:p>
        </w:tc>
        <w:tc>
          <w:tcPr>
            <w:tcW w:w="7058" w:type="dxa"/>
            <w:shd w:val="clear" w:color="auto" w:fill="auto"/>
            <w:noWrap w:val="0"/>
            <w:vAlign w:val="center"/>
          </w:tcPr>
          <w:p w14:paraId="7A38D815">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投资控制</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①投资控制目标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②投资控制要点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③投资控制措施。</w:t>
            </w:r>
          </w:p>
          <w:p w14:paraId="6D7CD455">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12</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w:t>
            </w:r>
          </w:p>
        </w:tc>
      </w:tr>
      <w:tr w14:paraId="7DCB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9" w:type="dxa"/>
            <w:noWrap w:val="0"/>
            <w:vAlign w:val="center"/>
          </w:tcPr>
          <w:p w14:paraId="6D499192">
            <w:pPr>
              <w:adjustRightInd w:val="0"/>
              <w:snapToGrid w:val="0"/>
              <w:spacing w:line="276" w:lineRule="auto"/>
              <w:rPr>
                <w:rFonts w:hint="eastAsia" w:ascii="仿宋" w:hAnsi="仿宋" w:eastAsia="仿宋" w:cs="Times New Roman"/>
                <w:color w:val="auto"/>
                <w:sz w:val="24"/>
                <w:szCs w:val="24"/>
                <w:highlight w:val="none"/>
                <w:lang w:eastAsia="zh-CN"/>
              </w:rPr>
            </w:pPr>
            <w:r>
              <w:rPr>
                <w:rFonts w:hint="eastAsia" w:ascii="仿宋" w:hAnsi="仿宋" w:eastAsia="仿宋" w:cs="Times New Roman"/>
                <w:color w:val="auto"/>
                <w:sz w:val="24"/>
                <w:szCs w:val="24"/>
                <w:highlight w:val="none"/>
                <w:lang w:val="en-US" w:eastAsia="zh-CN"/>
              </w:rPr>
              <w:t>7</w:t>
            </w:r>
          </w:p>
        </w:tc>
        <w:tc>
          <w:tcPr>
            <w:tcW w:w="1198" w:type="dxa"/>
            <w:shd w:val="clear" w:color="auto" w:fill="auto"/>
            <w:noWrap w:val="0"/>
            <w:vAlign w:val="center"/>
          </w:tcPr>
          <w:p w14:paraId="70F7A1DE">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进度</w:t>
            </w:r>
            <w:r>
              <w:rPr>
                <w:rFonts w:hint="eastAsia" w:ascii="仿宋" w:hAnsi="仿宋" w:eastAsia="仿宋" w:cs="Times New Roman"/>
                <w:color w:val="auto"/>
                <w:sz w:val="24"/>
                <w:szCs w:val="24"/>
                <w:highlight w:val="none"/>
              </w:rPr>
              <w:t>控制</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270468DC">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9分</w:t>
            </w:r>
          </w:p>
        </w:tc>
        <w:tc>
          <w:tcPr>
            <w:tcW w:w="7058" w:type="dxa"/>
            <w:shd w:val="clear" w:color="auto" w:fill="auto"/>
            <w:noWrap w:val="0"/>
            <w:vAlign w:val="center"/>
          </w:tcPr>
          <w:p w14:paraId="2B6634B4">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进度</w:t>
            </w:r>
            <w:r>
              <w:rPr>
                <w:rFonts w:hint="eastAsia" w:ascii="仿宋" w:hAnsi="仿宋" w:eastAsia="仿宋" w:cs="Times New Roman"/>
                <w:color w:val="auto"/>
                <w:sz w:val="24"/>
                <w:szCs w:val="24"/>
                <w:highlight w:val="none"/>
              </w:rPr>
              <w:t>控制</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w:t>
            </w:r>
            <w:r>
              <w:rPr>
                <w:rFonts w:hint="eastAsia" w:ascii="仿宋" w:hAnsi="仿宋" w:eastAsia="仿宋" w:cs="Times New Roman"/>
                <w:color w:val="auto"/>
                <w:sz w:val="24"/>
                <w:szCs w:val="24"/>
                <w:highlight w:val="none"/>
                <w:lang w:val="en-US" w:eastAsia="zh-CN"/>
              </w:rPr>
              <w:t>进度</w:t>
            </w:r>
            <w:r>
              <w:rPr>
                <w:rFonts w:hint="eastAsia" w:ascii="仿宋" w:hAnsi="仿宋" w:eastAsia="仿宋" w:cs="Times New Roman"/>
                <w:color w:val="auto"/>
                <w:sz w:val="24"/>
                <w:szCs w:val="24"/>
                <w:highlight w:val="none"/>
              </w:rPr>
              <w:t>控制目标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w:t>
            </w:r>
            <w:r>
              <w:rPr>
                <w:rFonts w:hint="eastAsia" w:ascii="仿宋" w:hAnsi="仿宋" w:eastAsia="仿宋" w:cs="Times New Roman"/>
                <w:color w:val="auto"/>
                <w:sz w:val="24"/>
                <w:szCs w:val="24"/>
                <w:highlight w:val="none"/>
                <w:lang w:val="en-US" w:eastAsia="zh-CN"/>
              </w:rPr>
              <w:t>进度</w:t>
            </w:r>
            <w:r>
              <w:rPr>
                <w:rFonts w:hint="eastAsia" w:ascii="仿宋" w:hAnsi="仿宋" w:eastAsia="仿宋" w:cs="Times New Roman"/>
                <w:color w:val="auto"/>
                <w:sz w:val="24"/>
                <w:szCs w:val="24"/>
                <w:highlight w:val="none"/>
              </w:rPr>
              <w:t>控制要点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w:t>
            </w:r>
            <w:r>
              <w:rPr>
                <w:rFonts w:hint="eastAsia" w:ascii="仿宋" w:hAnsi="仿宋" w:eastAsia="仿宋" w:cs="Times New Roman"/>
                <w:color w:val="auto"/>
                <w:sz w:val="24"/>
                <w:szCs w:val="24"/>
                <w:highlight w:val="none"/>
                <w:lang w:val="en-US" w:eastAsia="zh-CN"/>
              </w:rPr>
              <w:t>进度</w:t>
            </w:r>
            <w:r>
              <w:rPr>
                <w:rFonts w:hint="eastAsia" w:ascii="仿宋" w:hAnsi="仿宋" w:eastAsia="仿宋" w:cs="Times New Roman"/>
                <w:color w:val="auto"/>
                <w:sz w:val="24"/>
                <w:szCs w:val="24"/>
                <w:highlight w:val="none"/>
              </w:rPr>
              <w:t>控制措施。</w:t>
            </w:r>
          </w:p>
          <w:p w14:paraId="3298376A">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w:t>
            </w:r>
          </w:p>
        </w:tc>
      </w:tr>
      <w:tr w14:paraId="5650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9" w:type="dxa"/>
            <w:noWrap w:val="0"/>
            <w:vAlign w:val="center"/>
          </w:tcPr>
          <w:p w14:paraId="6D8C5E1B">
            <w:pPr>
              <w:adjustRightInd w:val="0"/>
              <w:snapToGrid w:val="0"/>
              <w:spacing w:line="276" w:lineRule="auto"/>
              <w:rPr>
                <w:rFonts w:hint="eastAsia" w:ascii="仿宋" w:hAnsi="仿宋" w:eastAsia="仿宋" w:cs="Times New Roman"/>
                <w:color w:val="auto"/>
                <w:sz w:val="24"/>
                <w:szCs w:val="24"/>
                <w:highlight w:val="none"/>
                <w:lang w:eastAsia="zh-CN"/>
              </w:rPr>
            </w:pPr>
            <w:r>
              <w:rPr>
                <w:rFonts w:hint="eastAsia" w:ascii="仿宋" w:hAnsi="仿宋" w:eastAsia="仿宋" w:cs="Times New Roman"/>
                <w:color w:val="auto"/>
                <w:sz w:val="24"/>
                <w:szCs w:val="24"/>
                <w:highlight w:val="none"/>
                <w:lang w:val="en-US" w:eastAsia="zh-CN"/>
              </w:rPr>
              <w:t>8</w:t>
            </w:r>
          </w:p>
        </w:tc>
        <w:tc>
          <w:tcPr>
            <w:tcW w:w="1198" w:type="dxa"/>
            <w:shd w:val="clear" w:color="auto" w:fill="auto"/>
            <w:noWrap w:val="0"/>
            <w:vAlign w:val="center"/>
          </w:tcPr>
          <w:p w14:paraId="73A67E9E">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质量控制</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42C76588">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12分</w:t>
            </w:r>
          </w:p>
        </w:tc>
        <w:tc>
          <w:tcPr>
            <w:tcW w:w="7058" w:type="dxa"/>
            <w:shd w:val="clear" w:color="auto" w:fill="auto"/>
            <w:noWrap w:val="0"/>
            <w:vAlign w:val="center"/>
          </w:tcPr>
          <w:p w14:paraId="4F29B5A7">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质量控制</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①质量控制目标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②质量控制要点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③质量控制措施。</w:t>
            </w:r>
          </w:p>
          <w:p w14:paraId="53A2CC69">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12</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分。</w:t>
            </w:r>
          </w:p>
        </w:tc>
      </w:tr>
      <w:tr w14:paraId="214D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9" w:type="dxa"/>
            <w:noWrap w:val="0"/>
            <w:vAlign w:val="center"/>
          </w:tcPr>
          <w:p w14:paraId="5DD149D0">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w:t>
            </w:r>
          </w:p>
        </w:tc>
        <w:tc>
          <w:tcPr>
            <w:tcW w:w="1198" w:type="dxa"/>
            <w:shd w:val="clear" w:color="auto" w:fill="auto"/>
            <w:noWrap w:val="0"/>
            <w:vAlign w:val="center"/>
          </w:tcPr>
          <w:p w14:paraId="51FEB3EF">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安全控制</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63651FBA">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9分</w:t>
            </w:r>
          </w:p>
        </w:tc>
        <w:tc>
          <w:tcPr>
            <w:tcW w:w="7058" w:type="dxa"/>
            <w:shd w:val="clear" w:color="auto" w:fill="auto"/>
            <w:noWrap w:val="0"/>
            <w:vAlign w:val="center"/>
          </w:tcPr>
          <w:p w14:paraId="365FB608">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安全控制</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①安全控制目标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②安全控制要点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③安全控制措施。</w:t>
            </w:r>
          </w:p>
          <w:p w14:paraId="6519F231">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w:t>
            </w:r>
          </w:p>
        </w:tc>
      </w:tr>
      <w:tr w14:paraId="5EF1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9" w:type="dxa"/>
            <w:noWrap w:val="0"/>
            <w:vAlign w:val="center"/>
          </w:tcPr>
          <w:p w14:paraId="4593A334">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10</w:t>
            </w:r>
          </w:p>
        </w:tc>
        <w:tc>
          <w:tcPr>
            <w:tcW w:w="1198" w:type="dxa"/>
            <w:shd w:val="clear" w:color="auto" w:fill="auto"/>
            <w:noWrap w:val="0"/>
            <w:vAlign w:val="center"/>
          </w:tcPr>
          <w:p w14:paraId="03330A35">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合同信息管理与档案管理</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1FB2F62A">
            <w:pPr>
              <w:adjustRightInd w:val="0"/>
              <w:snapToGrid w:val="0"/>
              <w:spacing w:line="276" w:lineRule="auto"/>
              <w:jc w:val="center"/>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9分</w:t>
            </w:r>
          </w:p>
        </w:tc>
        <w:tc>
          <w:tcPr>
            <w:tcW w:w="7058" w:type="dxa"/>
            <w:shd w:val="clear" w:color="auto" w:fill="auto"/>
            <w:noWrap w:val="0"/>
            <w:vAlign w:val="center"/>
          </w:tcPr>
          <w:p w14:paraId="7DA88F2E">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合同信息管理与档案管理</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①合同信息管理与档案管理目标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②合同信息管理与档案管理要点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③合同信息管理与档案管理措施。</w:t>
            </w:r>
          </w:p>
          <w:p w14:paraId="61BB59B7">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w:t>
            </w:r>
          </w:p>
        </w:tc>
      </w:tr>
      <w:tr w14:paraId="3048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709" w:type="dxa"/>
            <w:noWrap w:val="0"/>
            <w:vAlign w:val="center"/>
          </w:tcPr>
          <w:p w14:paraId="1044BC38">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11</w:t>
            </w:r>
          </w:p>
        </w:tc>
        <w:tc>
          <w:tcPr>
            <w:tcW w:w="1198" w:type="dxa"/>
            <w:shd w:val="clear" w:color="auto" w:fill="auto"/>
            <w:noWrap w:val="0"/>
            <w:vAlign w:val="center"/>
          </w:tcPr>
          <w:p w14:paraId="4894FCCB">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工程信息化管理</w:t>
            </w:r>
            <w:r>
              <w:rPr>
                <w:rFonts w:hint="eastAsia" w:ascii="仿宋" w:hAnsi="仿宋" w:eastAsia="仿宋" w:cs="Times New Roman"/>
                <w:color w:val="auto"/>
                <w:sz w:val="24"/>
                <w:szCs w:val="24"/>
                <w:highlight w:val="none"/>
              </w:rPr>
              <w:t>方案</w:t>
            </w:r>
          </w:p>
        </w:tc>
        <w:tc>
          <w:tcPr>
            <w:tcW w:w="958" w:type="dxa"/>
            <w:shd w:val="clear" w:color="auto" w:fill="auto"/>
            <w:noWrap w:val="0"/>
            <w:vAlign w:val="center"/>
          </w:tcPr>
          <w:p w14:paraId="60264051">
            <w:pPr>
              <w:adjustRightInd w:val="0"/>
              <w:snapToGrid w:val="0"/>
              <w:spacing w:line="276" w:lineRule="auto"/>
              <w:jc w:val="center"/>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6</w:t>
            </w:r>
            <w:r>
              <w:rPr>
                <w:rFonts w:hint="eastAsia" w:ascii="仿宋" w:hAnsi="仿宋" w:eastAsia="仿宋" w:cs="Times New Roman"/>
                <w:color w:val="auto"/>
                <w:sz w:val="24"/>
                <w:szCs w:val="24"/>
                <w:highlight w:val="none"/>
              </w:rPr>
              <w:t>分</w:t>
            </w:r>
          </w:p>
        </w:tc>
        <w:tc>
          <w:tcPr>
            <w:tcW w:w="7058" w:type="dxa"/>
            <w:shd w:val="clear" w:color="auto" w:fill="auto"/>
            <w:noWrap w:val="0"/>
            <w:vAlign w:val="center"/>
          </w:tcPr>
          <w:p w14:paraId="5BE29142">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根据供应商提供</w:t>
            </w:r>
            <w:r>
              <w:rPr>
                <w:rFonts w:hint="eastAsia" w:ascii="仿宋" w:hAnsi="仿宋" w:eastAsia="仿宋" w:cs="Times New Roman"/>
                <w:color w:val="auto"/>
                <w:sz w:val="24"/>
                <w:szCs w:val="24"/>
                <w:highlight w:val="none"/>
                <w:lang w:val="en-US" w:eastAsia="zh-CN"/>
              </w:rPr>
              <w:t>工程信息化管理</w:t>
            </w:r>
            <w:r>
              <w:rPr>
                <w:rFonts w:hint="eastAsia" w:ascii="仿宋" w:hAnsi="仿宋" w:eastAsia="仿宋" w:cs="Times New Roman"/>
                <w:color w:val="auto"/>
                <w:sz w:val="24"/>
                <w:szCs w:val="24"/>
                <w:highlight w:val="none"/>
              </w:rPr>
              <w:t>方案：</w:t>
            </w:r>
          </w:p>
          <w:p w14:paraId="05CCF9DF">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①</w:t>
            </w:r>
            <w:r>
              <w:rPr>
                <w:rFonts w:hint="eastAsia" w:ascii="仿宋" w:hAnsi="仿宋" w:eastAsia="仿宋" w:cs="Times New Roman"/>
                <w:color w:val="auto"/>
                <w:sz w:val="24"/>
                <w:szCs w:val="24"/>
                <w:highlight w:val="none"/>
              </w:rPr>
              <w:t>结合项目特点，智慧工地建设方案</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措施；</w:t>
            </w:r>
          </w:p>
          <w:p w14:paraId="371FA70A">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②</w:t>
            </w:r>
            <w:r>
              <w:rPr>
                <w:rFonts w:hint="eastAsia" w:ascii="仿宋" w:hAnsi="仿宋" w:eastAsia="仿宋" w:cs="Times New Roman"/>
                <w:color w:val="auto"/>
                <w:sz w:val="24"/>
                <w:szCs w:val="24"/>
                <w:highlight w:val="none"/>
              </w:rPr>
              <w:t xml:space="preserve">智慧工地的应用方式、保障机制； </w:t>
            </w:r>
          </w:p>
          <w:p w14:paraId="401D8320">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lang w:val="en-US" w:eastAsia="zh-CN"/>
              </w:rPr>
              <w:t>③</w:t>
            </w:r>
            <w:r>
              <w:rPr>
                <w:rFonts w:hint="eastAsia" w:ascii="仿宋" w:hAnsi="仿宋" w:eastAsia="仿宋" w:cs="Times New Roman"/>
                <w:color w:val="auto"/>
                <w:sz w:val="24"/>
                <w:szCs w:val="24"/>
                <w:highlight w:val="none"/>
              </w:rPr>
              <w:t>应用于施工现场实际管理的智慧工地专项监督计划；</w:t>
            </w:r>
          </w:p>
          <w:p w14:paraId="747D366B">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2</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6</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0.5</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2</w:t>
            </w:r>
            <w:r>
              <w:rPr>
                <w:rFonts w:hint="eastAsia" w:ascii="仿宋" w:hAnsi="仿宋" w:eastAsia="仿宋" w:cs="Times New Roman"/>
                <w:color w:val="auto"/>
                <w:sz w:val="24"/>
                <w:szCs w:val="24"/>
                <w:highlight w:val="none"/>
              </w:rPr>
              <w:t>分。</w:t>
            </w:r>
          </w:p>
        </w:tc>
      </w:tr>
      <w:tr w14:paraId="6880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709" w:type="dxa"/>
            <w:noWrap w:val="0"/>
            <w:vAlign w:val="center"/>
          </w:tcPr>
          <w:p w14:paraId="3ABBB25B">
            <w:pPr>
              <w:adjustRightInd w:val="0"/>
              <w:snapToGrid w:val="0"/>
              <w:spacing w:line="276" w:lineRule="auto"/>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12</w:t>
            </w:r>
          </w:p>
        </w:tc>
        <w:tc>
          <w:tcPr>
            <w:tcW w:w="1198" w:type="dxa"/>
            <w:shd w:val="clear" w:color="auto" w:fill="auto"/>
            <w:noWrap w:val="0"/>
            <w:vAlign w:val="center"/>
          </w:tcPr>
          <w:p w14:paraId="64B28F1C">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组织协调</w:t>
            </w:r>
            <w:r>
              <w:rPr>
                <w:rFonts w:hint="eastAsia" w:ascii="仿宋" w:hAnsi="仿宋" w:eastAsia="仿宋" w:cs="Times New Roman"/>
                <w:color w:val="auto"/>
                <w:sz w:val="24"/>
                <w:szCs w:val="24"/>
                <w:highlight w:val="none"/>
                <w:lang w:val="en-US" w:eastAsia="zh-CN"/>
              </w:rPr>
              <w:t>与</w:t>
            </w:r>
            <w:r>
              <w:rPr>
                <w:rFonts w:hint="eastAsia" w:ascii="仿宋" w:hAnsi="仿宋" w:eastAsia="仿宋" w:cs="Times New Roman"/>
                <w:color w:val="auto"/>
                <w:sz w:val="24"/>
                <w:szCs w:val="24"/>
                <w:highlight w:val="none"/>
              </w:rPr>
              <w:t>环境保护</w:t>
            </w:r>
            <w:r>
              <w:rPr>
                <w:rFonts w:hint="eastAsia" w:ascii="仿宋" w:hAnsi="仿宋" w:eastAsia="仿宋" w:cs="Times New Roman"/>
                <w:color w:val="auto"/>
                <w:sz w:val="24"/>
                <w:szCs w:val="24"/>
                <w:highlight w:val="none"/>
                <w:lang w:val="en-US" w:eastAsia="zh-CN"/>
              </w:rPr>
              <w:t>方案</w:t>
            </w:r>
          </w:p>
        </w:tc>
        <w:tc>
          <w:tcPr>
            <w:tcW w:w="958" w:type="dxa"/>
            <w:shd w:val="clear" w:color="auto" w:fill="auto"/>
            <w:noWrap w:val="0"/>
            <w:vAlign w:val="center"/>
          </w:tcPr>
          <w:p w14:paraId="35432D64">
            <w:pPr>
              <w:adjustRightInd w:val="0"/>
              <w:snapToGrid w:val="0"/>
              <w:spacing w:line="276" w:lineRule="auto"/>
              <w:jc w:val="center"/>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9分</w:t>
            </w:r>
          </w:p>
        </w:tc>
        <w:tc>
          <w:tcPr>
            <w:tcW w:w="7058" w:type="dxa"/>
            <w:shd w:val="clear" w:color="auto" w:fill="auto"/>
            <w:noWrap w:val="0"/>
            <w:vAlign w:val="center"/>
          </w:tcPr>
          <w:p w14:paraId="644D81A4">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组织协调</w:t>
            </w:r>
            <w:r>
              <w:rPr>
                <w:rFonts w:hint="eastAsia" w:ascii="仿宋" w:hAnsi="仿宋" w:eastAsia="仿宋" w:cs="Times New Roman"/>
                <w:color w:val="auto"/>
                <w:sz w:val="24"/>
                <w:szCs w:val="24"/>
                <w:highlight w:val="none"/>
                <w:lang w:val="en-US" w:eastAsia="zh-CN"/>
              </w:rPr>
              <w:t>与</w:t>
            </w:r>
            <w:r>
              <w:rPr>
                <w:rFonts w:hint="eastAsia" w:ascii="仿宋" w:hAnsi="仿宋" w:eastAsia="仿宋" w:cs="Times New Roman"/>
                <w:color w:val="auto"/>
                <w:sz w:val="24"/>
                <w:szCs w:val="24"/>
                <w:highlight w:val="none"/>
              </w:rPr>
              <w:t>环境保护</w:t>
            </w:r>
            <w:r>
              <w:rPr>
                <w:rFonts w:hint="eastAsia" w:ascii="仿宋" w:hAnsi="仿宋" w:eastAsia="仿宋" w:cs="Times New Roman"/>
                <w:color w:val="auto"/>
                <w:sz w:val="24"/>
                <w:szCs w:val="24"/>
                <w:highlight w:val="none"/>
                <w:lang w:val="en-US" w:eastAsia="zh-CN"/>
              </w:rPr>
              <w:t>方案</w:t>
            </w:r>
            <w:r>
              <w:rPr>
                <w:rFonts w:hint="eastAsia" w:ascii="仿宋" w:hAnsi="仿宋" w:eastAsia="仿宋" w:cs="Times New Roman"/>
                <w:color w:val="auto"/>
                <w:sz w:val="24"/>
                <w:szCs w:val="24"/>
                <w:highlight w:val="none"/>
              </w:rPr>
              <w:t>包括但不限于</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①组织协调</w:t>
            </w:r>
            <w:r>
              <w:rPr>
                <w:rFonts w:hint="eastAsia" w:ascii="仿宋" w:hAnsi="仿宋" w:eastAsia="仿宋" w:cs="Times New Roman"/>
                <w:color w:val="auto"/>
                <w:sz w:val="24"/>
                <w:szCs w:val="24"/>
                <w:highlight w:val="none"/>
                <w:lang w:val="en-US" w:eastAsia="zh-CN"/>
              </w:rPr>
              <w:t>与</w:t>
            </w:r>
            <w:r>
              <w:rPr>
                <w:rFonts w:hint="eastAsia" w:ascii="仿宋" w:hAnsi="仿宋" w:eastAsia="仿宋" w:cs="Times New Roman"/>
                <w:color w:val="auto"/>
                <w:sz w:val="24"/>
                <w:szCs w:val="24"/>
                <w:highlight w:val="none"/>
              </w:rPr>
              <w:t>环境保护目标</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②组织协调</w:t>
            </w:r>
            <w:r>
              <w:rPr>
                <w:rFonts w:hint="eastAsia" w:ascii="仿宋" w:hAnsi="仿宋" w:eastAsia="仿宋" w:cs="Times New Roman"/>
                <w:color w:val="auto"/>
                <w:sz w:val="24"/>
                <w:szCs w:val="24"/>
                <w:highlight w:val="none"/>
                <w:lang w:val="en-US" w:eastAsia="zh-CN"/>
              </w:rPr>
              <w:t>与</w:t>
            </w:r>
            <w:r>
              <w:rPr>
                <w:rFonts w:hint="eastAsia" w:ascii="仿宋" w:hAnsi="仿宋" w:eastAsia="仿宋" w:cs="Times New Roman"/>
                <w:color w:val="auto"/>
                <w:sz w:val="24"/>
                <w:szCs w:val="24"/>
                <w:highlight w:val="none"/>
              </w:rPr>
              <w:t>环境保护要点</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rPr>
              <w:t>③组织协调</w:t>
            </w:r>
            <w:r>
              <w:rPr>
                <w:rFonts w:hint="eastAsia" w:ascii="仿宋" w:hAnsi="仿宋" w:eastAsia="仿宋" w:cs="Times New Roman"/>
                <w:color w:val="auto"/>
                <w:sz w:val="24"/>
                <w:szCs w:val="24"/>
                <w:highlight w:val="none"/>
                <w:lang w:val="en-US" w:eastAsia="zh-CN"/>
              </w:rPr>
              <w:t>与</w:t>
            </w:r>
            <w:r>
              <w:rPr>
                <w:rFonts w:hint="eastAsia" w:ascii="仿宋" w:hAnsi="仿宋" w:eastAsia="仿宋" w:cs="Times New Roman"/>
                <w:color w:val="auto"/>
                <w:sz w:val="24"/>
                <w:szCs w:val="24"/>
                <w:highlight w:val="none"/>
              </w:rPr>
              <w:t>环境保护措施。</w:t>
            </w:r>
          </w:p>
          <w:p w14:paraId="29659F3D">
            <w:pPr>
              <w:adjustRightInd w:val="0"/>
              <w:snapToGrid w:val="0"/>
              <w:spacing w:line="276" w:lineRule="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rPr>
              <w:t>以上内容完整、科学合理，单项满分</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分，共</w:t>
            </w: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rPr>
              <w:t>分,存在缺陷或漏洞不利于项目实施的，每有一项扣</w:t>
            </w:r>
            <w:r>
              <w:rPr>
                <w:rFonts w:hint="eastAsia" w:ascii="仿宋" w:hAnsi="仿宋" w:eastAsia="仿宋" w:cs="Times New Roman"/>
                <w:color w:val="auto"/>
                <w:sz w:val="24"/>
                <w:szCs w:val="24"/>
                <w:highlight w:val="none"/>
                <w:lang w:val="en-US" w:eastAsia="zh-CN"/>
              </w:rPr>
              <w:t>1</w:t>
            </w:r>
            <w:r>
              <w:rPr>
                <w:rFonts w:hint="eastAsia" w:ascii="仿宋" w:hAnsi="仿宋" w:eastAsia="仿宋" w:cs="Times New Roman"/>
                <w:color w:val="auto"/>
                <w:sz w:val="24"/>
                <w:szCs w:val="24"/>
                <w:highlight w:val="none"/>
              </w:rPr>
              <w:t>分，单项最多扣</w:t>
            </w:r>
            <w:r>
              <w:rPr>
                <w:rFonts w:hint="eastAsia" w:ascii="仿宋" w:hAnsi="仿宋" w:eastAsia="仿宋" w:cs="Times New Roman"/>
                <w:color w:val="auto"/>
                <w:sz w:val="24"/>
                <w:szCs w:val="24"/>
                <w:highlight w:val="none"/>
                <w:lang w:val="en-US" w:eastAsia="zh-CN"/>
              </w:rPr>
              <w:t>3</w:t>
            </w:r>
            <w:r>
              <w:rPr>
                <w:rFonts w:hint="eastAsia" w:ascii="仿宋" w:hAnsi="仿宋" w:eastAsia="仿宋" w:cs="Times New Roman"/>
                <w:color w:val="auto"/>
                <w:sz w:val="24"/>
                <w:szCs w:val="24"/>
                <w:highlight w:val="none"/>
              </w:rPr>
              <w:t>分。</w:t>
            </w:r>
          </w:p>
        </w:tc>
      </w:tr>
      <w:tr w14:paraId="129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07" w:type="dxa"/>
            <w:gridSpan w:val="2"/>
            <w:noWrap w:val="0"/>
            <w:vAlign w:val="center"/>
          </w:tcPr>
          <w:p w14:paraId="4E8161E5">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合计</w:t>
            </w:r>
          </w:p>
        </w:tc>
        <w:tc>
          <w:tcPr>
            <w:tcW w:w="958" w:type="dxa"/>
            <w:noWrap w:val="0"/>
            <w:vAlign w:val="center"/>
          </w:tcPr>
          <w:p w14:paraId="67C16B51">
            <w:pPr>
              <w:adjustRightInd w:val="0"/>
              <w:snapToGrid w:val="0"/>
              <w:spacing w:line="276"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100分</w:t>
            </w:r>
          </w:p>
        </w:tc>
        <w:tc>
          <w:tcPr>
            <w:tcW w:w="7058" w:type="dxa"/>
            <w:noWrap w:val="0"/>
            <w:vAlign w:val="center"/>
          </w:tcPr>
          <w:p w14:paraId="245B4A79">
            <w:pPr>
              <w:adjustRightInd w:val="0"/>
              <w:snapToGrid w:val="0"/>
              <w:spacing w:line="276" w:lineRule="auto"/>
              <w:rPr>
                <w:rFonts w:hint="eastAsia" w:ascii="仿宋" w:hAnsi="仿宋" w:eastAsia="仿宋" w:cs="Times New Roman"/>
                <w:color w:val="auto"/>
                <w:sz w:val="24"/>
                <w:szCs w:val="24"/>
                <w:highlight w:val="none"/>
              </w:rPr>
            </w:pPr>
          </w:p>
        </w:tc>
      </w:tr>
    </w:tbl>
    <w:p w14:paraId="5420E840">
      <w:pPr>
        <w:pageBreakBefore w:val="0"/>
        <w:kinsoku/>
        <w:wordWrap/>
        <w:overflowPunct/>
        <w:topLinePunct w:val="0"/>
        <w:bidi w:val="0"/>
        <w:spacing w:before="887" w:line="360" w:lineRule="auto"/>
        <w:rPr>
          <w:rFonts w:ascii="TBUBVS+·ÂËÎ" w:hAnsi="TBUBVS+·ÂËÎ" w:cs="TBUBVS+·ÂËÎ"/>
          <w:color w:val="auto"/>
          <w:sz w:val="24"/>
          <w:highlight w:val="none"/>
        </w:rPr>
      </w:pPr>
    </w:p>
    <w:tbl>
      <w:tblPr>
        <w:tblStyle w:val="2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4"/>
        <w:gridCol w:w="5813"/>
      </w:tblGrid>
      <w:tr w14:paraId="189D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497" w:type="dxa"/>
            <w:gridSpan w:val="2"/>
          </w:tcPr>
          <w:p w14:paraId="43095507">
            <w:pPr>
              <w:pageBreakBefore w:val="0"/>
              <w:kinsoku/>
              <w:wordWrap/>
              <w:overflowPunct/>
              <w:topLinePunct w:val="0"/>
              <w:bidi w:val="0"/>
              <w:spacing w:line="360" w:lineRule="auto"/>
              <w:ind w:firstLine="2880" w:firstLineChars="1200"/>
              <w:rPr>
                <w:rFonts w:hint="default" w:hAnsi="TBUBVS+·ÂËÎ" w:cs="TBUBVS+·ÂËÎ" w:eastAsiaTheme="minorEastAsia"/>
                <w:color w:val="auto"/>
                <w:sz w:val="24"/>
                <w:highlight w:val="none"/>
                <w:lang w:val="en-US" w:eastAsia="zh-CN"/>
              </w:rPr>
            </w:pPr>
            <w:r>
              <w:rPr>
                <w:rFonts w:hint="eastAsia" w:hAnsi="TBUBVS+·ÂËÎ" w:cs="TBUBVS+·ÂËÎ"/>
                <w:color w:val="auto"/>
                <w:sz w:val="24"/>
                <w:highlight w:val="none"/>
              </w:rPr>
              <w:t>综合得分=</w:t>
            </w:r>
            <w:r>
              <w:rPr>
                <w:rFonts w:hint="eastAsia" w:hAnsi="TBUBVS+·ÂËÎ" w:cs="TBUBVS+·ÂËÎ"/>
                <w:color w:val="auto"/>
                <w:sz w:val="24"/>
                <w:highlight w:val="none"/>
                <w:lang w:val="en-US" w:eastAsia="zh-CN"/>
              </w:rPr>
              <w:t>经济得分+商务技术得分</w:t>
            </w:r>
          </w:p>
        </w:tc>
      </w:tr>
      <w:tr w14:paraId="4344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97" w:type="dxa"/>
            <w:gridSpan w:val="2"/>
          </w:tcPr>
          <w:p w14:paraId="3ED79B88">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lang w:val="en-US" w:eastAsia="zh-CN"/>
              </w:rPr>
              <w:t>经济得分</w:t>
            </w:r>
            <w:r>
              <w:rPr>
                <w:rFonts w:hint="eastAsia" w:hAnsi="TBUBVS+·ÂËÎ" w:cs="TBUBVS+·ÂËÎ"/>
                <w:color w:val="auto"/>
                <w:sz w:val="24"/>
                <w:highlight w:val="none"/>
              </w:rPr>
              <w:t>=（评标基准价／投标报价）×价格权值×100</w:t>
            </w:r>
          </w:p>
        </w:tc>
      </w:tr>
      <w:tr w14:paraId="0C3C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97" w:type="dxa"/>
            <w:gridSpan w:val="2"/>
          </w:tcPr>
          <w:p w14:paraId="6E1DE9CE">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lang w:val="en-US" w:eastAsia="zh-CN"/>
              </w:rPr>
              <w:t>商务、技术得分</w:t>
            </w:r>
            <w:r>
              <w:rPr>
                <w:rFonts w:hint="eastAsia" w:hAnsi="TBUBVS+·ÂËÎ" w:cs="TBUBVS+·ÂËÎ"/>
                <w:color w:val="auto"/>
                <w:sz w:val="24"/>
                <w:highlight w:val="none"/>
              </w:rPr>
              <w:t>=</w:t>
            </w:r>
            <w:r>
              <w:rPr>
                <w:rFonts w:hint="eastAsia" w:hAnsi="TBUBVS+·ÂËÎ" w:cs="TBUBVS+·ÂËÎ"/>
                <w:color w:val="auto"/>
                <w:sz w:val="24"/>
                <w:highlight w:val="none"/>
                <w:lang w:val="en-US" w:eastAsia="zh-CN"/>
              </w:rPr>
              <w:t>磋商小组</w:t>
            </w:r>
            <w:r>
              <w:rPr>
                <w:rFonts w:hint="eastAsia" w:hAnsi="TBUBVS+·ÂËÎ" w:cs="TBUBVS+·ÂËÎ"/>
                <w:color w:val="auto"/>
                <w:sz w:val="24"/>
                <w:highlight w:val="none"/>
              </w:rPr>
              <w:t>各成员对商务</w:t>
            </w:r>
            <w:r>
              <w:rPr>
                <w:rFonts w:hint="eastAsia" w:hAnsi="TBUBVS+·ÂËÎ" w:cs="TBUBVS+·ÂËÎ"/>
                <w:color w:val="auto"/>
                <w:sz w:val="24"/>
                <w:highlight w:val="none"/>
                <w:lang w:eastAsia="zh-CN"/>
              </w:rPr>
              <w:t>、</w:t>
            </w:r>
            <w:r>
              <w:rPr>
                <w:rFonts w:hint="eastAsia" w:hAnsi="TBUBVS+·ÂËÎ" w:cs="TBUBVS+·ÂËÎ"/>
                <w:color w:val="auto"/>
                <w:sz w:val="24"/>
                <w:highlight w:val="none"/>
              </w:rPr>
              <w:t>技术评分总和的算术平均值</w:t>
            </w:r>
          </w:p>
        </w:tc>
      </w:tr>
      <w:tr w14:paraId="7E75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684" w:type="dxa"/>
          </w:tcPr>
          <w:p w14:paraId="32E6F4BD">
            <w:pPr>
              <w:pageBreakBefore w:val="0"/>
              <w:kinsoku/>
              <w:wordWrap/>
              <w:overflowPunct/>
              <w:topLinePunct w:val="0"/>
              <w:bidi w:val="0"/>
              <w:spacing w:line="360" w:lineRule="auto"/>
              <w:ind w:firstLine="240" w:firstLineChars="100"/>
              <w:rPr>
                <w:rFonts w:hAnsi="TBUBVS+·ÂËÎ" w:cs="TBUBVS+·ÂËÎ"/>
                <w:color w:val="auto"/>
                <w:sz w:val="24"/>
                <w:highlight w:val="none"/>
              </w:rPr>
            </w:pPr>
            <w:r>
              <w:rPr>
                <w:rFonts w:hint="eastAsia" w:hAnsi="TBUBVS+·ÂËÎ" w:cs="TBUBVS+·ÂËÎ"/>
                <w:color w:val="auto"/>
                <w:sz w:val="24"/>
                <w:highlight w:val="none"/>
              </w:rPr>
              <w:t xml:space="preserve">推荐的中标候选人数量 </w:t>
            </w:r>
          </w:p>
        </w:tc>
        <w:tc>
          <w:tcPr>
            <w:tcW w:w="5813" w:type="dxa"/>
          </w:tcPr>
          <w:p w14:paraId="0F00B662">
            <w:pPr>
              <w:pageBreakBefore w:val="0"/>
              <w:kinsoku/>
              <w:wordWrap/>
              <w:overflowPunct/>
              <w:topLinePunct w:val="0"/>
              <w:bidi w:val="0"/>
              <w:spacing w:line="360" w:lineRule="auto"/>
              <w:jc w:val="center"/>
              <w:rPr>
                <w:rFonts w:hAnsi="TBUBVS+·ÂËÎ" w:cs="TBUBVS+·ÂËÎ"/>
                <w:color w:val="auto"/>
                <w:sz w:val="24"/>
                <w:highlight w:val="none"/>
              </w:rPr>
            </w:pPr>
            <w:r>
              <w:rPr>
                <w:rFonts w:hint="eastAsia" w:hAnsi="TBUBVS+·ÂËÎ" w:cs="TBUBVS+·ÂËÎ"/>
                <w:color w:val="auto"/>
                <w:sz w:val="24"/>
                <w:highlight w:val="none"/>
              </w:rPr>
              <w:t>三名</w:t>
            </w:r>
          </w:p>
        </w:tc>
      </w:tr>
      <w:tr w14:paraId="4E5F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3684" w:type="dxa"/>
          </w:tcPr>
          <w:p w14:paraId="7C9C908A">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ab/>
            </w:r>
          </w:p>
          <w:p w14:paraId="35E8A783">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rPr>
              <w:t>说明</w:t>
            </w:r>
          </w:p>
        </w:tc>
        <w:tc>
          <w:tcPr>
            <w:tcW w:w="5813" w:type="dxa"/>
          </w:tcPr>
          <w:p w14:paraId="05C2E2E6">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1、价格权值：综合评分法中货物或服务项目的价格分值占总分值（100 分）的比重。</w:t>
            </w:r>
          </w:p>
          <w:p w14:paraId="359630C8">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2、计算过程中，算术平均值保留 2 位小数（百分比亦取 2位小数），第三位小数四舍五入。</w:t>
            </w:r>
          </w:p>
        </w:tc>
      </w:tr>
    </w:tbl>
    <w:p w14:paraId="0EA63E4D">
      <w:pPr>
        <w:rPr>
          <w:rFonts w:ascii="宋体" w:hAnsi="宋体" w:eastAsia="宋体" w:cs="宋体"/>
          <w:color w:val="auto"/>
          <w:sz w:val="28"/>
          <w:szCs w:val="28"/>
          <w:highlight w:val="none"/>
        </w:rPr>
      </w:pPr>
      <w:r>
        <w:rPr>
          <w:rFonts w:ascii="宋体" w:hAnsi="宋体" w:eastAsia="宋体" w:cs="宋体"/>
          <w:color w:val="auto"/>
          <w:sz w:val="28"/>
          <w:szCs w:val="28"/>
          <w:highlight w:val="none"/>
        </w:rPr>
        <w:br w:type="page"/>
      </w:r>
    </w:p>
    <w:p w14:paraId="06384A31">
      <w:pPr>
        <w:pStyle w:val="5"/>
        <w:rPr>
          <w:color w:val="auto"/>
          <w:highlight w:val="none"/>
        </w:rPr>
      </w:pPr>
    </w:p>
    <w:p w14:paraId="6F5490F6">
      <w:pPr>
        <w:pStyle w:val="2"/>
        <w:bidi w:val="0"/>
        <w:jc w:val="center"/>
        <w:outlineLvl w:val="0"/>
        <w:rPr>
          <w:rFonts w:hint="eastAsia"/>
          <w:color w:val="auto"/>
          <w:sz w:val="32"/>
          <w:szCs w:val="32"/>
          <w:highlight w:val="none"/>
        </w:rPr>
      </w:pPr>
      <w:bookmarkStart w:id="229" w:name="_Toc693"/>
      <w:bookmarkStart w:id="230" w:name="_Toc9975"/>
      <w:bookmarkStart w:id="231" w:name="_Toc11220"/>
      <w:r>
        <w:rPr>
          <w:rFonts w:hint="eastAsia"/>
          <w:color w:val="auto"/>
          <w:sz w:val="32"/>
          <w:szCs w:val="32"/>
          <w:highlight w:val="none"/>
          <w:lang w:val="en-US" w:eastAsia="zh-CN"/>
        </w:rPr>
        <w:t>第六章</w:t>
      </w:r>
      <w:r>
        <w:rPr>
          <w:rFonts w:hint="eastAsia"/>
          <w:color w:val="auto"/>
          <w:sz w:val="32"/>
          <w:szCs w:val="32"/>
          <w:highlight w:val="none"/>
        </w:rPr>
        <w:t xml:space="preserve"> 采购需求</w:t>
      </w:r>
      <w:bookmarkEnd w:id="229"/>
    </w:p>
    <w:p w14:paraId="24D0AE84">
      <w:pPr>
        <w:keepNext w:val="0"/>
        <w:keepLines w:val="0"/>
        <w:pageBreakBefore w:val="0"/>
        <w:tabs>
          <w:tab w:val="left" w:pos="2100"/>
          <w:tab w:val="left" w:pos="2310"/>
        </w:tabs>
        <w:kinsoku/>
        <w:wordWrap/>
        <w:overflowPunct/>
        <w:topLinePunct w:val="0"/>
        <w:autoSpaceDE/>
        <w:autoSpaceDN/>
        <w:bidi w:val="0"/>
        <w:adjustRightInd w:val="0"/>
        <w:snapToGrid w:val="0"/>
        <w:spacing w:line="360" w:lineRule="auto"/>
        <w:textAlignment w:val="auto"/>
        <w:rPr>
          <w:rFonts w:hint="eastAsia" w:ascii="仿宋" w:hAnsi="仿宋" w:eastAsia="仿宋" w:cs="宋体"/>
          <w:bCs/>
          <w:color w:val="auto"/>
          <w:kern w:val="0"/>
          <w:sz w:val="24"/>
          <w:highlight w:val="none"/>
          <w:lang w:eastAsia="zh-CN"/>
        </w:rPr>
      </w:pPr>
      <w:r>
        <w:rPr>
          <w:rFonts w:hint="eastAsia" w:ascii="仿宋" w:hAnsi="仿宋" w:eastAsia="仿宋" w:cs="宋体"/>
          <w:b/>
          <w:color w:val="auto"/>
          <w:sz w:val="24"/>
          <w:highlight w:val="none"/>
          <w:lang w:val="en-US" w:eastAsia="zh-CN"/>
        </w:rPr>
        <w:t>1.</w:t>
      </w:r>
      <w:r>
        <w:rPr>
          <w:rFonts w:hint="eastAsia" w:ascii="仿宋" w:hAnsi="仿宋" w:eastAsia="仿宋" w:cs="宋体"/>
          <w:b/>
          <w:color w:val="auto"/>
          <w:sz w:val="24"/>
          <w:highlight w:val="none"/>
        </w:rPr>
        <w:t>项目名称：</w:t>
      </w:r>
      <w:r>
        <w:rPr>
          <w:rFonts w:hint="eastAsia" w:ascii="仿宋" w:hAnsi="仿宋" w:eastAsia="仿宋" w:cs="宋体"/>
          <w:bCs/>
          <w:color w:val="auto"/>
          <w:sz w:val="24"/>
          <w:highlight w:val="none"/>
          <w:lang w:eastAsia="zh-CN"/>
        </w:rPr>
        <w:t>天山区东门街道区域养老服务中心改造项目（监理）</w:t>
      </w:r>
    </w:p>
    <w:p w14:paraId="0DC02363">
      <w:pPr>
        <w:pStyle w:val="61"/>
        <w:keepNext w:val="0"/>
        <w:keepLines w:val="0"/>
        <w:pageBreakBefore w:val="0"/>
        <w:kinsoku/>
        <w:wordWrap/>
        <w:overflowPunct/>
        <w:topLinePunct w:val="0"/>
        <w:autoSpaceDE/>
        <w:autoSpaceDN/>
        <w:bidi w:val="0"/>
        <w:spacing w:line="360" w:lineRule="auto"/>
        <w:ind w:right="-57" w:rightChars="-27" w:firstLine="0" w:firstLineChars="0"/>
        <w:textAlignment w:val="auto"/>
        <w:rPr>
          <w:rFonts w:hint="eastAsia" w:ascii="仿宋" w:hAnsi="仿宋" w:eastAsia="仿宋"/>
          <w:color w:val="auto"/>
          <w:sz w:val="24"/>
          <w:szCs w:val="24"/>
          <w:highlight w:val="none"/>
        </w:rPr>
      </w:pPr>
      <w:r>
        <w:rPr>
          <w:rFonts w:hint="eastAsia" w:ascii="仿宋" w:hAnsi="仿宋" w:eastAsia="仿宋" w:cs="宋体"/>
          <w:b/>
          <w:color w:val="auto"/>
          <w:sz w:val="24"/>
          <w:szCs w:val="24"/>
          <w:highlight w:val="none"/>
          <w:lang w:val="en-US" w:eastAsia="zh-CN"/>
        </w:rPr>
        <w:t>2.采购人</w:t>
      </w:r>
      <w:r>
        <w:rPr>
          <w:rFonts w:hint="eastAsia" w:ascii="仿宋" w:hAnsi="仿宋" w:eastAsia="仿宋" w:cs="宋体"/>
          <w:b/>
          <w:color w:val="auto"/>
          <w:sz w:val="24"/>
          <w:szCs w:val="24"/>
          <w:highlight w:val="none"/>
        </w:rPr>
        <w:t>：</w:t>
      </w:r>
      <w:r>
        <w:rPr>
          <w:rFonts w:hint="eastAsia" w:ascii="仿宋" w:hAnsi="仿宋" w:eastAsia="仿宋" w:cs="宋体"/>
          <w:color w:val="auto"/>
          <w:sz w:val="24"/>
          <w:szCs w:val="24"/>
          <w:highlight w:val="none"/>
        </w:rPr>
        <w:t>乌鲁木齐市</w:t>
      </w:r>
      <w:r>
        <w:rPr>
          <w:rFonts w:hint="eastAsia" w:ascii="仿宋" w:hAnsi="仿宋" w:eastAsia="仿宋" w:cs="宋体"/>
          <w:color w:val="auto"/>
          <w:sz w:val="24"/>
          <w:szCs w:val="24"/>
          <w:highlight w:val="none"/>
          <w:lang w:val="en-US" w:eastAsia="zh-CN"/>
        </w:rPr>
        <w:t>天山</w:t>
      </w:r>
      <w:r>
        <w:rPr>
          <w:rFonts w:hint="eastAsia" w:ascii="仿宋" w:hAnsi="仿宋" w:eastAsia="仿宋" w:cs="宋体"/>
          <w:color w:val="auto"/>
          <w:sz w:val="24"/>
          <w:szCs w:val="24"/>
          <w:highlight w:val="none"/>
        </w:rPr>
        <w:t>区民政局</w:t>
      </w:r>
    </w:p>
    <w:p w14:paraId="3EFEF50B">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b w:val="0"/>
          <w:bCs/>
          <w:color w:val="auto"/>
          <w:sz w:val="24"/>
          <w:szCs w:val="24"/>
          <w:highlight w:val="none"/>
        </w:rPr>
      </w:pPr>
      <w:r>
        <w:rPr>
          <w:rFonts w:hint="eastAsia" w:ascii="仿宋" w:hAnsi="仿宋" w:eastAsia="仿宋" w:cs="宋体"/>
          <w:b/>
          <w:color w:val="auto"/>
          <w:sz w:val="24"/>
          <w:szCs w:val="24"/>
          <w:highlight w:val="none"/>
          <w:lang w:val="en-US" w:eastAsia="zh-CN"/>
        </w:rPr>
        <w:t>3.工程概况</w:t>
      </w:r>
      <w:r>
        <w:rPr>
          <w:rFonts w:hint="eastAsia" w:ascii="仿宋" w:hAnsi="仿宋" w:eastAsia="仿宋" w:cs="宋体"/>
          <w:b/>
          <w:color w:val="auto"/>
          <w:sz w:val="24"/>
          <w:szCs w:val="24"/>
          <w:highlight w:val="none"/>
        </w:rPr>
        <w:t>：</w:t>
      </w:r>
      <w:r>
        <w:rPr>
          <w:rFonts w:hint="eastAsia" w:ascii="仿宋" w:hAnsi="仿宋" w:eastAsia="仿宋" w:cs="宋体"/>
          <w:b w:val="0"/>
          <w:bCs/>
          <w:color w:val="auto"/>
          <w:sz w:val="24"/>
          <w:szCs w:val="24"/>
          <w:highlight w:val="none"/>
        </w:rPr>
        <w:t>项目计划总投资310万元。计划对六层楼进行消防改造工程，改造后达到A级（人员密集场所）、六层楼抗震加固工程，加固后达到抗震A级（抗震8级）、项目内部装修</w:t>
      </w:r>
    </w:p>
    <w:p w14:paraId="116962F0">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b w:val="0"/>
          <w:bCs/>
          <w:color w:val="auto"/>
          <w:kern w:val="0"/>
          <w:sz w:val="24"/>
          <w:szCs w:val="24"/>
          <w:highlight w:val="none"/>
        </w:rPr>
      </w:pPr>
      <w:r>
        <w:rPr>
          <w:rFonts w:hint="eastAsia" w:ascii="仿宋" w:hAnsi="仿宋" w:eastAsia="仿宋" w:cs="宋体"/>
          <w:b w:val="0"/>
          <w:bCs/>
          <w:color w:val="auto"/>
          <w:sz w:val="24"/>
          <w:szCs w:val="24"/>
          <w:highlight w:val="none"/>
        </w:rPr>
        <w:t>本项目由一栋六层办公楼和一栋小二层楼组成，建设时间2008年12月，砖混结构。办公楼1-6层（含1楼2个车库）共计建筑面积1224.43平方米，小二楼每层58.85平方，两层共计117.7平方，总建筑面积1311.8平方米。</w:t>
      </w:r>
    </w:p>
    <w:p w14:paraId="3EBB745C">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仿宋" w:hAnsi="仿宋" w:eastAsia="仿宋" w:cs="宋体"/>
          <w:color w:val="auto"/>
          <w:kern w:val="0"/>
          <w:sz w:val="24"/>
          <w:szCs w:val="24"/>
          <w:highlight w:val="none"/>
          <w:lang w:val="en-US" w:eastAsia="zh-CN"/>
        </w:rPr>
      </w:pPr>
      <w:r>
        <w:rPr>
          <w:rFonts w:hint="eastAsia" w:ascii="仿宋" w:hAnsi="仿宋" w:eastAsia="仿宋" w:cs="宋体"/>
          <w:b/>
          <w:color w:val="auto"/>
          <w:sz w:val="24"/>
          <w:szCs w:val="24"/>
          <w:highlight w:val="none"/>
          <w:lang w:val="en-US" w:eastAsia="zh-CN"/>
        </w:rPr>
        <w:t>4.施工</w:t>
      </w:r>
      <w:r>
        <w:rPr>
          <w:rFonts w:hint="eastAsia" w:ascii="仿宋" w:hAnsi="仿宋" w:eastAsia="仿宋" w:cs="宋体"/>
          <w:b/>
          <w:color w:val="auto"/>
          <w:sz w:val="24"/>
          <w:szCs w:val="24"/>
          <w:highlight w:val="none"/>
        </w:rPr>
        <w:t>投资概算：</w:t>
      </w:r>
      <w:r>
        <w:rPr>
          <w:rFonts w:hint="eastAsia" w:ascii="仿宋" w:hAnsi="仿宋" w:eastAsia="仿宋" w:cs="宋体"/>
          <w:b w:val="0"/>
          <w:bCs/>
          <w:color w:val="auto"/>
          <w:sz w:val="24"/>
          <w:szCs w:val="24"/>
          <w:highlight w:val="none"/>
          <w:lang w:val="en-US" w:eastAsia="zh-CN"/>
        </w:rPr>
        <w:t>310</w:t>
      </w:r>
      <w:r>
        <w:rPr>
          <w:rFonts w:hint="eastAsia" w:ascii="仿宋" w:hAnsi="仿宋" w:eastAsia="仿宋" w:cs="宋体"/>
          <w:b w:val="0"/>
          <w:bCs/>
          <w:color w:val="auto"/>
          <w:sz w:val="24"/>
          <w:szCs w:val="24"/>
          <w:highlight w:val="none"/>
        </w:rPr>
        <w:t>万元</w:t>
      </w:r>
      <w:r>
        <w:rPr>
          <w:rFonts w:hint="eastAsia" w:ascii="仿宋" w:hAnsi="仿宋" w:eastAsia="仿宋" w:cs="宋体"/>
          <w:b w:val="0"/>
          <w:bCs/>
          <w:color w:val="auto"/>
          <w:kern w:val="0"/>
          <w:sz w:val="24"/>
          <w:szCs w:val="24"/>
          <w:highlight w:val="none"/>
          <w:lang w:val="en-US" w:eastAsia="zh-CN"/>
        </w:rPr>
        <w:t>。</w:t>
      </w:r>
    </w:p>
    <w:p w14:paraId="70953AF4">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b w:val="0"/>
          <w:bCs/>
          <w:color w:val="auto"/>
          <w:sz w:val="24"/>
          <w:szCs w:val="24"/>
          <w:highlight w:val="none"/>
        </w:rPr>
      </w:pPr>
      <w:r>
        <w:rPr>
          <w:rFonts w:hint="eastAsia" w:ascii="仿宋" w:hAnsi="仿宋" w:eastAsia="仿宋" w:cs="宋体"/>
          <w:b/>
          <w:bCs w:val="0"/>
          <w:color w:val="auto"/>
          <w:sz w:val="24"/>
          <w:szCs w:val="24"/>
          <w:highlight w:val="none"/>
          <w:lang w:val="en-US" w:eastAsia="zh-CN"/>
        </w:rPr>
        <w:t>5.采购内容</w:t>
      </w:r>
      <w:r>
        <w:rPr>
          <w:rFonts w:hint="eastAsia" w:ascii="仿宋" w:hAnsi="仿宋" w:eastAsia="仿宋" w:cs="宋体"/>
          <w:b/>
          <w:bCs w:val="0"/>
          <w:color w:val="auto"/>
          <w:sz w:val="24"/>
          <w:szCs w:val="24"/>
          <w:highlight w:val="none"/>
        </w:rPr>
        <w:t>：</w:t>
      </w:r>
      <w:r>
        <w:rPr>
          <w:rFonts w:hint="eastAsia" w:ascii="仿宋" w:hAnsi="仿宋" w:eastAsia="仿宋" w:cs="宋体"/>
          <w:b w:val="0"/>
          <w:bCs/>
          <w:color w:val="auto"/>
          <w:sz w:val="24"/>
          <w:szCs w:val="24"/>
          <w:highlight w:val="none"/>
        </w:rPr>
        <w:t>天山区东门街道区域养老服务中心改造项目全部施工工作范围内的监理咨询工作。</w:t>
      </w:r>
    </w:p>
    <w:p w14:paraId="325088DA">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b w:val="0"/>
          <w:bCs w:val="0"/>
          <w:color w:val="auto"/>
          <w:kern w:val="0"/>
          <w:sz w:val="24"/>
          <w:szCs w:val="24"/>
          <w:highlight w:val="none"/>
        </w:rPr>
      </w:pPr>
      <w:r>
        <w:rPr>
          <w:rFonts w:hint="eastAsia" w:ascii="仿宋" w:hAnsi="仿宋" w:eastAsia="仿宋" w:cs="宋体"/>
          <w:b/>
          <w:bCs/>
          <w:color w:val="auto"/>
          <w:kern w:val="0"/>
          <w:sz w:val="24"/>
          <w:szCs w:val="24"/>
          <w:highlight w:val="none"/>
          <w:lang w:val="en-US" w:eastAsia="zh-CN"/>
        </w:rPr>
        <w:t>6.</w:t>
      </w:r>
      <w:r>
        <w:rPr>
          <w:rFonts w:hint="eastAsia" w:ascii="仿宋" w:hAnsi="仿宋" w:eastAsia="仿宋" w:cs="宋体"/>
          <w:b/>
          <w:bCs/>
          <w:color w:val="auto"/>
          <w:kern w:val="0"/>
          <w:sz w:val="24"/>
          <w:szCs w:val="24"/>
          <w:highlight w:val="none"/>
        </w:rPr>
        <w:t>合同履约期限：</w:t>
      </w:r>
      <w:r>
        <w:rPr>
          <w:rFonts w:hint="eastAsia" w:ascii="仿宋" w:hAnsi="仿宋" w:eastAsia="仿宋" w:cs="宋体"/>
          <w:b w:val="0"/>
          <w:bCs w:val="0"/>
          <w:color w:val="auto"/>
          <w:kern w:val="0"/>
          <w:sz w:val="24"/>
          <w:szCs w:val="24"/>
          <w:highlight w:val="none"/>
        </w:rPr>
        <w:t>自合同签订之日至工程竣工验收、结算审计、竣工档案移交完成截止。</w:t>
      </w:r>
    </w:p>
    <w:p w14:paraId="625629E3">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color w:val="auto"/>
          <w:kern w:val="0"/>
          <w:sz w:val="24"/>
          <w:szCs w:val="24"/>
          <w:highlight w:val="none"/>
        </w:rPr>
      </w:pPr>
      <w:bookmarkStart w:id="232" w:name="_Toc387421068"/>
      <w:r>
        <w:rPr>
          <w:rFonts w:hint="eastAsia" w:ascii="仿宋" w:hAnsi="仿宋" w:eastAsia="仿宋" w:cs="宋体"/>
          <w:b/>
          <w:bCs/>
          <w:color w:val="auto"/>
          <w:kern w:val="0"/>
          <w:sz w:val="24"/>
          <w:szCs w:val="24"/>
          <w:highlight w:val="none"/>
          <w:lang w:val="en-US" w:eastAsia="zh-CN"/>
        </w:rPr>
        <w:t>7.</w:t>
      </w:r>
      <w:r>
        <w:rPr>
          <w:rFonts w:hint="eastAsia" w:ascii="仿宋" w:hAnsi="仿宋" w:eastAsia="仿宋" w:cs="宋体"/>
          <w:b/>
          <w:bCs/>
          <w:color w:val="auto"/>
          <w:kern w:val="0"/>
          <w:sz w:val="24"/>
          <w:szCs w:val="24"/>
          <w:highlight w:val="none"/>
        </w:rPr>
        <w:t>质量要求：</w:t>
      </w:r>
      <w:bookmarkStart w:id="233" w:name="D1质量要求"/>
      <w:r>
        <w:rPr>
          <w:rFonts w:hint="eastAsia" w:ascii="仿宋" w:hAnsi="仿宋" w:eastAsia="仿宋" w:cs="宋体"/>
          <w:color w:val="auto"/>
          <w:kern w:val="0"/>
          <w:sz w:val="24"/>
          <w:szCs w:val="24"/>
          <w:highlight w:val="none"/>
        </w:rPr>
        <w:t>合格</w:t>
      </w:r>
      <w:bookmarkEnd w:id="232"/>
      <w:bookmarkEnd w:id="233"/>
    </w:p>
    <w:p w14:paraId="06305E0F">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仿宋" w:hAnsi="仿宋" w:eastAsia="仿宋" w:cs="宋体"/>
          <w:b/>
          <w:bCs/>
          <w:color w:val="auto"/>
          <w:kern w:val="0"/>
          <w:sz w:val="24"/>
          <w:szCs w:val="24"/>
          <w:highlight w:val="none"/>
          <w:lang w:val="en-US" w:eastAsia="zh-CN"/>
        </w:rPr>
      </w:pPr>
      <w:r>
        <w:rPr>
          <w:rFonts w:hint="eastAsia" w:ascii="仿宋" w:hAnsi="仿宋" w:eastAsia="仿宋" w:cs="宋体"/>
          <w:b/>
          <w:bCs/>
          <w:color w:val="auto"/>
          <w:kern w:val="0"/>
          <w:sz w:val="24"/>
          <w:szCs w:val="24"/>
          <w:highlight w:val="none"/>
          <w:lang w:val="en-US" w:eastAsia="zh-CN"/>
        </w:rPr>
        <w:t>8.付款方式：</w:t>
      </w:r>
      <w:r>
        <w:rPr>
          <w:rFonts w:hint="eastAsia" w:ascii="仿宋" w:hAnsi="仿宋" w:eastAsia="仿宋"/>
          <w:color w:val="auto"/>
          <w:sz w:val="24"/>
          <w:highlight w:val="none"/>
        </w:rPr>
        <w:t>合同签订后支付合同总价款的</w:t>
      </w: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%，工程主体竣工后支付合同总价款的40%，工程整体竣工后支付合同价款的20%，监理资料移交完毕且保修期结束后支付合同价款的</w:t>
      </w:r>
      <w:r>
        <w:rPr>
          <w:rFonts w:hint="eastAsia" w:ascii="仿宋" w:hAnsi="仿宋" w:eastAsia="仿宋"/>
          <w:color w:val="auto"/>
          <w:sz w:val="24"/>
          <w:highlight w:val="none"/>
          <w:lang w:val="en-US" w:eastAsia="zh-CN"/>
        </w:rPr>
        <w:t>30</w:t>
      </w:r>
      <w:r>
        <w:rPr>
          <w:rFonts w:hint="eastAsia" w:ascii="仿宋" w:hAnsi="仿宋" w:eastAsia="仿宋"/>
          <w:color w:val="auto"/>
          <w:sz w:val="24"/>
          <w:highlight w:val="none"/>
        </w:rPr>
        <w:t>%。</w:t>
      </w:r>
    </w:p>
    <w:p w14:paraId="5129B421">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color w:val="auto"/>
          <w:kern w:val="0"/>
          <w:sz w:val="24"/>
          <w:szCs w:val="24"/>
          <w:highlight w:val="none"/>
        </w:rPr>
      </w:pPr>
      <w:bookmarkStart w:id="234" w:name="_Toc387421097"/>
      <w:r>
        <w:rPr>
          <w:rFonts w:hint="eastAsia" w:ascii="仿宋" w:hAnsi="仿宋" w:eastAsia="仿宋" w:cs="宋体"/>
          <w:b/>
          <w:bCs/>
          <w:color w:val="auto"/>
          <w:kern w:val="0"/>
          <w:sz w:val="24"/>
          <w:szCs w:val="24"/>
          <w:highlight w:val="none"/>
          <w:lang w:val="en-US" w:eastAsia="zh-CN"/>
        </w:rPr>
        <w:t>9.</w:t>
      </w:r>
      <w:r>
        <w:rPr>
          <w:rFonts w:hint="eastAsia" w:ascii="仿宋" w:hAnsi="仿宋" w:eastAsia="仿宋" w:cs="宋体"/>
          <w:b/>
          <w:bCs/>
          <w:color w:val="auto"/>
          <w:kern w:val="0"/>
          <w:sz w:val="24"/>
          <w:szCs w:val="24"/>
          <w:highlight w:val="none"/>
        </w:rPr>
        <w:t>投标报价的依据：</w:t>
      </w:r>
      <w:bookmarkEnd w:id="234"/>
      <w:r>
        <w:rPr>
          <w:rFonts w:hint="eastAsia" w:ascii="仿宋" w:hAnsi="仿宋" w:eastAsia="仿宋" w:cs="宋体"/>
          <w:color w:val="auto"/>
          <w:kern w:val="0"/>
          <w:sz w:val="24"/>
          <w:szCs w:val="24"/>
          <w:highlight w:val="none"/>
        </w:rPr>
        <w:t>《国家发展改革委关于进一步放开建设项目专业服务价格的通知》（发改价格[2015]299号）</w:t>
      </w:r>
      <w:bookmarkStart w:id="235" w:name="_Toc387421098"/>
      <w:r>
        <w:rPr>
          <w:rFonts w:hint="eastAsia" w:ascii="仿宋" w:hAnsi="仿宋" w:eastAsia="仿宋" w:cs="宋体"/>
          <w:color w:val="auto"/>
          <w:kern w:val="0"/>
          <w:sz w:val="24"/>
          <w:szCs w:val="24"/>
          <w:highlight w:val="none"/>
        </w:rPr>
        <w:t>，投标报价方式：</w:t>
      </w:r>
      <w:bookmarkEnd w:id="235"/>
      <w:r>
        <w:rPr>
          <w:rFonts w:hint="eastAsia" w:ascii="仿宋" w:hAnsi="仿宋" w:eastAsia="仿宋" w:cs="宋体"/>
          <w:color w:val="auto"/>
          <w:kern w:val="0"/>
          <w:sz w:val="24"/>
          <w:szCs w:val="24"/>
          <w:highlight w:val="none"/>
        </w:rPr>
        <w:t>直接报价</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lang w:val="en-US" w:eastAsia="zh-CN"/>
        </w:rPr>
        <w:t>监理服务费招标控制价为12万元</w:t>
      </w:r>
      <w:r>
        <w:rPr>
          <w:rFonts w:hint="eastAsia" w:ascii="仿宋" w:hAnsi="仿宋" w:eastAsia="仿宋" w:cs="宋体"/>
          <w:color w:val="auto"/>
          <w:kern w:val="0"/>
          <w:sz w:val="24"/>
          <w:szCs w:val="24"/>
          <w:highlight w:val="none"/>
        </w:rPr>
        <w:t>。</w:t>
      </w:r>
    </w:p>
    <w:p w14:paraId="239FD7A0">
      <w:pPr>
        <w:pStyle w:val="76"/>
        <w:keepNext w:val="0"/>
        <w:keepLines w:val="0"/>
        <w:pageBreakBefore w:val="0"/>
        <w:widowControl/>
        <w:kinsoku/>
        <w:wordWrap/>
        <w:overflowPunct/>
        <w:topLinePunct w:val="0"/>
        <w:autoSpaceDE/>
        <w:autoSpaceDN/>
        <w:bidi w:val="0"/>
        <w:spacing w:line="360" w:lineRule="auto"/>
        <w:ind w:firstLine="0" w:firstLineChars="0"/>
        <w:textAlignment w:val="auto"/>
        <w:rPr>
          <w:rFonts w:hint="eastAsia" w:ascii="仿宋" w:hAnsi="仿宋" w:eastAsia="仿宋" w:cs="宋体"/>
          <w:color w:val="auto"/>
          <w:kern w:val="0"/>
          <w:sz w:val="24"/>
          <w:szCs w:val="24"/>
          <w:highlight w:val="none"/>
        </w:rPr>
      </w:pPr>
      <w:r>
        <w:rPr>
          <w:rFonts w:hint="eastAsia" w:ascii="仿宋" w:hAnsi="仿宋" w:eastAsia="仿宋" w:cs="宋体"/>
          <w:b/>
          <w:bCs/>
          <w:color w:val="auto"/>
          <w:kern w:val="0"/>
          <w:sz w:val="24"/>
          <w:szCs w:val="24"/>
          <w:highlight w:val="none"/>
          <w:lang w:val="en-US" w:eastAsia="zh-CN"/>
        </w:rPr>
        <w:t>10.</w:t>
      </w:r>
      <w:r>
        <w:rPr>
          <w:rFonts w:hint="eastAsia" w:ascii="仿宋" w:hAnsi="仿宋" w:eastAsia="仿宋" w:cs="宋体"/>
          <w:b/>
          <w:bCs/>
          <w:color w:val="auto"/>
          <w:kern w:val="0"/>
          <w:sz w:val="24"/>
          <w:szCs w:val="24"/>
          <w:highlight w:val="none"/>
        </w:rPr>
        <w:t>技术规范：</w:t>
      </w:r>
      <w:r>
        <w:rPr>
          <w:rFonts w:hint="eastAsia" w:ascii="仿宋" w:hAnsi="仿宋" w:eastAsia="仿宋" w:cs="宋体"/>
          <w:color w:val="auto"/>
          <w:kern w:val="0"/>
          <w:sz w:val="24"/>
          <w:szCs w:val="24"/>
          <w:highlight w:val="none"/>
        </w:rPr>
        <w:t>本工程施工监理咨询采用施工图设计中要求的规范及现行国家、地方有关规范和标准执行。</w:t>
      </w:r>
    </w:p>
    <w:p w14:paraId="67B6DD83">
      <w:pPr>
        <w:rPr>
          <w:rFonts w:hint="default"/>
          <w:color w:val="auto"/>
          <w:sz w:val="28"/>
          <w:szCs w:val="36"/>
          <w:highlight w:val="none"/>
          <w:lang w:val="en-US" w:eastAsia="zh-CN"/>
        </w:rPr>
      </w:pPr>
    </w:p>
    <w:bookmarkEnd w:id="230"/>
    <w:bookmarkEnd w:id="231"/>
    <w:p w14:paraId="4C218272">
      <w:pPr>
        <w:rPr>
          <w:rFonts w:hint="eastAsia"/>
          <w:color w:val="auto"/>
          <w:sz w:val="32"/>
          <w:szCs w:val="32"/>
          <w:highlight w:val="none"/>
          <w:lang w:val="en-US" w:eastAsia="zh-CN"/>
        </w:rPr>
      </w:pPr>
      <w:bookmarkStart w:id="236" w:name="_Toc15906"/>
      <w:r>
        <w:rPr>
          <w:rFonts w:hint="eastAsia"/>
          <w:color w:val="auto"/>
          <w:sz w:val="32"/>
          <w:szCs w:val="32"/>
          <w:highlight w:val="none"/>
          <w:lang w:val="en-US" w:eastAsia="zh-CN"/>
        </w:rPr>
        <w:br w:type="page"/>
      </w:r>
    </w:p>
    <w:p w14:paraId="61E9A2EA">
      <w:pPr>
        <w:pStyle w:val="2"/>
        <w:bidi w:val="0"/>
        <w:jc w:val="center"/>
        <w:rPr>
          <w:rFonts w:hint="eastAsia"/>
          <w:color w:val="auto"/>
          <w:sz w:val="32"/>
          <w:szCs w:val="32"/>
          <w:highlight w:val="none"/>
          <w:lang w:val="en-US" w:eastAsia="zh-CN"/>
        </w:rPr>
      </w:pPr>
      <w:r>
        <w:rPr>
          <w:rFonts w:hint="eastAsia"/>
          <w:color w:val="auto"/>
          <w:sz w:val="32"/>
          <w:szCs w:val="32"/>
          <w:highlight w:val="none"/>
          <w:lang w:val="en-US" w:eastAsia="zh-CN"/>
        </w:rPr>
        <w:t>第七章     响应文件格式与要求</w:t>
      </w:r>
      <w:bookmarkEnd w:id="236"/>
    </w:p>
    <w:p w14:paraId="1EBAAAEF">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目 录</w:t>
      </w:r>
    </w:p>
    <w:p w14:paraId="6C39068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一、响应文件封面</w:t>
      </w:r>
    </w:p>
    <w:p w14:paraId="68344F35">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二、资格证明文件封面</w:t>
      </w:r>
    </w:p>
    <w:p w14:paraId="48016C81">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三、 营业执照</w:t>
      </w:r>
    </w:p>
    <w:p w14:paraId="6E4103AB">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四、法定代表人身份证明</w:t>
      </w:r>
    </w:p>
    <w:p w14:paraId="33B72661">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五、法定代表人授权委托书</w:t>
      </w:r>
    </w:p>
    <w:p w14:paraId="3F217647">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六、投标人基本情况</w:t>
      </w:r>
    </w:p>
    <w:p w14:paraId="0DEEC59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七、反商业贿赂承诺书</w:t>
      </w:r>
    </w:p>
    <w:p w14:paraId="7C2BFCB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八、参加政府采购活动前三年内在经营活动中无重大违法记录的书面声明</w:t>
      </w:r>
    </w:p>
    <w:p w14:paraId="54CA9A3D">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九、响应函</w:t>
      </w:r>
    </w:p>
    <w:p w14:paraId="008FF6E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十、开标一览表</w:t>
      </w:r>
    </w:p>
    <w:p w14:paraId="5508EF9E">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一</w:t>
      </w:r>
      <w:r>
        <w:rPr>
          <w:rFonts w:hint="eastAsia"/>
          <w:color w:val="auto"/>
          <w:sz w:val="21"/>
          <w:szCs w:val="21"/>
          <w:highlight w:val="none"/>
        </w:rPr>
        <w:t>、业绩资料</w:t>
      </w:r>
    </w:p>
    <w:p w14:paraId="29BA5392">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二</w:t>
      </w:r>
      <w:r>
        <w:rPr>
          <w:rFonts w:hint="eastAsia"/>
          <w:color w:val="auto"/>
          <w:sz w:val="21"/>
          <w:szCs w:val="21"/>
          <w:highlight w:val="none"/>
        </w:rPr>
        <w:t>、商务响应/偏离表</w:t>
      </w:r>
    </w:p>
    <w:p w14:paraId="10A78284">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三</w:t>
      </w:r>
      <w:r>
        <w:rPr>
          <w:rFonts w:hint="eastAsia"/>
          <w:color w:val="auto"/>
          <w:sz w:val="21"/>
          <w:szCs w:val="21"/>
          <w:highlight w:val="none"/>
        </w:rPr>
        <w:t>、其他证明文件</w:t>
      </w:r>
    </w:p>
    <w:p w14:paraId="66111A9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四</w:t>
      </w:r>
      <w:r>
        <w:rPr>
          <w:rFonts w:hint="eastAsia"/>
          <w:color w:val="auto"/>
          <w:sz w:val="21"/>
          <w:szCs w:val="21"/>
          <w:highlight w:val="none"/>
        </w:rPr>
        <w:t>、分项价格表</w:t>
      </w:r>
    </w:p>
    <w:p w14:paraId="183EA1B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五</w:t>
      </w:r>
      <w:r>
        <w:rPr>
          <w:rFonts w:hint="eastAsia"/>
          <w:color w:val="auto"/>
          <w:sz w:val="21"/>
          <w:szCs w:val="21"/>
          <w:highlight w:val="none"/>
        </w:rPr>
        <w:t xml:space="preserve">、拟投入主要设备  </w:t>
      </w:r>
    </w:p>
    <w:p w14:paraId="0ED568AA">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六</w:t>
      </w:r>
      <w:r>
        <w:rPr>
          <w:rFonts w:hint="eastAsia"/>
          <w:color w:val="auto"/>
          <w:sz w:val="21"/>
          <w:szCs w:val="21"/>
          <w:highlight w:val="none"/>
        </w:rPr>
        <w:t xml:space="preserve">、技术响应/偏离表 </w:t>
      </w:r>
    </w:p>
    <w:p w14:paraId="5ACBB505">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十七</w:t>
      </w:r>
      <w:r>
        <w:rPr>
          <w:rFonts w:hint="eastAsia"/>
          <w:color w:val="auto"/>
          <w:sz w:val="21"/>
          <w:szCs w:val="21"/>
          <w:highlight w:val="none"/>
        </w:rPr>
        <w:t>、项目负责人表</w:t>
      </w:r>
    </w:p>
    <w:p w14:paraId="5280E063">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十八</w:t>
      </w:r>
      <w:r>
        <w:rPr>
          <w:rFonts w:hint="eastAsia"/>
          <w:color w:val="auto"/>
          <w:sz w:val="21"/>
          <w:szCs w:val="21"/>
          <w:highlight w:val="none"/>
        </w:rPr>
        <w:t xml:space="preserve">、拟投入本项目的主要成员表  </w:t>
      </w:r>
    </w:p>
    <w:p w14:paraId="77C0DA04">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十九</w:t>
      </w:r>
      <w:r>
        <w:rPr>
          <w:rFonts w:hint="eastAsia"/>
          <w:color w:val="auto"/>
          <w:sz w:val="21"/>
          <w:szCs w:val="21"/>
          <w:highlight w:val="none"/>
        </w:rPr>
        <w:t xml:space="preserve">、重大违法记录的声明函 </w:t>
      </w:r>
    </w:p>
    <w:p w14:paraId="0D1333FC">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 xml:space="preserve">二十、中小企业声明函  </w:t>
      </w:r>
    </w:p>
    <w:p w14:paraId="324DECAD">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一</w:t>
      </w:r>
      <w:r>
        <w:rPr>
          <w:rFonts w:hint="eastAsia"/>
          <w:color w:val="auto"/>
          <w:sz w:val="21"/>
          <w:szCs w:val="21"/>
          <w:highlight w:val="none"/>
        </w:rPr>
        <w:t>、其他文件</w:t>
      </w:r>
    </w:p>
    <w:p w14:paraId="77DBFDC6">
      <w:pPr>
        <w:pStyle w:val="33"/>
        <w:pageBreakBefore w:val="0"/>
        <w:numPr>
          <w:ilvl w:val="0"/>
          <w:numId w:val="0"/>
        </w:numPr>
        <w:kinsoku/>
        <w:wordWrap/>
        <w:overflowPunct/>
        <w:topLinePunct w:val="0"/>
        <w:bidi w:val="0"/>
        <w:spacing w:line="360" w:lineRule="auto"/>
        <w:rPr>
          <w:rFonts w:hAnsi="OPMFEL+ËÎÌå" w:cs="OPMFEL+ËÎÌå"/>
          <w:color w:val="auto"/>
          <w:spacing w:val="1"/>
          <w:sz w:val="32"/>
          <w:szCs w:val="22"/>
          <w:highlight w:val="none"/>
        </w:rPr>
      </w:pPr>
    </w:p>
    <w:bookmarkEnd w:id="220"/>
    <w:bookmarkEnd w:id="221"/>
    <w:bookmarkEnd w:id="222"/>
    <w:bookmarkEnd w:id="223"/>
    <w:bookmarkEnd w:id="224"/>
    <w:p w14:paraId="60146DB5">
      <w:pPr>
        <w:pageBreakBefore w:val="0"/>
        <w:kinsoku/>
        <w:wordWrap/>
        <w:overflowPunct/>
        <w:topLinePunct w:val="0"/>
        <w:bidi w:val="0"/>
        <w:spacing w:line="360" w:lineRule="auto"/>
        <w:outlineLvl w:val="1"/>
        <w:rPr>
          <w:rFonts w:ascii="宋体" w:hAnsi="宋体" w:cs="宋体"/>
          <w:color w:val="auto"/>
          <w:sz w:val="24"/>
          <w:highlight w:val="none"/>
          <w:u w:val="single" w:color="FFFFFF" w:themeColor="background1"/>
        </w:rPr>
      </w:pPr>
    </w:p>
    <w:p w14:paraId="34C9450D">
      <w:pPr>
        <w:pStyle w:val="6"/>
        <w:rPr>
          <w:rFonts w:ascii="宋体" w:hAnsi="宋体" w:cs="宋体"/>
          <w:color w:val="auto"/>
          <w:sz w:val="24"/>
          <w:highlight w:val="none"/>
          <w:u w:val="single" w:color="FFFFFF" w:themeColor="background1"/>
        </w:rPr>
      </w:pPr>
    </w:p>
    <w:p w14:paraId="19DEEC3C">
      <w:pPr>
        <w:rPr>
          <w:rFonts w:ascii="宋体" w:hAnsi="宋体" w:cs="宋体"/>
          <w:color w:val="auto"/>
          <w:sz w:val="24"/>
          <w:highlight w:val="none"/>
          <w:u w:val="single" w:color="FFFFFF" w:themeColor="background1"/>
        </w:rPr>
      </w:pPr>
    </w:p>
    <w:p w14:paraId="2AD8140D">
      <w:pPr>
        <w:pStyle w:val="6"/>
        <w:rPr>
          <w:color w:val="auto"/>
          <w:highlight w:val="none"/>
        </w:rPr>
      </w:pPr>
    </w:p>
    <w:p w14:paraId="01F75B5D">
      <w:pPr>
        <w:rPr>
          <w:color w:val="auto"/>
          <w:highlight w:val="none"/>
        </w:rPr>
      </w:pPr>
    </w:p>
    <w:p w14:paraId="1498C92D">
      <w:pPr>
        <w:rPr>
          <w:rFonts w:hint="eastAsia" w:ascii="宋体" w:hAnsi="宋体" w:cs="宋体"/>
          <w:color w:val="auto"/>
          <w:sz w:val="24"/>
          <w:highlight w:val="none"/>
          <w:u w:val="single" w:color="FFFFFF" w:themeColor="background1"/>
        </w:rPr>
      </w:pPr>
      <w:bookmarkStart w:id="237" w:name="_Toc30560"/>
      <w:bookmarkStart w:id="238" w:name="_Toc5458"/>
      <w:r>
        <w:rPr>
          <w:rFonts w:hint="eastAsia" w:ascii="宋体" w:hAnsi="宋体" w:cs="宋体"/>
          <w:color w:val="auto"/>
          <w:sz w:val="24"/>
          <w:highlight w:val="none"/>
          <w:u w:val="single" w:color="FFFFFF" w:themeColor="background1"/>
        </w:rPr>
        <w:br w:type="page"/>
      </w:r>
    </w:p>
    <w:p w14:paraId="379554E1">
      <w:pPr>
        <w:pageBreakBefore w:val="0"/>
        <w:kinsoku/>
        <w:wordWrap/>
        <w:overflowPunct/>
        <w:topLinePunct w:val="0"/>
        <w:bidi w:val="0"/>
        <w:spacing w:line="360" w:lineRule="auto"/>
        <w:outlineLvl w:val="1"/>
        <w:rPr>
          <w:rFonts w:ascii="宋体" w:hAnsi="宋体" w:cs="宋体"/>
          <w:b/>
          <w:bCs/>
          <w:color w:val="auto"/>
          <w:sz w:val="28"/>
          <w:szCs w:val="28"/>
          <w:highlight w:val="none"/>
        </w:rPr>
      </w:pPr>
      <w:r>
        <w:rPr>
          <w:rFonts w:hint="eastAsia" w:ascii="宋体" w:hAnsi="宋体" w:cs="宋体"/>
          <w:color w:val="auto"/>
          <w:sz w:val="24"/>
          <w:highlight w:val="none"/>
          <w:u w:val="single" w:color="FFFFFF" w:themeColor="background1"/>
        </w:rPr>
        <w:t>一、响应文件封面示例</w:t>
      </w:r>
      <w:bookmarkEnd w:id="237"/>
      <w:r>
        <w:rPr>
          <w:rFonts w:hint="eastAsia" w:ascii="宋体" w:hAnsi="宋体" w:cs="宋体"/>
          <w:color w:val="auto"/>
          <w:sz w:val="24"/>
          <w:highlight w:val="none"/>
          <w:u w:val="single" w:color="FFFFFF" w:themeColor="background1"/>
        </w:rPr>
        <w:t xml:space="preserve">  </w:t>
      </w:r>
      <w:r>
        <w:rPr>
          <w:rFonts w:hint="eastAsia" w:ascii="宋体" w:hAnsi="宋体" w:cs="宋体"/>
          <w:color w:val="auto"/>
          <w:sz w:val="28"/>
          <w:szCs w:val="28"/>
          <w:highlight w:val="none"/>
          <w:u w:val="single" w:color="FFFFFF" w:themeColor="background1"/>
        </w:rPr>
        <w:t xml:space="preserve">                                   </w:t>
      </w:r>
      <w:bookmarkEnd w:id="238"/>
    </w:p>
    <w:p w14:paraId="0AFC41ED">
      <w:pPr>
        <w:pageBreakBefore w:val="0"/>
        <w:kinsoku/>
        <w:wordWrap/>
        <w:overflowPunct/>
        <w:topLinePunct w:val="0"/>
        <w:bidi w:val="0"/>
        <w:spacing w:line="360" w:lineRule="auto"/>
        <w:rPr>
          <w:rFonts w:ascii="宋体" w:hAnsi="宋体" w:cs="宋体"/>
          <w:color w:val="auto"/>
          <w:sz w:val="28"/>
          <w:szCs w:val="28"/>
          <w:highlight w:val="none"/>
          <w:u w:val="single" w:color="FFFFFF" w:themeColor="background1"/>
        </w:rPr>
      </w:pPr>
    </w:p>
    <w:p w14:paraId="37014C9E">
      <w:pPr>
        <w:pageBreakBefore w:val="0"/>
        <w:kinsoku/>
        <w:wordWrap/>
        <w:overflowPunct/>
        <w:topLinePunct w:val="0"/>
        <w:bidi w:val="0"/>
        <w:spacing w:line="360" w:lineRule="auto"/>
        <w:outlineLvl w:val="2"/>
        <w:rPr>
          <w:rFonts w:ascii="宋体" w:hAnsi="宋体" w:cs="宋体"/>
          <w:b/>
          <w:bCs/>
          <w:color w:val="auto"/>
          <w:sz w:val="28"/>
          <w:szCs w:val="28"/>
          <w:highlight w:val="none"/>
          <w:u w:val="single"/>
        </w:rPr>
      </w:pPr>
      <w:bookmarkStart w:id="239" w:name="_Toc23737"/>
      <w:bookmarkStart w:id="240" w:name="_Toc26056"/>
      <w:bookmarkStart w:id="241" w:name="_Toc18276"/>
      <w:bookmarkStart w:id="242" w:name="_Toc23872"/>
      <w:bookmarkStart w:id="243" w:name="_Toc15215"/>
      <w:bookmarkStart w:id="244" w:name="_Toc10419"/>
      <w:bookmarkStart w:id="245" w:name="_Toc3765"/>
      <w:bookmarkStart w:id="246" w:name="_Toc16671"/>
      <w:bookmarkStart w:id="247" w:name="_Toc13332"/>
      <w:r>
        <w:rPr>
          <w:rFonts w:hint="eastAsia" w:ascii="宋体" w:hAnsi="宋体" w:cs="宋体"/>
          <w:b/>
          <w:bCs/>
          <w:color w:val="auto"/>
          <w:sz w:val="28"/>
          <w:szCs w:val="28"/>
          <w:highlight w:val="none"/>
        </w:rPr>
        <w:t>项目名称：</w:t>
      </w:r>
      <w:r>
        <w:rPr>
          <w:rFonts w:hint="eastAsia" w:ascii="宋体" w:hAnsi="宋体" w:cs="宋体"/>
          <w:b/>
          <w:bCs/>
          <w:color w:val="auto"/>
          <w:sz w:val="28"/>
          <w:szCs w:val="28"/>
          <w:highlight w:val="none"/>
          <w:u w:val="single"/>
        </w:rPr>
        <w:t xml:space="preserve"> xxxxxxxxx</w:t>
      </w:r>
      <w:bookmarkEnd w:id="239"/>
      <w:bookmarkEnd w:id="240"/>
      <w:bookmarkEnd w:id="241"/>
      <w:bookmarkEnd w:id="242"/>
      <w:bookmarkEnd w:id="243"/>
      <w:bookmarkEnd w:id="244"/>
      <w:bookmarkEnd w:id="245"/>
      <w:bookmarkEnd w:id="246"/>
      <w:bookmarkEnd w:id="247"/>
    </w:p>
    <w:p w14:paraId="76F84C3E">
      <w:pPr>
        <w:pStyle w:val="33"/>
        <w:pageBreakBefore w:val="0"/>
        <w:numPr>
          <w:ilvl w:val="0"/>
          <w:numId w:val="0"/>
        </w:numPr>
        <w:kinsoku/>
        <w:wordWrap/>
        <w:overflowPunct/>
        <w:topLinePunct w:val="0"/>
        <w:bidi w:val="0"/>
        <w:spacing w:line="360" w:lineRule="auto"/>
        <w:jc w:val="both"/>
        <w:outlineLvl w:val="2"/>
        <w:rPr>
          <w:rFonts w:hint="eastAsia"/>
          <w:color w:val="auto"/>
          <w:sz w:val="28"/>
          <w:szCs w:val="28"/>
          <w:highlight w:val="none"/>
        </w:rPr>
      </w:pPr>
      <w:bookmarkStart w:id="248" w:name="_Toc26746"/>
      <w:bookmarkStart w:id="249" w:name="_Toc19788"/>
      <w:bookmarkStart w:id="250" w:name="_Toc835"/>
      <w:bookmarkStart w:id="251" w:name="_Toc12001"/>
      <w:bookmarkStart w:id="252" w:name="_Toc8809"/>
      <w:bookmarkStart w:id="253" w:name="_Toc27634"/>
      <w:bookmarkStart w:id="254" w:name="_Toc14914"/>
      <w:bookmarkStart w:id="255" w:name="_Toc32491"/>
      <w:bookmarkStart w:id="256" w:name="_Toc3654"/>
      <w:r>
        <w:rPr>
          <w:rFonts w:hint="eastAsia"/>
          <w:color w:val="auto"/>
          <w:sz w:val="28"/>
          <w:szCs w:val="28"/>
          <w:highlight w:val="none"/>
        </w:rPr>
        <w:t>项目编号：xxxxxxxxxxx</w:t>
      </w:r>
      <w:bookmarkEnd w:id="248"/>
      <w:bookmarkEnd w:id="249"/>
      <w:bookmarkEnd w:id="250"/>
      <w:bookmarkEnd w:id="251"/>
      <w:bookmarkEnd w:id="252"/>
      <w:bookmarkEnd w:id="253"/>
      <w:bookmarkEnd w:id="254"/>
      <w:bookmarkEnd w:id="255"/>
      <w:bookmarkEnd w:id="256"/>
    </w:p>
    <w:p w14:paraId="1CC4C84E">
      <w:pPr>
        <w:pageBreakBefore w:val="0"/>
        <w:kinsoku/>
        <w:wordWrap/>
        <w:overflowPunct/>
        <w:topLinePunct w:val="0"/>
        <w:bidi w:val="0"/>
        <w:spacing w:line="360" w:lineRule="auto"/>
        <w:ind w:firstLine="2249" w:firstLineChars="800"/>
        <w:rPr>
          <w:rFonts w:ascii="宋体" w:hAnsi="宋体" w:cs="宋体"/>
          <w:b/>
          <w:bCs/>
          <w:color w:val="auto"/>
          <w:sz w:val="28"/>
          <w:szCs w:val="28"/>
          <w:highlight w:val="none"/>
        </w:rPr>
      </w:pPr>
    </w:p>
    <w:p w14:paraId="2EDD01FF">
      <w:pPr>
        <w:pageBreakBefore w:val="0"/>
        <w:kinsoku/>
        <w:wordWrap/>
        <w:overflowPunct/>
        <w:topLinePunct w:val="0"/>
        <w:bidi w:val="0"/>
        <w:spacing w:line="360" w:lineRule="auto"/>
        <w:ind w:firstLine="2168" w:firstLineChars="300"/>
        <w:rPr>
          <w:rFonts w:ascii="宋体" w:hAnsi="宋体" w:cs="宋体"/>
          <w:b/>
          <w:bCs/>
          <w:color w:val="auto"/>
          <w:sz w:val="72"/>
          <w:szCs w:val="72"/>
          <w:highlight w:val="none"/>
        </w:rPr>
      </w:pPr>
      <w:r>
        <w:rPr>
          <w:rFonts w:hint="eastAsia" w:ascii="宋体" w:hAnsi="宋体" w:cs="宋体"/>
          <w:b/>
          <w:bCs/>
          <w:color w:val="auto"/>
          <w:sz w:val="72"/>
          <w:szCs w:val="72"/>
          <w:highlight w:val="none"/>
        </w:rPr>
        <w:t>响  应  文  件</w:t>
      </w:r>
    </w:p>
    <w:p w14:paraId="4B78BA32">
      <w:pPr>
        <w:pageBreakBefore w:val="0"/>
        <w:kinsoku/>
        <w:wordWrap/>
        <w:overflowPunct/>
        <w:topLinePunct w:val="0"/>
        <w:bidi w:val="0"/>
        <w:spacing w:line="360" w:lineRule="auto"/>
        <w:rPr>
          <w:rFonts w:ascii="宋体" w:hAnsi="宋体" w:cs="宋体"/>
          <w:color w:val="auto"/>
          <w:sz w:val="72"/>
          <w:szCs w:val="72"/>
          <w:highlight w:val="none"/>
        </w:rPr>
      </w:pPr>
    </w:p>
    <w:p w14:paraId="4AEA9119">
      <w:pPr>
        <w:pageBreakBefore w:val="0"/>
        <w:kinsoku/>
        <w:wordWrap/>
        <w:overflowPunct/>
        <w:topLinePunct w:val="0"/>
        <w:bidi w:val="0"/>
        <w:spacing w:line="360" w:lineRule="auto"/>
        <w:rPr>
          <w:rFonts w:ascii="宋体" w:hAnsi="宋体" w:cs="宋体"/>
          <w:color w:val="auto"/>
          <w:sz w:val="28"/>
          <w:szCs w:val="28"/>
          <w:highlight w:val="none"/>
        </w:rPr>
      </w:pPr>
    </w:p>
    <w:p w14:paraId="01369AB5">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257" w:name="_Toc31850"/>
      <w:bookmarkStart w:id="258" w:name="_Toc30248"/>
      <w:bookmarkStart w:id="259" w:name="_Toc6939"/>
      <w:bookmarkStart w:id="260" w:name="_Toc29618"/>
      <w:bookmarkStart w:id="261" w:name="_Toc26419"/>
      <w:bookmarkStart w:id="262" w:name="_Toc21216"/>
      <w:bookmarkStart w:id="263" w:name="_Toc1926"/>
      <w:bookmarkStart w:id="264" w:name="_Toc17227"/>
      <w:bookmarkStart w:id="265" w:name="_Toc27912"/>
      <w:r>
        <w:rPr>
          <w:rFonts w:hint="eastAsia" w:ascii="宋体" w:hAnsi="宋体" w:cs="宋体"/>
          <w:color w:val="auto"/>
          <w:spacing w:val="26"/>
          <w:kern w:val="0"/>
          <w:sz w:val="28"/>
          <w:szCs w:val="28"/>
          <w:highlight w:val="none"/>
        </w:rPr>
        <w:t>供应商名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257"/>
      <w:bookmarkEnd w:id="258"/>
      <w:bookmarkEnd w:id="259"/>
      <w:bookmarkEnd w:id="260"/>
      <w:bookmarkEnd w:id="261"/>
      <w:bookmarkEnd w:id="262"/>
      <w:bookmarkEnd w:id="263"/>
      <w:bookmarkEnd w:id="264"/>
      <w:bookmarkEnd w:id="265"/>
    </w:p>
    <w:p w14:paraId="4F7B88C7">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2DB309E">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266" w:name="_Toc9945"/>
      <w:bookmarkStart w:id="267" w:name="_Toc28074"/>
      <w:bookmarkStart w:id="268" w:name="_Toc22085"/>
      <w:bookmarkStart w:id="269" w:name="_Toc9367"/>
      <w:bookmarkStart w:id="270" w:name="_Toc23287"/>
      <w:bookmarkStart w:id="271" w:name="_Toc13637"/>
      <w:bookmarkStart w:id="272" w:name="_Toc2785"/>
      <w:bookmarkStart w:id="273" w:name="_Toc14020"/>
      <w:bookmarkStart w:id="274" w:name="_Toc11785"/>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266"/>
      <w:bookmarkEnd w:id="267"/>
      <w:bookmarkEnd w:id="268"/>
      <w:bookmarkEnd w:id="269"/>
      <w:bookmarkEnd w:id="270"/>
      <w:bookmarkEnd w:id="271"/>
      <w:bookmarkEnd w:id="272"/>
      <w:bookmarkEnd w:id="273"/>
      <w:bookmarkEnd w:id="274"/>
    </w:p>
    <w:p w14:paraId="59B78F13">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5233D8F7">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275" w:name="_Toc14680"/>
      <w:bookmarkStart w:id="276" w:name="_Toc10844"/>
      <w:bookmarkStart w:id="277" w:name="_Toc29057"/>
      <w:bookmarkStart w:id="278" w:name="_Toc29650"/>
      <w:bookmarkStart w:id="279" w:name="_Toc14610"/>
      <w:bookmarkStart w:id="280" w:name="_Toc16702"/>
      <w:bookmarkStart w:id="281" w:name="_Toc21892"/>
      <w:bookmarkStart w:id="282" w:name="_Toc22852"/>
      <w:bookmarkStart w:id="283" w:name="_Toc5276"/>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275"/>
      <w:bookmarkEnd w:id="276"/>
      <w:bookmarkEnd w:id="277"/>
      <w:bookmarkEnd w:id="278"/>
      <w:bookmarkEnd w:id="279"/>
      <w:bookmarkEnd w:id="280"/>
      <w:bookmarkEnd w:id="281"/>
      <w:bookmarkEnd w:id="282"/>
      <w:bookmarkEnd w:id="283"/>
    </w:p>
    <w:p w14:paraId="0030D19C">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C6ECE54">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284" w:name="_Toc19720"/>
      <w:bookmarkStart w:id="285" w:name="_Toc18058"/>
      <w:bookmarkStart w:id="286" w:name="_Toc23677"/>
      <w:bookmarkStart w:id="287" w:name="_Toc1865"/>
      <w:bookmarkStart w:id="288" w:name="_Toc20742"/>
      <w:bookmarkStart w:id="289" w:name="_Toc2962"/>
      <w:bookmarkStart w:id="290" w:name="_Toc30887"/>
      <w:bookmarkStart w:id="291" w:name="_Toc6532"/>
      <w:bookmarkStart w:id="292" w:name="_Toc4927"/>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284"/>
      <w:bookmarkEnd w:id="285"/>
      <w:bookmarkEnd w:id="286"/>
      <w:bookmarkEnd w:id="287"/>
      <w:bookmarkEnd w:id="288"/>
      <w:bookmarkEnd w:id="289"/>
      <w:bookmarkEnd w:id="290"/>
      <w:bookmarkEnd w:id="291"/>
      <w:bookmarkEnd w:id="292"/>
    </w:p>
    <w:p w14:paraId="0DB8260E">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2CA217A">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293" w:name="_Toc30506"/>
      <w:bookmarkStart w:id="294" w:name="_Toc7913"/>
      <w:bookmarkStart w:id="295" w:name="_Toc30785"/>
      <w:bookmarkStart w:id="296" w:name="_Toc5298"/>
      <w:bookmarkStart w:id="297" w:name="_Toc24235"/>
      <w:bookmarkStart w:id="298" w:name="_Toc27915"/>
      <w:bookmarkStart w:id="299" w:name="_Toc28848"/>
      <w:bookmarkStart w:id="300" w:name="_Toc9693"/>
      <w:bookmarkStart w:id="301" w:name="_Toc24586"/>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293"/>
      <w:bookmarkEnd w:id="294"/>
      <w:bookmarkEnd w:id="295"/>
      <w:bookmarkEnd w:id="296"/>
      <w:bookmarkEnd w:id="297"/>
      <w:bookmarkEnd w:id="298"/>
      <w:bookmarkEnd w:id="299"/>
      <w:bookmarkEnd w:id="300"/>
      <w:bookmarkEnd w:id="301"/>
    </w:p>
    <w:p w14:paraId="35622543">
      <w:pPr>
        <w:pageBreakBefore w:val="0"/>
        <w:kinsoku/>
        <w:wordWrap/>
        <w:overflowPunct/>
        <w:topLinePunct w:val="0"/>
        <w:bidi w:val="0"/>
        <w:spacing w:before="539" w:line="360" w:lineRule="auto"/>
        <w:outlineLvl w:val="1"/>
        <w:rPr>
          <w:rFonts w:hint="eastAsia" w:ascii="NTAFTU+ËÎÌå" w:hAnsi="NTAFTU+ËÎÌå" w:cs="NTAFTU+ËÎÌå"/>
          <w:color w:val="auto"/>
          <w:szCs w:val="22"/>
          <w:highlight w:val="none"/>
        </w:rPr>
      </w:pPr>
      <w:bookmarkStart w:id="302" w:name="_Toc10393"/>
    </w:p>
    <w:p w14:paraId="06E4C2C9">
      <w:pPr>
        <w:rPr>
          <w:rFonts w:hint="eastAsia" w:ascii="NTAFTU+ËÎÌå" w:hAnsi="NTAFTU+ËÎÌå" w:cs="NTAFTU+ËÎÌå"/>
          <w:color w:val="auto"/>
          <w:szCs w:val="22"/>
          <w:highlight w:val="none"/>
        </w:rPr>
      </w:pPr>
      <w:r>
        <w:rPr>
          <w:rFonts w:hint="eastAsia" w:ascii="NTAFTU+ËÎÌå" w:hAnsi="NTAFTU+ËÎÌå" w:cs="NTAFTU+ËÎÌå"/>
          <w:color w:val="auto"/>
          <w:szCs w:val="22"/>
          <w:highlight w:val="none"/>
        </w:rPr>
        <w:br w:type="page"/>
      </w:r>
    </w:p>
    <w:p w14:paraId="7A43C06F">
      <w:pPr>
        <w:pageBreakBefore w:val="0"/>
        <w:kinsoku/>
        <w:wordWrap/>
        <w:overflowPunct/>
        <w:topLinePunct w:val="0"/>
        <w:bidi w:val="0"/>
        <w:spacing w:before="539" w:line="360" w:lineRule="auto"/>
        <w:outlineLvl w:val="1"/>
        <w:rPr>
          <w:rFonts w:hAnsi="Calibri"/>
          <w:color w:val="auto"/>
          <w:szCs w:val="22"/>
          <w:highlight w:val="none"/>
        </w:rPr>
      </w:pPr>
      <w:bookmarkStart w:id="303" w:name="_Toc2215"/>
      <w:r>
        <w:rPr>
          <w:rFonts w:hint="eastAsia" w:ascii="NTAFTU+ËÎÌå" w:hAnsi="NTAFTU+ËÎÌå" w:cs="NTAFTU+ËÎÌå"/>
          <w:color w:val="auto"/>
          <w:szCs w:val="22"/>
          <w:highlight w:val="none"/>
        </w:rPr>
        <w:t>二</w:t>
      </w:r>
      <w:r>
        <w:rPr>
          <w:rFonts w:ascii="NTAFTU+ËÎÌå" w:hAnsi="NTAFTU+ËÎÌå" w:cs="NTAFTU+ËÎÌå"/>
          <w:color w:val="auto"/>
          <w:szCs w:val="22"/>
          <w:highlight w:val="none"/>
        </w:rPr>
        <w:t>、资格证明文件封面</w:t>
      </w:r>
      <w:bookmarkEnd w:id="302"/>
      <w:bookmarkEnd w:id="303"/>
    </w:p>
    <w:p w14:paraId="70FE8100">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304" w:name="_Toc173"/>
      <w:bookmarkStart w:id="305" w:name="_Toc11670"/>
      <w:bookmarkStart w:id="306" w:name="_Toc16119"/>
      <w:bookmarkStart w:id="307" w:name="_Toc32004"/>
      <w:r>
        <w:rPr>
          <w:rFonts w:ascii="NTAFTU+ËÎÌå" w:hAnsi="NTAFTU+ËÎÌå" w:cs="NTAFTU+ËÎÌå"/>
          <w:color w:val="auto"/>
          <w:spacing w:val="2"/>
          <w:sz w:val="32"/>
          <w:szCs w:val="22"/>
          <w:highlight w:val="none"/>
        </w:rPr>
        <w:t>项目名称：</w:t>
      </w:r>
      <w:r>
        <w:rPr>
          <w:rFonts w:hint="eastAsia" w:ascii="宋体" w:hAnsi="宋体" w:cs="宋体"/>
          <w:b/>
          <w:bCs/>
          <w:color w:val="auto"/>
          <w:sz w:val="28"/>
          <w:szCs w:val="28"/>
          <w:highlight w:val="none"/>
          <w:u w:val="single"/>
        </w:rPr>
        <w:t xml:space="preserve"> xxxxxxxxx</w:t>
      </w:r>
      <w:bookmarkEnd w:id="304"/>
      <w:bookmarkEnd w:id="305"/>
      <w:bookmarkEnd w:id="306"/>
      <w:bookmarkEnd w:id="307"/>
    </w:p>
    <w:p w14:paraId="07FEDAA6">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308" w:name="_Toc25857"/>
      <w:bookmarkStart w:id="309" w:name="_Toc21074"/>
      <w:bookmarkStart w:id="310" w:name="_Toc6866"/>
      <w:bookmarkStart w:id="311" w:name="_Toc16621"/>
      <w:r>
        <w:rPr>
          <w:rFonts w:ascii="NTAFTU+ËÎÌå" w:hAnsi="NTAFTU+ËÎÌå" w:cs="NTAFTU+ËÎÌå"/>
          <w:color w:val="auto"/>
          <w:spacing w:val="2"/>
          <w:sz w:val="32"/>
          <w:szCs w:val="22"/>
          <w:highlight w:val="none"/>
        </w:rPr>
        <w:t>项目编号：</w:t>
      </w:r>
      <w:r>
        <w:rPr>
          <w:rFonts w:hint="eastAsia" w:ascii="宋体" w:hAnsi="宋体" w:cs="宋体"/>
          <w:b/>
          <w:bCs/>
          <w:color w:val="auto"/>
          <w:sz w:val="28"/>
          <w:szCs w:val="28"/>
          <w:highlight w:val="none"/>
          <w:u w:val="single"/>
        </w:rPr>
        <w:t xml:space="preserve"> xxxxxxxxx</w:t>
      </w:r>
      <w:bookmarkEnd w:id="308"/>
      <w:bookmarkEnd w:id="309"/>
      <w:bookmarkEnd w:id="310"/>
      <w:bookmarkEnd w:id="311"/>
    </w:p>
    <w:p w14:paraId="7859DF1A">
      <w:pPr>
        <w:pStyle w:val="17"/>
        <w:rPr>
          <w:color w:val="auto"/>
          <w:highlight w:val="none"/>
        </w:rPr>
      </w:pPr>
    </w:p>
    <w:p w14:paraId="4366BA87">
      <w:pPr>
        <w:pageBreakBefore w:val="0"/>
        <w:kinsoku/>
        <w:wordWrap/>
        <w:overflowPunct/>
        <w:topLinePunct w:val="0"/>
        <w:bidi w:val="0"/>
        <w:spacing w:before="292" w:line="360" w:lineRule="auto"/>
        <w:rPr>
          <w:rFonts w:hAnsi="Calibri"/>
          <w:color w:val="auto"/>
          <w:sz w:val="32"/>
          <w:szCs w:val="22"/>
          <w:highlight w:val="none"/>
        </w:rPr>
      </w:pPr>
    </w:p>
    <w:p w14:paraId="7D42C7DF">
      <w:pPr>
        <w:pageBreakBefore w:val="0"/>
        <w:kinsoku/>
        <w:wordWrap/>
        <w:overflowPunct/>
        <w:topLinePunct w:val="0"/>
        <w:bidi w:val="0"/>
        <w:spacing w:before="149" w:line="360" w:lineRule="auto"/>
        <w:ind w:firstLine="1440" w:firstLineChars="200"/>
        <w:rPr>
          <w:rFonts w:hAnsi="Calibri"/>
          <w:color w:val="auto"/>
          <w:sz w:val="72"/>
          <w:szCs w:val="72"/>
          <w:highlight w:val="none"/>
        </w:rPr>
      </w:pPr>
      <w:r>
        <w:rPr>
          <w:rFonts w:ascii="NTAFTU+ËÎÌå" w:hAnsi="NTAFTU+ËÎÌå" w:cs="NTAFTU+ËÎÌå"/>
          <w:color w:val="auto"/>
          <w:sz w:val="72"/>
          <w:szCs w:val="72"/>
          <w:highlight w:val="none"/>
        </w:rPr>
        <w:t>响</w:t>
      </w:r>
      <w:r>
        <w:rPr>
          <w:rFonts w:hAnsi="Calibri"/>
          <w:color w:val="auto"/>
          <w:spacing w:val="215"/>
          <w:sz w:val="72"/>
          <w:szCs w:val="72"/>
          <w:highlight w:val="none"/>
        </w:rPr>
        <w:t xml:space="preserve"> </w:t>
      </w:r>
      <w:r>
        <w:rPr>
          <w:rFonts w:ascii="NTAFTU+ËÎÌå" w:hAnsi="NTAFTU+ËÎÌå" w:cs="NTAFTU+ËÎÌå"/>
          <w:color w:val="auto"/>
          <w:sz w:val="72"/>
          <w:szCs w:val="72"/>
          <w:highlight w:val="none"/>
        </w:rPr>
        <w:t>应</w:t>
      </w:r>
      <w:r>
        <w:rPr>
          <w:rFonts w:hAnsi="Calibri"/>
          <w:color w:val="auto"/>
          <w:spacing w:val="218"/>
          <w:sz w:val="72"/>
          <w:szCs w:val="72"/>
          <w:highlight w:val="none"/>
        </w:rPr>
        <w:t xml:space="preserve"> </w:t>
      </w:r>
      <w:r>
        <w:rPr>
          <w:rFonts w:ascii="NTAFTU+ËÎÌå" w:hAnsi="NTAFTU+ËÎÌå" w:cs="NTAFTU+ËÎÌå"/>
          <w:color w:val="auto"/>
          <w:sz w:val="72"/>
          <w:szCs w:val="72"/>
          <w:highlight w:val="none"/>
        </w:rPr>
        <w:t>文</w:t>
      </w:r>
      <w:r>
        <w:rPr>
          <w:rFonts w:hAnsi="Calibri"/>
          <w:color w:val="auto"/>
          <w:spacing w:val="217"/>
          <w:sz w:val="72"/>
          <w:szCs w:val="72"/>
          <w:highlight w:val="none"/>
        </w:rPr>
        <w:t xml:space="preserve"> </w:t>
      </w:r>
      <w:r>
        <w:rPr>
          <w:rFonts w:ascii="NTAFTU+ËÎÌå" w:hAnsi="NTAFTU+ËÎÌå" w:cs="NTAFTU+ËÎÌå"/>
          <w:color w:val="auto"/>
          <w:sz w:val="72"/>
          <w:szCs w:val="72"/>
          <w:highlight w:val="none"/>
        </w:rPr>
        <w:t>件</w:t>
      </w:r>
    </w:p>
    <w:p w14:paraId="55D0C9FE">
      <w:pPr>
        <w:pageBreakBefore w:val="0"/>
        <w:kinsoku/>
        <w:wordWrap/>
        <w:overflowPunct/>
        <w:topLinePunct w:val="0"/>
        <w:bidi w:val="0"/>
        <w:spacing w:before="495" w:line="360" w:lineRule="auto"/>
        <w:ind w:left="3154"/>
        <w:rPr>
          <w:rFonts w:ascii="IFJRKJ+ËÎÌå" w:hAnsi="Calibri"/>
          <w:color w:val="auto"/>
          <w:sz w:val="44"/>
          <w:szCs w:val="22"/>
          <w:highlight w:val="none"/>
        </w:rPr>
      </w:pPr>
      <w:r>
        <w:rPr>
          <w:rFonts w:ascii="IFJRKJ+ËÎÌå" w:hAnsi="Calibri"/>
          <w:color w:val="auto"/>
          <w:spacing w:val="3"/>
          <w:sz w:val="44"/>
          <w:szCs w:val="22"/>
          <w:highlight w:val="none"/>
        </w:rPr>
        <w:t>(</w:t>
      </w:r>
      <w:r>
        <w:rPr>
          <w:rFonts w:ascii="NTAFTU+ËÎÌå" w:hAnsi="NTAFTU+ËÎÌå" w:cs="NTAFTU+ËÎÌå"/>
          <w:color w:val="auto"/>
          <w:spacing w:val="2"/>
          <w:sz w:val="44"/>
          <w:szCs w:val="22"/>
          <w:highlight w:val="none"/>
        </w:rPr>
        <w:t>资格证明文件</w:t>
      </w:r>
      <w:r>
        <w:rPr>
          <w:rFonts w:ascii="IFJRKJ+ËÎÌå" w:hAnsi="Calibri"/>
          <w:color w:val="auto"/>
          <w:sz w:val="44"/>
          <w:szCs w:val="22"/>
          <w:highlight w:val="none"/>
        </w:rPr>
        <w:t>)</w:t>
      </w:r>
    </w:p>
    <w:p w14:paraId="5C900C2F">
      <w:pPr>
        <w:pageBreakBefore w:val="0"/>
        <w:tabs>
          <w:tab w:val="left" w:pos="9135"/>
        </w:tabs>
        <w:kinsoku/>
        <w:wordWrap/>
        <w:overflowPunct/>
        <w:topLinePunct w:val="0"/>
        <w:bidi w:val="0"/>
        <w:spacing w:line="360" w:lineRule="auto"/>
        <w:rPr>
          <w:rFonts w:ascii="宋体" w:hAnsi="宋体" w:cs="宋体"/>
          <w:color w:val="auto"/>
          <w:sz w:val="28"/>
          <w:szCs w:val="28"/>
          <w:highlight w:val="none"/>
        </w:rPr>
      </w:pPr>
    </w:p>
    <w:p w14:paraId="0619BD38">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312" w:name="_Toc3076"/>
      <w:bookmarkStart w:id="313" w:name="_Toc19367"/>
      <w:bookmarkStart w:id="314" w:name="_Toc10182"/>
      <w:bookmarkStart w:id="315" w:name="_Toc27219"/>
      <w:r>
        <w:rPr>
          <w:rFonts w:hint="eastAsia" w:ascii="宋体" w:hAnsi="宋体" w:cs="宋体"/>
          <w:color w:val="auto"/>
          <w:spacing w:val="26"/>
          <w:kern w:val="0"/>
          <w:sz w:val="28"/>
          <w:szCs w:val="28"/>
          <w:highlight w:val="none"/>
        </w:rPr>
        <w:t>供应商名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312"/>
      <w:bookmarkEnd w:id="313"/>
      <w:bookmarkEnd w:id="314"/>
      <w:bookmarkEnd w:id="315"/>
    </w:p>
    <w:p w14:paraId="28544330">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7F2614BC">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316" w:name="_Toc5052"/>
      <w:bookmarkStart w:id="317" w:name="_Toc12887"/>
      <w:bookmarkStart w:id="318" w:name="_Toc17125"/>
      <w:bookmarkStart w:id="319" w:name="_Toc8436"/>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316"/>
      <w:bookmarkEnd w:id="317"/>
      <w:bookmarkEnd w:id="318"/>
      <w:bookmarkEnd w:id="319"/>
    </w:p>
    <w:p w14:paraId="3EC104A5">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51B9A951">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320" w:name="_Toc28165"/>
      <w:bookmarkStart w:id="321" w:name="_Toc11204"/>
      <w:bookmarkStart w:id="322" w:name="_Toc23579"/>
      <w:bookmarkStart w:id="323" w:name="_Toc32656"/>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320"/>
      <w:bookmarkEnd w:id="321"/>
      <w:bookmarkEnd w:id="322"/>
      <w:bookmarkEnd w:id="323"/>
    </w:p>
    <w:p w14:paraId="420C5B5E">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5B386B31">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324" w:name="_Toc24699"/>
      <w:bookmarkStart w:id="325" w:name="_Toc22435"/>
      <w:bookmarkStart w:id="326" w:name="_Toc23646"/>
      <w:bookmarkStart w:id="327" w:name="_Toc20504"/>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324"/>
      <w:bookmarkEnd w:id="325"/>
      <w:bookmarkEnd w:id="326"/>
      <w:bookmarkEnd w:id="327"/>
    </w:p>
    <w:p w14:paraId="548A15B3">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19046D5B">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328" w:name="_Toc2498"/>
      <w:bookmarkStart w:id="329" w:name="_Toc32070"/>
      <w:bookmarkStart w:id="330" w:name="_Toc16039"/>
      <w:bookmarkStart w:id="331" w:name="_Toc31516"/>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328"/>
      <w:bookmarkEnd w:id="329"/>
      <w:bookmarkEnd w:id="330"/>
      <w:bookmarkEnd w:id="331"/>
    </w:p>
    <w:p w14:paraId="0AC0A804">
      <w:pPr>
        <w:rPr>
          <w:color w:val="auto"/>
          <w:highlight w:val="none"/>
        </w:rPr>
      </w:pPr>
    </w:p>
    <w:p w14:paraId="59E06201">
      <w:pPr>
        <w:rPr>
          <w:b w:val="0"/>
          <w:color w:val="auto"/>
          <w:sz w:val="24"/>
          <w:szCs w:val="24"/>
          <w:highlight w:val="none"/>
        </w:rPr>
      </w:pPr>
      <w:bookmarkStart w:id="332" w:name="_Toc18475"/>
      <w:bookmarkStart w:id="333" w:name="_Toc89950767"/>
      <w:r>
        <w:rPr>
          <w:b w:val="0"/>
          <w:color w:val="auto"/>
          <w:sz w:val="24"/>
          <w:szCs w:val="24"/>
          <w:highlight w:val="none"/>
        </w:rPr>
        <w:br w:type="page"/>
      </w:r>
    </w:p>
    <w:p w14:paraId="272EA157">
      <w:pPr>
        <w:pStyle w:val="25"/>
        <w:pageBreakBefore w:val="0"/>
        <w:kinsoku/>
        <w:wordWrap/>
        <w:overflowPunct/>
        <w:topLinePunct w:val="0"/>
        <w:bidi w:val="0"/>
        <w:spacing w:line="360" w:lineRule="auto"/>
        <w:jc w:val="both"/>
        <w:outlineLvl w:val="1"/>
        <w:rPr>
          <w:rFonts w:hAnsi="Calibri"/>
          <w:b w:val="0"/>
          <w:color w:val="auto"/>
          <w:sz w:val="24"/>
          <w:szCs w:val="24"/>
          <w:highlight w:val="none"/>
        </w:rPr>
      </w:pPr>
      <w:bookmarkStart w:id="334" w:name="_Toc20817"/>
      <w:r>
        <w:rPr>
          <w:b w:val="0"/>
          <w:color w:val="auto"/>
          <w:sz w:val="24"/>
          <w:szCs w:val="24"/>
          <w:highlight w:val="none"/>
        </w:rPr>
        <w:t>三、营业执照</w:t>
      </w:r>
      <w:bookmarkEnd w:id="332"/>
      <w:bookmarkEnd w:id="333"/>
      <w:bookmarkEnd w:id="334"/>
    </w:p>
    <w:p w14:paraId="0083725D">
      <w:pPr>
        <w:pageBreakBefore w:val="0"/>
        <w:kinsoku/>
        <w:wordWrap/>
        <w:overflowPunct/>
        <w:topLinePunct w:val="0"/>
        <w:bidi w:val="0"/>
        <w:spacing w:before="472" w:line="360" w:lineRule="auto"/>
        <w:ind w:left="4059"/>
        <w:rPr>
          <w:rFonts w:hAnsi="Calibri"/>
          <w:color w:val="auto"/>
          <w:sz w:val="24"/>
          <w:highlight w:val="none"/>
        </w:rPr>
      </w:pPr>
      <w:r>
        <w:rPr>
          <w:rFonts w:ascii="CFICBP+ËÎÌå" w:hAnsi="CFICBP+ËÎÌå" w:cs="CFICBP+ËÎÌå"/>
          <w:color w:val="auto"/>
          <w:spacing w:val="2"/>
          <w:sz w:val="24"/>
          <w:highlight w:val="none"/>
        </w:rPr>
        <w:t>营业执照</w:t>
      </w:r>
    </w:p>
    <w:p w14:paraId="42CCEDB5">
      <w:pPr>
        <w:pStyle w:val="25"/>
        <w:pageBreakBefore w:val="0"/>
        <w:kinsoku/>
        <w:wordWrap/>
        <w:overflowPunct/>
        <w:topLinePunct w:val="0"/>
        <w:bidi w:val="0"/>
        <w:spacing w:line="360" w:lineRule="auto"/>
        <w:outlineLvl w:val="9"/>
        <w:rPr>
          <w:color w:val="auto"/>
          <w:sz w:val="24"/>
          <w:szCs w:val="24"/>
          <w:highlight w:val="none"/>
        </w:rPr>
      </w:pPr>
    </w:p>
    <w:p w14:paraId="08658F1B">
      <w:pPr>
        <w:pStyle w:val="25"/>
        <w:pageBreakBefore w:val="0"/>
        <w:kinsoku/>
        <w:wordWrap/>
        <w:overflowPunct/>
        <w:topLinePunct w:val="0"/>
        <w:bidi w:val="0"/>
        <w:spacing w:line="360" w:lineRule="auto"/>
        <w:outlineLvl w:val="9"/>
        <w:rPr>
          <w:color w:val="auto"/>
          <w:sz w:val="24"/>
          <w:szCs w:val="24"/>
          <w:highlight w:val="none"/>
        </w:rPr>
      </w:pPr>
    </w:p>
    <w:p w14:paraId="390CE19F">
      <w:pPr>
        <w:pStyle w:val="25"/>
        <w:pageBreakBefore w:val="0"/>
        <w:kinsoku/>
        <w:wordWrap/>
        <w:overflowPunct/>
        <w:topLinePunct w:val="0"/>
        <w:bidi w:val="0"/>
        <w:spacing w:line="360" w:lineRule="auto"/>
        <w:outlineLvl w:val="9"/>
        <w:rPr>
          <w:color w:val="auto"/>
          <w:sz w:val="24"/>
          <w:szCs w:val="24"/>
          <w:highlight w:val="none"/>
          <w:u w:val="single"/>
        </w:rPr>
      </w:pPr>
    </w:p>
    <w:p w14:paraId="48C71D45">
      <w:pPr>
        <w:pStyle w:val="25"/>
        <w:pageBreakBefore w:val="0"/>
        <w:kinsoku/>
        <w:wordWrap/>
        <w:overflowPunct/>
        <w:topLinePunct w:val="0"/>
        <w:bidi w:val="0"/>
        <w:spacing w:line="360" w:lineRule="auto"/>
        <w:outlineLvl w:val="9"/>
        <w:rPr>
          <w:color w:val="auto"/>
          <w:sz w:val="24"/>
          <w:szCs w:val="24"/>
          <w:highlight w:val="none"/>
        </w:rPr>
      </w:pPr>
    </w:p>
    <w:p w14:paraId="7CDB9A7A">
      <w:pPr>
        <w:pStyle w:val="25"/>
        <w:pageBreakBefore w:val="0"/>
        <w:kinsoku/>
        <w:wordWrap/>
        <w:overflowPunct/>
        <w:topLinePunct w:val="0"/>
        <w:bidi w:val="0"/>
        <w:spacing w:line="360" w:lineRule="auto"/>
        <w:outlineLvl w:val="9"/>
        <w:rPr>
          <w:color w:val="auto"/>
          <w:sz w:val="24"/>
          <w:szCs w:val="24"/>
          <w:highlight w:val="none"/>
        </w:rPr>
      </w:pPr>
    </w:p>
    <w:p w14:paraId="74DD6348">
      <w:pPr>
        <w:pStyle w:val="25"/>
        <w:pageBreakBefore w:val="0"/>
        <w:kinsoku/>
        <w:wordWrap/>
        <w:overflowPunct/>
        <w:topLinePunct w:val="0"/>
        <w:bidi w:val="0"/>
        <w:spacing w:line="360" w:lineRule="auto"/>
        <w:outlineLvl w:val="9"/>
        <w:rPr>
          <w:color w:val="auto"/>
          <w:sz w:val="24"/>
          <w:szCs w:val="24"/>
          <w:highlight w:val="none"/>
        </w:rPr>
      </w:pPr>
    </w:p>
    <w:p w14:paraId="09DD6AEA">
      <w:pPr>
        <w:pStyle w:val="25"/>
        <w:pageBreakBefore w:val="0"/>
        <w:kinsoku/>
        <w:wordWrap/>
        <w:overflowPunct/>
        <w:topLinePunct w:val="0"/>
        <w:bidi w:val="0"/>
        <w:spacing w:line="360" w:lineRule="auto"/>
        <w:outlineLvl w:val="9"/>
        <w:rPr>
          <w:color w:val="auto"/>
          <w:sz w:val="24"/>
          <w:szCs w:val="24"/>
          <w:highlight w:val="none"/>
        </w:rPr>
      </w:pPr>
      <w:r>
        <w:rPr>
          <w:rFonts w:hint="eastAsia"/>
          <w:color w:val="auto"/>
          <w:sz w:val="24"/>
          <w:szCs w:val="24"/>
          <w:highlight w:val="none"/>
        </w:rPr>
        <w:t xml:space="preserve">            </w:t>
      </w:r>
    </w:p>
    <w:p w14:paraId="2D7ABE2E">
      <w:pPr>
        <w:pStyle w:val="25"/>
        <w:pageBreakBefore w:val="0"/>
        <w:kinsoku/>
        <w:wordWrap/>
        <w:overflowPunct/>
        <w:topLinePunct w:val="0"/>
        <w:bidi w:val="0"/>
        <w:spacing w:line="360" w:lineRule="auto"/>
        <w:outlineLvl w:val="9"/>
        <w:rPr>
          <w:color w:val="auto"/>
          <w:sz w:val="24"/>
          <w:szCs w:val="24"/>
          <w:highlight w:val="none"/>
        </w:rPr>
      </w:pPr>
    </w:p>
    <w:p w14:paraId="0347E5FE">
      <w:pPr>
        <w:pStyle w:val="25"/>
        <w:pageBreakBefore w:val="0"/>
        <w:kinsoku/>
        <w:wordWrap/>
        <w:overflowPunct/>
        <w:topLinePunct w:val="0"/>
        <w:bidi w:val="0"/>
        <w:spacing w:line="360" w:lineRule="auto"/>
        <w:outlineLvl w:val="9"/>
        <w:rPr>
          <w:color w:val="auto"/>
          <w:sz w:val="24"/>
          <w:szCs w:val="24"/>
          <w:highlight w:val="none"/>
        </w:rPr>
      </w:pPr>
    </w:p>
    <w:p w14:paraId="3ECC1E0F">
      <w:pPr>
        <w:pStyle w:val="25"/>
        <w:pageBreakBefore w:val="0"/>
        <w:kinsoku/>
        <w:wordWrap/>
        <w:overflowPunct/>
        <w:topLinePunct w:val="0"/>
        <w:bidi w:val="0"/>
        <w:spacing w:line="360" w:lineRule="auto"/>
        <w:outlineLvl w:val="9"/>
        <w:rPr>
          <w:color w:val="auto"/>
          <w:sz w:val="24"/>
          <w:szCs w:val="24"/>
          <w:highlight w:val="none"/>
        </w:rPr>
      </w:pPr>
    </w:p>
    <w:p w14:paraId="58BF8012">
      <w:pPr>
        <w:pStyle w:val="25"/>
        <w:pageBreakBefore w:val="0"/>
        <w:kinsoku/>
        <w:wordWrap/>
        <w:overflowPunct/>
        <w:topLinePunct w:val="0"/>
        <w:bidi w:val="0"/>
        <w:spacing w:line="360" w:lineRule="auto"/>
        <w:outlineLvl w:val="9"/>
        <w:rPr>
          <w:color w:val="auto"/>
          <w:sz w:val="24"/>
          <w:szCs w:val="24"/>
          <w:highlight w:val="none"/>
        </w:rPr>
      </w:pPr>
    </w:p>
    <w:p w14:paraId="268A478C">
      <w:pPr>
        <w:pStyle w:val="25"/>
        <w:pageBreakBefore w:val="0"/>
        <w:kinsoku/>
        <w:wordWrap/>
        <w:overflowPunct/>
        <w:topLinePunct w:val="0"/>
        <w:bidi w:val="0"/>
        <w:spacing w:line="360" w:lineRule="auto"/>
        <w:outlineLvl w:val="9"/>
        <w:rPr>
          <w:color w:val="auto"/>
          <w:sz w:val="24"/>
          <w:szCs w:val="24"/>
          <w:highlight w:val="none"/>
        </w:rPr>
      </w:pPr>
    </w:p>
    <w:p w14:paraId="4BE4CCB2">
      <w:pPr>
        <w:pStyle w:val="15"/>
        <w:pageBreakBefore w:val="0"/>
        <w:kinsoku/>
        <w:wordWrap/>
        <w:overflowPunct/>
        <w:topLinePunct w:val="0"/>
        <w:bidi w:val="0"/>
        <w:spacing w:line="360" w:lineRule="auto"/>
        <w:rPr>
          <w:rFonts w:hint="eastAsia"/>
          <w:color w:val="auto"/>
          <w:sz w:val="24"/>
          <w:highlight w:val="none"/>
          <w:lang w:val="en-US" w:eastAsia="zh-CN"/>
        </w:rPr>
      </w:pPr>
      <w:r>
        <w:rPr>
          <w:rFonts w:hint="eastAsia"/>
          <w:color w:val="auto"/>
          <w:highlight w:val="none"/>
        </w:rPr>
        <w:t xml:space="preserve">                                           </w:t>
      </w:r>
      <w:r>
        <w:rPr>
          <w:rFonts w:hint="eastAsia"/>
          <w:color w:val="auto"/>
          <w:sz w:val="24"/>
          <w:highlight w:val="none"/>
        </w:rPr>
        <w:t>供应商：</w:t>
      </w:r>
      <w:r>
        <w:rPr>
          <w:rFonts w:hint="eastAsia"/>
          <w:color w:val="auto"/>
          <w:sz w:val="24"/>
          <w:highlight w:val="none"/>
          <w:u w:val="single"/>
        </w:rPr>
        <w:t xml:space="preserve">                </w:t>
      </w:r>
      <w:r>
        <w:rPr>
          <w:rFonts w:hint="eastAsia"/>
          <w:color w:val="auto"/>
          <w:sz w:val="24"/>
          <w:highlight w:val="none"/>
        </w:rPr>
        <w:t xml:space="preserve"> （签章）</w:t>
      </w:r>
      <w:r>
        <w:rPr>
          <w:rFonts w:hint="eastAsia"/>
          <w:color w:val="auto"/>
          <w:sz w:val="24"/>
          <w:highlight w:val="none"/>
          <w:lang w:val="en-US" w:eastAsia="zh-CN"/>
        </w:rPr>
        <w:t xml:space="preserve">    </w:t>
      </w:r>
    </w:p>
    <w:p w14:paraId="1639BF93">
      <w:pPr>
        <w:pStyle w:val="15"/>
        <w:pageBreakBefore w:val="0"/>
        <w:kinsoku/>
        <w:wordWrap/>
        <w:overflowPunct/>
        <w:topLinePunct w:val="0"/>
        <w:bidi w:val="0"/>
        <w:spacing w:line="360" w:lineRule="auto"/>
        <w:rPr>
          <w:color w:val="auto"/>
          <w:sz w:val="24"/>
          <w:highlight w:val="none"/>
        </w:rPr>
      </w:pPr>
      <w:r>
        <w:rPr>
          <w:rFonts w:hint="eastAsia"/>
          <w:color w:val="auto"/>
          <w:sz w:val="24"/>
          <w:highlight w:val="none"/>
        </w:rPr>
        <w:t xml:space="preserve">                                      日 期：</w:t>
      </w:r>
      <w:r>
        <w:rPr>
          <w:rFonts w:hint="eastAsia"/>
          <w:color w:val="auto"/>
          <w:sz w:val="24"/>
          <w:highlight w:val="none"/>
          <w:u w:val="single"/>
        </w:rPr>
        <w:t xml:space="preserve">    </w:t>
      </w:r>
      <w:r>
        <w:rPr>
          <w:rFonts w:hint="eastAsia"/>
          <w:color w:val="auto"/>
          <w:sz w:val="24"/>
          <w:highlight w:val="none"/>
        </w:rPr>
        <w:t xml:space="preserve"> 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w:t>
      </w:r>
    </w:p>
    <w:p w14:paraId="414F4D97">
      <w:pPr>
        <w:rPr>
          <w:color w:val="auto"/>
          <w:highlight w:val="none"/>
        </w:rPr>
      </w:pPr>
      <w:bookmarkStart w:id="335" w:name="_Toc89950768"/>
      <w:r>
        <w:rPr>
          <w:color w:val="auto"/>
          <w:highlight w:val="none"/>
        </w:rPr>
        <w:br w:type="page"/>
      </w:r>
    </w:p>
    <w:p w14:paraId="0A3F34BE">
      <w:pPr>
        <w:pStyle w:val="25"/>
        <w:pageBreakBefore w:val="0"/>
        <w:kinsoku/>
        <w:wordWrap/>
        <w:overflowPunct/>
        <w:topLinePunct w:val="0"/>
        <w:bidi w:val="0"/>
        <w:spacing w:line="360" w:lineRule="auto"/>
        <w:jc w:val="both"/>
        <w:outlineLvl w:val="1"/>
        <w:rPr>
          <w:rFonts w:hAnsi="Calibri"/>
          <w:b w:val="0"/>
          <w:color w:val="auto"/>
          <w:sz w:val="24"/>
          <w:szCs w:val="24"/>
          <w:highlight w:val="none"/>
        </w:rPr>
      </w:pPr>
      <w:bookmarkStart w:id="336" w:name="_Toc16887"/>
      <w:bookmarkStart w:id="337" w:name="_Toc5231"/>
      <w:r>
        <w:rPr>
          <w:b w:val="0"/>
          <w:color w:val="auto"/>
          <w:sz w:val="24"/>
          <w:szCs w:val="24"/>
          <w:highlight w:val="none"/>
        </w:rPr>
        <w:t>四、法定代表人</w:t>
      </w:r>
      <w:r>
        <w:rPr>
          <w:rFonts w:hint="eastAsia"/>
          <w:b w:val="0"/>
          <w:color w:val="auto"/>
          <w:sz w:val="24"/>
          <w:szCs w:val="24"/>
          <w:highlight w:val="none"/>
        </w:rPr>
        <w:t>身份证明</w:t>
      </w:r>
      <w:bookmarkEnd w:id="335"/>
      <w:bookmarkEnd w:id="336"/>
      <w:bookmarkEnd w:id="337"/>
      <w:r>
        <w:rPr>
          <w:rFonts w:hint="eastAsia"/>
          <w:b w:val="0"/>
          <w:color w:val="auto"/>
          <w:sz w:val="24"/>
          <w:szCs w:val="24"/>
          <w:highlight w:val="none"/>
        </w:rPr>
        <w:t xml:space="preserve">  </w:t>
      </w:r>
    </w:p>
    <w:p w14:paraId="7D6FC012">
      <w:pPr>
        <w:pageBreakBefore w:val="0"/>
        <w:shd w:val="clear" w:color="auto" w:fill="FFFFFF" w:themeFill="background1"/>
        <w:kinsoku/>
        <w:wordWrap/>
        <w:overflowPunct/>
        <w:topLinePunct w:val="0"/>
        <w:bidi w:val="0"/>
        <w:adjustRightInd w:val="0"/>
        <w:snapToGrid w:val="0"/>
        <w:spacing w:line="360" w:lineRule="auto"/>
        <w:ind w:firstLine="3614" w:firstLineChars="15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法定代表人身份证明                  </w:t>
      </w:r>
    </w:p>
    <w:p w14:paraId="26BA392A">
      <w:pPr>
        <w:pStyle w:val="5"/>
        <w:pageBreakBefore w:val="0"/>
        <w:kinsoku/>
        <w:wordWrap/>
        <w:overflowPunct/>
        <w:topLinePunct w:val="0"/>
        <w:bidi w:val="0"/>
        <w:spacing w:line="360" w:lineRule="auto"/>
        <w:rPr>
          <w:color w:val="auto"/>
          <w:sz w:val="24"/>
          <w:highlight w:val="none"/>
        </w:rPr>
      </w:pPr>
      <w:r>
        <w:rPr>
          <w:rFonts w:hint="eastAsia"/>
          <w:color w:val="auto"/>
          <w:sz w:val="24"/>
          <w:highlight w:val="none"/>
        </w:rPr>
        <w:t>供应商名称：</w:t>
      </w:r>
    </w:p>
    <w:p w14:paraId="7FBBAE8B">
      <w:pPr>
        <w:pStyle w:val="5"/>
        <w:pageBreakBefore w:val="0"/>
        <w:kinsoku/>
        <w:wordWrap/>
        <w:overflowPunct/>
        <w:topLinePunct w:val="0"/>
        <w:bidi w:val="0"/>
        <w:spacing w:line="360" w:lineRule="auto"/>
        <w:rPr>
          <w:color w:val="auto"/>
          <w:sz w:val="24"/>
          <w:highlight w:val="none"/>
        </w:rPr>
      </w:pPr>
      <w:r>
        <w:rPr>
          <w:rFonts w:hint="eastAsia"/>
          <w:color w:val="auto"/>
          <w:sz w:val="24"/>
          <w:highlight w:val="none"/>
        </w:rPr>
        <w:t>企业类型：</w:t>
      </w:r>
    </w:p>
    <w:p w14:paraId="5CEFB46F">
      <w:pPr>
        <w:pStyle w:val="5"/>
        <w:pageBreakBefore w:val="0"/>
        <w:kinsoku/>
        <w:wordWrap/>
        <w:overflowPunct/>
        <w:topLinePunct w:val="0"/>
        <w:bidi w:val="0"/>
        <w:spacing w:line="360" w:lineRule="auto"/>
        <w:rPr>
          <w:color w:val="auto"/>
          <w:sz w:val="24"/>
          <w:highlight w:val="none"/>
        </w:rPr>
      </w:pPr>
      <w:r>
        <w:rPr>
          <w:rFonts w:hint="eastAsia"/>
          <w:color w:val="auto"/>
          <w:sz w:val="24"/>
          <w:highlight w:val="none"/>
        </w:rPr>
        <w:t>地址：</w:t>
      </w:r>
    </w:p>
    <w:p w14:paraId="5CAEB2C2">
      <w:pPr>
        <w:pStyle w:val="5"/>
        <w:pageBreakBefore w:val="0"/>
        <w:kinsoku/>
        <w:wordWrap/>
        <w:overflowPunct/>
        <w:topLinePunct w:val="0"/>
        <w:bidi w:val="0"/>
        <w:spacing w:line="360" w:lineRule="auto"/>
        <w:rPr>
          <w:color w:val="auto"/>
          <w:sz w:val="24"/>
          <w:highlight w:val="none"/>
        </w:rPr>
      </w:pPr>
      <w:r>
        <w:rPr>
          <w:rFonts w:hint="eastAsia"/>
          <w:color w:val="auto"/>
          <w:sz w:val="24"/>
          <w:highlight w:val="none"/>
        </w:rPr>
        <w:t>营业期限：</w:t>
      </w:r>
    </w:p>
    <w:p w14:paraId="6A2E0316">
      <w:pPr>
        <w:pStyle w:val="5"/>
        <w:pageBreakBefore w:val="0"/>
        <w:kinsoku/>
        <w:wordWrap/>
        <w:overflowPunct/>
        <w:topLinePunct w:val="0"/>
        <w:bidi w:val="0"/>
        <w:spacing w:line="360" w:lineRule="auto"/>
        <w:rPr>
          <w:color w:val="auto"/>
          <w:sz w:val="24"/>
          <w:highlight w:val="none"/>
        </w:rPr>
      </w:pPr>
      <w:r>
        <w:rPr>
          <w:rFonts w:hint="eastAsia"/>
          <w:color w:val="auto"/>
          <w:sz w:val="24"/>
          <w:highlight w:val="none"/>
        </w:rPr>
        <w:t>成立时间：</w:t>
      </w:r>
    </w:p>
    <w:p w14:paraId="5FBD1832">
      <w:pPr>
        <w:pStyle w:val="5"/>
        <w:pageBreakBefore w:val="0"/>
        <w:kinsoku/>
        <w:wordWrap/>
        <w:overflowPunct/>
        <w:topLinePunct w:val="0"/>
        <w:bidi w:val="0"/>
        <w:spacing w:line="360" w:lineRule="auto"/>
        <w:ind w:left="660" w:leftChars="200" w:hanging="240" w:hangingChars="100"/>
        <w:rPr>
          <w:color w:val="auto"/>
          <w:sz w:val="24"/>
          <w:highlight w:val="none"/>
        </w:rPr>
      </w:pPr>
      <w:r>
        <w:rPr>
          <w:rFonts w:hint="eastAsia" w:asciiTheme="minorEastAsia" w:hAnsiTheme="minorEastAsia" w:cstheme="minorEastAsia"/>
          <w:color w:val="auto"/>
          <w:sz w:val="24"/>
          <w:highlight w:val="none"/>
        </w:rPr>
        <w:t>姓名：</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性别：</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年龄：</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身份证号码：</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职务：</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，系</w:t>
      </w:r>
      <w:r>
        <w:rPr>
          <w:rFonts w:hint="eastAsia" w:asciiTheme="minorEastAsia" w:hAnsiTheme="minorEastAsia" w:cstheme="minorEastAsia"/>
          <w:color w:val="auto"/>
          <w:sz w:val="24"/>
          <w:highlight w:val="none"/>
          <w:u w:val="single"/>
        </w:rPr>
        <w:t xml:space="preserve"> （投标人名称）</w:t>
      </w:r>
      <w:r>
        <w:rPr>
          <w:rFonts w:hint="eastAsia" w:asciiTheme="minorEastAsia" w:hAnsiTheme="minorEastAsia" w:cstheme="minorEastAsia"/>
          <w:color w:val="auto"/>
          <w:sz w:val="24"/>
          <w:highlight w:val="none"/>
        </w:rPr>
        <w:t>的法定代表人。</w:t>
      </w:r>
    </w:p>
    <w:p w14:paraId="7A890F72">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特此证明    </w:t>
      </w:r>
    </w:p>
    <w:tbl>
      <w:tblPr>
        <w:tblStyle w:val="26"/>
        <w:tblW w:w="96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851"/>
      </w:tblGrid>
      <w:tr w14:paraId="3AAB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7" w:hRule="atLeast"/>
        </w:trPr>
        <w:tc>
          <w:tcPr>
            <w:tcW w:w="4753" w:type="dxa"/>
            <w:vAlign w:val="center"/>
          </w:tcPr>
          <w:p w14:paraId="78B5FA6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24B31D5A">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正面</w:t>
            </w:r>
          </w:p>
          <w:p w14:paraId="382FE6CF">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c>
          <w:tcPr>
            <w:tcW w:w="4851" w:type="dxa"/>
            <w:vAlign w:val="center"/>
          </w:tcPr>
          <w:p w14:paraId="79FFCA0F">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748FDAA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反面</w:t>
            </w:r>
          </w:p>
          <w:p w14:paraId="0518F55E">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r>
    </w:tbl>
    <w:p w14:paraId="0D0F8B9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注：身份证复印件如为粘贴的，须在身份证复印件与本页接缝处加盖公章；</w:t>
      </w:r>
    </w:p>
    <w:p w14:paraId="099ED9D1">
      <w:pPr>
        <w:pStyle w:val="10"/>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asciiTheme="minorEastAsia" w:hAnsiTheme="minorEastAsia" w:eastAsiaTheme="minorEastAsia"/>
          <w:color w:val="auto"/>
          <w:szCs w:val="24"/>
          <w:highlight w:val="none"/>
        </w:rPr>
      </w:pPr>
    </w:p>
    <w:p w14:paraId="24831425">
      <w:pPr>
        <w:pStyle w:val="10"/>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hint="eastAsia" w:hAnsi="宋体"/>
          <w:color w:val="auto"/>
          <w:sz w:val="24"/>
          <w:highlight w:val="none"/>
          <w:lang w:val="en-US" w:eastAsia="zh-CN"/>
        </w:rPr>
      </w:pPr>
      <w:r>
        <w:rPr>
          <w:rFonts w:hint="eastAsia" w:asciiTheme="minorEastAsia" w:hAnsiTheme="minorEastAsia" w:eastAsiaTheme="minorEastAsia"/>
          <w:color w:val="auto"/>
          <w:szCs w:val="24"/>
          <w:highlight w:val="none"/>
        </w:rPr>
        <w:t>供应商：</w:t>
      </w:r>
      <w:r>
        <w:rPr>
          <w:rFonts w:hint="eastAsia" w:asciiTheme="minorEastAsia" w:hAnsiTheme="minorEastAsia" w:eastAsiaTheme="minorEastAsia"/>
          <w:color w:val="auto"/>
          <w:szCs w:val="24"/>
          <w:highlight w:val="none"/>
          <w:u w:val="single"/>
        </w:rPr>
        <w:t xml:space="preserve">                  </w:t>
      </w:r>
      <w:r>
        <w:rPr>
          <w:rFonts w:hint="eastAsia" w:asciiTheme="minorEastAsia" w:hAnsiTheme="minorEastAsia" w:eastAsiaTheme="minorEastAsia"/>
          <w:color w:val="auto"/>
          <w:szCs w:val="24"/>
          <w:highlight w:val="none"/>
        </w:rPr>
        <w:t xml:space="preserve"> （签章）</w:t>
      </w:r>
      <w:r>
        <w:rPr>
          <w:rFonts w:hint="eastAsia" w:hAnsi="宋体"/>
          <w:color w:val="auto"/>
          <w:sz w:val="24"/>
          <w:highlight w:val="none"/>
          <w:lang w:val="en-US" w:eastAsia="zh-CN"/>
        </w:rPr>
        <w:t xml:space="preserve">  </w:t>
      </w:r>
    </w:p>
    <w:p w14:paraId="3C8F9138">
      <w:pPr>
        <w:pStyle w:val="43"/>
        <w:pageBreakBefore w:val="0"/>
        <w:kinsoku/>
        <w:wordWrap/>
        <w:overflowPunct/>
        <w:topLinePunct w:val="0"/>
        <w:bidi w:val="0"/>
        <w:adjustRightInd w:val="0"/>
        <w:snapToGrid w:val="0"/>
        <w:spacing w:line="360" w:lineRule="auto"/>
        <w:ind w:left="720" w:hanging="720" w:hangingChars="300"/>
        <w:jc w:val="both"/>
        <w:rPr>
          <w:rFonts w:hAnsi="宋体" w:cs="仿宋_GB2312"/>
          <w:color w:val="auto"/>
          <w:sz w:val="24"/>
          <w:szCs w:val="24"/>
          <w:highlight w:val="none"/>
          <w:lang w:val="en-US"/>
        </w:rPr>
      </w:pP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日期</w:t>
      </w:r>
      <w:r>
        <w:rPr>
          <w:rFonts w:hint="eastAsia" w:hAnsi="宋体" w:cs="仿宋_GB2312"/>
          <w:color w:val="auto"/>
          <w:sz w:val="24"/>
          <w:szCs w:val="24"/>
          <w:highlight w:val="none"/>
          <w:lang w:val="en-US"/>
        </w:rPr>
        <w:t>：</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rPr>
        <w:t>年</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月</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w:t>
      </w:r>
    </w:p>
    <w:p w14:paraId="4D4F9913">
      <w:pPr>
        <w:pStyle w:val="43"/>
        <w:pageBreakBefore w:val="0"/>
        <w:kinsoku/>
        <w:wordWrap/>
        <w:overflowPunct/>
        <w:topLinePunct w:val="0"/>
        <w:bidi w:val="0"/>
        <w:adjustRightInd w:val="0"/>
        <w:snapToGrid w:val="0"/>
        <w:spacing w:line="360" w:lineRule="auto"/>
        <w:ind w:left="723" w:hanging="723" w:hangingChars="300"/>
        <w:jc w:val="both"/>
        <w:rPr>
          <w:rFonts w:hAnsi="宋体" w:cs="仿宋_GB2312"/>
          <w:b/>
          <w:color w:val="auto"/>
          <w:sz w:val="24"/>
          <w:szCs w:val="24"/>
          <w:highlight w:val="none"/>
          <w:lang w:val="en-US"/>
        </w:rPr>
      </w:pPr>
    </w:p>
    <w:p w14:paraId="23DFC928">
      <w:pPr>
        <w:pageBreakBefore w:val="0"/>
        <w:kinsoku/>
        <w:wordWrap/>
        <w:overflowPunct/>
        <w:topLinePunct w:val="0"/>
        <w:bidi w:val="0"/>
        <w:spacing w:line="360" w:lineRule="auto"/>
        <w:rPr>
          <w:rFonts w:ascii="宋体" w:hAnsi="宋体" w:cs="仿宋_GB2312"/>
          <w:b/>
          <w:color w:val="auto"/>
          <w:kern w:val="0"/>
          <w:sz w:val="24"/>
          <w:highlight w:val="none"/>
        </w:rPr>
      </w:pPr>
      <w:r>
        <w:rPr>
          <w:rFonts w:hint="eastAsia" w:ascii="宋体" w:hAnsi="宋体" w:cs="仿宋_GB2312"/>
          <w:b/>
          <w:color w:val="auto"/>
          <w:kern w:val="0"/>
          <w:sz w:val="24"/>
          <w:highlight w:val="none"/>
        </w:rPr>
        <w:t>说明：法定代表人亲自办理投标事宜的，需提交本证明文件。</w:t>
      </w:r>
    </w:p>
    <w:p w14:paraId="5F499E8A">
      <w:pPr>
        <w:rPr>
          <w:b w:val="0"/>
          <w:color w:val="auto"/>
          <w:sz w:val="24"/>
          <w:szCs w:val="24"/>
          <w:highlight w:val="none"/>
        </w:rPr>
      </w:pPr>
      <w:bookmarkStart w:id="338" w:name="_Toc2470"/>
      <w:bookmarkStart w:id="339" w:name="_Toc9605"/>
      <w:bookmarkStart w:id="340" w:name="_Toc89950769"/>
      <w:r>
        <w:rPr>
          <w:b w:val="0"/>
          <w:color w:val="auto"/>
          <w:sz w:val="24"/>
          <w:szCs w:val="24"/>
          <w:highlight w:val="none"/>
        </w:rPr>
        <w:br w:type="page"/>
      </w:r>
    </w:p>
    <w:p w14:paraId="039EE4D2">
      <w:pPr>
        <w:pStyle w:val="25"/>
        <w:pageBreakBefore w:val="0"/>
        <w:kinsoku/>
        <w:wordWrap/>
        <w:overflowPunct/>
        <w:topLinePunct w:val="0"/>
        <w:bidi w:val="0"/>
        <w:spacing w:line="360" w:lineRule="auto"/>
        <w:jc w:val="both"/>
        <w:outlineLvl w:val="1"/>
        <w:rPr>
          <w:b w:val="0"/>
          <w:color w:val="auto"/>
          <w:sz w:val="24"/>
          <w:szCs w:val="24"/>
          <w:highlight w:val="none"/>
        </w:rPr>
      </w:pPr>
      <w:r>
        <w:rPr>
          <w:b w:val="0"/>
          <w:color w:val="auto"/>
          <w:sz w:val="24"/>
          <w:szCs w:val="24"/>
          <w:highlight w:val="none"/>
        </w:rPr>
        <w:t>五</w:t>
      </w:r>
      <w:r>
        <w:rPr>
          <w:rFonts w:hint="eastAsia"/>
          <w:b w:val="0"/>
          <w:color w:val="auto"/>
          <w:sz w:val="24"/>
          <w:szCs w:val="24"/>
          <w:highlight w:val="none"/>
        </w:rPr>
        <w:t>．</w:t>
      </w:r>
      <w:r>
        <w:rPr>
          <w:b w:val="0"/>
          <w:color w:val="auto"/>
          <w:sz w:val="24"/>
          <w:szCs w:val="24"/>
          <w:highlight w:val="none"/>
        </w:rPr>
        <w:t>法定代表人授权委托书</w:t>
      </w:r>
      <w:bookmarkEnd w:id="338"/>
      <w:bookmarkEnd w:id="339"/>
      <w:bookmarkEnd w:id="340"/>
    </w:p>
    <w:p w14:paraId="53584E65">
      <w:pPr>
        <w:pStyle w:val="15"/>
        <w:pageBreakBefore w:val="0"/>
        <w:kinsoku/>
        <w:wordWrap/>
        <w:overflowPunct/>
        <w:topLinePunct w:val="0"/>
        <w:bidi w:val="0"/>
        <w:spacing w:line="360" w:lineRule="auto"/>
        <w:ind w:firstLine="3373" w:firstLineChars="1400"/>
        <w:rPr>
          <w:b/>
          <w:color w:val="auto"/>
          <w:sz w:val="24"/>
          <w:highlight w:val="none"/>
        </w:rPr>
      </w:pPr>
      <w:r>
        <w:rPr>
          <w:rFonts w:hint="eastAsia"/>
          <w:b/>
          <w:color w:val="auto"/>
          <w:sz w:val="24"/>
          <w:highlight w:val="none"/>
        </w:rPr>
        <w:t xml:space="preserve">法定代表人授权委托书                    </w:t>
      </w:r>
    </w:p>
    <w:p w14:paraId="413C5416">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rPr>
        <w:t xml:space="preserve">  新疆重道敬德招标咨询有限公司：</w:t>
      </w:r>
    </w:p>
    <w:p w14:paraId="7F0FD20D">
      <w:pPr>
        <w:pageBreakBefore w:val="0"/>
        <w:kinsoku/>
        <w:wordWrap/>
        <w:overflowPunct/>
        <w:topLinePunct w:val="0"/>
        <w:bidi w:val="0"/>
        <w:spacing w:line="360" w:lineRule="auto"/>
        <w:ind w:firstLine="720" w:firstLineChars="300"/>
        <w:jc w:val="left"/>
        <w:rPr>
          <w:rFonts w:hAnsi="宋体"/>
          <w:bCs/>
          <w:color w:val="auto"/>
          <w:sz w:val="24"/>
          <w:highlight w:val="none"/>
          <w:u w:val="single"/>
        </w:rPr>
      </w:pPr>
      <w:r>
        <w:rPr>
          <w:rFonts w:hint="eastAsia" w:hAnsi="宋体"/>
          <w:bCs/>
          <w:color w:val="auto"/>
          <w:sz w:val="24"/>
          <w:highlight w:val="none"/>
        </w:rPr>
        <w:t xml:space="preserve">本人 </w:t>
      </w:r>
      <w:r>
        <w:rPr>
          <w:rFonts w:hint="eastAsia" w:hAnsi="宋体"/>
          <w:bCs/>
          <w:color w:val="auto"/>
          <w:sz w:val="24"/>
          <w:highlight w:val="none"/>
          <w:u w:val="single"/>
        </w:rPr>
        <w:t xml:space="preserve">  （姓名）      </w:t>
      </w:r>
      <w:r>
        <w:rPr>
          <w:rFonts w:hint="eastAsia" w:hAnsi="宋体"/>
          <w:bCs/>
          <w:color w:val="auto"/>
          <w:sz w:val="24"/>
          <w:highlight w:val="none"/>
        </w:rPr>
        <w:t xml:space="preserve"> 系</w:t>
      </w:r>
      <w:r>
        <w:rPr>
          <w:rFonts w:hint="eastAsia" w:hAnsi="宋体"/>
          <w:bCs/>
          <w:color w:val="auto"/>
          <w:sz w:val="24"/>
          <w:highlight w:val="none"/>
          <w:u w:val="single"/>
        </w:rPr>
        <w:t xml:space="preserve">   （供应商名称）     </w:t>
      </w:r>
      <w:r>
        <w:rPr>
          <w:rFonts w:hint="eastAsia" w:hAnsi="宋体"/>
          <w:bCs/>
          <w:color w:val="auto"/>
          <w:sz w:val="24"/>
          <w:highlight w:val="none"/>
        </w:rPr>
        <w:t>的法定代表人，现授权委托</w:t>
      </w:r>
      <w:r>
        <w:rPr>
          <w:rFonts w:hint="eastAsia" w:hAnsi="宋体"/>
          <w:bCs/>
          <w:color w:val="auto"/>
          <w:sz w:val="24"/>
          <w:highlight w:val="none"/>
          <w:u w:val="single"/>
        </w:rPr>
        <w:t xml:space="preserve"> （姓名）     </w:t>
      </w:r>
      <w:r>
        <w:rPr>
          <w:rFonts w:hint="eastAsia" w:hAnsi="宋体"/>
          <w:bCs/>
          <w:color w:val="auto"/>
          <w:sz w:val="24"/>
          <w:highlight w:val="none"/>
        </w:rPr>
        <w:t>为我公司授权代表，全权代理由贵方组织的</w:t>
      </w:r>
      <w:r>
        <w:rPr>
          <w:rFonts w:hint="eastAsia" w:hAnsi="宋体"/>
          <w:bCs/>
          <w:color w:val="auto"/>
          <w:sz w:val="24"/>
          <w:highlight w:val="none"/>
          <w:u w:val="single"/>
        </w:rPr>
        <w:t xml:space="preserve">                 </w:t>
      </w:r>
      <w:r>
        <w:rPr>
          <w:rFonts w:hint="eastAsia" w:hAnsi="宋体"/>
          <w:bCs/>
          <w:color w:val="auto"/>
          <w:sz w:val="24"/>
          <w:highlight w:val="none"/>
        </w:rPr>
        <w:t xml:space="preserve">  项目。(项目编号</w:t>
      </w:r>
      <w:r>
        <w:rPr>
          <w:rFonts w:hint="eastAsia" w:hAnsi="宋体"/>
          <w:bCs/>
          <w:color w:val="auto"/>
          <w:sz w:val="24"/>
          <w:highlight w:val="none"/>
          <w:u w:val="single"/>
        </w:rPr>
        <w:t xml:space="preserve">       </w:t>
      </w:r>
    </w:p>
    <w:p w14:paraId="1216D617">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u w:val="single"/>
        </w:rPr>
        <w:t xml:space="preserve">         </w:t>
      </w:r>
      <w:r>
        <w:rPr>
          <w:rFonts w:hint="eastAsia" w:hAnsi="宋体"/>
          <w:bCs/>
          <w:color w:val="auto"/>
          <w:sz w:val="24"/>
          <w:highlight w:val="none"/>
        </w:rPr>
        <w:t xml:space="preserve"> 的采购活动的一切相关事宜，我公司均予以承认。</w:t>
      </w:r>
    </w:p>
    <w:p w14:paraId="04BCDE80">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法定代表人证件号码（身份证）：</w:t>
      </w:r>
      <w:r>
        <w:rPr>
          <w:rFonts w:hint="eastAsia" w:hAnsi="宋体"/>
          <w:color w:val="auto"/>
          <w:sz w:val="24"/>
          <w:szCs w:val="24"/>
          <w:highlight w:val="none"/>
          <w:u w:val="single"/>
        </w:rPr>
        <w:t xml:space="preserve">                     </w:t>
      </w:r>
    </w:p>
    <w:p w14:paraId="7A137130">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授权代表证件号码（身份证）：</w:t>
      </w:r>
      <w:r>
        <w:rPr>
          <w:rFonts w:hint="eastAsia" w:hAnsi="宋体"/>
          <w:color w:val="auto"/>
          <w:sz w:val="24"/>
          <w:szCs w:val="24"/>
          <w:highlight w:val="none"/>
          <w:u w:val="single"/>
        </w:rPr>
        <w:t xml:space="preserve">                     </w:t>
      </w:r>
    </w:p>
    <w:p w14:paraId="3C166F15">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rPr>
        <w:t>授权代表无转委权。</w:t>
      </w:r>
    </w:p>
    <w:p w14:paraId="4B13AA2C">
      <w:pPr>
        <w:pStyle w:val="44"/>
        <w:pageBreakBefore w:val="0"/>
        <w:kinsoku/>
        <w:wordWrap/>
        <w:overflowPunct/>
        <w:topLinePunct w:val="0"/>
        <w:bidi w:val="0"/>
        <w:adjustRightInd w:val="0"/>
        <w:snapToGrid w:val="0"/>
        <w:spacing w:line="360" w:lineRule="auto"/>
        <w:rPr>
          <w:rFonts w:hAnsi="宋体"/>
          <w:color w:val="auto"/>
          <w:sz w:val="24"/>
          <w:szCs w:val="24"/>
          <w:highlight w:val="none"/>
        </w:rPr>
      </w:pPr>
      <w:r>
        <w:rPr>
          <w:rFonts w:hint="eastAsia" w:hAnsi="宋体"/>
          <w:color w:val="auto"/>
          <w:sz w:val="24"/>
          <w:szCs w:val="24"/>
          <w:highlight w:val="none"/>
        </w:rPr>
        <w:t>　附法定代表人及被授权人身份证复印件</w:t>
      </w:r>
    </w:p>
    <w:p w14:paraId="3B11600E">
      <w:pPr>
        <w:pStyle w:val="43"/>
        <w:pageBreakBefore w:val="0"/>
        <w:kinsoku/>
        <w:wordWrap/>
        <w:overflowPunct/>
        <w:topLinePunct w:val="0"/>
        <w:bidi w:val="0"/>
        <w:adjustRightInd w:val="0"/>
        <w:snapToGrid w:val="0"/>
        <w:spacing w:line="360" w:lineRule="auto"/>
        <w:rPr>
          <w:rFonts w:hAnsi="宋体"/>
          <w:color w:val="auto"/>
          <w:sz w:val="24"/>
          <w:szCs w:val="24"/>
          <w:highlight w:val="none"/>
        </w:rPr>
      </w:pPr>
      <w:r>
        <w:rPr>
          <w:rFonts w:hAnsi="宋体"/>
          <w:color w:val="auto"/>
          <w:sz w:val="24"/>
          <w:szCs w:val="24"/>
          <w:highlight w:val="none"/>
          <w:lang w:val="en-US"/>
        </w:rPr>
        <mc:AlternateContent>
          <mc:Choice Requires="wps">
            <w:drawing>
              <wp:anchor distT="0" distB="0" distL="114300" distR="114300" simplePos="0" relativeHeight="251662336" behindDoc="0" locked="0" layoutInCell="1" allowOverlap="1">
                <wp:simplePos x="0" y="0"/>
                <wp:positionH relativeFrom="column">
                  <wp:posOffset>219075</wp:posOffset>
                </wp:positionH>
                <wp:positionV relativeFrom="paragraph">
                  <wp:posOffset>63500</wp:posOffset>
                </wp:positionV>
                <wp:extent cx="2724150" cy="1737995"/>
                <wp:effectExtent l="4445" t="5080" r="14605" b="9525"/>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2724150" cy="1737995"/>
                        </a:xfrm>
                        <a:prstGeom prst="rect">
                          <a:avLst/>
                        </a:prstGeom>
                        <a:solidFill>
                          <a:srgbClr val="FFFFFF"/>
                        </a:solidFill>
                        <a:ln w="9525">
                          <a:solidFill>
                            <a:srgbClr val="000000"/>
                          </a:solidFill>
                          <a:miter lim="800000"/>
                        </a:ln>
                      </wps:spPr>
                      <wps:txbx>
                        <w:txbxContent>
                          <w:p w14:paraId="2B49558C">
                            <w:r>
                              <w:rPr>
                                <w:rFonts w:hint="eastAsia"/>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25pt;margin-top:5pt;height:136.85pt;width:214.5pt;z-index:251662336;mso-width-relative:page;mso-height-relative:page;" fillcolor="#FFFFFF" filled="t" stroked="t" coordsize="21600,21600" o:gfxdata="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Qr4mNgAAAAJAQAADwAAAAAAAAABACAAAAAi&#10;AAAAZHJzL2Rvd25yZXYueG1sUEsBAhQAFAAAAAgAh07iQHHepjVDAgAAigQAAA4AAAAAAAAAAQAg&#10;AAAAJwEAAGRycy9lMm9Eb2MueG1sUEsFBgAAAAAGAAYAWQEAANwFAAAAAA==&#10;">
                <v:fill on="t" focussize="0,0"/>
                <v:stroke color="#000000" miterlimit="8" joinstyle="miter"/>
                <v:imagedata o:title=""/>
                <o:lock v:ext="edit" aspectratio="f"/>
                <v:textbox>
                  <w:txbxContent>
                    <w:p w14:paraId="2B49558C">
                      <w:r>
                        <w:rPr>
                          <w:rFonts w:hint="eastAsia"/>
                        </w:rPr>
                        <w:t>法定代表人身份证正面</w:t>
                      </w:r>
                    </w:p>
                  </w:txbxContent>
                </v:textbox>
              </v:shape>
            </w:pict>
          </mc:Fallback>
        </mc:AlternateContent>
      </w:r>
      <w:r>
        <w:rPr>
          <w:rFonts w:hAnsi="宋体"/>
          <w:color w:val="auto"/>
          <w:sz w:val="24"/>
          <w:szCs w:val="24"/>
          <w:highlight w:val="none"/>
          <w:lang w:val="en-US"/>
        </w:rPr>
        <mc:AlternateContent>
          <mc:Choice Requires="wps">
            <w:drawing>
              <wp:anchor distT="0" distB="0" distL="114300" distR="114300" simplePos="0" relativeHeight="251663360" behindDoc="0" locked="0" layoutInCell="1" allowOverlap="1">
                <wp:simplePos x="0" y="0"/>
                <wp:positionH relativeFrom="column">
                  <wp:posOffset>3152775</wp:posOffset>
                </wp:positionH>
                <wp:positionV relativeFrom="paragraph">
                  <wp:posOffset>63500</wp:posOffset>
                </wp:positionV>
                <wp:extent cx="2838450" cy="1714500"/>
                <wp:effectExtent l="4445" t="4445" r="14605" b="1460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2838450" cy="1714500"/>
                        </a:xfrm>
                        <a:prstGeom prst="rect">
                          <a:avLst/>
                        </a:prstGeom>
                        <a:solidFill>
                          <a:srgbClr val="FFFFFF"/>
                        </a:solidFill>
                        <a:ln w="9525">
                          <a:solidFill>
                            <a:srgbClr val="000000"/>
                          </a:solidFill>
                          <a:miter lim="800000"/>
                        </a:ln>
                      </wps:spPr>
                      <wps:txbx>
                        <w:txbxContent>
                          <w:p w14:paraId="0CB3AD7F">
                            <w:r>
                              <w:rPr>
                                <w:rFonts w:hint="eastAsia"/>
                              </w:rPr>
                              <w:t>法定代表人身份证背面</w:t>
                            </w:r>
                          </w:p>
                          <w:p w14:paraId="6294E733"/>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25pt;margin-top:5pt;height:135pt;width:223.5pt;z-index:251663360;mso-width-relative:page;mso-height-relative:page;" fillcolor="#FFFFFF" filled="t" stroked="t" coordsize="21600,21600" o:gfxdata="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jgJR2AAAAAoBAAAPAAAAAAAAAAEAIAAAACIA&#10;AABkcnMvZG93bnJldi54bWxQSwECFAAUAAAACACHTuJAJvGSzUICAACKBAAADgAAAAAAAAABACAA&#10;AAAnAQAAZHJzL2Uyb0RvYy54bWxQSwUGAAAAAAYABgBZAQAA2wUAAAAA&#10;">
                <v:fill on="t" focussize="0,0"/>
                <v:stroke color="#000000" miterlimit="8" joinstyle="miter"/>
                <v:imagedata o:title=""/>
                <o:lock v:ext="edit" aspectratio="f"/>
                <v:textbox>
                  <w:txbxContent>
                    <w:p w14:paraId="0CB3AD7F">
                      <w:r>
                        <w:rPr>
                          <w:rFonts w:hint="eastAsia"/>
                        </w:rPr>
                        <w:t>法定代表人身份证背面</w:t>
                      </w:r>
                    </w:p>
                    <w:p w14:paraId="6294E733"/>
                  </w:txbxContent>
                </v:textbox>
              </v:shape>
            </w:pict>
          </mc:Fallback>
        </mc:AlternateContent>
      </w:r>
    </w:p>
    <w:p w14:paraId="5A5A4674">
      <w:pPr>
        <w:pStyle w:val="43"/>
        <w:pageBreakBefore w:val="0"/>
        <w:kinsoku/>
        <w:wordWrap/>
        <w:overflowPunct/>
        <w:topLinePunct w:val="0"/>
        <w:bidi w:val="0"/>
        <w:adjustRightInd w:val="0"/>
        <w:snapToGrid w:val="0"/>
        <w:spacing w:line="360" w:lineRule="auto"/>
        <w:jc w:val="center"/>
        <w:rPr>
          <w:rFonts w:hAnsi="宋体"/>
          <w:color w:val="auto"/>
          <w:sz w:val="24"/>
          <w:szCs w:val="24"/>
          <w:highlight w:val="none"/>
        </w:rPr>
      </w:pPr>
    </w:p>
    <w:p w14:paraId="629CD2B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hint="eastAsia" w:ascii="宋体" w:hAnsi="宋体"/>
          <w:color w:val="auto"/>
          <w:sz w:val="24"/>
          <w:szCs w:val="24"/>
          <w:highlight w:val="none"/>
        </w:rPr>
        <w:t xml:space="preserve">  </w:t>
      </w:r>
    </w:p>
    <w:p w14:paraId="49DD819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0CB994F2">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03D9258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19B406A6">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ascii="宋体" w:hAnsi="宋体"/>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238760</wp:posOffset>
                </wp:positionH>
                <wp:positionV relativeFrom="paragraph">
                  <wp:posOffset>168910</wp:posOffset>
                </wp:positionV>
                <wp:extent cx="2705100" cy="1652270"/>
                <wp:effectExtent l="4445" t="4445" r="14605" b="19685"/>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2705100" cy="1652270"/>
                        </a:xfrm>
                        <a:prstGeom prst="rect">
                          <a:avLst/>
                        </a:prstGeom>
                        <a:solidFill>
                          <a:srgbClr val="FFFFFF"/>
                        </a:solidFill>
                        <a:ln w="9525">
                          <a:solidFill>
                            <a:srgbClr val="000000"/>
                          </a:solidFill>
                          <a:miter lim="800000"/>
                        </a:ln>
                      </wps:spPr>
                      <wps:txbx>
                        <w:txbxContent>
                          <w:p w14:paraId="579DD6E2">
                            <w:r>
                              <w:rPr>
                                <w:rFonts w:hint="eastAsia"/>
                              </w:rPr>
                              <w:t>被授权人身份证正面</w:t>
                            </w:r>
                          </w:p>
                          <w:p w14:paraId="7DE3ED3C"/>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8pt;margin-top:13.3pt;height:130.1pt;width:213pt;z-index:251664384;mso-width-relative:page;mso-height-relative:page;" fillcolor="#FFFFFF" filled="t" stroked="t" coordsize="21600,21600" o:gfxdata="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7K7HYAAAACQEAAA8AAAAAAAAAAQAgAAAAIgAA&#10;AGRycy9kb3ducmV2LnhtbFBLAQIUABQAAAAIAIdO4kDMUygjQQIAAIoEAAAOAAAAAAAAAAEAIAAA&#10;ACcBAABkcnMvZTJvRG9jLnhtbFBLBQYAAAAABgAGAFkBAADaBQAAAAA=&#10;">
                <v:fill on="t" focussize="0,0"/>
                <v:stroke color="#000000" miterlimit="8" joinstyle="miter"/>
                <v:imagedata o:title=""/>
                <o:lock v:ext="edit" aspectratio="f"/>
                <v:textbox>
                  <w:txbxContent>
                    <w:p w14:paraId="579DD6E2">
                      <w:r>
                        <w:rPr>
                          <w:rFonts w:hint="eastAsia"/>
                        </w:rPr>
                        <w:t>被授权人身份证正面</w:t>
                      </w:r>
                    </w:p>
                    <w:p w14:paraId="7DE3ED3C"/>
                  </w:txbxContent>
                </v:textbox>
              </v:shape>
            </w:pict>
          </mc:Fallback>
        </mc:AlternateContent>
      </w:r>
      <w:r>
        <w:rPr>
          <w:rFonts w:ascii="宋体" w:hAnsi="宋体"/>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3157855</wp:posOffset>
                </wp:positionH>
                <wp:positionV relativeFrom="paragraph">
                  <wp:posOffset>156845</wp:posOffset>
                </wp:positionV>
                <wp:extent cx="2839085" cy="1677670"/>
                <wp:effectExtent l="5080" t="5080" r="13335" b="1270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2839085" cy="1677670"/>
                        </a:xfrm>
                        <a:prstGeom prst="rect">
                          <a:avLst/>
                        </a:prstGeom>
                        <a:solidFill>
                          <a:srgbClr val="FFFFFF"/>
                        </a:solidFill>
                        <a:ln w="9525">
                          <a:solidFill>
                            <a:srgbClr val="000000"/>
                          </a:solidFill>
                          <a:miter lim="800000"/>
                        </a:ln>
                      </wps:spPr>
                      <wps:txbx>
                        <w:txbxContent>
                          <w:p w14:paraId="55AB45E3">
                            <w:r>
                              <w:rPr>
                                <w:rFonts w:hint="eastAsia"/>
                              </w:rPr>
                              <w:t>被授权人身份证背面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65pt;margin-top:12.35pt;height:132.1pt;width:223.55pt;z-index:251665408;mso-width-relative:page;mso-height-relative:page;" fillcolor="#FFFFFF" filled="t" stroked="t" coordsize="21600,21600" o:gfxdata="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rfD13ZAAAACgEAAA8AAAAAAAAAAQAgAAAA&#10;IgAAAGRycy9kb3ducmV2LnhtbFBLAQIUABQAAAAIAIdO4kDUEhV5QwIAAIoEAAAOAAAAAAAAAAEA&#10;IAAAACgBAABkcnMvZTJvRG9jLnhtbFBLBQYAAAAABgAGAFkBAADdBQAAAAA=&#10;">
                <v:fill on="t" focussize="0,0"/>
                <v:stroke color="#000000" miterlimit="8" joinstyle="miter"/>
                <v:imagedata o:title=""/>
                <o:lock v:ext="edit" aspectratio="f"/>
                <v:textbox>
                  <w:txbxContent>
                    <w:p w14:paraId="55AB45E3">
                      <w:r>
                        <w:rPr>
                          <w:rFonts w:hint="eastAsia"/>
                        </w:rPr>
                        <w:t>被授权人身份证背面</w:t>
                      </w:r>
                    </w:p>
                  </w:txbxContent>
                </v:textbox>
              </v:shape>
            </w:pict>
          </mc:Fallback>
        </mc:AlternateContent>
      </w:r>
    </w:p>
    <w:p w14:paraId="7B60E72D">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69A4E6">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6DA1E21E">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ADAA12">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428403">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534E83C">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50B98E9F">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Theme="minorEastAsia" w:hAnsiTheme="minorEastAsia" w:eastAsiaTheme="minorEastAsia"/>
          <w:color w:val="auto"/>
          <w:sz w:val="24"/>
          <w:szCs w:val="24"/>
          <w:highlight w:val="none"/>
        </w:rPr>
        <w:t>供应商：</w:t>
      </w:r>
      <w:r>
        <w:rPr>
          <w:rFonts w:hint="eastAsia" w:asciiTheme="minorEastAsia" w:hAnsiTheme="minorEastAsia" w:eastAsiaTheme="minorEastAsia"/>
          <w:color w:val="auto"/>
          <w:sz w:val="24"/>
          <w:szCs w:val="24"/>
          <w:highlight w:val="none"/>
          <w:u w:val="single"/>
        </w:rPr>
        <w:t xml:space="preserve">                 </w:t>
      </w:r>
      <w:r>
        <w:rPr>
          <w:rFonts w:hint="eastAsia" w:ascii="宋体" w:hAnsi="宋体"/>
          <w:color w:val="auto"/>
          <w:sz w:val="24"/>
          <w:szCs w:val="24"/>
          <w:highlight w:val="none"/>
        </w:rPr>
        <w:t xml:space="preserve"> （签章）</w:t>
      </w:r>
    </w:p>
    <w:p w14:paraId="4E5EAE4B">
      <w:pPr>
        <w:pStyle w:val="39"/>
        <w:pageBreakBefore w:val="0"/>
        <w:kinsoku/>
        <w:wordWrap/>
        <w:overflowPunct/>
        <w:topLinePunct w:val="0"/>
        <w:bidi w:val="0"/>
        <w:adjustRightInd w:val="0"/>
        <w:snapToGrid w:val="0"/>
        <w:spacing w:line="360" w:lineRule="auto"/>
        <w:ind w:right="84" w:rightChars="40" w:firstLine="3360" w:firstLineChars="1400"/>
        <w:rPr>
          <w:rFonts w:ascii="宋体" w:hAnsi="宋体"/>
          <w:color w:val="auto"/>
          <w:sz w:val="24"/>
          <w:szCs w:val="24"/>
          <w:highlight w:val="none"/>
        </w:rPr>
      </w:pPr>
      <w:r>
        <w:rPr>
          <w:rFonts w:hint="eastAsia" w:ascii="宋体" w:hAnsi="宋体"/>
          <w:color w:val="auto"/>
          <w:sz w:val="24"/>
          <w:szCs w:val="24"/>
          <w:highlight w:val="none"/>
          <w:lang w:val="en-US" w:eastAsia="zh-CN"/>
        </w:rPr>
        <w:t>法定代表人</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highlight w:val="none"/>
          <w:lang w:val="en-US" w:eastAsia="zh-CN"/>
        </w:rPr>
        <w:t>签字或印章</w:t>
      </w:r>
      <w:r>
        <w:rPr>
          <w:rFonts w:hint="eastAsia" w:ascii="宋体" w:hAnsi="宋体"/>
          <w:color w:val="auto"/>
          <w:sz w:val="24"/>
          <w:szCs w:val="24"/>
          <w:highlight w:val="none"/>
        </w:rPr>
        <w:t>）</w:t>
      </w:r>
    </w:p>
    <w:p w14:paraId="1C403FD5">
      <w:pPr>
        <w:pStyle w:val="39"/>
        <w:pageBreakBefore w:val="0"/>
        <w:kinsoku/>
        <w:wordWrap/>
        <w:overflowPunct/>
        <w:topLinePunct w:val="0"/>
        <w:bidi w:val="0"/>
        <w:adjustRightInd w:val="0"/>
        <w:snapToGrid w:val="0"/>
        <w:spacing w:line="360" w:lineRule="auto"/>
        <w:ind w:right="84" w:rightChars="40" w:firstLine="3360" w:firstLineChars="1400"/>
        <w:rPr>
          <w:rFonts w:ascii="宋体" w:hAnsi="宋体" w:cs="Arial"/>
          <w:color w:val="auto"/>
          <w:sz w:val="24"/>
          <w:szCs w:val="24"/>
          <w:highlight w:val="none"/>
        </w:rPr>
      </w:pPr>
      <w:r>
        <w:rPr>
          <w:rFonts w:hint="eastAsia" w:ascii="宋体" w:hAnsi="宋体"/>
          <w:color w:val="auto"/>
          <w:sz w:val="24"/>
          <w:szCs w:val="24"/>
          <w:highlight w:val="none"/>
        </w:rPr>
        <w:t>日期：</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 xml:space="preserve">年 </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月</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日</w:t>
      </w:r>
    </w:p>
    <w:p w14:paraId="17EAB6A3">
      <w:pPr>
        <w:pStyle w:val="39"/>
        <w:pageBreakBefore w:val="0"/>
        <w:kinsoku/>
        <w:wordWrap/>
        <w:overflowPunct/>
        <w:topLinePunct w:val="0"/>
        <w:bidi w:val="0"/>
        <w:adjustRightInd w:val="0"/>
        <w:snapToGrid w:val="0"/>
        <w:spacing w:line="360" w:lineRule="auto"/>
        <w:ind w:right="84" w:rightChars="40"/>
        <w:rPr>
          <w:rFonts w:hint="eastAsia" w:hAnsi="宋体" w:cs="仿宋_GB2312"/>
          <w:b/>
          <w:color w:val="auto"/>
          <w:sz w:val="24"/>
          <w:szCs w:val="24"/>
          <w:highlight w:val="none"/>
        </w:rPr>
      </w:pPr>
      <w:r>
        <w:rPr>
          <w:rFonts w:hint="eastAsia" w:hAnsi="宋体" w:cs="仿宋_GB2312"/>
          <w:b/>
          <w:color w:val="auto"/>
          <w:sz w:val="24"/>
          <w:szCs w:val="24"/>
          <w:highlight w:val="none"/>
        </w:rPr>
        <w:t>说明：</w:t>
      </w:r>
      <w:r>
        <w:rPr>
          <w:rFonts w:hAnsi="宋体" w:cs="仿宋_GB2312"/>
          <w:b/>
          <w:color w:val="auto"/>
          <w:sz w:val="24"/>
          <w:szCs w:val="24"/>
          <w:highlight w:val="none"/>
        </w:rPr>
        <w:t>法定代表人亲自</w:t>
      </w:r>
      <w:r>
        <w:rPr>
          <w:rFonts w:hint="eastAsia" w:hAnsi="宋体" w:cs="仿宋_GB2312"/>
          <w:b/>
          <w:color w:val="auto"/>
          <w:sz w:val="24"/>
          <w:szCs w:val="24"/>
          <w:highlight w:val="none"/>
        </w:rPr>
        <w:t>办理投标事宜的</w:t>
      </w:r>
      <w:r>
        <w:rPr>
          <w:rFonts w:hAnsi="宋体" w:cs="仿宋_GB2312"/>
          <w:b/>
          <w:color w:val="auto"/>
          <w:sz w:val="24"/>
          <w:szCs w:val="24"/>
          <w:highlight w:val="none"/>
        </w:rPr>
        <w:t>，无需提交本授权委托</w:t>
      </w:r>
      <w:r>
        <w:rPr>
          <w:rFonts w:hint="eastAsia" w:hAnsi="宋体" w:cs="仿宋_GB2312"/>
          <w:b/>
          <w:color w:val="auto"/>
          <w:sz w:val="24"/>
          <w:szCs w:val="24"/>
          <w:highlight w:val="none"/>
        </w:rPr>
        <w:t>证明书</w:t>
      </w:r>
      <w:bookmarkStart w:id="341" w:name="_Toc89950770"/>
    </w:p>
    <w:p w14:paraId="785A89E7">
      <w:pPr>
        <w:rPr>
          <w:rFonts w:hint="eastAsia"/>
          <w:b w:val="0"/>
          <w:color w:val="auto"/>
          <w:sz w:val="24"/>
          <w:szCs w:val="24"/>
          <w:highlight w:val="none"/>
          <w:lang w:val="en-US" w:eastAsia="zh-CN"/>
        </w:rPr>
      </w:pPr>
      <w:bookmarkStart w:id="342" w:name="_Toc19243"/>
      <w:r>
        <w:rPr>
          <w:rFonts w:hint="eastAsia"/>
          <w:b w:val="0"/>
          <w:color w:val="auto"/>
          <w:sz w:val="24"/>
          <w:szCs w:val="24"/>
          <w:highlight w:val="none"/>
          <w:lang w:val="en-US" w:eastAsia="zh-CN"/>
        </w:rPr>
        <w:br w:type="page"/>
      </w:r>
    </w:p>
    <w:p w14:paraId="5F8BF4C1">
      <w:pPr>
        <w:pStyle w:val="25"/>
        <w:pageBreakBefore w:val="0"/>
        <w:numPr>
          <w:ilvl w:val="0"/>
          <w:numId w:val="0"/>
        </w:numPr>
        <w:kinsoku/>
        <w:wordWrap/>
        <w:overflowPunct/>
        <w:topLinePunct w:val="0"/>
        <w:bidi w:val="0"/>
        <w:spacing w:line="360" w:lineRule="auto"/>
        <w:jc w:val="both"/>
        <w:rPr>
          <w:rFonts w:hAnsi="Calibri"/>
          <w:color w:val="auto"/>
          <w:sz w:val="24"/>
          <w:szCs w:val="24"/>
          <w:highlight w:val="none"/>
        </w:rPr>
      </w:pPr>
      <w:bookmarkStart w:id="343" w:name="_Toc3081"/>
      <w:r>
        <w:rPr>
          <w:rFonts w:hint="eastAsia"/>
          <w:b w:val="0"/>
          <w:color w:val="auto"/>
          <w:sz w:val="24"/>
          <w:szCs w:val="24"/>
          <w:highlight w:val="none"/>
          <w:lang w:val="en-US" w:eastAsia="zh-CN"/>
        </w:rPr>
        <w:t>六、</w:t>
      </w:r>
      <w:r>
        <w:rPr>
          <w:b w:val="0"/>
          <w:color w:val="auto"/>
          <w:sz w:val="24"/>
          <w:szCs w:val="24"/>
          <w:highlight w:val="none"/>
        </w:rPr>
        <w:t>投标人基本情况</w:t>
      </w:r>
      <w:bookmarkEnd w:id="341"/>
      <w:bookmarkEnd w:id="342"/>
      <w:bookmarkEnd w:id="343"/>
    </w:p>
    <w:p w14:paraId="32DADCD1">
      <w:pPr>
        <w:pStyle w:val="25"/>
        <w:pageBreakBefore w:val="0"/>
        <w:kinsoku/>
        <w:wordWrap/>
        <w:overflowPunct/>
        <w:topLinePunct w:val="0"/>
        <w:bidi w:val="0"/>
        <w:spacing w:line="360" w:lineRule="auto"/>
        <w:ind w:firstLine="3674" w:firstLineChars="1500"/>
        <w:jc w:val="both"/>
        <w:rPr>
          <w:rFonts w:ascii="ASAROH+ËÎÌå" w:hAnsi="ASAROH+ËÎÌå" w:cs="ASAROH+ËÎÌå"/>
          <w:color w:val="auto"/>
          <w:spacing w:val="2"/>
          <w:sz w:val="24"/>
          <w:szCs w:val="24"/>
          <w:highlight w:val="none"/>
        </w:rPr>
      </w:pPr>
      <w:bookmarkStart w:id="344" w:name="_Toc20452"/>
      <w:bookmarkStart w:id="345" w:name="_Toc10929"/>
      <w:bookmarkStart w:id="346" w:name="_Toc21940"/>
      <w:bookmarkStart w:id="347" w:name="_Toc21904"/>
      <w:bookmarkStart w:id="348" w:name="_Toc2335"/>
      <w:bookmarkStart w:id="349" w:name="_Toc28779"/>
      <w:bookmarkStart w:id="350" w:name="_Toc31655"/>
      <w:bookmarkStart w:id="351" w:name="_Toc19323"/>
      <w:bookmarkStart w:id="352" w:name="_Toc21883"/>
      <w:r>
        <w:rPr>
          <w:rFonts w:ascii="ASAROH+ËÎÌå" w:hAnsi="ASAROH+ËÎÌå" w:cs="ASAROH+ËÎÌå"/>
          <w:color w:val="auto"/>
          <w:spacing w:val="2"/>
          <w:sz w:val="24"/>
          <w:szCs w:val="24"/>
          <w:highlight w:val="none"/>
        </w:rPr>
        <w:t>投标人基本情况</w:t>
      </w:r>
      <w:bookmarkEnd w:id="344"/>
      <w:bookmarkEnd w:id="345"/>
      <w:bookmarkEnd w:id="346"/>
      <w:bookmarkEnd w:id="347"/>
      <w:bookmarkEnd w:id="348"/>
      <w:bookmarkEnd w:id="349"/>
      <w:bookmarkEnd w:id="350"/>
      <w:bookmarkEnd w:id="351"/>
      <w:bookmarkEnd w:id="352"/>
    </w:p>
    <w:p w14:paraId="3BBA8BFA">
      <w:pPr>
        <w:pStyle w:val="25"/>
        <w:pageBreakBefore w:val="0"/>
        <w:kinsoku/>
        <w:wordWrap/>
        <w:overflowPunct/>
        <w:topLinePunct w:val="0"/>
        <w:bidi w:val="0"/>
        <w:spacing w:line="360" w:lineRule="auto"/>
        <w:ind w:firstLine="480" w:firstLineChars="200"/>
        <w:jc w:val="both"/>
        <w:rPr>
          <w:rFonts w:hAnsi="Calibri" w:asciiTheme="minorHAnsi"/>
          <w:b w:val="0"/>
          <w:bCs w:val="0"/>
          <w:color w:val="auto"/>
          <w:sz w:val="24"/>
          <w:szCs w:val="24"/>
          <w:highlight w:val="none"/>
        </w:rPr>
      </w:pPr>
      <w:bookmarkStart w:id="353" w:name="_Toc31497"/>
      <w:bookmarkStart w:id="354" w:name="_Toc29241"/>
      <w:bookmarkStart w:id="355" w:name="_Toc17598"/>
      <w:bookmarkStart w:id="356" w:name="_Toc7815"/>
      <w:bookmarkStart w:id="357" w:name="_Toc23186"/>
      <w:bookmarkStart w:id="358" w:name="_Toc21628"/>
      <w:bookmarkStart w:id="359" w:name="_Toc23889"/>
      <w:bookmarkStart w:id="360" w:name="_Toc27497"/>
      <w:bookmarkStart w:id="361" w:name="_Toc15552"/>
      <w:r>
        <w:rPr>
          <w:rFonts w:hAnsi="Calibri" w:asciiTheme="minorHAnsi"/>
          <w:b w:val="0"/>
          <w:bCs w:val="0"/>
          <w:color w:val="auto"/>
          <w:sz w:val="24"/>
          <w:szCs w:val="24"/>
          <w:highlight w:val="none"/>
        </w:rPr>
        <w:t>1</w:t>
      </w:r>
      <w:r>
        <w:rPr>
          <w:rFonts w:hAnsi="PVWGCA+·ÂËÎ" w:cs="PVWGCA+·ÂËÎ" w:asciiTheme="minorHAnsi"/>
          <w:b w:val="0"/>
          <w:bCs w:val="0"/>
          <w:color w:val="auto"/>
          <w:sz w:val="24"/>
          <w:szCs w:val="24"/>
          <w:highlight w:val="none"/>
        </w:rPr>
        <w:t>、名称及概况：</w:t>
      </w:r>
      <w:bookmarkEnd w:id="353"/>
      <w:bookmarkEnd w:id="354"/>
      <w:bookmarkEnd w:id="355"/>
      <w:bookmarkEnd w:id="356"/>
      <w:bookmarkEnd w:id="357"/>
      <w:bookmarkEnd w:id="358"/>
      <w:bookmarkEnd w:id="359"/>
      <w:bookmarkEnd w:id="360"/>
      <w:bookmarkEnd w:id="361"/>
    </w:p>
    <w:p w14:paraId="391576D7">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(1) </w:t>
      </w:r>
      <w:r>
        <w:rPr>
          <w:rFonts w:hAnsi="PVWGCA+·ÂËÎ" w:cs="PVWGCA+·ÂËÎ"/>
          <w:color w:val="auto"/>
          <w:sz w:val="24"/>
          <w:highlight w:val="none"/>
        </w:rPr>
        <w:t>投标人名称：</w:t>
      </w:r>
    </w:p>
    <w:p w14:paraId="7B23AA64">
      <w:pPr>
        <w:pageBreakBefore w:val="0"/>
        <w:kinsoku/>
        <w:wordWrap/>
        <w:overflowPunct/>
        <w:topLinePunct w:val="0"/>
        <w:bidi w:val="0"/>
        <w:spacing w:before="189" w:line="360" w:lineRule="auto"/>
        <w:ind w:left="475" w:firstLine="480" w:firstLineChars="200"/>
        <w:rPr>
          <w:rFonts w:hAnsi="Calibri"/>
          <w:color w:val="auto"/>
          <w:sz w:val="24"/>
          <w:highlight w:val="none"/>
        </w:rPr>
      </w:pPr>
      <w:r>
        <w:rPr>
          <w:rFonts w:hAnsi="PVWGCA+·ÂËÎ" w:cs="PVWGCA+·ÂËÎ"/>
          <w:color w:val="auto"/>
          <w:sz w:val="24"/>
          <w:highlight w:val="none"/>
        </w:rPr>
        <w:t>地址：</w:t>
      </w:r>
    </w:p>
    <w:p w14:paraId="0E01C580">
      <w:pPr>
        <w:pageBreakBefore w:val="0"/>
        <w:kinsoku/>
        <w:wordWrap/>
        <w:overflowPunct/>
        <w:topLinePunct w:val="0"/>
        <w:bidi w:val="0"/>
        <w:spacing w:before="189" w:line="360" w:lineRule="auto"/>
        <w:ind w:firstLine="720" w:firstLineChars="300"/>
        <w:rPr>
          <w:rFonts w:hAnsi="PVWGCA+·ÂËÎ" w:cs="PVWGCA+·ÂËÎ"/>
          <w:color w:val="auto"/>
          <w:sz w:val="24"/>
          <w:highlight w:val="none"/>
        </w:rPr>
      </w:pPr>
      <w:r>
        <w:rPr>
          <w:rFonts w:hAnsi="PVWGCA+·ÂËÎ" w:cs="PVWGCA+·ÂËÎ"/>
          <w:color w:val="auto"/>
          <w:sz w:val="24"/>
          <w:highlight w:val="none"/>
        </w:rPr>
        <w:t>传真</w:t>
      </w:r>
      <w:r>
        <w:rPr>
          <w:rFonts w:hAnsi="Calibri"/>
          <w:color w:val="auto"/>
          <w:sz w:val="24"/>
          <w:highlight w:val="none"/>
        </w:rPr>
        <w:t>/</w:t>
      </w:r>
      <w:r>
        <w:rPr>
          <w:rFonts w:hAnsi="PVWGCA+·ÂËÎ" w:cs="PVWGCA+·ÂËÎ"/>
          <w:color w:val="auto"/>
          <w:sz w:val="24"/>
          <w:highlight w:val="none"/>
        </w:rPr>
        <w:t>电话号码：</w:t>
      </w:r>
      <w:r>
        <w:rPr>
          <w:rFonts w:hint="eastAsia" w:hAnsi="PVWGCA+·ÂËÎ" w:cs="PVWGCA+·ÂËÎ"/>
          <w:color w:val="auto"/>
          <w:sz w:val="24"/>
          <w:highlight w:val="none"/>
        </w:rPr>
        <w:t xml:space="preserve">                          </w:t>
      </w:r>
      <w:r>
        <w:rPr>
          <w:rFonts w:hAnsi="PVWGCA+·ÂËÎ" w:cs="PVWGCA+·ÂËÎ"/>
          <w:color w:val="auto"/>
          <w:sz w:val="24"/>
          <w:highlight w:val="none"/>
        </w:rPr>
        <w:t>邮政编码：</w:t>
      </w:r>
    </w:p>
    <w:p w14:paraId="600DCBB2">
      <w:pPr>
        <w:pageBreakBefore w:val="0"/>
        <w:kinsoku/>
        <w:wordWrap/>
        <w:overflowPunct/>
        <w:topLinePunct w:val="0"/>
        <w:bidi w:val="0"/>
        <w:spacing w:before="189" w:line="360" w:lineRule="auto"/>
        <w:ind w:firstLine="480" w:firstLineChars="200"/>
        <w:rPr>
          <w:rFonts w:hAnsi="Calibri"/>
          <w:color w:val="auto"/>
          <w:sz w:val="24"/>
          <w:highlight w:val="none"/>
        </w:rPr>
      </w:pPr>
      <w:r>
        <w:rPr>
          <w:rFonts w:hAnsi="Calibri"/>
          <w:color w:val="auto"/>
          <w:sz w:val="24"/>
          <w:highlight w:val="none"/>
        </w:rPr>
        <w:t xml:space="preserve">(2) </w:t>
      </w:r>
      <w:r>
        <w:rPr>
          <w:rFonts w:hAnsi="PVWGCA+·ÂËÎ" w:cs="PVWGCA+·ÂËÎ"/>
          <w:color w:val="auto"/>
          <w:sz w:val="24"/>
          <w:highlight w:val="none"/>
        </w:rPr>
        <w:t>成立或注册日期：</w:t>
      </w:r>
    </w:p>
    <w:p w14:paraId="151232E0">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(3) </w:t>
      </w:r>
      <w:r>
        <w:rPr>
          <w:rFonts w:hAnsi="PVWGCA+·ÂËÎ" w:cs="PVWGCA+·ÂËÎ"/>
          <w:color w:val="auto"/>
          <w:sz w:val="24"/>
          <w:highlight w:val="none"/>
        </w:rPr>
        <w:t>统一社会信用代码：</w:t>
      </w:r>
    </w:p>
    <w:p w14:paraId="39F70E0D">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(4) </w:t>
      </w:r>
      <w:r>
        <w:rPr>
          <w:rFonts w:hAnsi="PVWGCA+·ÂËÎ" w:cs="PVWGCA+·ÂËÎ"/>
          <w:color w:val="auto"/>
          <w:sz w:val="24"/>
          <w:highlight w:val="none"/>
        </w:rPr>
        <w:t>实收资本：</w:t>
      </w:r>
    </w:p>
    <w:p w14:paraId="1F5F2402">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(5) </w:t>
      </w:r>
      <w:r>
        <w:rPr>
          <w:rFonts w:hAnsi="PVWGCA+·ÂËÎ" w:cs="PVWGCA+·ÂËÎ"/>
          <w:color w:val="auto"/>
          <w:sz w:val="24"/>
          <w:highlight w:val="none"/>
        </w:rPr>
        <w:t>近期资产负债表（到</w:t>
      </w:r>
      <w:r>
        <w:rPr>
          <w:rFonts w:hAnsi="Calibri"/>
          <w:color w:val="auto"/>
          <w:spacing w:val="781"/>
          <w:sz w:val="24"/>
          <w:highlight w:val="none"/>
        </w:rPr>
        <w:t xml:space="preserve"> </w:t>
      </w:r>
      <w:r>
        <w:rPr>
          <w:rFonts w:hAnsi="PVWGCA+·ÂËÎ" w:cs="PVWGCA+·ÂËÎ"/>
          <w:color w:val="auto"/>
          <w:sz w:val="24"/>
          <w:highlight w:val="none"/>
        </w:rPr>
        <w:t>年</w:t>
      </w:r>
      <w:r>
        <w:rPr>
          <w:rFonts w:hAnsi="Calibri"/>
          <w:color w:val="auto"/>
          <w:spacing w:val="420"/>
          <w:sz w:val="24"/>
          <w:highlight w:val="none"/>
        </w:rPr>
        <w:t xml:space="preserve"> </w:t>
      </w:r>
      <w:r>
        <w:rPr>
          <w:rFonts w:hAnsi="PVWGCA+·ÂËÎ" w:cs="PVWGCA+·ÂËÎ"/>
          <w:color w:val="auto"/>
          <w:sz w:val="24"/>
          <w:highlight w:val="none"/>
        </w:rPr>
        <w:t>月</w:t>
      </w:r>
      <w:r>
        <w:rPr>
          <w:rFonts w:hAnsi="Calibri"/>
          <w:color w:val="auto"/>
          <w:spacing w:val="300"/>
          <w:sz w:val="24"/>
          <w:highlight w:val="none"/>
        </w:rPr>
        <w:t xml:space="preserve"> </w:t>
      </w:r>
      <w:r>
        <w:rPr>
          <w:rFonts w:hAnsi="PVWGCA+·ÂËÎ" w:cs="PVWGCA+·ÂËÎ"/>
          <w:color w:val="auto"/>
          <w:sz w:val="24"/>
          <w:highlight w:val="none"/>
        </w:rPr>
        <w:t>日止）</w:t>
      </w:r>
    </w:p>
    <w:p w14:paraId="05DE054B">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①固定资产：</w:t>
      </w:r>
    </w:p>
    <w:p w14:paraId="17FA6E1D">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②流动资产：</w:t>
      </w:r>
    </w:p>
    <w:p w14:paraId="73947BC8">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③长期负债：</w:t>
      </w:r>
    </w:p>
    <w:p w14:paraId="7ADBEAE2">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④流动负债：</w:t>
      </w:r>
    </w:p>
    <w:p w14:paraId="2E397E4F">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(6) </w:t>
      </w:r>
      <w:r>
        <w:rPr>
          <w:rFonts w:hAnsi="PVWGCA+·ÂËÎ" w:cs="PVWGCA+·ÂËÎ"/>
          <w:color w:val="auto"/>
          <w:sz w:val="24"/>
          <w:highlight w:val="none"/>
        </w:rPr>
        <w:t>法定代表人姓名：</w:t>
      </w:r>
    </w:p>
    <w:p w14:paraId="00FA5388">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(7) </w:t>
      </w:r>
      <w:r>
        <w:rPr>
          <w:rFonts w:hint="eastAsia" w:hAnsi="PVWGCA+·ÂËÎ" w:cs="PVWGCA+·ÂËÎ"/>
          <w:color w:val="auto"/>
          <w:sz w:val="24"/>
          <w:highlight w:val="none"/>
          <w:lang w:eastAsia="zh-CN"/>
        </w:rPr>
        <w:t>响应保证金</w:t>
      </w:r>
      <w:r>
        <w:rPr>
          <w:rFonts w:hAnsi="PVWGCA+·ÂËÎ" w:cs="PVWGCA+·ÂËÎ"/>
          <w:color w:val="auto"/>
          <w:sz w:val="24"/>
          <w:highlight w:val="none"/>
        </w:rPr>
        <w:t>信息</w:t>
      </w:r>
    </w:p>
    <w:p w14:paraId="45D03BB7">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户名：</w:t>
      </w:r>
    </w:p>
    <w:p w14:paraId="50350A83">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账号：</w:t>
      </w:r>
    </w:p>
    <w:p w14:paraId="1016EAE5">
      <w:pPr>
        <w:pageBreakBefore w:val="0"/>
        <w:kinsoku/>
        <w:wordWrap/>
        <w:overflowPunct/>
        <w:topLinePunct w:val="0"/>
        <w:bidi w:val="0"/>
        <w:spacing w:before="192" w:line="240" w:lineRule="auto"/>
        <w:ind w:left="955"/>
        <w:rPr>
          <w:rFonts w:hAnsi="Calibri"/>
          <w:color w:val="auto"/>
          <w:sz w:val="24"/>
          <w:highlight w:val="none"/>
        </w:rPr>
      </w:pPr>
      <w:r>
        <w:rPr>
          <w:rFonts w:ascii="PVWGCA+·ÂËÎ" w:hAnsi="PVWGCA+·ÂËÎ" w:cs="PVWGCA+·ÂËÎ"/>
          <w:color w:val="auto"/>
          <w:sz w:val="24"/>
          <w:highlight w:val="none"/>
        </w:rPr>
        <w:t>开户行：</w:t>
      </w:r>
    </w:p>
    <w:p w14:paraId="5AC91358">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开户行地址：</w:t>
      </w:r>
      <w:r>
        <w:rPr>
          <w:rFonts w:hAnsi="Calibri"/>
          <w:color w:val="auto"/>
          <w:spacing w:val="421"/>
          <w:sz w:val="24"/>
          <w:highlight w:val="none"/>
        </w:rPr>
        <w:t xml:space="preserve"> </w:t>
      </w:r>
      <w:r>
        <w:rPr>
          <w:rFonts w:hAnsi="Calibri"/>
          <w:color w:val="auto"/>
          <w:sz w:val="24"/>
          <w:highlight w:val="none"/>
        </w:rPr>
        <w:t>_______</w:t>
      </w:r>
      <w:r>
        <w:rPr>
          <w:rFonts w:hAnsi="PVWGCA+·ÂËÎ" w:cs="PVWGCA+·ÂËÎ"/>
          <w:color w:val="auto"/>
          <w:sz w:val="24"/>
          <w:highlight w:val="none"/>
        </w:rPr>
        <w:t>省</w:t>
      </w:r>
      <w:r>
        <w:rPr>
          <w:rFonts w:hAnsi="Calibri"/>
          <w:color w:val="auto"/>
          <w:spacing w:val="540"/>
          <w:sz w:val="24"/>
          <w:highlight w:val="none"/>
        </w:rPr>
        <w:t xml:space="preserve"> </w:t>
      </w:r>
      <w:r>
        <w:rPr>
          <w:rFonts w:hAnsi="PVWGCA+·ÂËÎ" w:cs="PVWGCA+·ÂËÎ"/>
          <w:color w:val="auto"/>
          <w:sz w:val="24"/>
          <w:highlight w:val="none"/>
        </w:rPr>
        <w:t>市</w:t>
      </w:r>
    </w:p>
    <w:p w14:paraId="2849F05A">
      <w:pPr>
        <w:pStyle w:val="21"/>
        <w:pageBreakBefore w:val="0"/>
        <w:kinsoku/>
        <w:wordWrap/>
        <w:overflowPunct/>
        <w:topLinePunct w:val="0"/>
        <w:bidi w:val="0"/>
        <w:spacing w:line="360" w:lineRule="auto"/>
        <w:ind w:left="1140"/>
        <w:rPr>
          <w:color w:val="auto"/>
          <w:sz w:val="24"/>
          <w:szCs w:val="24"/>
          <w:highlight w:val="none"/>
          <w:u w:val="single"/>
        </w:rPr>
      </w:pPr>
    </w:p>
    <w:p w14:paraId="1EE92D6B">
      <w:pPr>
        <w:pageBreakBefore w:val="0"/>
        <w:kinsoku/>
        <w:wordWrap/>
        <w:overflowPunct/>
        <w:topLinePunct w:val="0"/>
        <w:bidi w:val="0"/>
        <w:spacing w:before="192" w:line="360" w:lineRule="auto"/>
        <w:rPr>
          <w:rFonts w:hAnsi="Calibri"/>
          <w:color w:val="auto"/>
          <w:sz w:val="24"/>
          <w:highlight w:val="none"/>
          <w:u w:val="single"/>
        </w:rPr>
      </w:pPr>
      <w:r>
        <w:rPr>
          <w:rFonts w:hint="eastAsia" w:hAnsi="Calibri"/>
          <w:color w:val="auto"/>
          <w:sz w:val="24"/>
          <w:highlight w:val="none"/>
        </w:rPr>
        <w:t>2</w:t>
      </w:r>
      <w:r>
        <w:rPr>
          <w:rFonts w:hAnsi="WAPKNB+·ÂËÎ" w:cs="WAPKNB+·ÂËÎ"/>
          <w:color w:val="auto"/>
          <w:sz w:val="24"/>
          <w:highlight w:val="none"/>
        </w:rPr>
        <w:t>、开立基本账户银行的名称和地址</w:t>
      </w:r>
      <w:r>
        <w:rPr>
          <w:rFonts w:hint="eastAsia" w:hAnsi="WAPKNB+·ÂËÎ" w:cs="WAPKNB+·ÂËÎ"/>
          <w:color w:val="auto"/>
          <w:sz w:val="24"/>
          <w:highlight w:val="none"/>
          <w:u w:val="single"/>
        </w:rPr>
        <w:t xml:space="preserve">                                                 </w:t>
      </w:r>
    </w:p>
    <w:p w14:paraId="2BA8ED20">
      <w:pPr>
        <w:pStyle w:val="15"/>
        <w:pageBreakBefore w:val="0"/>
        <w:kinsoku/>
        <w:wordWrap/>
        <w:overflowPunct/>
        <w:topLinePunct w:val="0"/>
        <w:bidi w:val="0"/>
        <w:spacing w:line="360" w:lineRule="auto"/>
        <w:ind w:firstLine="2160" w:firstLineChars="900"/>
        <w:rPr>
          <w:rFonts w:asciiTheme="minorHAnsi"/>
          <w:color w:val="auto"/>
          <w:sz w:val="24"/>
          <w:highlight w:val="none"/>
        </w:rPr>
      </w:pPr>
      <w:r>
        <w:rPr>
          <w:rFonts w:asciiTheme="minorHAnsi"/>
          <w:color w:val="auto"/>
          <w:sz w:val="24"/>
          <w:highlight w:val="none"/>
        </w:rPr>
        <w:t>（提供银行基本存款账户信息复印件）</w:t>
      </w:r>
    </w:p>
    <w:p w14:paraId="42781FE9">
      <w:pPr>
        <w:pStyle w:val="15"/>
        <w:pageBreakBefore w:val="0"/>
        <w:kinsoku/>
        <w:wordWrap/>
        <w:overflowPunct/>
        <w:topLinePunct w:val="0"/>
        <w:bidi w:val="0"/>
        <w:spacing w:line="360" w:lineRule="auto"/>
        <w:rPr>
          <w:rFonts w:asciiTheme="minorHAnsi"/>
          <w:color w:val="auto"/>
          <w:sz w:val="24"/>
          <w:highlight w:val="none"/>
        </w:rPr>
      </w:pPr>
    </w:p>
    <w:tbl>
      <w:tblPr>
        <w:tblStyle w:val="26"/>
        <w:tblW w:w="7230" w:type="dxa"/>
        <w:tblInd w:w="17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tblGrid>
      <w:tr w14:paraId="6C71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7230" w:type="dxa"/>
          </w:tcPr>
          <w:p w14:paraId="47021F47">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73D7DAA4">
            <w:pPr>
              <w:pStyle w:val="15"/>
              <w:pageBreakBefore w:val="0"/>
              <w:kinsoku/>
              <w:wordWrap/>
              <w:overflowPunct/>
              <w:topLinePunct w:val="0"/>
              <w:bidi w:val="0"/>
              <w:spacing w:line="360" w:lineRule="auto"/>
              <w:ind w:firstLine="1440" w:firstLineChars="600"/>
              <w:rPr>
                <w:rFonts w:asciiTheme="minorHAnsi"/>
                <w:color w:val="auto"/>
                <w:sz w:val="24"/>
                <w:highlight w:val="none"/>
              </w:rPr>
            </w:pPr>
            <w:r>
              <w:rPr>
                <w:rFonts w:hint="eastAsia" w:asciiTheme="minorHAnsi"/>
                <w:color w:val="auto"/>
                <w:sz w:val="24"/>
                <w:highlight w:val="none"/>
              </w:rPr>
              <w:t>基本存款账户信息复印件</w:t>
            </w:r>
          </w:p>
          <w:p w14:paraId="56D782EE">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34B5F2B4">
            <w:pPr>
              <w:pStyle w:val="25"/>
              <w:pageBreakBefore w:val="0"/>
              <w:kinsoku/>
              <w:wordWrap/>
              <w:overflowPunct/>
              <w:topLinePunct w:val="0"/>
              <w:bidi w:val="0"/>
              <w:spacing w:line="360" w:lineRule="auto"/>
              <w:outlineLvl w:val="9"/>
              <w:rPr>
                <w:rFonts w:asciiTheme="minorHAnsi"/>
                <w:color w:val="auto"/>
                <w:sz w:val="24"/>
                <w:szCs w:val="24"/>
                <w:highlight w:val="none"/>
              </w:rPr>
            </w:pPr>
          </w:p>
        </w:tc>
      </w:tr>
    </w:tbl>
    <w:p w14:paraId="2D1EA380">
      <w:pPr>
        <w:pageBreakBefore w:val="0"/>
        <w:kinsoku/>
        <w:wordWrap/>
        <w:overflowPunct/>
        <w:topLinePunct w:val="0"/>
        <w:bidi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3、投标人企业营业执照副本、税务登记证副本、组织机构代码证副本（三证合一的投标人仅需提供营业执照副本）、</w:t>
      </w:r>
      <w:r>
        <w:rPr>
          <w:rFonts w:hint="eastAsia" w:ascii="宋体" w:hAnsi="宋体" w:eastAsia="宋体" w:cs="宋体"/>
          <w:color w:val="auto"/>
          <w:sz w:val="24"/>
          <w:highlight w:val="none"/>
          <w:lang w:eastAsia="zh-CN"/>
        </w:rPr>
        <w:t>响应保证金</w:t>
      </w:r>
      <w:r>
        <w:rPr>
          <w:rFonts w:hint="eastAsia" w:ascii="宋体" w:hAnsi="宋体" w:eastAsia="宋体" w:cs="宋体"/>
          <w:color w:val="auto"/>
          <w:sz w:val="24"/>
          <w:highlight w:val="none"/>
        </w:rPr>
        <w:t>汇款凭证或收据等相关证件。</w:t>
      </w:r>
    </w:p>
    <w:p w14:paraId="4D3B2319">
      <w:pPr>
        <w:pageBreakBefore w:val="0"/>
        <w:kinsoku/>
        <w:wordWrap/>
        <w:overflowPunct/>
        <w:topLinePunct w:val="0"/>
        <w:bidi w:val="0"/>
        <w:spacing w:before="189" w:line="360" w:lineRule="auto"/>
        <w:ind w:firstLine="480" w:firstLineChars="200"/>
        <w:rPr>
          <w:rFonts w:hAnsi="Calibri"/>
          <w:color w:val="auto"/>
          <w:sz w:val="24"/>
          <w:highlight w:val="none"/>
        </w:rPr>
      </w:pPr>
    </w:p>
    <w:p w14:paraId="08E3FB15">
      <w:pPr>
        <w:pageBreakBefore w:val="0"/>
        <w:kinsoku/>
        <w:wordWrap/>
        <w:overflowPunct/>
        <w:topLinePunct w:val="0"/>
        <w:bidi w:val="0"/>
        <w:spacing w:before="192" w:line="360" w:lineRule="auto"/>
        <w:ind w:left="480"/>
        <w:rPr>
          <w:rFonts w:hAnsi="Calibri"/>
          <w:color w:val="auto"/>
          <w:sz w:val="24"/>
          <w:highlight w:val="none"/>
        </w:rPr>
      </w:pPr>
      <w:r>
        <w:rPr>
          <w:rFonts w:hAnsi="WAPKNB+·ÂËÎ" w:cs="WAPKNB+·ÂËÎ"/>
          <w:color w:val="auto"/>
          <w:sz w:val="24"/>
          <w:highlight w:val="none"/>
        </w:rPr>
        <w:t>兹声明上述数据和资料是真实、有效的，我们同意遵照贵方要求出示有关证明文件。</w:t>
      </w:r>
    </w:p>
    <w:p w14:paraId="67E244E7">
      <w:pPr>
        <w:pageBreakBefore w:val="0"/>
        <w:kinsoku/>
        <w:wordWrap/>
        <w:overflowPunct/>
        <w:topLinePunct w:val="0"/>
        <w:bidi w:val="0"/>
        <w:spacing w:before="192" w:line="360" w:lineRule="auto"/>
        <w:ind w:left="480" w:firstLine="3600" w:firstLineChars="1500"/>
        <w:rPr>
          <w:rFonts w:hAnsi="WAPKNB+·ÂËÎ" w:cs="WAPKNB+·ÂËÎ"/>
          <w:color w:val="auto"/>
          <w:sz w:val="24"/>
          <w:highlight w:val="none"/>
        </w:rPr>
      </w:pPr>
      <w:r>
        <w:rPr>
          <w:rFonts w:hint="eastAsia" w:hAnsi="WAPKNB+·ÂËÎ" w:cs="WAPKNB+·ÂËÎ"/>
          <w:color w:val="auto"/>
          <w:sz w:val="24"/>
          <w:highlight w:val="none"/>
        </w:rPr>
        <w:t>供应商</w:t>
      </w:r>
      <w:r>
        <w:rPr>
          <w:rFonts w:hAnsi="WAPKNB+·ÂËÎ" w:cs="WAPKNB+·ÂËÎ"/>
          <w:color w:val="auto"/>
          <w:sz w:val="24"/>
          <w:highlight w:val="none"/>
        </w:rPr>
        <w:t>：</w:t>
      </w:r>
      <w:r>
        <w:rPr>
          <w:rFonts w:hint="eastAsia" w:hAnsi="WAPKNB+·ÂËÎ" w:cs="WAPKNB+·ÂËÎ"/>
          <w:color w:val="auto"/>
          <w:sz w:val="24"/>
          <w:highlight w:val="none"/>
          <w:u w:val="single"/>
        </w:rPr>
        <w:t xml:space="preserve">                      </w:t>
      </w:r>
      <w:r>
        <w:rPr>
          <w:rFonts w:hAnsi="WAPKNB+·ÂËÎ" w:cs="WAPKNB+·ÂËÎ"/>
          <w:color w:val="auto"/>
          <w:sz w:val="24"/>
          <w:highlight w:val="none"/>
        </w:rPr>
        <w:t>（签章）</w:t>
      </w:r>
    </w:p>
    <w:p w14:paraId="49994A24">
      <w:pPr>
        <w:pageBreakBefore w:val="0"/>
        <w:kinsoku/>
        <w:wordWrap/>
        <w:overflowPunct/>
        <w:topLinePunct w:val="0"/>
        <w:bidi w:val="0"/>
        <w:spacing w:before="192"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7A60A532">
      <w:pPr>
        <w:pageBreakBefore w:val="0"/>
        <w:kinsoku/>
        <w:wordWrap/>
        <w:overflowPunct/>
        <w:topLinePunct w:val="0"/>
        <w:bidi w:val="0"/>
        <w:spacing w:before="192" w:line="360" w:lineRule="auto"/>
        <w:ind w:firstLine="4080" w:firstLineChars="1700"/>
        <w:rPr>
          <w:rFonts w:hAnsi="Calibri"/>
          <w:color w:val="auto"/>
          <w:sz w:val="24"/>
          <w:highlight w:val="none"/>
        </w:rPr>
      </w:pPr>
      <w:r>
        <w:rPr>
          <w:rFonts w:hAnsi="WAPKNB+·ÂËÎ" w:cs="WAPKNB+·ÂËÎ"/>
          <w:color w:val="auto"/>
          <w:sz w:val="24"/>
          <w:highlight w:val="none"/>
        </w:rPr>
        <w:t>日</w:t>
      </w:r>
      <w:r>
        <w:rPr>
          <w:rFonts w:hAnsi="Calibri"/>
          <w:color w:val="auto"/>
          <w:spacing w:val="180"/>
          <w:sz w:val="24"/>
          <w:highlight w:val="none"/>
        </w:rPr>
        <w:t xml:space="preserve"> </w:t>
      </w:r>
      <w:r>
        <w:rPr>
          <w:rFonts w:hAnsi="WAPKNB+·ÂËÎ" w:cs="WAPKNB+·ÂËÎ"/>
          <w:color w:val="auto"/>
          <w:sz w:val="24"/>
          <w:highlight w:val="none"/>
        </w:rPr>
        <w:t>期</w:t>
      </w:r>
      <w:r>
        <w:rPr>
          <w:rFonts w:hint="eastAsia" w:hAnsi="WAPKNB+·ÂËÎ" w:cs="WAPKNB+·ÂËÎ"/>
          <w:color w:val="auto"/>
          <w:sz w:val="24"/>
          <w:highlight w:val="none"/>
          <w:u w:val="single"/>
        </w:rPr>
        <w:t xml:space="preserve">     </w:t>
      </w:r>
      <w:r>
        <w:rPr>
          <w:rFonts w:hAnsi="WAPKNB+·ÂËÎ" w:cs="WAPKNB+·ÂËÎ"/>
          <w:color w:val="auto"/>
          <w:sz w:val="24"/>
          <w:highlight w:val="none"/>
        </w:rPr>
        <w:t>年</w:t>
      </w:r>
      <w:r>
        <w:rPr>
          <w:rFonts w:hint="eastAsia" w:hAnsi="WAPKNB+·ÂËÎ" w:cs="WAPKNB+·ÂËÎ"/>
          <w:color w:val="auto"/>
          <w:sz w:val="24"/>
          <w:highlight w:val="none"/>
          <w:u w:val="single"/>
        </w:rPr>
        <w:t xml:space="preserve">      </w:t>
      </w:r>
      <w:r>
        <w:rPr>
          <w:rFonts w:hAnsi="WAPKNB+·ÂËÎ" w:cs="WAPKNB+·ÂËÎ"/>
          <w:color w:val="auto"/>
          <w:sz w:val="24"/>
          <w:highlight w:val="none"/>
        </w:rPr>
        <w:t>月</w:t>
      </w:r>
      <w:r>
        <w:rPr>
          <w:rFonts w:hint="eastAsia" w:hAnsi="Calibri"/>
          <w:color w:val="auto"/>
          <w:spacing w:val="541"/>
          <w:sz w:val="24"/>
          <w:highlight w:val="none"/>
          <w:u w:val="single"/>
        </w:rPr>
        <w:t xml:space="preserve"> </w:t>
      </w:r>
      <w:r>
        <w:rPr>
          <w:rFonts w:hAnsi="WAPKNB+·ÂËÎ" w:cs="WAPKNB+·ÂËÎ"/>
          <w:color w:val="auto"/>
          <w:sz w:val="24"/>
          <w:highlight w:val="none"/>
        </w:rPr>
        <w:t>日</w:t>
      </w:r>
    </w:p>
    <w:p w14:paraId="593FB541">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bookmarkStart w:id="362" w:name="_Toc89950771"/>
    </w:p>
    <w:p w14:paraId="4B58AE2F">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4EF1C44E">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681DF61A">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68A28690">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15BE4029">
      <w:pPr>
        <w:pStyle w:val="25"/>
        <w:pageBreakBefore w:val="0"/>
        <w:kinsoku/>
        <w:wordWrap/>
        <w:overflowPunct/>
        <w:topLinePunct w:val="0"/>
        <w:bidi w:val="0"/>
        <w:spacing w:line="360" w:lineRule="auto"/>
        <w:jc w:val="both"/>
        <w:rPr>
          <w:rFonts w:asciiTheme="minorHAnsi"/>
          <w:b w:val="0"/>
          <w:color w:val="auto"/>
          <w:sz w:val="24"/>
          <w:szCs w:val="24"/>
          <w:highlight w:val="none"/>
        </w:rPr>
      </w:pPr>
    </w:p>
    <w:p w14:paraId="0EE08AF9">
      <w:pPr>
        <w:rPr>
          <w:rFonts w:asciiTheme="minorHAnsi"/>
          <w:b w:val="0"/>
          <w:color w:val="auto"/>
          <w:sz w:val="24"/>
          <w:szCs w:val="24"/>
          <w:highlight w:val="none"/>
        </w:rPr>
      </w:pPr>
    </w:p>
    <w:p w14:paraId="775A2A1A">
      <w:pPr>
        <w:pStyle w:val="25"/>
        <w:pageBreakBefore w:val="0"/>
        <w:kinsoku/>
        <w:wordWrap/>
        <w:overflowPunct/>
        <w:topLinePunct w:val="0"/>
        <w:bidi w:val="0"/>
        <w:spacing w:line="360" w:lineRule="auto"/>
        <w:jc w:val="both"/>
        <w:rPr>
          <w:rFonts w:hAnsi="Calibri" w:asciiTheme="minorHAnsi"/>
          <w:b w:val="0"/>
          <w:color w:val="auto"/>
          <w:sz w:val="24"/>
          <w:szCs w:val="24"/>
          <w:highlight w:val="none"/>
        </w:rPr>
      </w:pPr>
      <w:bookmarkStart w:id="363" w:name="_Toc11940"/>
      <w:bookmarkStart w:id="364" w:name="_Toc11393"/>
      <w:r>
        <w:rPr>
          <w:rFonts w:asciiTheme="minorHAnsi"/>
          <w:b w:val="0"/>
          <w:color w:val="auto"/>
          <w:sz w:val="24"/>
          <w:szCs w:val="24"/>
          <w:highlight w:val="none"/>
        </w:rPr>
        <w:t>七、</w:t>
      </w:r>
      <w:r>
        <w:rPr>
          <w:rFonts w:hAnsi="Calibri" w:asciiTheme="minorHAnsi"/>
          <w:b w:val="0"/>
          <w:color w:val="auto"/>
          <w:sz w:val="24"/>
          <w:szCs w:val="24"/>
          <w:highlight w:val="none"/>
        </w:rPr>
        <w:t xml:space="preserve"> </w:t>
      </w:r>
      <w:r>
        <w:rPr>
          <w:rFonts w:asciiTheme="minorHAnsi"/>
          <w:b w:val="0"/>
          <w:color w:val="auto"/>
          <w:sz w:val="24"/>
          <w:szCs w:val="24"/>
          <w:highlight w:val="none"/>
        </w:rPr>
        <w:t>反商业贿赂承诺书</w:t>
      </w:r>
      <w:bookmarkEnd w:id="362"/>
      <w:bookmarkEnd w:id="363"/>
      <w:bookmarkEnd w:id="364"/>
    </w:p>
    <w:p w14:paraId="24D2BE7B">
      <w:pPr>
        <w:pageBreakBefore w:val="0"/>
        <w:kinsoku/>
        <w:wordWrap/>
        <w:overflowPunct/>
        <w:topLinePunct w:val="0"/>
        <w:bidi w:val="0"/>
        <w:spacing w:before="313" w:line="360" w:lineRule="auto"/>
        <w:ind w:left="3416" w:firstLine="486" w:firstLineChars="200"/>
        <w:rPr>
          <w:rFonts w:hAnsi="Calibri"/>
          <w:b/>
          <w:color w:val="auto"/>
          <w:sz w:val="24"/>
          <w:highlight w:val="none"/>
        </w:rPr>
      </w:pPr>
      <w:r>
        <w:rPr>
          <w:rFonts w:hAnsi="SRWTJJ+ËÎÌå" w:cs="SRWTJJ+ËÎÌå"/>
          <w:b/>
          <w:color w:val="auto"/>
          <w:spacing w:val="1"/>
          <w:sz w:val="24"/>
          <w:highlight w:val="none"/>
        </w:rPr>
        <w:t>反商业贿赂承诺书</w:t>
      </w:r>
    </w:p>
    <w:p w14:paraId="7601F9E0">
      <w:pPr>
        <w:pageBreakBefore w:val="0"/>
        <w:kinsoku/>
        <w:wordWrap/>
        <w:overflowPunct/>
        <w:topLinePunct w:val="0"/>
        <w:bidi w:val="0"/>
        <w:spacing w:before="704" w:line="360" w:lineRule="auto"/>
        <w:ind w:firstLine="480" w:firstLineChars="200"/>
        <w:rPr>
          <w:rFonts w:hAnsi="Calibri"/>
          <w:color w:val="auto"/>
          <w:sz w:val="24"/>
          <w:highlight w:val="none"/>
        </w:rPr>
      </w:pPr>
      <w:r>
        <w:rPr>
          <w:rFonts w:hAnsi="TRCVNT+·ÂËÎ" w:cs="TRCVNT+·ÂËÎ"/>
          <w:color w:val="auto"/>
          <w:sz w:val="24"/>
          <w:highlight w:val="none"/>
        </w:rPr>
        <w:t>为了从源头上防治腐败，杜绝商业贿赂行为的发生，更好地配合新疆重道敬德招标咨询有限公司的工作，我们供应商承诺如下：</w:t>
      </w:r>
    </w:p>
    <w:p w14:paraId="5FAE319E">
      <w:pPr>
        <w:pageBreakBefore w:val="0"/>
        <w:kinsoku/>
        <w:wordWrap/>
        <w:overflowPunct/>
        <w:topLinePunct w:val="0"/>
        <w:bidi w:val="0"/>
        <w:spacing w:before="189" w:line="360" w:lineRule="auto"/>
        <w:rPr>
          <w:rFonts w:hAnsi="Calibri"/>
          <w:color w:val="auto"/>
          <w:sz w:val="24"/>
          <w:highlight w:val="none"/>
        </w:rPr>
      </w:pPr>
      <w:r>
        <w:rPr>
          <w:rFonts w:hAnsi="Calibri"/>
          <w:color w:val="auto"/>
          <w:sz w:val="24"/>
          <w:highlight w:val="none"/>
        </w:rPr>
        <w:t>1</w:t>
      </w:r>
      <w:r>
        <w:rPr>
          <w:rFonts w:hAnsi="TRCVNT+·ÂËÎ" w:cs="TRCVNT+·ÂËÎ"/>
          <w:color w:val="auto"/>
          <w:sz w:val="24"/>
          <w:highlight w:val="none"/>
        </w:rPr>
        <w:t>、不以各种名义给</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工作人员借或送现金、有价证券及物品。</w:t>
      </w:r>
    </w:p>
    <w:p w14:paraId="516F33AA">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2</w:t>
      </w:r>
      <w:r>
        <w:rPr>
          <w:rFonts w:hAnsi="TRCVNT+·ÂËÎ" w:cs="TRCVNT+·ÂËÎ"/>
          <w:color w:val="auto"/>
          <w:sz w:val="24"/>
          <w:highlight w:val="none"/>
        </w:rPr>
        <w:t>、不以个人名义邀请</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工作人员参与考察旅游活动和宴请活动。</w:t>
      </w:r>
    </w:p>
    <w:p w14:paraId="21F81B6A">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3</w:t>
      </w:r>
      <w:r>
        <w:rPr>
          <w:rFonts w:hAnsi="TRCVNT+·ÂËÎ" w:cs="TRCVNT+·ÂËÎ"/>
          <w:color w:val="auto"/>
          <w:sz w:val="24"/>
          <w:highlight w:val="none"/>
        </w:rPr>
        <w:t>、不发生与采购事项有关的其他违规违纪行为。</w:t>
      </w:r>
    </w:p>
    <w:p w14:paraId="6A26785F">
      <w:pPr>
        <w:pageBreakBefore w:val="0"/>
        <w:kinsoku/>
        <w:wordWrap/>
        <w:overflowPunct/>
        <w:topLinePunct w:val="0"/>
        <w:bidi w:val="0"/>
        <w:spacing w:before="1510" w:line="360" w:lineRule="auto"/>
        <w:ind w:firstLine="4080" w:firstLineChars="1700"/>
        <w:rPr>
          <w:rFonts w:hAnsi="TRCVNT+·ÂËÎ" w:cs="TRCVNT+·ÂËÎ"/>
          <w:color w:val="auto"/>
          <w:sz w:val="24"/>
          <w:highlight w:val="none"/>
        </w:rPr>
      </w:pPr>
      <w:r>
        <w:rPr>
          <w:rFonts w:hint="eastAsia" w:hAnsi="TRCVNT+·ÂËÎ" w:cs="TRCVNT+·ÂËÎ"/>
          <w:color w:val="auto"/>
          <w:sz w:val="24"/>
          <w:highlight w:val="none"/>
        </w:rPr>
        <w:t>供应商</w:t>
      </w:r>
      <w:r>
        <w:rPr>
          <w:rFonts w:hAnsi="TRCVNT+·ÂËÎ" w:cs="TRCVNT+·ÂËÎ"/>
          <w:color w:val="auto"/>
          <w:sz w:val="24"/>
          <w:highlight w:val="none"/>
        </w:rPr>
        <w:t>：</w:t>
      </w:r>
      <w:r>
        <w:rPr>
          <w:rFonts w:hint="eastAsia" w:hAnsi="TRCVNT+·ÂËÎ" w:cs="TRCVNT+·ÂËÎ"/>
          <w:color w:val="auto"/>
          <w:sz w:val="24"/>
          <w:highlight w:val="none"/>
          <w:u w:val="single"/>
        </w:rPr>
        <w:t xml:space="preserve">                   </w:t>
      </w:r>
      <w:r>
        <w:rPr>
          <w:rFonts w:hAnsi="TRCVNT+·ÂËÎ" w:cs="TRCVNT+·ÂËÎ"/>
          <w:color w:val="auto"/>
          <w:sz w:val="24"/>
          <w:highlight w:val="none"/>
        </w:rPr>
        <w:t>（签章）</w:t>
      </w:r>
    </w:p>
    <w:p w14:paraId="686E9BA0">
      <w:pPr>
        <w:pageBreakBefore w:val="0"/>
        <w:kinsoku/>
        <w:wordWrap/>
        <w:overflowPunct/>
        <w:topLinePunct w:val="0"/>
        <w:bidi w:val="0"/>
        <w:spacing w:before="189"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5211BB97">
      <w:pPr>
        <w:pageBreakBefore w:val="0"/>
        <w:kinsoku/>
        <w:wordWrap/>
        <w:overflowPunct/>
        <w:topLinePunct w:val="0"/>
        <w:bidi w:val="0"/>
        <w:spacing w:before="189" w:line="360" w:lineRule="auto"/>
        <w:ind w:firstLine="4080" w:firstLineChars="1700"/>
        <w:rPr>
          <w:rFonts w:hAnsi="Calibri"/>
          <w:color w:val="auto"/>
          <w:sz w:val="24"/>
          <w:highlight w:val="none"/>
        </w:rPr>
      </w:pP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4927F0EC">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647A2346">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37F20ADC">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1A1F1910">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025CAA52">
      <w:pPr>
        <w:pStyle w:val="25"/>
        <w:pageBreakBefore w:val="0"/>
        <w:kinsoku/>
        <w:wordWrap/>
        <w:overflowPunct/>
        <w:topLinePunct w:val="0"/>
        <w:bidi w:val="0"/>
        <w:spacing w:line="360" w:lineRule="auto"/>
        <w:jc w:val="both"/>
        <w:outlineLvl w:val="9"/>
        <w:rPr>
          <w:b w:val="0"/>
          <w:color w:val="auto"/>
          <w:sz w:val="24"/>
          <w:szCs w:val="24"/>
          <w:highlight w:val="none"/>
        </w:rPr>
      </w:pPr>
    </w:p>
    <w:p w14:paraId="0E06BFF3">
      <w:pPr>
        <w:pStyle w:val="15"/>
        <w:pageBreakBefore w:val="0"/>
        <w:kinsoku/>
        <w:wordWrap/>
        <w:overflowPunct/>
        <w:topLinePunct w:val="0"/>
        <w:bidi w:val="0"/>
        <w:spacing w:line="360" w:lineRule="auto"/>
        <w:ind w:firstLine="1968" w:firstLineChars="700"/>
        <w:rPr>
          <w:b/>
          <w:color w:val="auto"/>
          <w:sz w:val="28"/>
          <w:szCs w:val="28"/>
          <w:highlight w:val="none"/>
        </w:rPr>
      </w:pPr>
    </w:p>
    <w:p w14:paraId="7351DAC9">
      <w:pPr>
        <w:pStyle w:val="15"/>
        <w:pageBreakBefore w:val="0"/>
        <w:kinsoku/>
        <w:wordWrap/>
        <w:overflowPunct/>
        <w:topLinePunct w:val="0"/>
        <w:bidi w:val="0"/>
        <w:spacing w:line="360" w:lineRule="auto"/>
        <w:ind w:firstLine="1968" w:firstLineChars="700"/>
        <w:rPr>
          <w:b/>
          <w:color w:val="auto"/>
          <w:sz w:val="28"/>
          <w:szCs w:val="28"/>
          <w:highlight w:val="none"/>
        </w:rPr>
      </w:pPr>
    </w:p>
    <w:p w14:paraId="1A9592C5">
      <w:pPr>
        <w:pStyle w:val="25"/>
        <w:pageBreakBefore w:val="0"/>
        <w:kinsoku/>
        <w:wordWrap/>
        <w:overflowPunct/>
        <w:topLinePunct w:val="0"/>
        <w:bidi w:val="0"/>
        <w:spacing w:line="360" w:lineRule="auto"/>
        <w:jc w:val="both"/>
        <w:rPr>
          <w:rFonts w:hAnsi="Calibri" w:asciiTheme="minorHAnsi"/>
          <w:b w:val="0"/>
          <w:color w:val="auto"/>
          <w:sz w:val="24"/>
          <w:szCs w:val="24"/>
          <w:highlight w:val="none"/>
        </w:rPr>
      </w:pPr>
      <w:bookmarkStart w:id="365" w:name="_Toc12385"/>
      <w:bookmarkStart w:id="366" w:name="_Toc89950772"/>
      <w:bookmarkStart w:id="367" w:name="_Toc4413"/>
      <w:r>
        <w:rPr>
          <w:rFonts w:asciiTheme="minorHAnsi"/>
          <w:b w:val="0"/>
          <w:color w:val="auto"/>
          <w:sz w:val="24"/>
          <w:szCs w:val="24"/>
          <w:highlight w:val="none"/>
        </w:rPr>
        <w:t>八、参加政府采购活动前三年内在经营活动中无重大违法记录的书面声明</w:t>
      </w:r>
      <w:bookmarkEnd w:id="365"/>
      <w:bookmarkEnd w:id="366"/>
      <w:bookmarkEnd w:id="367"/>
    </w:p>
    <w:p w14:paraId="17C78888">
      <w:pPr>
        <w:pageBreakBefore w:val="0"/>
        <w:kinsoku/>
        <w:wordWrap/>
        <w:overflowPunct/>
        <w:topLinePunct w:val="0"/>
        <w:bidi w:val="0"/>
        <w:spacing w:before="654" w:line="360" w:lineRule="auto"/>
        <w:ind w:left="43" w:firstLine="972" w:firstLineChars="400"/>
        <w:rPr>
          <w:rFonts w:hAnsi="Calibri"/>
          <w:b/>
          <w:color w:val="auto"/>
          <w:sz w:val="24"/>
          <w:highlight w:val="none"/>
        </w:rPr>
      </w:pPr>
      <w:r>
        <w:rPr>
          <w:rFonts w:hAnsi="MSSTTN+ËÎÌå" w:cs="MSSTTN+ËÎÌå"/>
          <w:b/>
          <w:color w:val="auto"/>
          <w:spacing w:val="1"/>
          <w:sz w:val="24"/>
          <w:highlight w:val="none"/>
        </w:rPr>
        <w:t>参加政府采购活动前三年内在经营活动中无重大违法记录的书面声明</w:t>
      </w:r>
    </w:p>
    <w:p w14:paraId="4D29B29A">
      <w:pPr>
        <w:pageBreakBefore w:val="0"/>
        <w:kinsoku/>
        <w:wordWrap/>
        <w:overflowPunct/>
        <w:topLinePunct w:val="0"/>
        <w:bidi w:val="0"/>
        <w:spacing w:before="711" w:line="360" w:lineRule="auto"/>
        <w:rPr>
          <w:rFonts w:hAnsi="Calibri"/>
          <w:color w:val="auto"/>
          <w:sz w:val="24"/>
          <w:highlight w:val="none"/>
        </w:rPr>
      </w:pPr>
      <w:r>
        <w:rPr>
          <w:rFonts w:hint="eastAsia" w:hAnsi="CLGJOD+·ÂËÎ" w:cs="CLGJOD+·ÂËÎ"/>
          <w:color w:val="auto"/>
          <w:sz w:val="24"/>
          <w:highlight w:val="none"/>
        </w:rPr>
        <w:t>新疆重道敬德招标咨询有限公司：</w:t>
      </w:r>
    </w:p>
    <w:p w14:paraId="378EB788">
      <w:pPr>
        <w:pageBreakBefore w:val="0"/>
        <w:kinsoku/>
        <w:wordWrap/>
        <w:overflowPunct/>
        <w:topLinePunct w:val="0"/>
        <w:bidi w:val="0"/>
        <w:spacing w:before="189" w:line="360" w:lineRule="auto"/>
        <w:ind w:firstLine="484" w:firstLineChars="200"/>
        <w:rPr>
          <w:rFonts w:hAnsi="Calibri"/>
          <w:color w:val="auto"/>
          <w:sz w:val="24"/>
          <w:highlight w:val="none"/>
        </w:rPr>
      </w:pPr>
      <w:r>
        <w:rPr>
          <w:rFonts w:hAnsi="CLGJOD+·ÂËÎ" w:cs="CLGJOD+·ÂËÎ"/>
          <w:color w:val="auto"/>
          <w:spacing w:val="1"/>
          <w:sz w:val="24"/>
          <w:highlight w:val="none"/>
        </w:rPr>
        <w:t>我单位在参加采购活动前三年内在经营活动中未有过《中华人民共和国政府采购法》第二十二条第（五）项和《中华人民共和国政府采购法实施条例》第十九条所称重大违法</w:t>
      </w:r>
      <w:r>
        <w:rPr>
          <w:rFonts w:hAnsi="CLGJOD+·ÂËÎ" w:cs="CLGJOD+·ÂËÎ"/>
          <w:color w:val="auto"/>
          <w:sz w:val="24"/>
          <w:highlight w:val="none"/>
        </w:rPr>
        <w:t>记录，包括：</w:t>
      </w:r>
    </w:p>
    <w:p w14:paraId="47ADF8AA">
      <w:pPr>
        <w:pageBreakBefore w:val="0"/>
        <w:kinsoku/>
        <w:wordWrap/>
        <w:overflowPunct/>
        <w:topLinePunct w:val="0"/>
        <w:bidi w:val="0"/>
        <w:spacing w:before="189" w:line="360" w:lineRule="auto"/>
        <w:rPr>
          <w:rFonts w:hAnsi="Calibri"/>
          <w:color w:val="auto"/>
          <w:sz w:val="24"/>
          <w:highlight w:val="none"/>
        </w:rPr>
      </w:pPr>
      <w:r>
        <w:rPr>
          <w:rFonts w:hAnsi="Calibri"/>
          <w:color w:val="auto"/>
          <w:spacing w:val="5"/>
          <w:sz w:val="24"/>
          <w:highlight w:val="none"/>
        </w:rPr>
        <w:t>1</w:t>
      </w:r>
      <w:r>
        <w:rPr>
          <w:rFonts w:hAnsi="CLGJOD+·ÂËÎ" w:cs="CLGJOD+·ÂËÎ"/>
          <w:color w:val="auto"/>
          <w:spacing w:val="5"/>
          <w:sz w:val="24"/>
          <w:highlight w:val="none"/>
        </w:rPr>
        <w:t>、因违法经营受到刑事处罚或者责令停产停业、吊销许可证或者执照、较大数额罚</w:t>
      </w:r>
      <w:r>
        <w:rPr>
          <w:rFonts w:hAnsi="CLGJOD+·ÂËÎ" w:cs="CLGJOD+·ÂËÎ"/>
          <w:color w:val="auto"/>
          <w:sz w:val="24"/>
          <w:highlight w:val="none"/>
        </w:rPr>
        <w:t>款等行政处罚。</w:t>
      </w:r>
    </w:p>
    <w:p w14:paraId="1BB916DC">
      <w:pPr>
        <w:pageBreakBefore w:val="0"/>
        <w:kinsoku/>
        <w:wordWrap/>
        <w:overflowPunct/>
        <w:topLinePunct w:val="0"/>
        <w:bidi w:val="0"/>
        <w:spacing w:before="192" w:line="360" w:lineRule="auto"/>
        <w:rPr>
          <w:rFonts w:hAnsi="Calibri"/>
          <w:color w:val="auto"/>
          <w:sz w:val="24"/>
          <w:highlight w:val="none"/>
        </w:rPr>
      </w:pPr>
      <w:r>
        <w:rPr>
          <w:rFonts w:hAnsi="Calibri"/>
          <w:color w:val="auto"/>
          <w:spacing w:val="2"/>
          <w:sz w:val="24"/>
          <w:highlight w:val="none"/>
        </w:rPr>
        <w:t>2</w:t>
      </w:r>
      <w:r>
        <w:rPr>
          <w:rFonts w:hAnsi="CLGJOD+·ÂËÎ" w:cs="CLGJOD+·ÂËÎ"/>
          <w:color w:val="auto"/>
          <w:spacing w:val="1"/>
          <w:sz w:val="24"/>
          <w:highlight w:val="none"/>
        </w:rPr>
        <w:t>、在参加本项目政府采购活动前</w:t>
      </w:r>
      <w:r>
        <w:rPr>
          <w:rFonts w:hAnsi="Calibri"/>
          <w:color w:val="auto"/>
          <w:spacing w:val="61"/>
          <w:sz w:val="24"/>
          <w:highlight w:val="none"/>
        </w:rPr>
        <w:t xml:space="preserve"> </w:t>
      </w:r>
      <w:r>
        <w:rPr>
          <w:rFonts w:hAnsi="Calibri"/>
          <w:color w:val="auto"/>
          <w:sz w:val="24"/>
          <w:highlight w:val="none"/>
        </w:rPr>
        <w:t>3</w:t>
      </w:r>
      <w:r>
        <w:rPr>
          <w:rFonts w:hAnsi="Calibri"/>
          <w:color w:val="auto"/>
          <w:spacing w:val="2"/>
          <w:sz w:val="24"/>
          <w:highlight w:val="none"/>
        </w:rPr>
        <w:t xml:space="preserve"> </w:t>
      </w:r>
      <w:r>
        <w:rPr>
          <w:rFonts w:hAnsi="CLGJOD+·ÂËÎ" w:cs="CLGJOD+·ÂËÎ"/>
          <w:color w:val="auto"/>
          <w:spacing w:val="1"/>
          <w:sz w:val="24"/>
          <w:highlight w:val="none"/>
        </w:rPr>
        <w:t>年内因违法经营被禁止在一定期限内参加政府采</w:t>
      </w:r>
      <w:r>
        <w:rPr>
          <w:rFonts w:hAnsi="CLGJOD+·ÂËÎ" w:cs="CLGJOD+·ÂËÎ"/>
          <w:color w:val="auto"/>
          <w:sz w:val="24"/>
          <w:highlight w:val="none"/>
        </w:rPr>
        <w:t>购活动。</w:t>
      </w:r>
    </w:p>
    <w:p w14:paraId="388879BA">
      <w:pPr>
        <w:pageBreakBefore w:val="0"/>
        <w:kinsoku/>
        <w:wordWrap/>
        <w:overflowPunct/>
        <w:topLinePunct w:val="0"/>
        <w:bidi w:val="0"/>
        <w:spacing w:before="189" w:line="360" w:lineRule="auto"/>
        <w:ind w:left="475" w:firstLine="480" w:firstLineChars="200"/>
        <w:rPr>
          <w:rFonts w:hAnsi="CLGJOD+·ÂËÎ" w:cs="CLGJOD+·ÂËÎ"/>
          <w:color w:val="auto"/>
          <w:sz w:val="24"/>
          <w:highlight w:val="none"/>
        </w:rPr>
      </w:pPr>
      <w:r>
        <w:rPr>
          <w:rFonts w:hAnsi="CLGJOD+·ÂËÎ" w:cs="CLGJOD+·ÂËÎ"/>
          <w:color w:val="auto"/>
          <w:sz w:val="24"/>
          <w:highlight w:val="none"/>
        </w:rPr>
        <w:t>特此声明</w:t>
      </w:r>
    </w:p>
    <w:p w14:paraId="2AB3A4A2">
      <w:pPr>
        <w:pageBreakBefore w:val="0"/>
        <w:kinsoku/>
        <w:wordWrap/>
        <w:overflowPunct/>
        <w:topLinePunct w:val="0"/>
        <w:bidi w:val="0"/>
        <w:spacing w:before="189" w:line="360" w:lineRule="auto"/>
        <w:ind w:left="475" w:firstLine="4080" w:firstLineChars="1700"/>
        <w:rPr>
          <w:rFonts w:hAnsi="Calibri"/>
          <w:color w:val="auto"/>
          <w:sz w:val="24"/>
          <w:highlight w:val="none"/>
        </w:rPr>
      </w:pPr>
      <w:r>
        <w:rPr>
          <w:rFonts w:hint="eastAsia" w:hAnsi="CLGJOD+·ÂËÎ" w:cs="CLGJOD+·ÂËÎ"/>
          <w:color w:val="auto"/>
          <w:sz w:val="24"/>
          <w:highlight w:val="none"/>
        </w:rPr>
        <w:t>供应商</w:t>
      </w:r>
      <w:r>
        <w:rPr>
          <w:rFonts w:hAnsi="CLGJOD+·ÂËÎ" w:cs="CLGJOD+·ÂËÎ"/>
          <w:color w:val="auto"/>
          <w:sz w:val="24"/>
          <w:highlight w:val="none"/>
        </w:rPr>
        <w:t>：</w:t>
      </w:r>
      <w:r>
        <w:rPr>
          <w:rFonts w:hint="eastAsia" w:hAnsi="CLGJOD+·ÂËÎ" w:cs="CLGJOD+·ÂËÎ"/>
          <w:color w:val="auto"/>
          <w:sz w:val="24"/>
          <w:highlight w:val="none"/>
          <w:u w:val="single"/>
        </w:rPr>
        <w:t xml:space="preserve">                  </w:t>
      </w:r>
      <w:r>
        <w:rPr>
          <w:rFonts w:hAnsi="CLGJOD+·ÂËÎ" w:cs="CLGJOD+·ÂËÎ"/>
          <w:color w:val="auto"/>
          <w:sz w:val="24"/>
          <w:highlight w:val="none"/>
        </w:rPr>
        <w:t>（签章）</w:t>
      </w:r>
    </w:p>
    <w:p w14:paraId="171425EF">
      <w:pPr>
        <w:pStyle w:val="21"/>
        <w:pageBreakBefore w:val="0"/>
        <w:kinsoku/>
        <w:wordWrap/>
        <w:overflowPunct/>
        <w:topLinePunct w:val="0"/>
        <w:bidi w:val="0"/>
        <w:spacing w:line="360" w:lineRule="auto"/>
        <w:ind w:left="4560" w:hanging="4560" w:hangingChars="1900"/>
        <w:rPr>
          <w:rFonts w:hAnsi="Calibri"/>
          <w:color w:val="auto"/>
          <w:sz w:val="24"/>
          <w:highlight w:val="none"/>
        </w:rPr>
      </w:pPr>
      <w:r>
        <w:rPr>
          <w:rFonts w:hint="eastAsia"/>
          <w:color w:val="auto"/>
          <w:sz w:val="24"/>
          <w:szCs w:val="24"/>
          <w:highlight w:val="none"/>
        </w:rPr>
        <w:t xml:space="preserve">                                      </w:t>
      </w: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color w:val="auto"/>
          <w:sz w:val="24"/>
          <w:highlight w:val="none"/>
        </w:rPr>
        <w:t xml:space="preserve">   </w:t>
      </w: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18D91161">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27ED3089">
      <w:pPr>
        <w:pStyle w:val="21"/>
        <w:pageBreakBefore w:val="0"/>
        <w:kinsoku/>
        <w:wordWrap/>
        <w:overflowPunct/>
        <w:topLinePunct w:val="0"/>
        <w:bidi w:val="0"/>
        <w:spacing w:line="360" w:lineRule="auto"/>
        <w:rPr>
          <w:color w:val="auto"/>
          <w:sz w:val="24"/>
          <w:szCs w:val="24"/>
          <w:highlight w:val="none"/>
        </w:rPr>
      </w:pPr>
    </w:p>
    <w:p w14:paraId="72198FBA">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11471871">
      <w:pPr>
        <w:rPr>
          <w:rFonts w:hint="eastAsia" w:asciiTheme="minorHAnsi"/>
          <w:b w:val="0"/>
          <w:color w:val="auto"/>
          <w:sz w:val="24"/>
          <w:szCs w:val="24"/>
          <w:highlight w:val="none"/>
          <w:u w:val="none"/>
          <w:lang w:val="en-US" w:eastAsia="zh-CN"/>
        </w:rPr>
      </w:pPr>
      <w:r>
        <w:rPr>
          <w:rFonts w:hint="eastAsia" w:asciiTheme="minorHAnsi"/>
          <w:b w:val="0"/>
          <w:color w:val="auto"/>
          <w:sz w:val="24"/>
          <w:szCs w:val="24"/>
          <w:highlight w:val="none"/>
          <w:u w:val="none"/>
          <w:lang w:val="en-US" w:eastAsia="zh-CN"/>
        </w:rPr>
        <w:br w:type="page"/>
      </w:r>
    </w:p>
    <w:p w14:paraId="75E4B969">
      <w:pPr>
        <w:pStyle w:val="20"/>
        <w:pageBreakBefore w:val="0"/>
        <w:kinsoku/>
        <w:wordWrap/>
        <w:overflowPunct/>
        <w:topLinePunct w:val="0"/>
        <w:bidi w:val="0"/>
        <w:spacing w:line="360" w:lineRule="auto"/>
        <w:jc w:val="both"/>
        <w:rPr>
          <w:rFonts w:hint="eastAsia" w:asciiTheme="minorHAnsi"/>
          <w:b w:val="0"/>
          <w:color w:val="auto"/>
          <w:sz w:val="24"/>
          <w:szCs w:val="24"/>
          <w:highlight w:val="none"/>
          <w:u w:val="none"/>
        </w:rPr>
      </w:pPr>
      <w:bookmarkStart w:id="368" w:name="_Toc531"/>
      <w:r>
        <w:rPr>
          <w:rFonts w:hint="eastAsia" w:asciiTheme="minorHAnsi"/>
          <w:b w:val="0"/>
          <w:color w:val="auto"/>
          <w:sz w:val="24"/>
          <w:szCs w:val="24"/>
          <w:highlight w:val="none"/>
          <w:u w:val="none"/>
          <w:lang w:val="en-US" w:eastAsia="zh-CN"/>
        </w:rPr>
        <w:t>九</w:t>
      </w:r>
      <w:r>
        <w:rPr>
          <w:rFonts w:hint="eastAsia" w:asciiTheme="minorHAnsi"/>
          <w:b w:val="0"/>
          <w:color w:val="auto"/>
          <w:sz w:val="24"/>
          <w:szCs w:val="24"/>
          <w:highlight w:val="none"/>
          <w:u w:val="none"/>
        </w:rPr>
        <w:t>、 响应函</w:t>
      </w:r>
      <w:bookmarkEnd w:id="368"/>
    </w:p>
    <w:p w14:paraId="78E534A5">
      <w:pPr>
        <w:pStyle w:val="15"/>
        <w:pageBreakBefore w:val="0"/>
        <w:kinsoku/>
        <w:wordWrap/>
        <w:overflowPunct/>
        <w:topLinePunct w:val="0"/>
        <w:bidi w:val="0"/>
        <w:spacing w:line="360" w:lineRule="auto"/>
        <w:jc w:val="center"/>
        <w:rPr>
          <w:rFonts w:asciiTheme="minorHAnsi"/>
          <w:b/>
          <w:color w:val="auto"/>
          <w:sz w:val="44"/>
          <w:szCs w:val="44"/>
          <w:highlight w:val="none"/>
        </w:rPr>
      </w:pPr>
      <w:r>
        <w:rPr>
          <w:rFonts w:hint="eastAsia" w:asciiTheme="minorHAnsi"/>
          <w:b/>
          <w:color w:val="auto"/>
          <w:sz w:val="44"/>
          <w:szCs w:val="44"/>
          <w:highlight w:val="none"/>
        </w:rPr>
        <w:t xml:space="preserve">响  应  </w:t>
      </w:r>
      <w:r>
        <w:rPr>
          <w:rFonts w:asciiTheme="minorHAnsi"/>
          <w:b/>
          <w:color w:val="auto"/>
          <w:sz w:val="44"/>
          <w:szCs w:val="44"/>
          <w:highlight w:val="none"/>
        </w:rPr>
        <w:t>函</w:t>
      </w:r>
    </w:p>
    <w:p w14:paraId="748BE7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STTKJS+·ÂËÎ" w:cs="STTKJS+·ÂËÎ"/>
          <w:color w:val="auto"/>
          <w:spacing w:val="-4"/>
          <w:sz w:val="24"/>
          <w:highlight w:val="none"/>
        </w:rPr>
      </w:pPr>
      <w:r>
        <w:rPr>
          <w:rFonts w:hint="eastAsia" w:hAnsi="STTKJS+·ÂËÎ" w:cs="STTKJS+·ÂËÎ"/>
          <w:color w:val="auto"/>
          <w:spacing w:val="-4"/>
          <w:sz w:val="24"/>
          <w:highlight w:val="none"/>
        </w:rPr>
        <w:t>新疆重道敬德招标咨询有限公司：</w:t>
      </w:r>
    </w:p>
    <w:p w14:paraId="326475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pacing w:val="2"/>
          <w:sz w:val="24"/>
          <w:highlight w:val="none"/>
        </w:rPr>
        <w:t>根据贵方</w:t>
      </w:r>
      <w:r>
        <w:rPr>
          <w:rFonts w:hAnsi="STTKJS+·ÂËÎ" w:cs="STTKJS+·ÂËÎ"/>
          <w:color w:val="auto"/>
          <w:spacing w:val="1"/>
          <w:sz w:val="24"/>
          <w:highlight w:val="none"/>
          <w:u w:val="single"/>
        </w:rPr>
        <w:t>（项目名称）</w:t>
      </w:r>
      <w:r>
        <w:rPr>
          <w:rFonts w:hint="eastAsia" w:hAnsi="STTKJS+·ÂËÎ" w:cs="STTKJS+·ÂËÎ"/>
          <w:color w:val="auto"/>
          <w:spacing w:val="1"/>
          <w:sz w:val="24"/>
          <w:highlight w:val="none"/>
          <w:u w:val="single"/>
        </w:rPr>
        <w:t xml:space="preserve">     </w:t>
      </w:r>
      <w:r>
        <w:rPr>
          <w:rFonts w:hAnsi="STTKJS+·ÂËÎ" w:cs="STTKJS+·ÂËÎ"/>
          <w:color w:val="auto"/>
          <w:spacing w:val="2"/>
          <w:sz w:val="24"/>
          <w:highlight w:val="none"/>
        </w:rPr>
        <w:t>（项目编号：</w:t>
      </w:r>
      <w:r>
        <w:rPr>
          <w:rFonts w:hint="eastAsia" w:hAnsi="STTKJS+·ÂËÎ" w:cs="STTKJS+·ÂËÎ"/>
          <w:color w:val="auto"/>
          <w:spacing w:val="2"/>
          <w:sz w:val="24"/>
          <w:highlight w:val="none"/>
          <w:u w:val="single"/>
        </w:rPr>
        <w:t xml:space="preserve">            </w:t>
      </w:r>
      <w:r>
        <w:rPr>
          <w:rFonts w:hAnsi="STTKJS+·ÂËÎ" w:cs="STTKJS+·ÂËÎ"/>
          <w:color w:val="auto"/>
          <w:spacing w:val="2"/>
          <w:sz w:val="24"/>
          <w:highlight w:val="none"/>
        </w:rPr>
        <w:t>）的</w:t>
      </w:r>
      <w:r>
        <w:rPr>
          <w:rFonts w:hint="eastAsia" w:hAnsi="STTKJS+·ÂËÎ" w:cs="STTKJS+·ÂËÎ"/>
          <w:color w:val="auto"/>
          <w:spacing w:val="2"/>
          <w:sz w:val="24"/>
          <w:highlight w:val="none"/>
        </w:rPr>
        <w:t>采购</w:t>
      </w:r>
      <w:r>
        <w:rPr>
          <w:rFonts w:hAnsi="STTKJS+·ÂËÎ" w:cs="STTKJS+·ÂËÎ"/>
          <w:color w:val="auto"/>
          <w:spacing w:val="2"/>
          <w:sz w:val="24"/>
          <w:highlight w:val="none"/>
        </w:rPr>
        <w:t>邀请，</w:t>
      </w:r>
      <w:r>
        <w:rPr>
          <w:rFonts w:hAnsi="STTKJS+·ÂËÎ" w:cs="STTKJS+·ÂËÎ"/>
          <w:color w:val="auto"/>
          <w:spacing w:val="5"/>
          <w:sz w:val="24"/>
          <w:highlight w:val="none"/>
        </w:rPr>
        <w:t>正式授权签字代表</w:t>
      </w:r>
      <w:r>
        <w:rPr>
          <w:rFonts w:hAnsi="STTKJS+·ÂËÎ" w:cs="STTKJS+·ÂËÎ"/>
          <w:color w:val="auto"/>
          <w:spacing w:val="5"/>
          <w:sz w:val="24"/>
          <w:highlight w:val="none"/>
          <w:u w:val="single"/>
        </w:rPr>
        <w:t>（姓名、职务）</w:t>
      </w:r>
      <w:r>
        <w:rPr>
          <w:rFonts w:hAnsi="STTKJS+·ÂËÎ" w:cs="STTKJS+·ÂËÎ"/>
          <w:color w:val="auto"/>
          <w:spacing w:val="5"/>
          <w:sz w:val="24"/>
          <w:highlight w:val="none"/>
        </w:rPr>
        <w:t>代表</w:t>
      </w:r>
      <w:r>
        <w:rPr>
          <w:rFonts w:hint="eastAsia" w:hAnsi="STTKJS+·ÂËÎ" w:cs="STTKJS+·ÂËÎ"/>
          <w:color w:val="auto"/>
          <w:spacing w:val="5"/>
          <w:sz w:val="24"/>
          <w:highlight w:val="none"/>
        </w:rPr>
        <w:t>供应商</w:t>
      </w:r>
      <w:r>
        <w:rPr>
          <w:rFonts w:hAnsi="STTKJS+·ÂËÎ" w:cs="STTKJS+·ÂËÎ"/>
          <w:color w:val="auto"/>
          <w:spacing w:val="5"/>
          <w:sz w:val="24"/>
          <w:highlight w:val="none"/>
          <w:u w:val="single"/>
        </w:rPr>
        <w:t>（</w:t>
      </w:r>
      <w:r>
        <w:rPr>
          <w:rFonts w:hint="eastAsia" w:hAnsi="STTKJS+·ÂËÎ" w:cs="STTKJS+·ÂËÎ"/>
          <w:color w:val="auto"/>
          <w:spacing w:val="5"/>
          <w:sz w:val="24"/>
          <w:highlight w:val="none"/>
          <w:u w:val="single"/>
        </w:rPr>
        <w:t>供应商</w:t>
      </w:r>
      <w:r>
        <w:rPr>
          <w:rFonts w:hAnsi="STTKJS+·ÂËÎ" w:cs="STTKJS+·ÂËÎ"/>
          <w:color w:val="auto"/>
          <w:spacing w:val="5"/>
          <w:sz w:val="24"/>
          <w:highlight w:val="none"/>
          <w:u w:val="single"/>
        </w:rPr>
        <w:t>名称）</w:t>
      </w:r>
      <w:r>
        <w:rPr>
          <w:rFonts w:hint="eastAsia" w:hAnsi="STTKJS+·ÂËÎ" w:cs="STTKJS+·ÂËÎ"/>
          <w:color w:val="auto"/>
          <w:spacing w:val="5"/>
          <w:sz w:val="24"/>
          <w:highlight w:val="none"/>
          <w:u w:val="single"/>
        </w:rPr>
        <w:t xml:space="preserve">                       </w:t>
      </w:r>
      <w:r>
        <w:rPr>
          <w:rFonts w:hAnsi="STTKJS+·ÂËÎ" w:cs="STTKJS+·ÂËÎ"/>
          <w:color w:val="auto"/>
          <w:spacing w:val="5"/>
          <w:sz w:val="24"/>
          <w:highlight w:val="none"/>
        </w:rPr>
        <w:t>提交</w:t>
      </w:r>
      <w:r>
        <w:rPr>
          <w:rFonts w:hAnsi="STTKJS+·ÂËÎ" w:cs="STTKJS+·ÂËÎ"/>
          <w:color w:val="auto"/>
          <w:sz w:val="24"/>
          <w:highlight w:val="none"/>
        </w:rPr>
        <w:t>下述文件并在此声明，所提交的投标文件内容完整、真实、有效。</w:t>
      </w:r>
    </w:p>
    <w:p w14:paraId="4D3077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1</w:t>
      </w:r>
      <w:r>
        <w:rPr>
          <w:rFonts w:hAnsi="STTKJS+·ÂËÎ" w:cs="STTKJS+·ÂËÎ"/>
          <w:color w:val="auto"/>
          <w:sz w:val="24"/>
          <w:highlight w:val="none"/>
        </w:rPr>
        <w:t>、资格证明文件：</w:t>
      </w:r>
      <w:r>
        <w:rPr>
          <w:rFonts w:hint="eastAsia" w:hAnsi="STTKJS+·ÂËÎ" w:cs="STTKJS+·ÂËÎ"/>
          <w:color w:val="auto"/>
          <w:sz w:val="24"/>
          <w:highlight w:val="none"/>
        </w:rPr>
        <w:t>按第一章“三、供应商的资格审查要求”提供资格审查资料。</w:t>
      </w:r>
    </w:p>
    <w:p w14:paraId="74D172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rPr>
        <w:t>2、</w:t>
      </w:r>
      <w:r>
        <w:rPr>
          <w:rFonts w:hAnsi="STTKJS+·ÂËÎ" w:cs="STTKJS+·ÂËÎ"/>
          <w:color w:val="auto"/>
          <w:sz w:val="24"/>
          <w:highlight w:val="none"/>
        </w:rPr>
        <w:t>商务文件：</w:t>
      </w:r>
      <w:r>
        <w:rPr>
          <w:rFonts w:hint="eastAsia" w:hAnsi="STTKJS+·ÂËÎ" w:cs="STTKJS+·ÂËÎ"/>
          <w:color w:val="auto"/>
          <w:sz w:val="24"/>
          <w:highlight w:val="none"/>
        </w:rPr>
        <w:t>响应函、开标一览表、分项价格表、商务响应与偏离表、业绩资料、其他证明文件；</w:t>
      </w:r>
    </w:p>
    <w:p w14:paraId="759D7E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3</w:t>
      </w:r>
      <w:r>
        <w:rPr>
          <w:rFonts w:hAnsi="STTKJS+·ÂËÎ" w:cs="STTKJS+·ÂËÎ"/>
          <w:color w:val="auto"/>
          <w:sz w:val="24"/>
          <w:highlight w:val="none"/>
        </w:rPr>
        <w:t>、技术文件：供货一览表、技术规格响应</w:t>
      </w:r>
      <w:r>
        <w:rPr>
          <w:rFonts w:hAnsi="Calibri"/>
          <w:color w:val="auto"/>
          <w:sz w:val="24"/>
          <w:highlight w:val="none"/>
        </w:rPr>
        <w:t>/</w:t>
      </w:r>
      <w:r>
        <w:rPr>
          <w:rFonts w:hAnsi="STTKJS+·ÂËÎ" w:cs="STTKJS+·ÂËÎ"/>
          <w:color w:val="auto"/>
          <w:sz w:val="24"/>
          <w:highlight w:val="none"/>
        </w:rPr>
        <w:t>偏离表、其他证明文件。</w:t>
      </w:r>
    </w:p>
    <w:p w14:paraId="14BCE3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在此，签字代表宣布同意如下：</w:t>
      </w:r>
    </w:p>
    <w:p w14:paraId="5CBB76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（1）按招标文件规定提供的服务投标总价为：</w:t>
      </w:r>
      <w:r>
        <w:rPr>
          <w:rFonts w:hint="eastAsia" w:hAnsi="Calibri"/>
          <w:color w:val="auto"/>
          <w:sz w:val="24"/>
          <w:highlight w:val="none"/>
          <w:u w:val="single"/>
          <w:lang w:val="en-US" w:eastAsia="zh-CN"/>
        </w:rPr>
        <w:t xml:space="preserve">     </w:t>
      </w:r>
      <w:r>
        <w:rPr>
          <w:rFonts w:hint="eastAsia" w:hAnsi="Calibri"/>
          <w:color w:val="auto"/>
          <w:sz w:val="24"/>
          <w:highlight w:val="none"/>
        </w:rPr>
        <w:t xml:space="preserve">元(人民币大写)。 </w:t>
      </w:r>
    </w:p>
    <w:p w14:paraId="4BAFFA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（2）服务期：</w:t>
      </w:r>
      <w:r>
        <w:rPr>
          <w:rFonts w:hint="eastAsia" w:hAnsi="Calibri"/>
          <w:color w:val="auto"/>
          <w:sz w:val="24"/>
          <w:highlight w:val="none"/>
          <w:u w:val="single"/>
          <w:lang w:val="en-US" w:eastAsia="zh-CN"/>
        </w:rPr>
        <w:t xml:space="preserve">         </w:t>
      </w:r>
      <w:r>
        <w:rPr>
          <w:rFonts w:hint="eastAsia" w:hAnsi="Calibri"/>
          <w:color w:val="auto"/>
          <w:sz w:val="24"/>
          <w:highlight w:val="none"/>
          <w:u w:val="none"/>
          <w:lang w:val="en-US" w:eastAsia="zh-CN"/>
        </w:rPr>
        <w:t>。</w:t>
      </w:r>
      <w:r>
        <w:rPr>
          <w:rFonts w:hint="eastAsia" w:hAnsi="Calibri"/>
          <w:color w:val="auto"/>
          <w:sz w:val="24"/>
          <w:highlight w:val="none"/>
        </w:rPr>
        <w:t xml:space="preserve"> </w:t>
      </w:r>
    </w:p>
    <w:p w14:paraId="7D3FE2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（3）</w:t>
      </w:r>
      <w:r>
        <w:rPr>
          <w:rFonts w:hint="eastAsia" w:hAnsi="Calibri"/>
          <w:color w:val="auto"/>
          <w:sz w:val="24"/>
          <w:highlight w:val="none"/>
          <w:lang w:val="en-US" w:eastAsia="zh-CN"/>
        </w:rPr>
        <w:t>人员配备到位时间</w:t>
      </w:r>
      <w:r>
        <w:rPr>
          <w:rFonts w:hint="eastAsia" w:hAnsi="Calibri"/>
          <w:color w:val="auto"/>
          <w:sz w:val="24"/>
          <w:highlight w:val="none"/>
          <w:u w:val="single"/>
          <w:lang w:val="en-US" w:eastAsia="zh-CN"/>
        </w:rPr>
        <w:t xml:space="preserve"> </w:t>
      </w:r>
      <w:r>
        <w:rPr>
          <w:rFonts w:hint="eastAsia" w:hAnsi="Calibri"/>
          <w:color w:val="auto"/>
          <w:sz w:val="24"/>
          <w:highlight w:val="none"/>
          <w:u w:val="single"/>
        </w:rPr>
        <w:t xml:space="preserve"> </w:t>
      </w:r>
      <w:r>
        <w:rPr>
          <w:rFonts w:hint="eastAsia" w:hAnsi="Calibri"/>
          <w:color w:val="auto"/>
          <w:sz w:val="24"/>
          <w:highlight w:val="none"/>
          <w:u w:val="none"/>
          <w:lang w:val="en-US" w:eastAsia="zh-CN"/>
        </w:rPr>
        <w:t>日</w:t>
      </w:r>
      <w:r>
        <w:rPr>
          <w:rFonts w:hint="eastAsia" w:hAnsi="Calibri"/>
          <w:color w:val="auto"/>
          <w:sz w:val="24"/>
          <w:highlight w:val="none"/>
        </w:rPr>
        <w:t xml:space="preserve">。 </w:t>
      </w:r>
    </w:p>
    <w:p w14:paraId="38ADF1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（4）按招标文件的规定履行合同责任和义务。 </w:t>
      </w:r>
    </w:p>
    <w:p w14:paraId="2D5296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（5）我方已详细阅读全部招标文件，完全理解并同意放弃对招标文件有不明及误解的权利。 </w:t>
      </w:r>
    </w:p>
    <w:p w14:paraId="5CF8FC7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4、我方承诺以中标为目的参与本次采购活动，自开标之日起遵循本招标文件规定，若我方成交，在招标文件前附表中规定的投标有效期内我方将履行本投标文件中的承诺，且在此期 限内投标文件对我方具有法律约束力。 </w:t>
      </w:r>
    </w:p>
    <w:p w14:paraId="5429FE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5、投标有</w:t>
      </w:r>
      <w:r>
        <w:rPr>
          <w:rFonts w:hint="eastAsia" w:hAnsi="Calibri"/>
          <w:color w:val="auto"/>
          <w:sz w:val="24"/>
          <w:highlight w:val="none"/>
          <w:lang w:val="en-US" w:eastAsia="zh-CN"/>
        </w:rPr>
        <w:t>效</w:t>
      </w:r>
      <w:r>
        <w:rPr>
          <w:rFonts w:hint="eastAsia" w:hAnsi="Calibri"/>
          <w:color w:val="auto"/>
          <w:sz w:val="24"/>
          <w:highlight w:val="none"/>
        </w:rPr>
        <w:t>期</w:t>
      </w:r>
      <w:r>
        <w:rPr>
          <w:rFonts w:hint="eastAsia" w:hAnsi="Calibri"/>
          <w:color w:val="auto"/>
          <w:sz w:val="24"/>
          <w:highlight w:val="none"/>
          <w:lang w:val="en-US" w:eastAsia="zh-CN"/>
        </w:rPr>
        <w:t xml:space="preserve"> </w:t>
      </w:r>
      <w:r>
        <w:rPr>
          <w:rFonts w:hint="eastAsia" w:hAnsi="Calibri"/>
          <w:color w:val="auto"/>
          <w:sz w:val="24"/>
          <w:highlight w:val="none"/>
          <w:u w:val="single"/>
          <w:lang w:val="en-US" w:eastAsia="zh-CN"/>
        </w:rPr>
        <w:t xml:space="preserve"> 90 </w:t>
      </w:r>
      <w:r>
        <w:rPr>
          <w:rFonts w:hint="eastAsia" w:hAnsi="Calibri"/>
          <w:color w:val="auto"/>
          <w:sz w:val="24"/>
          <w:highlight w:val="none"/>
        </w:rPr>
        <w:t>天。</w:t>
      </w:r>
    </w:p>
    <w:p w14:paraId="0FA1AC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lang w:val="en-US" w:eastAsia="zh-CN"/>
        </w:rPr>
        <w:t>6</w:t>
      </w:r>
      <w:r>
        <w:rPr>
          <w:rFonts w:hAnsi="STTKJS+·ÂËÎ" w:cs="STTKJS+·ÂËÎ"/>
          <w:color w:val="auto"/>
          <w:sz w:val="24"/>
          <w:highlight w:val="none"/>
        </w:rPr>
        <w:t>、根据“第一章</w:t>
      </w:r>
      <w:r>
        <w:rPr>
          <w:rFonts w:hAnsi="Calibri"/>
          <w:color w:val="auto"/>
          <w:spacing w:val="181"/>
          <w:sz w:val="24"/>
          <w:highlight w:val="none"/>
        </w:rPr>
        <w:t xml:space="preserve"> </w:t>
      </w:r>
      <w:r>
        <w:rPr>
          <w:rFonts w:hint="eastAsia" w:hAnsi="STTKJS+·ÂËÎ" w:cs="STTKJS+·ÂËÎ"/>
          <w:color w:val="auto"/>
          <w:sz w:val="24"/>
          <w:highlight w:val="none"/>
        </w:rPr>
        <w:t>采购</w:t>
      </w:r>
      <w:r>
        <w:rPr>
          <w:rFonts w:hAnsi="STTKJS+·ÂËÎ" w:cs="STTKJS+·ÂËÎ"/>
          <w:color w:val="auto"/>
          <w:sz w:val="24"/>
          <w:highlight w:val="none"/>
        </w:rPr>
        <w:t>邀请”第二条规定，我方承诺具备下列条件：</w:t>
      </w:r>
    </w:p>
    <w:p w14:paraId="076133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1</w:t>
      </w:r>
      <w:r>
        <w:rPr>
          <w:rFonts w:hAnsi="STTKJS+·ÂËÎ" w:cs="STTKJS+·ÂËÎ"/>
          <w:color w:val="auto"/>
          <w:sz w:val="24"/>
          <w:highlight w:val="none"/>
        </w:rPr>
        <w:t>）具有独立承担民事责任的能力；</w:t>
      </w:r>
    </w:p>
    <w:p w14:paraId="32B7BB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2</w:t>
      </w:r>
      <w:r>
        <w:rPr>
          <w:rFonts w:hAnsi="STTKJS+·ÂËÎ" w:cs="STTKJS+·ÂËÎ"/>
          <w:color w:val="auto"/>
          <w:sz w:val="24"/>
          <w:highlight w:val="none"/>
        </w:rPr>
        <w:t>）具有良好的商业信誉和健全的财务会计制度；</w:t>
      </w:r>
    </w:p>
    <w:p w14:paraId="5D9ED7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3</w:t>
      </w:r>
      <w:r>
        <w:rPr>
          <w:rFonts w:hAnsi="STTKJS+·ÂËÎ" w:cs="STTKJS+·ÂËÎ"/>
          <w:color w:val="auto"/>
          <w:sz w:val="24"/>
          <w:highlight w:val="none"/>
        </w:rPr>
        <w:t>）具有履行合同所必需的设备和专业技术能力；</w:t>
      </w:r>
    </w:p>
    <w:p w14:paraId="6DAE09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4</w:t>
      </w:r>
      <w:r>
        <w:rPr>
          <w:rFonts w:hAnsi="STTKJS+·ÂËÎ" w:cs="STTKJS+·ÂËÎ"/>
          <w:color w:val="auto"/>
          <w:sz w:val="24"/>
          <w:highlight w:val="none"/>
        </w:rPr>
        <w:t>）有依法缴纳税收和社会保障资金的良好记录；</w:t>
      </w:r>
    </w:p>
    <w:p w14:paraId="0D26BC7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5</w:t>
      </w:r>
      <w:r>
        <w:rPr>
          <w:rFonts w:hAnsi="STTKJS+·ÂËÎ" w:cs="STTKJS+·ÂËÎ"/>
          <w:color w:val="auto"/>
          <w:sz w:val="24"/>
          <w:highlight w:val="none"/>
        </w:rPr>
        <w:t>）参加政府采购活动前三年内，在经营活动中无重大违法记录；</w:t>
      </w:r>
    </w:p>
    <w:p w14:paraId="6DCC80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6</w:t>
      </w:r>
      <w:r>
        <w:rPr>
          <w:rFonts w:hAnsi="STTKJS+·ÂËÎ" w:cs="STTKJS+·ÂËÎ"/>
          <w:color w:val="auto"/>
          <w:sz w:val="24"/>
          <w:highlight w:val="none"/>
        </w:rPr>
        <w:t>）与采购人和新疆重道敬德招标咨询有限公司</w:t>
      </w:r>
      <w:r>
        <w:rPr>
          <w:rFonts w:hint="eastAsia" w:hAnsi="STTKJS+·ÂËÎ" w:cs="STTKJS+·ÂËÎ"/>
          <w:color w:val="auto"/>
          <w:sz w:val="24"/>
          <w:highlight w:val="none"/>
        </w:rPr>
        <w:t>无任何的</w:t>
      </w:r>
      <w:r>
        <w:rPr>
          <w:rFonts w:hAnsi="STTKJS+·ÂËÎ" w:cs="STTKJS+·ÂËÎ"/>
          <w:color w:val="auto"/>
          <w:sz w:val="24"/>
          <w:highlight w:val="none"/>
        </w:rPr>
        <w:t>隶属关系或者其他利害关系。</w:t>
      </w:r>
    </w:p>
    <w:p w14:paraId="4B7FF3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7</w:t>
      </w:r>
      <w:r>
        <w:rPr>
          <w:rFonts w:hAnsi="STTKJS+·ÂËÎ" w:cs="STTKJS+·ÂËÎ"/>
          <w:color w:val="auto"/>
          <w:sz w:val="24"/>
          <w:highlight w:val="none"/>
        </w:rPr>
        <w:t>）法律、行政法规规定的其他条件。</w:t>
      </w:r>
    </w:p>
    <w:p w14:paraId="7D043CE4">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asciiTheme="minorHAnsi"/>
          <w:b/>
          <w:color w:val="auto"/>
          <w:sz w:val="24"/>
          <w:highlight w:val="none"/>
        </w:rPr>
      </w:pPr>
      <w:r>
        <w:rPr>
          <w:rFonts w:hint="eastAsia" w:hAnsi="Calibri" w:asciiTheme="minorHAnsi"/>
          <w:color w:val="auto"/>
          <w:sz w:val="24"/>
          <w:highlight w:val="none"/>
          <w:lang w:val="en-US" w:eastAsia="zh-CN"/>
        </w:rPr>
        <w:t>7</w:t>
      </w:r>
      <w:r>
        <w:rPr>
          <w:rFonts w:hint="eastAsia" w:hAnsi="Calibri" w:asciiTheme="minorHAnsi"/>
          <w:color w:val="auto"/>
          <w:sz w:val="24"/>
          <w:highlight w:val="none"/>
        </w:rPr>
        <w:t>、同意我方在响应截止时间后撤回响应文件，同意贵方没收</w:t>
      </w:r>
      <w:r>
        <w:rPr>
          <w:rFonts w:hint="eastAsia" w:hAnsi="Calibri" w:asciiTheme="minorHAnsi"/>
          <w:color w:val="auto"/>
          <w:sz w:val="24"/>
          <w:highlight w:val="none"/>
          <w:lang w:eastAsia="zh-CN"/>
        </w:rPr>
        <w:t>响应保证金</w:t>
      </w:r>
      <w:r>
        <w:rPr>
          <w:rFonts w:hint="eastAsia" w:hAnsi="Calibri" w:asciiTheme="minorHAnsi"/>
          <w:color w:val="auto"/>
          <w:sz w:val="24"/>
          <w:highlight w:val="none"/>
        </w:rPr>
        <w:t>。</w:t>
      </w:r>
    </w:p>
    <w:p w14:paraId="2ACF09F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8</w:t>
      </w:r>
      <w:r>
        <w:rPr>
          <w:rFonts w:hAnsi="VMKEEH+·ÂËÎ" w:eastAsia="Times New Roman" w:cs="VMKEEH+·ÂËÎ"/>
          <w:color w:val="auto"/>
          <w:sz w:val="24"/>
          <w:highlight w:val="none"/>
        </w:rPr>
        <w:t>、同意提供贵方可能要求的与本次采购有关的一切数据或资料。</w:t>
      </w:r>
    </w:p>
    <w:p w14:paraId="2EFC59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9</w:t>
      </w:r>
      <w:r>
        <w:rPr>
          <w:rFonts w:hAnsi="VMKEEH+·ÂËÎ" w:eastAsia="Times New Roman" w:cs="VMKEEH+·ÂËÎ"/>
          <w:color w:val="auto"/>
          <w:sz w:val="24"/>
          <w:highlight w:val="none"/>
        </w:rPr>
        <w:t>、我们完全理解贵方不一定要接受最低报价的响应或收到的任何响应。</w:t>
      </w:r>
    </w:p>
    <w:p w14:paraId="69391F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HBDJGJ+·ÂËÎ" w:eastAsia="宋体" w:cs="HBDJGJ+·ÂËÎ"/>
          <w:color w:val="auto"/>
          <w:sz w:val="24"/>
          <w:highlight w:val="none"/>
          <w:lang w:val="en-US" w:eastAsia="zh-CN"/>
        </w:rPr>
        <w:t>10</w:t>
      </w:r>
      <w:r>
        <w:rPr>
          <w:rFonts w:hAnsi="HBDJGJ+·ÂËÎ" w:eastAsia="Times New Roman" w:cs="HBDJGJ+·ÂËÎ"/>
          <w:color w:val="auto"/>
          <w:sz w:val="24"/>
          <w:highlight w:val="none"/>
        </w:rPr>
        <w:t>、</w:t>
      </w:r>
      <w:r>
        <w:rPr>
          <w:rFonts w:hint="eastAsia" w:hAnsi="Calibri"/>
          <w:color w:val="auto"/>
          <w:sz w:val="24"/>
          <w:highlight w:val="none"/>
        </w:rPr>
        <w:t>我方接受按采购人委托向贵方支付招标代理服务费，如果成交，保证履行磋商文件中承诺的全部责任和义务，切实履行《 政府采购合同》中的全部条款，响应总报价已包含招标代理服务费（（招标代理服务费）按照招标文件第三章投标人须知中所列收费标准计算），并承诺向贵单位足额支付。</w:t>
      </w:r>
    </w:p>
    <w:p w14:paraId="578460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1</w:t>
      </w:r>
      <w:r>
        <w:rPr>
          <w:rFonts w:hint="eastAsia" w:hAnsi="VIPIIL+ËÎÌå" w:cs="VIPIIL+ËÎÌå"/>
          <w:color w:val="auto"/>
          <w:spacing w:val="2"/>
          <w:sz w:val="24"/>
          <w:highlight w:val="none"/>
          <w:lang w:val="en-US" w:eastAsia="zh-CN"/>
        </w:rPr>
        <w:t>1</w:t>
      </w:r>
      <w:r>
        <w:rPr>
          <w:rFonts w:hint="eastAsia" w:hAnsi="VIPIIL+ËÎÌå" w:cs="VIPIIL+ËÎÌå"/>
          <w:color w:val="auto"/>
          <w:spacing w:val="2"/>
          <w:sz w:val="24"/>
          <w:highlight w:val="none"/>
        </w:rPr>
        <w:t>、详细信息：</w:t>
      </w:r>
    </w:p>
    <w:p w14:paraId="512C30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供应商名称：</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（签章）</w:t>
      </w:r>
    </w:p>
    <w:p w14:paraId="4E66D5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hAnsi="VIPIIL+ËÎÌå" w:cs="VIPIIL+ËÎÌå"/>
          <w:color w:val="auto"/>
          <w:spacing w:val="2"/>
          <w:sz w:val="24"/>
          <w:highlight w:val="none"/>
          <w:lang w:val="en-US"/>
        </w:rPr>
      </w:pPr>
      <w:r>
        <w:rPr>
          <w:rFonts w:hint="eastAsia" w:hAnsi="VIPIIL+ËÎÌå" w:cs="VIPIIL+ËÎÌå"/>
          <w:color w:val="auto"/>
          <w:spacing w:val="2"/>
          <w:sz w:val="24"/>
          <w:highlight w:val="none"/>
        </w:rPr>
        <w:t>法定代表人（或授权代表）：</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r>
        <w:rPr>
          <w:rFonts w:hint="eastAsia" w:hAnsi="VIPIIL+ËÎÌå" w:cs="VIPIIL+ËÎÌå"/>
          <w:color w:val="auto"/>
          <w:spacing w:val="2"/>
          <w:sz w:val="24"/>
          <w:highlight w:val="none"/>
          <w:lang w:val="en-US" w:eastAsia="zh-CN"/>
        </w:rPr>
        <w:t>签字或印章）</w:t>
      </w:r>
    </w:p>
    <w:p w14:paraId="154519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地址：</w:t>
      </w:r>
      <w:r>
        <w:rPr>
          <w:rFonts w:hint="eastAsia" w:hAnsi="VIPIIL+ËÎÌå" w:cs="VIPIIL+ËÎÌå"/>
          <w:color w:val="auto"/>
          <w:spacing w:val="2"/>
          <w:sz w:val="24"/>
          <w:highlight w:val="none"/>
          <w:u w:val="single"/>
        </w:rPr>
        <w:t xml:space="preserve">                                        </w:t>
      </w:r>
    </w:p>
    <w:p w14:paraId="01C45FC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电话：</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传真：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p>
    <w:p w14:paraId="1A1D7D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开户行:</w:t>
      </w:r>
      <w:r>
        <w:rPr>
          <w:rFonts w:hint="eastAsia" w:hAnsi="VIPIIL+ËÎÌå" w:cs="VIPIIL+ËÎÌå"/>
          <w:color w:val="auto"/>
          <w:spacing w:val="2"/>
          <w:sz w:val="24"/>
          <w:highlight w:val="none"/>
          <w:u w:val="single"/>
        </w:rPr>
        <w:t xml:space="preserve">                                  </w:t>
      </w:r>
    </w:p>
    <w:p w14:paraId="756556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账号:</w:t>
      </w:r>
      <w:r>
        <w:rPr>
          <w:rFonts w:hint="eastAsia" w:hAnsi="VIPIIL+ËÎÌå" w:cs="VIPIIL+ËÎÌå"/>
          <w:color w:val="auto"/>
          <w:spacing w:val="2"/>
          <w:sz w:val="24"/>
          <w:highlight w:val="none"/>
          <w:u w:val="single"/>
        </w:rPr>
        <w:t xml:space="preserve">                                          </w:t>
      </w:r>
    </w:p>
    <w:p w14:paraId="04C7FCA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日期：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年</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月</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日</w:t>
      </w:r>
    </w:p>
    <w:p w14:paraId="2A0CE27A">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739251BC">
      <w:pPr>
        <w:rPr>
          <w:rFonts w:hint="eastAsia" w:asciiTheme="minorHAnsi"/>
          <w:b w:val="0"/>
          <w:color w:val="auto"/>
          <w:sz w:val="24"/>
          <w:szCs w:val="24"/>
          <w:highlight w:val="none"/>
          <w:u w:val="none"/>
        </w:rPr>
      </w:pPr>
      <w:bookmarkStart w:id="369" w:name="_Toc31645"/>
      <w:r>
        <w:rPr>
          <w:rFonts w:hint="eastAsia" w:asciiTheme="minorHAnsi"/>
          <w:b w:val="0"/>
          <w:color w:val="auto"/>
          <w:sz w:val="24"/>
          <w:szCs w:val="24"/>
          <w:highlight w:val="none"/>
          <w:u w:val="none"/>
        </w:rPr>
        <w:br w:type="page"/>
      </w:r>
    </w:p>
    <w:p w14:paraId="660F5C44">
      <w:pPr>
        <w:pStyle w:val="20"/>
        <w:pageBreakBefore w:val="0"/>
        <w:kinsoku/>
        <w:wordWrap/>
        <w:overflowPunct/>
        <w:topLinePunct w:val="0"/>
        <w:bidi w:val="0"/>
        <w:spacing w:line="360" w:lineRule="auto"/>
        <w:jc w:val="both"/>
        <w:rPr>
          <w:rFonts w:asciiTheme="minorHAnsi"/>
          <w:b w:val="0"/>
          <w:color w:val="auto"/>
          <w:sz w:val="24"/>
          <w:szCs w:val="24"/>
          <w:highlight w:val="none"/>
          <w:u w:val="none"/>
        </w:rPr>
      </w:pPr>
      <w:bookmarkStart w:id="370" w:name="_Toc20642"/>
      <w:r>
        <w:rPr>
          <w:rFonts w:hint="eastAsia" w:asciiTheme="minorHAnsi"/>
          <w:b w:val="0"/>
          <w:color w:val="auto"/>
          <w:sz w:val="24"/>
          <w:szCs w:val="24"/>
          <w:highlight w:val="none"/>
          <w:u w:val="none"/>
        </w:rPr>
        <w:t>十、报价表 （开标一览表）</w:t>
      </w:r>
      <w:bookmarkEnd w:id="369"/>
      <w:bookmarkEnd w:id="370"/>
    </w:p>
    <w:p w14:paraId="158B3D0B">
      <w:pPr>
        <w:pStyle w:val="45"/>
        <w:pageBreakBefore w:val="0"/>
        <w:kinsoku/>
        <w:wordWrap/>
        <w:overflowPunct/>
        <w:topLinePunct w:val="0"/>
        <w:bidi w:val="0"/>
        <w:adjustRightInd w:val="0"/>
        <w:snapToGrid w:val="0"/>
        <w:spacing w:line="360" w:lineRule="auto"/>
        <w:jc w:val="center"/>
        <w:rPr>
          <w:rFonts w:hAnsi="宋体" w:asciiTheme="minorHAnsi"/>
          <w:b/>
          <w:color w:val="auto"/>
          <w:sz w:val="24"/>
          <w:szCs w:val="24"/>
          <w:highlight w:val="none"/>
        </w:rPr>
      </w:pPr>
      <w:r>
        <w:rPr>
          <w:rFonts w:hint="eastAsia" w:hAnsi="宋体" w:asciiTheme="minorHAnsi"/>
          <w:b/>
          <w:color w:val="auto"/>
          <w:sz w:val="24"/>
          <w:szCs w:val="24"/>
          <w:highlight w:val="none"/>
          <w:lang w:val="en-US" w:eastAsia="zh-CN"/>
        </w:rPr>
        <w:t>开标一览表</w:t>
      </w:r>
    </w:p>
    <w:p w14:paraId="2802A813">
      <w:pPr>
        <w:pStyle w:val="46"/>
        <w:pageBreakBefore w:val="0"/>
        <w:tabs>
          <w:tab w:val="center" w:pos="4633"/>
          <w:tab w:val="right" w:pos="9266"/>
        </w:tabs>
        <w:kinsoku/>
        <w:wordWrap/>
        <w:overflowPunct/>
        <w:topLinePunct w:val="0"/>
        <w:bidi w:val="0"/>
        <w:adjustRightInd w:val="0"/>
        <w:snapToGrid w:val="0"/>
        <w:spacing w:line="360" w:lineRule="auto"/>
        <w:ind w:right="480" w:firstLine="3840" w:firstLineChars="1600"/>
        <w:rPr>
          <w:rFonts w:hAnsi="宋体" w:asciiTheme="minorHAnsi"/>
          <w:color w:val="auto"/>
          <w:sz w:val="24"/>
          <w:szCs w:val="24"/>
          <w:highlight w:val="none"/>
        </w:rPr>
      </w:pPr>
      <w:r>
        <w:rPr>
          <w:rFonts w:hAnsi="宋体" w:asciiTheme="minorHAnsi"/>
          <w:color w:val="auto"/>
          <w:sz w:val="24"/>
          <w:szCs w:val="24"/>
          <w:highlight w:val="none"/>
        </w:rPr>
        <w:tab/>
      </w:r>
      <w:r>
        <w:rPr>
          <w:rFonts w:hint="eastAsia" w:hAnsi="宋体" w:asciiTheme="minorHAnsi"/>
          <w:color w:val="auto"/>
          <w:sz w:val="24"/>
          <w:szCs w:val="24"/>
          <w:highlight w:val="none"/>
        </w:rPr>
        <w:t xml:space="preserve">   [货币单位：人民币元]</w:t>
      </w:r>
    </w:p>
    <w:tbl>
      <w:tblPr>
        <w:tblStyle w:val="26"/>
        <w:tblW w:w="9806" w:type="dxa"/>
        <w:tblInd w:w="0" w:type="dxa"/>
        <w:tblLayout w:type="fixed"/>
        <w:tblCellMar>
          <w:top w:w="0" w:type="dxa"/>
          <w:left w:w="30" w:type="dxa"/>
          <w:bottom w:w="0" w:type="dxa"/>
          <w:right w:w="30" w:type="dxa"/>
        </w:tblCellMar>
      </w:tblPr>
      <w:tblGrid>
        <w:gridCol w:w="1732"/>
        <w:gridCol w:w="2268"/>
        <w:gridCol w:w="1983"/>
        <w:gridCol w:w="3823"/>
      </w:tblGrid>
      <w:tr w14:paraId="1CEF1B39">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1D0D58DD">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项目名称</w:t>
            </w:r>
          </w:p>
        </w:tc>
        <w:tc>
          <w:tcPr>
            <w:tcW w:w="2268" w:type="dxa"/>
            <w:tcBorders>
              <w:top w:val="single" w:color="auto" w:sz="4" w:space="0"/>
              <w:left w:val="single" w:color="auto" w:sz="6" w:space="0"/>
              <w:bottom w:val="single" w:color="auto" w:sz="4" w:space="0"/>
              <w:right w:val="single" w:color="auto" w:sz="6" w:space="0"/>
            </w:tcBorders>
          </w:tcPr>
          <w:p w14:paraId="1490CCE1">
            <w:pPr>
              <w:pageBreakBefore w:val="0"/>
              <w:kinsoku/>
              <w:wordWrap/>
              <w:overflowPunct/>
              <w:topLinePunct w:val="0"/>
              <w:bidi w:val="0"/>
              <w:spacing w:line="360" w:lineRule="auto"/>
              <w:jc w:val="center"/>
              <w:rPr>
                <w:rFonts w:hAnsi="宋体" w:eastAsia="宋体" w:cs="宋体"/>
                <w:color w:val="auto"/>
                <w:sz w:val="24"/>
                <w:highlight w:val="none"/>
              </w:rPr>
            </w:pPr>
          </w:p>
        </w:tc>
        <w:tc>
          <w:tcPr>
            <w:tcW w:w="1983" w:type="dxa"/>
            <w:tcBorders>
              <w:top w:val="single" w:color="auto" w:sz="4" w:space="0"/>
              <w:left w:val="single" w:color="auto" w:sz="6" w:space="0"/>
              <w:bottom w:val="single" w:color="auto" w:sz="4" w:space="0"/>
              <w:right w:val="single" w:color="auto" w:sz="4" w:space="0"/>
            </w:tcBorders>
            <w:vAlign w:val="center"/>
          </w:tcPr>
          <w:p w14:paraId="27ED8BE2">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项目编号</w:t>
            </w:r>
          </w:p>
        </w:tc>
        <w:tc>
          <w:tcPr>
            <w:tcW w:w="3823" w:type="dxa"/>
            <w:tcBorders>
              <w:top w:val="single" w:color="auto" w:sz="4" w:space="0"/>
              <w:left w:val="single" w:color="auto" w:sz="6" w:space="0"/>
              <w:bottom w:val="single" w:color="auto" w:sz="4" w:space="0"/>
              <w:right w:val="single" w:color="auto" w:sz="4" w:space="0"/>
            </w:tcBorders>
          </w:tcPr>
          <w:p w14:paraId="25832EC8">
            <w:pPr>
              <w:pageBreakBefore w:val="0"/>
              <w:kinsoku/>
              <w:wordWrap/>
              <w:overflowPunct/>
              <w:topLinePunct w:val="0"/>
              <w:bidi w:val="0"/>
              <w:spacing w:line="360" w:lineRule="auto"/>
              <w:jc w:val="center"/>
              <w:rPr>
                <w:rFonts w:hAnsi="宋体" w:eastAsia="宋体" w:cs="宋体"/>
                <w:color w:val="auto"/>
                <w:sz w:val="24"/>
                <w:highlight w:val="none"/>
              </w:rPr>
            </w:pPr>
          </w:p>
        </w:tc>
      </w:tr>
      <w:tr w14:paraId="5D6D90BB">
        <w:tblPrEx>
          <w:tblCellMar>
            <w:top w:w="0" w:type="dxa"/>
            <w:left w:w="30" w:type="dxa"/>
            <w:bottom w:w="0" w:type="dxa"/>
            <w:right w:w="30" w:type="dxa"/>
          </w:tblCellMar>
        </w:tblPrEx>
        <w:trPr>
          <w:cantSplit/>
          <w:trHeight w:val="1558" w:hRule="atLeast"/>
        </w:trPr>
        <w:tc>
          <w:tcPr>
            <w:tcW w:w="1732" w:type="dxa"/>
            <w:tcBorders>
              <w:top w:val="single" w:color="auto" w:sz="4" w:space="0"/>
              <w:left w:val="single" w:color="auto" w:sz="4" w:space="0"/>
              <w:right w:val="single" w:color="auto" w:sz="6" w:space="0"/>
            </w:tcBorders>
            <w:vAlign w:val="center"/>
          </w:tcPr>
          <w:p w14:paraId="768FA204">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总报价</w:t>
            </w:r>
          </w:p>
        </w:tc>
        <w:tc>
          <w:tcPr>
            <w:tcW w:w="8074" w:type="dxa"/>
            <w:gridSpan w:val="3"/>
            <w:tcBorders>
              <w:top w:val="single" w:color="auto" w:sz="4" w:space="0"/>
              <w:left w:val="single" w:color="auto" w:sz="6" w:space="0"/>
              <w:right w:val="single" w:color="auto" w:sz="4" w:space="0"/>
            </w:tcBorders>
          </w:tcPr>
          <w:p w14:paraId="183DAEEC">
            <w:pPr>
              <w:pageBreakBefore w:val="0"/>
              <w:tabs>
                <w:tab w:val="left" w:pos="465"/>
              </w:tabs>
              <w:kinsoku/>
              <w:wordWrap/>
              <w:overflowPunct/>
              <w:topLinePunct w:val="0"/>
              <w:bidi w:val="0"/>
              <w:spacing w:line="360" w:lineRule="auto"/>
              <w:rPr>
                <w:rFonts w:hAnsi="宋体" w:eastAsia="宋体" w:cs="宋体"/>
                <w:color w:val="auto"/>
                <w:sz w:val="24"/>
                <w:highlight w:val="none"/>
                <w:u w:val="single"/>
              </w:rPr>
            </w:pPr>
            <w:r>
              <w:rPr>
                <w:rFonts w:hAnsi="宋体" w:eastAsia="宋体" w:cs="宋体"/>
                <w:color w:val="auto"/>
                <w:sz w:val="24"/>
                <w:highlight w:val="none"/>
              </w:rPr>
              <w:tab/>
            </w:r>
            <w:r>
              <w:rPr>
                <w:rFonts w:hAnsi="宋体" w:eastAsia="宋体" w:cs="宋体"/>
                <w:color w:val="auto"/>
                <w:sz w:val="24"/>
                <w:highlight w:val="none"/>
              </w:rPr>
              <w:t>大写：</w:t>
            </w:r>
            <w:r>
              <w:rPr>
                <w:rFonts w:hint="eastAsia" w:hAnsi="宋体" w:eastAsia="宋体" w:cs="宋体"/>
                <w:color w:val="auto"/>
                <w:sz w:val="24"/>
                <w:highlight w:val="none"/>
                <w:u w:val="single"/>
              </w:rPr>
              <w:t xml:space="preserve">                          </w:t>
            </w:r>
          </w:p>
          <w:p w14:paraId="7CE9A0F1">
            <w:pPr>
              <w:pStyle w:val="5"/>
              <w:pageBreakBefore w:val="0"/>
              <w:kinsoku/>
              <w:wordWrap/>
              <w:overflowPunct/>
              <w:topLinePunct w:val="0"/>
              <w:bidi w:val="0"/>
              <w:spacing w:line="360" w:lineRule="auto"/>
              <w:rPr>
                <w:color w:val="auto"/>
                <w:sz w:val="24"/>
                <w:highlight w:val="none"/>
              </w:rPr>
            </w:pPr>
          </w:p>
          <w:p w14:paraId="6463E47E">
            <w:pPr>
              <w:pStyle w:val="5"/>
              <w:pageBreakBefore w:val="0"/>
              <w:kinsoku/>
              <w:wordWrap/>
              <w:overflowPunct/>
              <w:topLinePunct w:val="0"/>
              <w:bidi w:val="0"/>
              <w:spacing w:line="360" w:lineRule="auto"/>
              <w:ind w:firstLine="480" w:firstLineChars="200"/>
              <w:rPr>
                <w:color w:val="auto"/>
                <w:sz w:val="24"/>
                <w:highlight w:val="none"/>
              </w:rPr>
            </w:pP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 xml:space="preserve">        </w:t>
            </w:r>
          </w:p>
        </w:tc>
      </w:tr>
      <w:tr w14:paraId="1E6B53CF">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0FF66C9A">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项目负责人</w:t>
            </w:r>
          </w:p>
        </w:tc>
        <w:tc>
          <w:tcPr>
            <w:tcW w:w="8074" w:type="dxa"/>
            <w:gridSpan w:val="3"/>
            <w:tcBorders>
              <w:top w:val="single" w:color="auto" w:sz="4" w:space="0"/>
              <w:left w:val="single" w:color="auto" w:sz="6" w:space="0"/>
              <w:bottom w:val="single" w:color="auto" w:sz="4" w:space="0"/>
              <w:right w:val="single" w:color="auto" w:sz="4" w:space="0"/>
            </w:tcBorders>
          </w:tcPr>
          <w:p w14:paraId="36DE9F8E">
            <w:pPr>
              <w:pageBreakBefore w:val="0"/>
              <w:kinsoku/>
              <w:wordWrap/>
              <w:overflowPunct/>
              <w:topLinePunct w:val="0"/>
              <w:bidi w:val="0"/>
              <w:spacing w:line="360" w:lineRule="auto"/>
              <w:rPr>
                <w:rFonts w:hAnsi="宋体" w:eastAsia="宋体" w:cs="宋体"/>
                <w:color w:val="auto"/>
                <w:sz w:val="24"/>
                <w:highlight w:val="none"/>
                <w:u w:val="single"/>
              </w:rPr>
            </w:pPr>
          </w:p>
        </w:tc>
      </w:tr>
      <w:tr w14:paraId="396A0918">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26C1F050">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服务期</w:t>
            </w:r>
          </w:p>
        </w:tc>
        <w:tc>
          <w:tcPr>
            <w:tcW w:w="8074" w:type="dxa"/>
            <w:gridSpan w:val="3"/>
            <w:tcBorders>
              <w:top w:val="single" w:color="auto" w:sz="4" w:space="0"/>
              <w:left w:val="single" w:color="auto" w:sz="6" w:space="0"/>
              <w:bottom w:val="single" w:color="auto" w:sz="4" w:space="0"/>
              <w:right w:val="single" w:color="auto" w:sz="4" w:space="0"/>
            </w:tcBorders>
          </w:tcPr>
          <w:p w14:paraId="42829F43">
            <w:pPr>
              <w:pageBreakBefore w:val="0"/>
              <w:kinsoku/>
              <w:wordWrap/>
              <w:overflowPunct/>
              <w:topLinePunct w:val="0"/>
              <w:bidi w:val="0"/>
              <w:spacing w:line="360" w:lineRule="auto"/>
              <w:rPr>
                <w:rFonts w:hAnsi="宋体" w:eastAsia="宋体" w:cs="宋体"/>
                <w:color w:val="auto"/>
                <w:sz w:val="24"/>
                <w:highlight w:val="none"/>
                <w:u w:val="single"/>
              </w:rPr>
            </w:pPr>
          </w:p>
        </w:tc>
      </w:tr>
      <w:tr w14:paraId="543841B9">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27ACDBB3">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响应有效期</w:t>
            </w:r>
          </w:p>
        </w:tc>
        <w:tc>
          <w:tcPr>
            <w:tcW w:w="8074" w:type="dxa"/>
            <w:gridSpan w:val="3"/>
            <w:tcBorders>
              <w:top w:val="single" w:color="auto" w:sz="6" w:space="0"/>
              <w:left w:val="single" w:color="auto" w:sz="6" w:space="0"/>
              <w:bottom w:val="single" w:color="auto" w:sz="6" w:space="0"/>
              <w:right w:val="single" w:color="auto" w:sz="4" w:space="0"/>
            </w:tcBorders>
          </w:tcPr>
          <w:p w14:paraId="325DB502">
            <w:pPr>
              <w:pageBreakBefore w:val="0"/>
              <w:kinsoku/>
              <w:wordWrap/>
              <w:overflowPunct/>
              <w:topLinePunct w:val="0"/>
              <w:bidi w:val="0"/>
              <w:spacing w:line="360" w:lineRule="auto"/>
              <w:jc w:val="both"/>
              <w:rPr>
                <w:rFonts w:hAnsi="宋体" w:eastAsia="宋体" w:cs="宋体"/>
                <w:color w:val="auto"/>
                <w:sz w:val="24"/>
                <w:highlight w:val="none"/>
              </w:rPr>
            </w:pPr>
          </w:p>
        </w:tc>
      </w:tr>
      <w:tr w14:paraId="3168589C">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1A2620DE">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备注</w:t>
            </w:r>
          </w:p>
        </w:tc>
        <w:tc>
          <w:tcPr>
            <w:tcW w:w="8074" w:type="dxa"/>
            <w:gridSpan w:val="3"/>
            <w:tcBorders>
              <w:top w:val="single" w:color="auto" w:sz="6" w:space="0"/>
              <w:left w:val="single" w:color="auto" w:sz="6" w:space="0"/>
              <w:bottom w:val="single" w:color="auto" w:sz="6" w:space="0"/>
              <w:right w:val="single" w:color="auto" w:sz="4" w:space="0"/>
            </w:tcBorders>
          </w:tcPr>
          <w:p w14:paraId="37A19FA6">
            <w:pPr>
              <w:pageBreakBefore w:val="0"/>
              <w:kinsoku/>
              <w:wordWrap/>
              <w:overflowPunct/>
              <w:topLinePunct w:val="0"/>
              <w:bidi w:val="0"/>
              <w:spacing w:line="360" w:lineRule="auto"/>
              <w:jc w:val="center"/>
              <w:rPr>
                <w:rFonts w:hAnsi="宋体" w:eastAsia="宋体" w:cs="宋体"/>
                <w:color w:val="auto"/>
                <w:sz w:val="24"/>
                <w:highlight w:val="none"/>
              </w:rPr>
            </w:pPr>
          </w:p>
        </w:tc>
      </w:tr>
    </w:tbl>
    <w:p w14:paraId="266EF909">
      <w:pPr>
        <w:pStyle w:val="46"/>
        <w:pageBreakBefore w:val="0"/>
        <w:kinsoku/>
        <w:wordWrap/>
        <w:overflowPunct/>
        <w:topLinePunct w:val="0"/>
        <w:bidi w:val="0"/>
        <w:adjustRightInd w:val="0"/>
        <w:snapToGrid w:val="0"/>
        <w:spacing w:line="360" w:lineRule="auto"/>
        <w:ind w:left="853" w:hanging="853" w:hangingChars="354"/>
        <w:rPr>
          <w:rFonts w:hAnsi="宋体" w:asciiTheme="minorHAnsi"/>
          <w:b/>
          <w:color w:val="auto"/>
          <w:sz w:val="24"/>
          <w:szCs w:val="24"/>
          <w:highlight w:val="none"/>
        </w:rPr>
      </w:pPr>
      <w:r>
        <w:rPr>
          <w:rFonts w:hint="eastAsia" w:hAnsi="宋体" w:asciiTheme="minorHAnsi"/>
          <w:b/>
          <w:color w:val="auto"/>
          <w:sz w:val="24"/>
          <w:szCs w:val="24"/>
          <w:highlight w:val="none"/>
        </w:rPr>
        <w:t>填报要求：</w:t>
      </w:r>
    </w:p>
    <w:p w14:paraId="1B563D4D">
      <w:pPr>
        <w:pStyle w:val="46"/>
        <w:pageBreakBefore w:val="0"/>
        <w:numPr>
          <w:ilvl w:val="0"/>
          <w:numId w:val="5"/>
        </w:numPr>
        <w:kinsoku/>
        <w:wordWrap/>
        <w:overflowPunct/>
        <w:topLinePunct w:val="0"/>
        <w:bidi w:val="0"/>
        <w:adjustRightInd w:val="0"/>
        <w:snapToGrid w:val="0"/>
        <w:spacing w:line="360" w:lineRule="auto"/>
        <w:rPr>
          <w:rFonts w:hAnsi="宋体" w:asciiTheme="minorHAnsi"/>
          <w:b/>
          <w:color w:val="auto"/>
          <w:sz w:val="24"/>
          <w:szCs w:val="24"/>
          <w:highlight w:val="none"/>
        </w:rPr>
      </w:pPr>
      <w:r>
        <w:rPr>
          <w:rFonts w:hint="eastAsia" w:hAnsi="宋体" w:asciiTheme="minorHAnsi"/>
          <w:b/>
          <w:color w:val="auto"/>
          <w:sz w:val="24"/>
          <w:szCs w:val="24"/>
          <w:highlight w:val="none"/>
        </w:rPr>
        <w:t>投标总报价包含所有税费。</w:t>
      </w:r>
    </w:p>
    <w:p w14:paraId="34B4EAA3">
      <w:pPr>
        <w:pStyle w:val="39"/>
        <w:pageBreakBefore w:val="0"/>
        <w:kinsoku/>
        <w:wordWrap/>
        <w:overflowPunct/>
        <w:topLinePunct w:val="0"/>
        <w:bidi w:val="0"/>
        <w:adjustRightInd w:val="0"/>
        <w:snapToGrid w:val="0"/>
        <w:spacing w:line="360" w:lineRule="auto"/>
        <w:ind w:right="84" w:rightChars="40" w:firstLine="482" w:firstLineChars="200"/>
        <w:rPr>
          <w:rFonts w:hAnsi="宋体" w:asciiTheme="minorHAnsi"/>
          <w:b/>
          <w:color w:val="auto"/>
          <w:sz w:val="24"/>
          <w:szCs w:val="24"/>
          <w:highlight w:val="none"/>
        </w:rPr>
      </w:pPr>
    </w:p>
    <w:p w14:paraId="7D4DA124">
      <w:pPr>
        <w:pStyle w:val="39"/>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37670762">
      <w:pPr>
        <w:pStyle w:val="39"/>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211274C1">
      <w:pPr>
        <w:pStyle w:val="39"/>
        <w:pageBreakBefore w:val="0"/>
        <w:kinsoku/>
        <w:wordWrap/>
        <w:overflowPunct/>
        <w:topLinePunct w:val="0"/>
        <w:bidi w:val="0"/>
        <w:adjustRightInd w:val="0"/>
        <w:snapToGrid w:val="0"/>
        <w:spacing w:line="360" w:lineRule="auto"/>
        <w:ind w:right="84" w:rightChars="40" w:firstLine="3840" w:firstLineChars="16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4156559E">
      <w:pPr>
        <w:pageBreakBefore w:val="0"/>
        <w:kinsoku/>
        <w:wordWrap/>
        <w:overflowPunct/>
        <w:topLinePunct w:val="0"/>
        <w:bidi w:val="0"/>
        <w:adjustRightInd w:val="0"/>
        <w:snapToGrid w:val="0"/>
        <w:spacing w:line="360" w:lineRule="auto"/>
        <w:ind w:firstLine="3840" w:firstLineChars="16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47A22E3F">
      <w:pPr>
        <w:pageBreakBefore w:val="0"/>
        <w:kinsoku/>
        <w:wordWrap/>
        <w:overflowPunct/>
        <w:topLinePunct w:val="0"/>
        <w:bidi w:val="0"/>
        <w:adjustRightInd w:val="0"/>
        <w:snapToGrid w:val="0"/>
        <w:spacing w:line="360" w:lineRule="auto"/>
        <w:ind w:firstLine="3840" w:firstLineChars="1600"/>
        <w:rPr>
          <w:color w:val="auto"/>
          <w:sz w:val="24"/>
          <w:highlight w:val="none"/>
        </w:rPr>
      </w:pPr>
      <w:r>
        <w:rPr>
          <w:rFonts w:hint="eastAsia" w:hAnsi="宋体"/>
          <w:color w:val="auto"/>
          <w:sz w:val="24"/>
          <w:highlight w:val="none"/>
        </w:rPr>
        <w:t>日期：</w:t>
      </w:r>
      <w:r>
        <w:rPr>
          <w:rFonts w:hint="eastAsia" w:hAnsi="宋体" w:cs="Arial"/>
          <w:color w:val="auto"/>
          <w:sz w:val="24"/>
          <w:highlight w:val="none"/>
          <w:u w:val="single"/>
        </w:rPr>
        <w:t xml:space="preserve">    </w:t>
      </w:r>
      <w:r>
        <w:rPr>
          <w:rFonts w:hint="eastAsia" w:hAnsi="宋体" w:cs="Arial"/>
          <w:color w:val="auto"/>
          <w:sz w:val="24"/>
          <w:highlight w:val="none"/>
        </w:rPr>
        <w:t>年</w:t>
      </w:r>
      <w:r>
        <w:rPr>
          <w:rFonts w:hint="eastAsia" w:hAnsi="宋体" w:cs="Arial"/>
          <w:color w:val="auto"/>
          <w:sz w:val="24"/>
          <w:highlight w:val="none"/>
          <w:u w:val="single"/>
        </w:rPr>
        <w:t xml:space="preserve">    </w:t>
      </w:r>
      <w:r>
        <w:rPr>
          <w:rFonts w:hint="eastAsia" w:hAnsi="宋体" w:cs="Arial"/>
          <w:color w:val="auto"/>
          <w:sz w:val="24"/>
          <w:highlight w:val="none"/>
        </w:rPr>
        <w:t>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4D15EBA9">
      <w:pPr>
        <w:pageBreakBefore w:val="0"/>
        <w:shd w:val="clear" w:color="auto" w:fill="FFFFFF" w:themeFill="background1"/>
        <w:kinsoku/>
        <w:wordWrap/>
        <w:overflowPunct/>
        <w:topLinePunct w:val="0"/>
        <w:bidi w:val="0"/>
        <w:adjustRightInd w:val="0"/>
        <w:snapToGrid w:val="0"/>
        <w:spacing w:line="360" w:lineRule="auto"/>
        <w:rPr>
          <w:color w:val="auto"/>
          <w:sz w:val="24"/>
          <w:highlight w:val="none"/>
        </w:rPr>
      </w:pPr>
    </w:p>
    <w:p w14:paraId="6774C0F2">
      <w:pPr>
        <w:pStyle w:val="45"/>
        <w:pageBreakBefore w:val="0"/>
        <w:kinsoku/>
        <w:wordWrap/>
        <w:overflowPunct/>
        <w:topLinePunct w:val="0"/>
        <w:bidi w:val="0"/>
        <w:adjustRightInd w:val="0"/>
        <w:snapToGrid w:val="0"/>
        <w:spacing w:line="360" w:lineRule="auto"/>
        <w:ind w:firstLine="3614" w:firstLineChars="1500"/>
        <w:rPr>
          <w:rFonts w:hAnsi="宋体" w:asciiTheme="minorHAnsi"/>
          <w:b/>
          <w:color w:val="auto"/>
          <w:sz w:val="24"/>
          <w:szCs w:val="24"/>
          <w:highlight w:val="none"/>
        </w:rPr>
      </w:pPr>
    </w:p>
    <w:p w14:paraId="33A6856D">
      <w:pPr>
        <w:rPr>
          <w:rStyle w:val="62"/>
          <w:rFonts w:hint="eastAsia" w:asciiTheme="minorHAnsi"/>
          <w:b w:val="0"/>
          <w:color w:val="auto"/>
          <w:sz w:val="24"/>
          <w:szCs w:val="24"/>
          <w:highlight w:val="none"/>
        </w:rPr>
      </w:pPr>
      <w:bookmarkStart w:id="371" w:name="_Toc89950776"/>
      <w:bookmarkStart w:id="372" w:name="_Toc2108"/>
      <w:r>
        <w:rPr>
          <w:rStyle w:val="62"/>
          <w:rFonts w:hint="eastAsia" w:asciiTheme="minorHAnsi"/>
          <w:b w:val="0"/>
          <w:color w:val="auto"/>
          <w:sz w:val="24"/>
          <w:szCs w:val="24"/>
          <w:highlight w:val="none"/>
        </w:rPr>
        <w:br w:type="page"/>
      </w:r>
    </w:p>
    <w:p w14:paraId="7E5DC98B">
      <w:pPr>
        <w:pStyle w:val="21"/>
        <w:pageBreakBefore w:val="0"/>
        <w:kinsoku/>
        <w:wordWrap/>
        <w:overflowPunct/>
        <w:topLinePunct w:val="0"/>
        <w:bidi w:val="0"/>
        <w:spacing w:line="360" w:lineRule="auto"/>
        <w:rPr>
          <w:color w:val="auto"/>
          <w:sz w:val="24"/>
          <w:szCs w:val="24"/>
          <w:highlight w:val="none"/>
        </w:rPr>
      </w:pPr>
      <w:bookmarkStart w:id="373" w:name="_Toc18221"/>
      <w:r>
        <w:rPr>
          <w:rStyle w:val="62"/>
          <w:rFonts w:hint="eastAsia" w:asciiTheme="minorHAnsi"/>
          <w:b w:val="0"/>
          <w:color w:val="auto"/>
          <w:sz w:val="24"/>
          <w:szCs w:val="24"/>
          <w:highlight w:val="none"/>
        </w:rPr>
        <w:t>十</w:t>
      </w:r>
      <w:r>
        <w:rPr>
          <w:rStyle w:val="62"/>
          <w:rFonts w:hint="eastAsia"/>
          <w:b w:val="0"/>
          <w:color w:val="auto"/>
          <w:sz w:val="24"/>
          <w:szCs w:val="24"/>
          <w:highlight w:val="none"/>
          <w:lang w:val="en-US" w:eastAsia="zh-CN"/>
        </w:rPr>
        <w:t>一</w:t>
      </w:r>
      <w:r>
        <w:rPr>
          <w:rStyle w:val="62"/>
          <w:rFonts w:hint="eastAsia" w:asciiTheme="minorHAnsi"/>
          <w:b w:val="0"/>
          <w:color w:val="auto"/>
          <w:sz w:val="24"/>
          <w:szCs w:val="24"/>
          <w:highlight w:val="none"/>
        </w:rPr>
        <w:t>、业绩资料</w:t>
      </w:r>
      <w:bookmarkEnd w:id="371"/>
      <w:bookmarkEnd w:id="372"/>
      <w:bookmarkEnd w:id="373"/>
    </w:p>
    <w:p w14:paraId="563AE5BF">
      <w:pPr>
        <w:pageBreakBefore w:val="0"/>
        <w:kinsoku/>
        <w:wordWrap/>
        <w:overflowPunct/>
        <w:topLinePunct w:val="0"/>
        <w:bidi w:val="0"/>
        <w:spacing w:line="360" w:lineRule="auto"/>
        <w:ind w:firstLine="3373" w:firstLineChars="1400"/>
        <w:rPr>
          <w:rFonts w:hint="eastAsia" w:hAnsi="宋体" w:eastAsia="宋体" w:cs="宋体"/>
          <w:b/>
          <w:bCs/>
          <w:color w:val="auto"/>
          <w:sz w:val="24"/>
          <w:highlight w:val="none"/>
        </w:rPr>
      </w:pPr>
      <w:r>
        <w:rPr>
          <w:rFonts w:hint="eastAsia" w:hAnsi="宋体" w:eastAsia="宋体" w:cs="宋体"/>
          <w:b/>
          <w:bCs/>
          <w:color w:val="auto"/>
          <w:sz w:val="24"/>
          <w:highlight w:val="none"/>
        </w:rPr>
        <w:t xml:space="preserve">类似业绩汇总表   </w:t>
      </w:r>
    </w:p>
    <w:p w14:paraId="53C9E60E">
      <w:pPr>
        <w:pageBreakBefore w:val="0"/>
        <w:kinsoku/>
        <w:wordWrap/>
        <w:overflowPunct/>
        <w:topLinePunct w:val="0"/>
        <w:bidi w:val="0"/>
        <w:spacing w:line="360" w:lineRule="auto"/>
        <w:ind w:firstLine="2650" w:firstLineChars="1100"/>
        <w:rPr>
          <w:rFonts w:hAnsi="宋体" w:eastAsia="宋体" w:cs="宋体"/>
          <w:b/>
          <w:bCs/>
          <w:color w:val="auto"/>
          <w:sz w:val="24"/>
          <w:highlight w:val="none"/>
        </w:rPr>
      </w:pPr>
      <w:r>
        <w:rPr>
          <w:rFonts w:hint="eastAsia" w:hAnsi="宋体" w:eastAsia="宋体" w:cs="宋体"/>
          <w:b/>
          <w:bCs/>
          <w:color w:val="auto"/>
          <w:sz w:val="24"/>
          <w:highlight w:val="none"/>
        </w:rPr>
        <w:t xml:space="preserve">              </w:t>
      </w:r>
    </w:p>
    <w:p w14:paraId="131A0CD7">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Y="364"/>
        <w:tblW w:w="95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708"/>
        <w:gridCol w:w="1275"/>
        <w:gridCol w:w="1275"/>
        <w:gridCol w:w="1841"/>
        <w:gridCol w:w="1418"/>
        <w:gridCol w:w="1274"/>
      </w:tblGrid>
      <w:tr w14:paraId="6EAE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11" w:type="dxa"/>
          </w:tcPr>
          <w:p w14:paraId="564356D7">
            <w:pPr>
              <w:pStyle w:val="49"/>
              <w:pageBreakBefore w:val="0"/>
              <w:kinsoku/>
              <w:wordWrap/>
              <w:overflowPunct/>
              <w:topLinePunct w:val="0"/>
              <w:bidi w:val="0"/>
              <w:adjustRightInd w:val="0"/>
              <w:snapToGrid w:val="0"/>
              <w:spacing w:before="2" w:line="360" w:lineRule="auto"/>
              <w:rPr>
                <w:rFonts w:eastAsia="宋体" w:asciiTheme="minorHAnsi"/>
                <w:b/>
                <w:color w:val="auto"/>
                <w:w w:val="99"/>
                <w:sz w:val="24"/>
                <w:highlight w:val="none"/>
              </w:rPr>
            </w:pPr>
          </w:p>
          <w:p w14:paraId="0B6A802C">
            <w:pPr>
              <w:pStyle w:val="49"/>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9"/>
                <w:sz w:val="24"/>
                <w:highlight w:val="none"/>
              </w:rPr>
              <w:t>序号</w:t>
            </w:r>
          </w:p>
        </w:tc>
        <w:tc>
          <w:tcPr>
            <w:tcW w:w="1708" w:type="dxa"/>
          </w:tcPr>
          <w:p w14:paraId="05F428F4">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p>
          <w:p w14:paraId="6E1B2506">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hint="eastAsia" w:eastAsia="宋体" w:asciiTheme="minorHAnsi"/>
                <w:b/>
                <w:color w:val="auto"/>
                <w:sz w:val="24"/>
                <w:highlight w:val="none"/>
              </w:rPr>
              <w:t>项目名称</w:t>
            </w:r>
          </w:p>
        </w:tc>
        <w:tc>
          <w:tcPr>
            <w:tcW w:w="1275" w:type="dxa"/>
          </w:tcPr>
          <w:p w14:paraId="42CCAE1F">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2510C7D1">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eastAsia="宋体" w:asciiTheme="minorHAnsi"/>
                <w:b/>
                <w:color w:val="auto"/>
                <w:sz w:val="24"/>
                <w:highlight w:val="none"/>
              </w:rPr>
              <w:t>采购单位</w:t>
            </w:r>
          </w:p>
        </w:tc>
        <w:tc>
          <w:tcPr>
            <w:tcW w:w="1275" w:type="dxa"/>
          </w:tcPr>
          <w:p w14:paraId="318E46F7">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5B22BA1B">
            <w:pPr>
              <w:pStyle w:val="49"/>
              <w:pageBreakBefore w:val="0"/>
              <w:kinsoku/>
              <w:wordWrap/>
              <w:overflowPunct/>
              <w:topLinePunct w:val="0"/>
              <w:bidi w:val="0"/>
              <w:adjustRightInd w:val="0"/>
              <w:snapToGrid w:val="0"/>
              <w:spacing w:before="1" w:line="360" w:lineRule="auto"/>
              <w:ind w:left="170"/>
              <w:rPr>
                <w:rFonts w:eastAsia="宋体" w:asciiTheme="minorHAnsi"/>
                <w:b/>
                <w:color w:val="auto"/>
                <w:sz w:val="24"/>
                <w:highlight w:val="none"/>
              </w:rPr>
            </w:pPr>
            <w:r>
              <w:rPr>
                <w:rFonts w:hint="eastAsia" w:eastAsia="宋体" w:asciiTheme="minorHAnsi"/>
                <w:b/>
                <w:color w:val="auto"/>
                <w:sz w:val="24"/>
                <w:highlight w:val="none"/>
              </w:rPr>
              <w:t>合同金额</w:t>
            </w:r>
          </w:p>
        </w:tc>
        <w:tc>
          <w:tcPr>
            <w:tcW w:w="1841" w:type="dxa"/>
          </w:tcPr>
          <w:p w14:paraId="1E6931E4">
            <w:pPr>
              <w:pStyle w:val="49"/>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p>
          <w:p w14:paraId="72FF7BC4">
            <w:pPr>
              <w:pStyle w:val="49"/>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r>
              <w:rPr>
                <w:rFonts w:hint="eastAsia" w:eastAsia="宋体" w:asciiTheme="minorHAnsi"/>
                <w:b/>
                <w:color w:val="auto"/>
                <w:sz w:val="24"/>
                <w:highlight w:val="none"/>
              </w:rPr>
              <w:t>合同签订时间</w:t>
            </w:r>
          </w:p>
        </w:tc>
        <w:tc>
          <w:tcPr>
            <w:tcW w:w="1418" w:type="dxa"/>
          </w:tcPr>
          <w:p w14:paraId="1A348BC4">
            <w:pPr>
              <w:pStyle w:val="49"/>
              <w:pageBreakBefore w:val="0"/>
              <w:kinsoku/>
              <w:wordWrap/>
              <w:overflowPunct/>
              <w:topLinePunct w:val="0"/>
              <w:bidi w:val="0"/>
              <w:adjustRightInd w:val="0"/>
              <w:snapToGrid w:val="0"/>
              <w:spacing w:before="2" w:line="360" w:lineRule="auto"/>
              <w:rPr>
                <w:rFonts w:eastAsia="宋体" w:asciiTheme="minorHAnsi"/>
                <w:b/>
                <w:color w:val="auto"/>
                <w:w w:val="95"/>
                <w:sz w:val="24"/>
                <w:highlight w:val="none"/>
              </w:rPr>
            </w:pPr>
          </w:p>
          <w:p w14:paraId="2C2CF6ED">
            <w:pPr>
              <w:pStyle w:val="49"/>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5"/>
                <w:sz w:val="24"/>
                <w:highlight w:val="none"/>
              </w:rPr>
              <w:t>完工时间</w:t>
            </w:r>
          </w:p>
        </w:tc>
        <w:tc>
          <w:tcPr>
            <w:tcW w:w="1274" w:type="dxa"/>
          </w:tcPr>
          <w:p w14:paraId="20E0281C">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0EBF59DF">
            <w:pPr>
              <w:pStyle w:val="49"/>
              <w:pageBreakBefore w:val="0"/>
              <w:kinsoku/>
              <w:wordWrap/>
              <w:overflowPunct/>
              <w:topLinePunct w:val="0"/>
              <w:bidi w:val="0"/>
              <w:adjustRightInd w:val="0"/>
              <w:snapToGrid w:val="0"/>
              <w:spacing w:before="1" w:line="360" w:lineRule="auto"/>
              <w:ind w:firstLine="241" w:firstLineChars="100"/>
              <w:rPr>
                <w:rFonts w:eastAsia="宋体" w:asciiTheme="minorHAnsi"/>
                <w:b/>
                <w:color w:val="auto"/>
                <w:sz w:val="24"/>
                <w:highlight w:val="none"/>
              </w:rPr>
            </w:pPr>
            <w:r>
              <w:rPr>
                <w:rFonts w:hint="eastAsia" w:eastAsia="宋体" w:asciiTheme="minorHAnsi"/>
                <w:b/>
                <w:color w:val="auto"/>
                <w:sz w:val="24"/>
                <w:highlight w:val="none"/>
              </w:rPr>
              <w:t xml:space="preserve">备注  </w:t>
            </w:r>
          </w:p>
        </w:tc>
      </w:tr>
      <w:tr w14:paraId="4F1B0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3B30348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9E5E56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F5D890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14FB06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3E2F11A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348C37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848DDC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920E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11" w:type="dxa"/>
          </w:tcPr>
          <w:p w14:paraId="4F3F0B0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77E32B8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6516CA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8CA3DC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2BDB335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7EC4312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4FC04BE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2E2E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646EE59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52CFED6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D945C5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A83D8B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5D8A6F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13CB6F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1676B46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15A9D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5FDD339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6B8AC4A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DEBE32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C4FED5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75AAA2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26FE36E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F9276B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A3BD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EB97F0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36DE662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BE8931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3F2779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0B0EE21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423DCA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527604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C343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8E984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63F73C2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96ECC2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A046FE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0874A2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222366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21B1AFF8">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8F9C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7A3270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2B08C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999F88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3801BF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2D633DD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6CDE163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2B5BEBA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B22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29E566F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56D3A27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38475E9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E10407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E9065E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4796938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745EF5E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721B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0B20858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730428F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r>
              <w:rPr>
                <w:rFonts w:eastAsia="宋体" w:asciiTheme="minorHAnsi"/>
                <w:color w:val="auto"/>
                <w:sz w:val="24"/>
                <w:highlight w:val="none"/>
              </w:rPr>
              <w:t>合计</w:t>
            </w:r>
          </w:p>
        </w:tc>
        <w:tc>
          <w:tcPr>
            <w:tcW w:w="1275" w:type="dxa"/>
          </w:tcPr>
          <w:p w14:paraId="58F3AAE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05A733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44E8C3F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054328C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6E9F202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216F39E7">
      <w:pPr>
        <w:pStyle w:val="8"/>
        <w:pageBreakBefore w:val="0"/>
        <w:kinsoku/>
        <w:wordWrap/>
        <w:overflowPunct/>
        <w:topLinePunct w:val="0"/>
        <w:bidi w:val="0"/>
        <w:adjustRightInd w:val="0"/>
        <w:snapToGrid w:val="0"/>
        <w:spacing w:line="360" w:lineRule="auto"/>
        <w:ind w:left="442" w:right="1022" w:hanging="442" w:hangingChars="200"/>
        <w:rPr>
          <w:rFonts w:hAnsi="宋体" w:eastAsia="宋体" w:cs="宋体"/>
          <w:b/>
          <w:color w:val="auto"/>
          <w:spacing w:val="-10"/>
          <w:sz w:val="24"/>
          <w:highlight w:val="none"/>
        </w:rPr>
      </w:pPr>
      <w:r>
        <w:rPr>
          <w:rFonts w:hint="eastAsia" w:hAnsi="宋体" w:eastAsia="宋体" w:cs="宋体"/>
          <w:b/>
          <w:color w:val="auto"/>
          <w:spacing w:val="-10"/>
          <w:sz w:val="24"/>
          <w:highlight w:val="none"/>
        </w:rPr>
        <w:t>附：业绩合同复印件（若合同页数较多，可只编制主要页。）</w:t>
      </w:r>
    </w:p>
    <w:p w14:paraId="139A5DCA">
      <w:pPr>
        <w:pStyle w:val="8"/>
        <w:pageBreakBefore w:val="0"/>
        <w:kinsoku/>
        <w:wordWrap/>
        <w:overflowPunct/>
        <w:topLinePunct w:val="0"/>
        <w:bidi w:val="0"/>
        <w:adjustRightInd w:val="0"/>
        <w:snapToGrid w:val="0"/>
        <w:spacing w:line="360" w:lineRule="auto"/>
        <w:ind w:left="663" w:right="1022" w:hanging="663" w:hangingChars="300"/>
        <w:rPr>
          <w:rFonts w:hAnsi="宋体" w:eastAsia="宋体" w:cs="宋体"/>
          <w:b/>
          <w:color w:val="auto"/>
          <w:sz w:val="24"/>
          <w:highlight w:val="none"/>
        </w:rPr>
      </w:pPr>
      <w:r>
        <w:rPr>
          <w:rFonts w:hint="eastAsia" w:hAnsi="宋体" w:eastAsia="宋体" w:cs="宋体"/>
          <w:b/>
          <w:color w:val="auto"/>
          <w:spacing w:val="-10"/>
          <w:sz w:val="24"/>
          <w:highlight w:val="none"/>
        </w:rPr>
        <w:t>注：投标人须将合同或中标通知书复印件或成交通知书</w:t>
      </w:r>
      <w:r>
        <w:rPr>
          <w:rFonts w:hint="eastAsia" w:hAnsi="宋体" w:eastAsia="宋体" w:cs="宋体"/>
          <w:b/>
          <w:color w:val="auto"/>
          <w:sz w:val="24"/>
          <w:highlight w:val="none"/>
        </w:rPr>
        <w:t>（</w:t>
      </w:r>
      <w:r>
        <w:rPr>
          <w:rFonts w:hint="eastAsia" w:hAnsi="宋体" w:eastAsia="宋体" w:cs="宋体"/>
          <w:b/>
          <w:color w:val="auto"/>
          <w:spacing w:val="-4"/>
          <w:sz w:val="24"/>
          <w:highlight w:val="none"/>
        </w:rPr>
        <w:t>加盖单位公</w:t>
      </w:r>
      <w:r>
        <w:rPr>
          <w:rFonts w:hint="eastAsia" w:hAnsi="宋体" w:eastAsia="宋体" w:cs="宋体"/>
          <w:b/>
          <w:color w:val="auto"/>
          <w:sz w:val="24"/>
          <w:highlight w:val="none"/>
        </w:rPr>
        <w:t>章）附后。</w:t>
      </w:r>
    </w:p>
    <w:p w14:paraId="1C9D64F7">
      <w:pPr>
        <w:pStyle w:val="39"/>
        <w:pageBreakBefore w:val="0"/>
        <w:kinsoku/>
        <w:wordWrap/>
        <w:overflowPunct/>
        <w:topLinePunct w:val="0"/>
        <w:bidi w:val="0"/>
        <w:adjustRightInd w:val="0"/>
        <w:snapToGrid w:val="0"/>
        <w:spacing w:line="360" w:lineRule="auto"/>
        <w:ind w:right="84" w:rightChars="40" w:firstLine="3360" w:firstLineChars="1400"/>
        <w:rPr>
          <w:rFonts w:asciiTheme="minorHAnsi" w:hAnsiTheme="minorEastAsia" w:eastAsiaTheme="minorEastAsia"/>
          <w:color w:val="auto"/>
          <w:sz w:val="24"/>
          <w:szCs w:val="24"/>
          <w:highlight w:val="none"/>
        </w:rPr>
      </w:pPr>
    </w:p>
    <w:p w14:paraId="51A6E227">
      <w:pPr>
        <w:pageBreakBefore w:val="0"/>
        <w:kinsoku/>
        <w:wordWrap/>
        <w:overflowPunct/>
        <w:topLinePunct w:val="0"/>
        <w:bidi w:val="0"/>
        <w:spacing w:line="360" w:lineRule="auto"/>
        <w:ind w:firstLine="1928" w:firstLineChars="800"/>
        <w:rPr>
          <w:b/>
          <w:bCs/>
          <w:color w:val="auto"/>
          <w:sz w:val="24"/>
          <w:highlight w:val="none"/>
        </w:rPr>
      </w:pPr>
    </w:p>
    <w:p w14:paraId="62C6BD42">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3B2FA648">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47A65AD8">
      <w:pPr>
        <w:pStyle w:val="39"/>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7D50C14F">
      <w:pPr>
        <w:pStyle w:val="8"/>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3C09BF38">
      <w:pPr>
        <w:pStyle w:val="8"/>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4E454441">
      <w:pPr>
        <w:pageBreakBefore w:val="0"/>
        <w:kinsoku/>
        <w:wordWrap/>
        <w:overflowPunct/>
        <w:topLinePunct w:val="0"/>
        <w:bidi w:val="0"/>
        <w:spacing w:line="360" w:lineRule="auto"/>
        <w:ind w:firstLine="2891" w:firstLineChars="1200"/>
        <w:rPr>
          <w:b/>
          <w:bCs/>
          <w:color w:val="auto"/>
          <w:sz w:val="24"/>
          <w:highlight w:val="none"/>
        </w:rPr>
      </w:pPr>
    </w:p>
    <w:p w14:paraId="2BFEC220">
      <w:pPr>
        <w:pStyle w:val="20"/>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0CAE23A4">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74" w:name="_Toc14421"/>
      <w:bookmarkStart w:id="375" w:name="_Toc11411"/>
      <w:bookmarkStart w:id="376" w:name="_Toc89950777"/>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二</w:t>
      </w:r>
      <w:r>
        <w:rPr>
          <w:rFonts w:hint="eastAsia" w:asciiTheme="minorHAnsi"/>
          <w:b w:val="0"/>
          <w:color w:val="auto"/>
          <w:sz w:val="24"/>
          <w:szCs w:val="24"/>
          <w:highlight w:val="none"/>
        </w:rPr>
        <w:t>、商务响应/偏离表</w:t>
      </w:r>
      <w:bookmarkEnd w:id="374"/>
      <w:bookmarkEnd w:id="375"/>
      <w:bookmarkEnd w:id="376"/>
    </w:p>
    <w:p w14:paraId="215DCE33">
      <w:pPr>
        <w:pageBreakBefore w:val="0"/>
        <w:kinsoku/>
        <w:wordWrap/>
        <w:overflowPunct/>
        <w:topLinePunct w:val="0"/>
        <w:bidi w:val="0"/>
        <w:spacing w:line="360" w:lineRule="auto"/>
        <w:ind w:firstLine="2891" w:firstLineChars="1200"/>
        <w:rPr>
          <w:b/>
          <w:bCs/>
          <w:color w:val="auto"/>
          <w:sz w:val="24"/>
          <w:highlight w:val="none"/>
        </w:rPr>
      </w:pPr>
      <w:r>
        <w:rPr>
          <w:rFonts w:hint="eastAsia"/>
          <w:b/>
          <w:bCs/>
          <w:color w:val="auto"/>
          <w:sz w:val="24"/>
          <w:highlight w:val="none"/>
        </w:rPr>
        <w:t xml:space="preserve">商务响应/偏离表                 </w:t>
      </w:r>
    </w:p>
    <w:p w14:paraId="2C37358D">
      <w:pPr>
        <w:pStyle w:val="5"/>
        <w:pageBreakBefore w:val="0"/>
        <w:kinsoku/>
        <w:wordWrap/>
        <w:overflowPunct/>
        <w:topLinePunct w:val="0"/>
        <w:bidi w:val="0"/>
        <w:spacing w:line="360" w:lineRule="auto"/>
        <w:ind w:firstLine="0"/>
        <w:rPr>
          <w:color w:val="auto"/>
          <w:sz w:val="24"/>
          <w:highlight w:val="none"/>
        </w:rPr>
      </w:pPr>
      <w:r>
        <w:rPr>
          <w:rFonts w:hint="eastAsia"/>
          <w:color w:val="auto"/>
          <w:sz w:val="24"/>
          <w:highlight w:val="none"/>
        </w:rPr>
        <w:t>项目名称：</w:t>
      </w:r>
      <w:r>
        <w:rPr>
          <w:rFonts w:hint="eastAsia"/>
          <w:color w:val="auto"/>
          <w:sz w:val="24"/>
          <w:highlight w:val="none"/>
          <w:u w:val="single"/>
        </w:rPr>
        <w:t xml:space="preserve">                        </w:t>
      </w:r>
      <w:r>
        <w:rPr>
          <w:rFonts w:hint="eastAsia"/>
          <w:color w:val="auto"/>
          <w:sz w:val="24"/>
          <w:highlight w:val="none"/>
        </w:rPr>
        <w:t xml:space="preserve"> 项目编号：</w:t>
      </w:r>
      <w:r>
        <w:rPr>
          <w:rFonts w:hint="eastAsia"/>
          <w:color w:val="auto"/>
          <w:sz w:val="24"/>
          <w:highlight w:val="none"/>
          <w:u w:val="single"/>
        </w:rPr>
        <w:t xml:space="preserve">                         </w:t>
      </w:r>
      <w:r>
        <w:rPr>
          <w:rFonts w:hint="eastAsia"/>
          <w:color w:val="auto"/>
          <w:sz w:val="24"/>
          <w:highlight w:val="none"/>
        </w:rPr>
        <w:t xml:space="preserve">  </w:t>
      </w:r>
    </w:p>
    <w:tbl>
      <w:tblPr>
        <w:tblStyle w:val="26"/>
        <w:tblW w:w="81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2322"/>
        <w:gridCol w:w="2210"/>
        <w:gridCol w:w="1289"/>
        <w:gridCol w:w="841"/>
      </w:tblGrid>
      <w:tr w14:paraId="40053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1447" w:type="dxa"/>
          </w:tcPr>
          <w:p w14:paraId="3FD2C701">
            <w:pPr>
              <w:pStyle w:val="49"/>
              <w:pageBreakBefore w:val="0"/>
              <w:kinsoku/>
              <w:wordWrap/>
              <w:overflowPunct/>
              <w:topLinePunct w:val="0"/>
              <w:bidi w:val="0"/>
              <w:adjustRightInd w:val="0"/>
              <w:snapToGrid w:val="0"/>
              <w:spacing w:before="208" w:line="360" w:lineRule="auto"/>
              <w:ind w:left="197" w:right="189"/>
              <w:jc w:val="center"/>
              <w:rPr>
                <w:rFonts w:eastAsia="宋体" w:asciiTheme="minorHAnsi"/>
                <w:b/>
                <w:color w:val="auto"/>
                <w:sz w:val="24"/>
                <w:highlight w:val="none"/>
              </w:rPr>
            </w:pPr>
            <w:r>
              <w:rPr>
                <w:rFonts w:hint="eastAsia" w:eastAsia="宋体" w:asciiTheme="minorHAnsi"/>
                <w:b/>
                <w:color w:val="auto"/>
                <w:sz w:val="24"/>
                <w:highlight w:val="none"/>
              </w:rPr>
              <w:t>序号</w:t>
            </w:r>
          </w:p>
        </w:tc>
        <w:tc>
          <w:tcPr>
            <w:tcW w:w="2322" w:type="dxa"/>
          </w:tcPr>
          <w:p w14:paraId="3B3E276F">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rPr>
              <w:t>磋商</w:t>
            </w:r>
            <w:r>
              <w:rPr>
                <w:rFonts w:hint="eastAsia" w:eastAsia="宋体" w:asciiTheme="minorHAnsi"/>
                <w:b/>
                <w:color w:val="auto"/>
                <w:sz w:val="24"/>
                <w:highlight w:val="none"/>
              </w:rPr>
              <w:t>文件的商务条款</w:t>
            </w:r>
          </w:p>
        </w:tc>
        <w:tc>
          <w:tcPr>
            <w:tcW w:w="2210" w:type="dxa"/>
          </w:tcPr>
          <w:p w14:paraId="3FF82F4C">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rPr>
              <w:t>响应</w:t>
            </w:r>
            <w:r>
              <w:rPr>
                <w:rFonts w:hint="eastAsia" w:eastAsia="宋体" w:asciiTheme="minorHAnsi"/>
                <w:b/>
                <w:color w:val="auto"/>
                <w:sz w:val="24"/>
                <w:highlight w:val="none"/>
              </w:rPr>
              <w:t>文件的商务条款</w:t>
            </w:r>
          </w:p>
        </w:tc>
        <w:tc>
          <w:tcPr>
            <w:tcW w:w="1289" w:type="dxa"/>
          </w:tcPr>
          <w:p w14:paraId="24CD2872">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rPr>
              <w:t>响应/偏离</w:t>
            </w:r>
          </w:p>
        </w:tc>
        <w:tc>
          <w:tcPr>
            <w:tcW w:w="841" w:type="dxa"/>
          </w:tcPr>
          <w:p w14:paraId="31744B3C">
            <w:pPr>
              <w:pStyle w:val="49"/>
              <w:pageBreakBefore w:val="0"/>
              <w:kinsoku/>
              <w:wordWrap/>
              <w:overflowPunct/>
              <w:topLinePunct w:val="0"/>
              <w:bidi w:val="0"/>
              <w:adjustRightInd w:val="0"/>
              <w:snapToGrid w:val="0"/>
              <w:spacing w:before="208" w:line="360" w:lineRule="auto"/>
              <w:ind w:right="526"/>
              <w:jc w:val="center"/>
              <w:rPr>
                <w:rFonts w:eastAsia="宋体" w:asciiTheme="minorHAnsi"/>
                <w:b/>
                <w:color w:val="auto"/>
                <w:sz w:val="24"/>
                <w:highlight w:val="none"/>
              </w:rPr>
            </w:pPr>
            <w:r>
              <w:rPr>
                <w:rFonts w:hint="eastAsia" w:eastAsia="宋体" w:asciiTheme="minorHAnsi"/>
                <w:b/>
                <w:color w:val="auto"/>
                <w:sz w:val="24"/>
                <w:highlight w:val="none"/>
              </w:rPr>
              <w:t>说明</w:t>
            </w:r>
          </w:p>
        </w:tc>
      </w:tr>
      <w:tr w14:paraId="0CC4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447" w:type="dxa"/>
          </w:tcPr>
          <w:p w14:paraId="7CA11196">
            <w:pPr>
              <w:pStyle w:val="49"/>
              <w:pageBreakBefore w:val="0"/>
              <w:kinsoku/>
              <w:wordWrap/>
              <w:overflowPunct/>
              <w:topLinePunct w:val="0"/>
              <w:bidi w:val="0"/>
              <w:adjustRightInd w:val="0"/>
              <w:snapToGrid w:val="0"/>
              <w:spacing w:before="7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2322" w:type="dxa"/>
          </w:tcPr>
          <w:p w14:paraId="7461AD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3C3292E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22E3B7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723B87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0F58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1447" w:type="dxa"/>
          </w:tcPr>
          <w:p w14:paraId="72B37132">
            <w:pPr>
              <w:pStyle w:val="49"/>
              <w:pageBreakBefore w:val="0"/>
              <w:kinsoku/>
              <w:wordWrap/>
              <w:overflowPunct/>
              <w:topLinePunct w:val="0"/>
              <w:bidi w:val="0"/>
              <w:adjustRightInd w:val="0"/>
              <w:snapToGrid w:val="0"/>
              <w:spacing w:before="68"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2322" w:type="dxa"/>
          </w:tcPr>
          <w:p w14:paraId="4D7D8D8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33B47E68">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0CD8F7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7B4F035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13A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447" w:type="dxa"/>
          </w:tcPr>
          <w:p w14:paraId="3D05A972">
            <w:pPr>
              <w:pStyle w:val="49"/>
              <w:pageBreakBefore w:val="0"/>
              <w:kinsoku/>
              <w:wordWrap/>
              <w:overflowPunct/>
              <w:topLinePunct w:val="0"/>
              <w:bidi w:val="0"/>
              <w:adjustRightInd w:val="0"/>
              <w:snapToGrid w:val="0"/>
              <w:spacing w:before="7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2322" w:type="dxa"/>
          </w:tcPr>
          <w:p w14:paraId="028607F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6A6F374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584BB0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455D202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8EA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447" w:type="dxa"/>
          </w:tcPr>
          <w:p w14:paraId="77F9DBF8">
            <w:pPr>
              <w:pStyle w:val="49"/>
              <w:pageBreakBefore w:val="0"/>
              <w:kinsoku/>
              <w:wordWrap/>
              <w:overflowPunct/>
              <w:topLinePunct w:val="0"/>
              <w:bidi w:val="0"/>
              <w:adjustRightInd w:val="0"/>
              <w:snapToGrid w:val="0"/>
              <w:spacing w:before="77" w:line="360" w:lineRule="auto"/>
              <w:ind w:left="197" w:right="189"/>
              <w:jc w:val="center"/>
              <w:rPr>
                <w:rFonts w:eastAsia="宋体" w:asciiTheme="minorHAnsi"/>
                <w:color w:val="auto"/>
                <w:sz w:val="24"/>
                <w:highlight w:val="none"/>
              </w:rPr>
            </w:pPr>
            <w:r>
              <w:rPr>
                <w:rFonts w:hint="eastAsia" w:eastAsia="宋体" w:asciiTheme="minorHAnsi"/>
                <w:color w:val="auto"/>
                <w:sz w:val="24"/>
                <w:highlight w:val="none"/>
              </w:rPr>
              <w:t>……</w:t>
            </w:r>
          </w:p>
        </w:tc>
        <w:tc>
          <w:tcPr>
            <w:tcW w:w="2322" w:type="dxa"/>
          </w:tcPr>
          <w:p w14:paraId="3E11D79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5D705A9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7546BE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07408B0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4198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69BBF92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3BE3F94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D2A22B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CECE23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B290FA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7250E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41F89CC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9BF34C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0F472B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76646A2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0846F3A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A6E6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3010F2C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5AE8851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6AF9CD2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FD3193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27E1A76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61E43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27BF4D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B598FE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24C53AA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36B0E83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5296BDE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235D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905627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BD64C5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9F4A1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472099B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2B167E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6FB1D579">
      <w:pPr>
        <w:pStyle w:val="8"/>
        <w:pageBreakBefore w:val="0"/>
        <w:kinsoku/>
        <w:wordWrap/>
        <w:overflowPunct/>
        <w:topLinePunct w:val="0"/>
        <w:bidi w:val="0"/>
        <w:adjustRightInd w:val="0"/>
        <w:snapToGrid w:val="0"/>
        <w:spacing w:line="360" w:lineRule="auto"/>
        <w:ind w:left="900" w:right="1021" w:hanging="900" w:hangingChars="400"/>
        <w:rPr>
          <w:rFonts w:hAnsiTheme="minorEastAsia"/>
          <w:color w:val="auto"/>
          <w:sz w:val="24"/>
          <w:highlight w:val="none"/>
        </w:rPr>
      </w:pPr>
      <w:r>
        <w:rPr>
          <w:rFonts w:hint="eastAsia" w:hAnsi="宋体" w:eastAsia="宋体" w:cs="宋体"/>
          <w:b/>
          <w:color w:val="auto"/>
          <w:spacing w:val="-8"/>
          <w:sz w:val="24"/>
          <w:highlight w:val="none"/>
        </w:rPr>
        <w:t>注：1、“商务响应/偏离表”，投标人应作详细的文字说明，不得简单填写“均响应”、“完全响应”</w:t>
      </w:r>
      <w:r>
        <w:rPr>
          <w:rFonts w:hint="eastAsia" w:hAnsiTheme="minorEastAsia"/>
          <w:color w:val="auto"/>
          <w:sz w:val="24"/>
          <w:highlight w:val="none"/>
        </w:rPr>
        <w:t xml:space="preserve"> </w:t>
      </w:r>
      <w:r>
        <w:rPr>
          <w:rFonts w:hint="eastAsia" w:hAnsiTheme="minorEastAsia"/>
          <w:b/>
          <w:color w:val="auto"/>
          <w:sz w:val="24"/>
          <w:highlight w:val="none"/>
        </w:rPr>
        <w:t>等同等含义文字，否则，评标委员会将视为未响应。</w:t>
      </w:r>
    </w:p>
    <w:p w14:paraId="6CDB7D2D">
      <w:pPr>
        <w:pStyle w:val="39"/>
        <w:pageBreakBefore w:val="0"/>
        <w:kinsoku/>
        <w:wordWrap/>
        <w:overflowPunct/>
        <w:topLinePunct w:val="0"/>
        <w:bidi w:val="0"/>
        <w:adjustRightInd w:val="0"/>
        <w:snapToGrid w:val="0"/>
        <w:spacing w:line="360" w:lineRule="auto"/>
        <w:ind w:right="84" w:rightChars="40"/>
        <w:rPr>
          <w:rFonts w:asciiTheme="minorHAnsi" w:hAnsiTheme="minorEastAsia" w:eastAsiaTheme="minorEastAsia"/>
          <w:b/>
          <w:color w:val="auto"/>
          <w:sz w:val="24"/>
          <w:szCs w:val="24"/>
          <w:highlight w:val="none"/>
        </w:rPr>
      </w:pPr>
      <w:r>
        <w:rPr>
          <w:rFonts w:hint="eastAsia" w:asciiTheme="minorHAnsi" w:hAnsiTheme="minorEastAsia" w:eastAsiaTheme="minorEastAsia"/>
          <w:color w:val="auto"/>
          <w:sz w:val="24"/>
          <w:szCs w:val="24"/>
          <w:highlight w:val="none"/>
        </w:rPr>
        <w:t xml:space="preserve">   </w:t>
      </w:r>
      <w:r>
        <w:rPr>
          <w:rFonts w:hint="eastAsia" w:asciiTheme="minorHAnsi" w:hAnsiTheme="minorEastAsia" w:eastAsiaTheme="minorEastAsia"/>
          <w:b/>
          <w:color w:val="auto"/>
          <w:sz w:val="24"/>
          <w:szCs w:val="24"/>
          <w:highlight w:val="none"/>
        </w:rPr>
        <w:t xml:space="preserve"> 2、“响应/偏离”应注明“响应”或“正/负偏离”。</w:t>
      </w:r>
    </w:p>
    <w:p w14:paraId="1F90F193">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189A35C6">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0143988B">
      <w:pPr>
        <w:pStyle w:val="39"/>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10DE238F">
      <w:pPr>
        <w:pStyle w:val="8"/>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1051067F">
      <w:pPr>
        <w:pStyle w:val="8"/>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54EA51F3">
      <w:pPr>
        <w:rPr>
          <w:rFonts w:hint="eastAsia" w:asciiTheme="minorHAnsi"/>
          <w:b w:val="0"/>
          <w:color w:val="auto"/>
          <w:sz w:val="24"/>
          <w:szCs w:val="24"/>
          <w:highlight w:val="none"/>
        </w:rPr>
      </w:pPr>
      <w:bookmarkStart w:id="377" w:name="_Toc89950778"/>
      <w:bookmarkStart w:id="378" w:name="_Toc859"/>
      <w:bookmarkStart w:id="379" w:name="_Toc89950780"/>
      <w:r>
        <w:rPr>
          <w:rFonts w:hint="eastAsia" w:asciiTheme="minorHAnsi"/>
          <w:b w:val="0"/>
          <w:color w:val="auto"/>
          <w:sz w:val="24"/>
          <w:szCs w:val="24"/>
          <w:highlight w:val="none"/>
        </w:rPr>
        <w:br w:type="page"/>
      </w:r>
    </w:p>
    <w:p w14:paraId="4F90C2E2">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80" w:name="_Toc466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三</w:t>
      </w:r>
      <w:r>
        <w:rPr>
          <w:rFonts w:hint="eastAsia" w:asciiTheme="minorHAnsi"/>
          <w:b w:val="0"/>
          <w:color w:val="auto"/>
          <w:sz w:val="24"/>
          <w:szCs w:val="24"/>
          <w:highlight w:val="none"/>
        </w:rPr>
        <w:t>、其他证明文件</w:t>
      </w:r>
      <w:bookmarkEnd w:id="377"/>
      <w:bookmarkEnd w:id="378"/>
      <w:bookmarkEnd w:id="380"/>
    </w:p>
    <w:p w14:paraId="1084E06F">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22136E0E">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22EC0D71">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75CA216A">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14E63BFC">
      <w:pPr>
        <w:pStyle w:val="15"/>
        <w:pageBreakBefore w:val="0"/>
        <w:kinsoku/>
        <w:wordWrap/>
        <w:overflowPunct/>
        <w:topLinePunct w:val="0"/>
        <w:bidi w:val="0"/>
        <w:spacing w:line="360" w:lineRule="auto"/>
        <w:ind w:firstLine="3373" w:firstLineChars="1400"/>
        <w:rPr>
          <w:rFonts w:hint="default" w:asciiTheme="minorHAnsi" w:eastAsiaTheme="minorEastAsia"/>
          <w:b/>
          <w:bCs/>
          <w:color w:val="auto"/>
          <w:sz w:val="24"/>
          <w:highlight w:val="none"/>
          <w:lang w:val="en-US" w:eastAsia="zh-CN"/>
        </w:rPr>
      </w:pPr>
      <w:r>
        <w:rPr>
          <w:rFonts w:hint="eastAsia" w:asciiTheme="minorHAnsi"/>
          <w:b/>
          <w:bCs/>
          <w:color w:val="auto"/>
          <w:sz w:val="24"/>
          <w:highlight w:val="none"/>
        </w:rPr>
        <w:t>其他文件</w:t>
      </w:r>
      <w:r>
        <w:rPr>
          <w:rFonts w:hint="eastAsia" w:asciiTheme="minorHAnsi"/>
          <w:b/>
          <w:bCs/>
          <w:color w:val="auto"/>
          <w:sz w:val="24"/>
          <w:highlight w:val="none"/>
          <w:lang w:val="en-US" w:eastAsia="zh-CN"/>
        </w:rPr>
        <w:t xml:space="preserve">  （如需要）</w:t>
      </w:r>
    </w:p>
    <w:p w14:paraId="4C15CC51">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1F3E635B">
      <w:pPr>
        <w:pStyle w:val="15"/>
        <w:pageBreakBefore w:val="0"/>
        <w:kinsoku/>
        <w:wordWrap/>
        <w:overflowPunct/>
        <w:topLinePunct w:val="0"/>
        <w:bidi w:val="0"/>
        <w:spacing w:line="360" w:lineRule="auto"/>
        <w:ind w:firstLine="1470" w:firstLineChars="700"/>
        <w:rPr>
          <w:rFonts w:hAnsi="Calibri" w:eastAsia="Times New Roman" w:cs="Times New Roman" w:asciiTheme="minorHAnsi"/>
          <w:color w:val="auto"/>
          <w:szCs w:val="22"/>
          <w:highlight w:val="none"/>
        </w:rPr>
      </w:pPr>
      <w:r>
        <w:rPr>
          <w:rFonts w:hAnsi="UGJDBS+·ÂËÎ" w:eastAsia="Times New Roman" w:cs="UGJDBS+·ÂËÎ" w:asciiTheme="minorHAnsi"/>
          <w:color w:val="auto"/>
          <w:szCs w:val="22"/>
          <w:highlight w:val="none"/>
        </w:rPr>
        <w:t>注：编制与本项目有关的其他文件</w:t>
      </w:r>
      <w:r>
        <w:rPr>
          <w:rFonts w:hint="eastAsia" w:hAnsi="UGJDBS+·ÂËÎ" w:eastAsia="宋体" w:cs="UGJDBS+·ÂËÎ" w:asciiTheme="minorHAnsi"/>
          <w:color w:val="auto"/>
          <w:szCs w:val="22"/>
          <w:highlight w:val="none"/>
          <w:lang w:eastAsia="zh-CN"/>
        </w:rPr>
        <w:t>，</w:t>
      </w:r>
      <w:r>
        <w:rPr>
          <w:rFonts w:hint="eastAsia" w:hAnsi="UGJDBS+·ÂËÎ" w:eastAsia="宋体" w:cs="UGJDBS+·ÂËÎ" w:asciiTheme="minorHAnsi"/>
          <w:color w:val="auto"/>
          <w:szCs w:val="22"/>
          <w:highlight w:val="none"/>
          <w:lang w:val="en-US" w:eastAsia="zh-CN"/>
        </w:rPr>
        <w:t>格式自拟</w:t>
      </w:r>
      <w:r>
        <w:rPr>
          <w:rFonts w:hAnsi="UGJDBS+·ÂËÎ" w:eastAsia="Times New Roman" w:cs="UGJDBS+·ÂËÎ" w:asciiTheme="minorHAnsi"/>
          <w:color w:val="auto"/>
          <w:szCs w:val="22"/>
          <w:highlight w:val="none"/>
        </w:rPr>
        <w:t>。（如方案计划等内容）</w:t>
      </w:r>
    </w:p>
    <w:p w14:paraId="733287C7">
      <w:pPr>
        <w:pageBreakBefore w:val="0"/>
        <w:shd w:val="clear" w:color="auto" w:fill="FFFFFF" w:themeFill="background1"/>
        <w:kinsoku/>
        <w:wordWrap/>
        <w:overflowPunct/>
        <w:topLinePunct w:val="0"/>
        <w:bidi w:val="0"/>
        <w:adjustRightInd w:val="0"/>
        <w:snapToGrid w:val="0"/>
        <w:spacing w:line="360" w:lineRule="auto"/>
        <w:ind w:left="-10" w:firstLine="8"/>
        <w:jc w:val="center"/>
        <w:rPr>
          <w:rFonts w:asciiTheme="minorEastAsia" w:hAnsiTheme="minorEastAsia" w:cstheme="minorEastAsia"/>
          <w:b/>
          <w:color w:val="auto"/>
          <w:sz w:val="28"/>
          <w:szCs w:val="28"/>
          <w:highlight w:val="none"/>
        </w:rPr>
      </w:pPr>
    </w:p>
    <w:p w14:paraId="4A098E3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5CB62B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0AAB3E1">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84640D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663B2A2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FA136A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C08158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433039A">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5467A8C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E73FE5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560D217">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E84509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F44FD33">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3FC1C1A">
      <w:pPr>
        <w:pStyle w:val="20"/>
        <w:pageBreakBefore w:val="0"/>
        <w:kinsoku/>
        <w:wordWrap/>
        <w:overflowPunct/>
        <w:topLinePunct w:val="0"/>
        <w:bidi w:val="0"/>
        <w:spacing w:line="360" w:lineRule="auto"/>
        <w:jc w:val="both"/>
        <w:rPr>
          <w:rFonts w:hint="eastAsia" w:eastAsia="宋体" w:asciiTheme="minorHAnsi"/>
          <w:bCs/>
          <w:color w:val="auto"/>
          <w:sz w:val="24"/>
          <w:szCs w:val="24"/>
          <w:highlight w:val="none"/>
          <w:lang w:eastAsia="zh-CN"/>
        </w:rPr>
      </w:pPr>
      <w:bookmarkStart w:id="381" w:name="_Toc3302"/>
      <w:bookmarkStart w:id="382" w:name="_Toc14539"/>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四</w:t>
      </w:r>
      <w:r>
        <w:rPr>
          <w:rFonts w:hint="eastAsia" w:asciiTheme="minorHAnsi"/>
          <w:b w:val="0"/>
          <w:color w:val="auto"/>
          <w:sz w:val="24"/>
          <w:szCs w:val="24"/>
          <w:highlight w:val="none"/>
        </w:rPr>
        <w:t>、分项价格表</w:t>
      </w:r>
      <w:bookmarkEnd w:id="379"/>
      <w:bookmarkEnd w:id="381"/>
      <w:bookmarkEnd w:id="382"/>
    </w:p>
    <w:p w14:paraId="3EB0E2F6">
      <w:pPr>
        <w:pStyle w:val="39"/>
        <w:pageBreakBefore w:val="0"/>
        <w:kinsoku/>
        <w:wordWrap/>
        <w:overflowPunct/>
        <w:topLinePunct w:val="0"/>
        <w:bidi w:val="0"/>
        <w:adjustRightInd w:val="0"/>
        <w:snapToGrid w:val="0"/>
        <w:spacing w:line="360" w:lineRule="auto"/>
        <w:ind w:right="84" w:rightChars="40"/>
        <w:jc w:val="center"/>
        <w:rPr>
          <w:rFonts w:hint="eastAsia" w:asciiTheme="minorHAnsi"/>
          <w:b/>
          <w:bCs/>
          <w:color w:val="auto"/>
          <w:sz w:val="24"/>
          <w:szCs w:val="24"/>
          <w:highlight w:val="none"/>
        </w:rPr>
      </w:pPr>
      <w:r>
        <w:rPr>
          <w:rFonts w:hint="eastAsia" w:asciiTheme="minorHAnsi"/>
          <w:b/>
          <w:bCs/>
          <w:color w:val="auto"/>
          <w:sz w:val="24"/>
          <w:szCs w:val="24"/>
          <w:highlight w:val="none"/>
        </w:rPr>
        <w:t>分项价格表</w:t>
      </w:r>
    </w:p>
    <w:p w14:paraId="45BA5DB9">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p w14:paraId="608870E3">
      <w:pPr>
        <w:pStyle w:val="47"/>
        <w:pageBreakBefore w:val="0"/>
        <w:kinsoku/>
        <w:wordWrap/>
        <w:overflowPunct/>
        <w:topLinePunct w:val="0"/>
        <w:bidi w:val="0"/>
        <w:adjustRightInd w:val="0"/>
        <w:snapToGrid w:val="0"/>
        <w:spacing w:line="360" w:lineRule="auto"/>
        <w:ind w:right="1120" w:firstLine="4080" w:firstLineChars="1700"/>
        <w:rPr>
          <w:rFonts w:hAnsi="宋体" w:asciiTheme="minorHAnsi"/>
          <w:color w:val="auto"/>
          <w:sz w:val="24"/>
          <w:highlight w:val="none"/>
        </w:rPr>
      </w:pPr>
      <w:r>
        <w:rPr>
          <w:rFonts w:hint="eastAsia" w:hAnsi="宋体" w:asciiTheme="minorHAnsi"/>
          <w:color w:val="auto"/>
          <w:sz w:val="24"/>
          <w:highlight w:val="none"/>
        </w:rPr>
        <w:t>[货币单位：人民币元]</w:t>
      </w:r>
    </w:p>
    <w:tbl>
      <w:tblPr>
        <w:tblStyle w:val="26"/>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198"/>
        <w:gridCol w:w="1584"/>
        <w:gridCol w:w="1276"/>
        <w:gridCol w:w="2126"/>
      </w:tblGrid>
      <w:tr w14:paraId="21CF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41" w:type="dxa"/>
            <w:vAlign w:val="center"/>
          </w:tcPr>
          <w:p w14:paraId="3E3BDD58">
            <w:pPr>
              <w:spacing w:line="360" w:lineRule="auto"/>
              <w:ind w:firstLine="0" w:firstLineChars="0"/>
              <w:jc w:val="center"/>
              <w:rPr>
                <w:rFonts w:cs="宋体"/>
                <w:sz w:val="24"/>
                <w:highlight w:val="none"/>
              </w:rPr>
            </w:pPr>
            <w:r>
              <w:rPr>
                <w:rFonts w:hint="eastAsia" w:cs="宋体"/>
                <w:sz w:val="24"/>
                <w:highlight w:val="none"/>
              </w:rPr>
              <w:t>序号</w:t>
            </w:r>
          </w:p>
        </w:tc>
        <w:tc>
          <w:tcPr>
            <w:tcW w:w="2198" w:type="dxa"/>
            <w:vAlign w:val="center"/>
          </w:tcPr>
          <w:p w14:paraId="19A7403A">
            <w:pPr>
              <w:spacing w:line="360" w:lineRule="auto"/>
              <w:ind w:firstLine="0" w:firstLineChars="0"/>
              <w:jc w:val="center"/>
              <w:rPr>
                <w:rFonts w:cs="宋体"/>
                <w:sz w:val="24"/>
                <w:highlight w:val="none"/>
              </w:rPr>
            </w:pPr>
            <w:r>
              <w:rPr>
                <w:rFonts w:hint="eastAsia" w:cs="宋体"/>
                <w:sz w:val="24"/>
                <w:highlight w:val="none"/>
              </w:rPr>
              <w:t>费用分项名称</w:t>
            </w:r>
          </w:p>
        </w:tc>
        <w:tc>
          <w:tcPr>
            <w:tcW w:w="1584" w:type="dxa"/>
            <w:vAlign w:val="center"/>
          </w:tcPr>
          <w:p w14:paraId="4057C0F2">
            <w:pPr>
              <w:spacing w:line="360" w:lineRule="auto"/>
              <w:ind w:firstLine="0" w:firstLineChars="0"/>
              <w:jc w:val="center"/>
              <w:rPr>
                <w:rFonts w:cs="宋体"/>
                <w:sz w:val="24"/>
                <w:highlight w:val="none"/>
              </w:rPr>
            </w:pPr>
            <w:r>
              <w:rPr>
                <w:rFonts w:hint="eastAsia" w:cs="宋体"/>
                <w:sz w:val="24"/>
                <w:highlight w:val="none"/>
              </w:rPr>
              <w:t>单位</w:t>
            </w:r>
          </w:p>
        </w:tc>
        <w:tc>
          <w:tcPr>
            <w:tcW w:w="1276" w:type="dxa"/>
            <w:vAlign w:val="center"/>
          </w:tcPr>
          <w:p w14:paraId="0191CF85">
            <w:pPr>
              <w:spacing w:line="360" w:lineRule="auto"/>
              <w:ind w:firstLine="0" w:firstLineChars="0"/>
              <w:jc w:val="center"/>
              <w:rPr>
                <w:rFonts w:cs="宋体"/>
                <w:sz w:val="24"/>
                <w:highlight w:val="none"/>
              </w:rPr>
            </w:pPr>
            <w:r>
              <w:rPr>
                <w:rFonts w:hint="eastAsia" w:cs="宋体"/>
                <w:sz w:val="24"/>
                <w:highlight w:val="none"/>
              </w:rPr>
              <w:t>单价</w:t>
            </w:r>
          </w:p>
        </w:tc>
        <w:tc>
          <w:tcPr>
            <w:tcW w:w="2126" w:type="dxa"/>
            <w:vAlign w:val="center"/>
          </w:tcPr>
          <w:p w14:paraId="51D2DF5B">
            <w:pPr>
              <w:spacing w:line="360" w:lineRule="auto"/>
              <w:ind w:firstLine="0" w:firstLineChars="0"/>
              <w:jc w:val="center"/>
              <w:rPr>
                <w:rFonts w:cs="宋体"/>
                <w:sz w:val="24"/>
                <w:highlight w:val="none"/>
              </w:rPr>
            </w:pPr>
            <w:r>
              <w:rPr>
                <w:rFonts w:hint="eastAsia" w:cs="宋体"/>
                <w:sz w:val="24"/>
                <w:highlight w:val="none"/>
              </w:rPr>
              <w:t>合价</w:t>
            </w:r>
          </w:p>
        </w:tc>
      </w:tr>
      <w:tr w14:paraId="2526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41" w:type="dxa"/>
            <w:vAlign w:val="center"/>
          </w:tcPr>
          <w:p w14:paraId="32B4DD4F">
            <w:pPr>
              <w:spacing w:line="360" w:lineRule="auto"/>
              <w:ind w:firstLine="480"/>
              <w:jc w:val="left"/>
              <w:rPr>
                <w:rFonts w:cs="宋体"/>
                <w:sz w:val="24"/>
                <w:highlight w:val="none"/>
              </w:rPr>
            </w:pPr>
            <w:r>
              <w:rPr>
                <w:rFonts w:cs="宋体"/>
                <w:sz w:val="24"/>
                <w:highlight w:val="none"/>
              </w:rPr>
              <w:t>1</w:t>
            </w:r>
          </w:p>
        </w:tc>
        <w:tc>
          <w:tcPr>
            <w:tcW w:w="2198" w:type="dxa"/>
            <w:vAlign w:val="center"/>
          </w:tcPr>
          <w:p w14:paraId="5F9AF45E">
            <w:pPr>
              <w:spacing w:line="360" w:lineRule="auto"/>
              <w:ind w:firstLine="480"/>
              <w:jc w:val="left"/>
              <w:rPr>
                <w:rFonts w:cs="宋体"/>
                <w:sz w:val="24"/>
                <w:highlight w:val="none"/>
              </w:rPr>
            </w:pPr>
          </w:p>
        </w:tc>
        <w:tc>
          <w:tcPr>
            <w:tcW w:w="1584" w:type="dxa"/>
            <w:vAlign w:val="center"/>
          </w:tcPr>
          <w:p w14:paraId="569D9DBA">
            <w:pPr>
              <w:spacing w:line="360" w:lineRule="auto"/>
              <w:ind w:firstLine="480"/>
              <w:jc w:val="left"/>
              <w:rPr>
                <w:rFonts w:cs="宋体"/>
                <w:sz w:val="24"/>
                <w:highlight w:val="none"/>
              </w:rPr>
            </w:pPr>
          </w:p>
        </w:tc>
        <w:tc>
          <w:tcPr>
            <w:tcW w:w="1276" w:type="dxa"/>
            <w:vAlign w:val="center"/>
          </w:tcPr>
          <w:p w14:paraId="77B8D1C4">
            <w:pPr>
              <w:spacing w:line="360" w:lineRule="auto"/>
              <w:ind w:firstLine="480"/>
              <w:jc w:val="left"/>
              <w:rPr>
                <w:rFonts w:cs="宋体"/>
                <w:sz w:val="24"/>
                <w:highlight w:val="none"/>
              </w:rPr>
            </w:pPr>
          </w:p>
        </w:tc>
        <w:tc>
          <w:tcPr>
            <w:tcW w:w="2126" w:type="dxa"/>
            <w:vAlign w:val="center"/>
          </w:tcPr>
          <w:p w14:paraId="08544D4F">
            <w:pPr>
              <w:spacing w:line="360" w:lineRule="auto"/>
              <w:ind w:firstLine="480"/>
              <w:jc w:val="left"/>
              <w:rPr>
                <w:rFonts w:cs="宋体"/>
                <w:sz w:val="24"/>
                <w:highlight w:val="none"/>
              </w:rPr>
            </w:pPr>
          </w:p>
        </w:tc>
      </w:tr>
      <w:tr w14:paraId="683F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41" w:type="dxa"/>
            <w:vAlign w:val="center"/>
          </w:tcPr>
          <w:p w14:paraId="51552917">
            <w:pPr>
              <w:spacing w:line="360" w:lineRule="auto"/>
              <w:ind w:firstLine="480"/>
              <w:jc w:val="left"/>
              <w:rPr>
                <w:rFonts w:cs="宋体"/>
                <w:sz w:val="24"/>
                <w:highlight w:val="none"/>
              </w:rPr>
            </w:pPr>
            <w:r>
              <w:rPr>
                <w:rFonts w:hint="eastAsia" w:cs="宋体"/>
                <w:sz w:val="24"/>
                <w:highlight w:val="none"/>
              </w:rPr>
              <w:t>2</w:t>
            </w:r>
          </w:p>
        </w:tc>
        <w:tc>
          <w:tcPr>
            <w:tcW w:w="2198" w:type="dxa"/>
            <w:vAlign w:val="center"/>
          </w:tcPr>
          <w:p w14:paraId="4B1625F4">
            <w:pPr>
              <w:spacing w:line="360" w:lineRule="auto"/>
              <w:ind w:firstLine="480"/>
              <w:jc w:val="left"/>
              <w:rPr>
                <w:rFonts w:cs="宋体"/>
                <w:sz w:val="24"/>
                <w:highlight w:val="none"/>
              </w:rPr>
            </w:pPr>
          </w:p>
        </w:tc>
        <w:tc>
          <w:tcPr>
            <w:tcW w:w="1584" w:type="dxa"/>
            <w:vAlign w:val="center"/>
          </w:tcPr>
          <w:p w14:paraId="2BBAF03D">
            <w:pPr>
              <w:spacing w:line="360" w:lineRule="auto"/>
              <w:ind w:firstLine="480"/>
              <w:jc w:val="left"/>
              <w:rPr>
                <w:rFonts w:cs="宋体"/>
                <w:sz w:val="24"/>
                <w:highlight w:val="none"/>
              </w:rPr>
            </w:pPr>
          </w:p>
        </w:tc>
        <w:tc>
          <w:tcPr>
            <w:tcW w:w="1276" w:type="dxa"/>
            <w:vAlign w:val="center"/>
          </w:tcPr>
          <w:p w14:paraId="3D9F0B88">
            <w:pPr>
              <w:spacing w:line="360" w:lineRule="auto"/>
              <w:ind w:firstLine="480"/>
              <w:jc w:val="left"/>
              <w:rPr>
                <w:rFonts w:cs="宋体"/>
                <w:sz w:val="24"/>
                <w:highlight w:val="none"/>
              </w:rPr>
            </w:pPr>
          </w:p>
        </w:tc>
        <w:tc>
          <w:tcPr>
            <w:tcW w:w="2126" w:type="dxa"/>
            <w:vAlign w:val="center"/>
          </w:tcPr>
          <w:p w14:paraId="198A432A">
            <w:pPr>
              <w:spacing w:line="360" w:lineRule="auto"/>
              <w:ind w:firstLine="480"/>
              <w:jc w:val="left"/>
              <w:rPr>
                <w:rFonts w:cs="宋体"/>
                <w:sz w:val="24"/>
                <w:highlight w:val="none"/>
              </w:rPr>
            </w:pPr>
          </w:p>
        </w:tc>
      </w:tr>
      <w:tr w14:paraId="350C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1" w:type="dxa"/>
            <w:vAlign w:val="center"/>
          </w:tcPr>
          <w:p w14:paraId="63190453">
            <w:pPr>
              <w:spacing w:line="360" w:lineRule="auto"/>
              <w:ind w:firstLine="480"/>
              <w:jc w:val="left"/>
              <w:rPr>
                <w:rFonts w:cs="宋体"/>
                <w:sz w:val="24"/>
                <w:highlight w:val="none"/>
              </w:rPr>
            </w:pPr>
            <w:r>
              <w:rPr>
                <w:rFonts w:cs="宋体"/>
                <w:sz w:val="24"/>
                <w:highlight w:val="none"/>
              </w:rPr>
              <w:t>3</w:t>
            </w:r>
          </w:p>
        </w:tc>
        <w:tc>
          <w:tcPr>
            <w:tcW w:w="2198" w:type="dxa"/>
            <w:vAlign w:val="center"/>
          </w:tcPr>
          <w:p w14:paraId="51C7DEF6">
            <w:pPr>
              <w:spacing w:line="360" w:lineRule="auto"/>
              <w:ind w:firstLine="480"/>
              <w:jc w:val="left"/>
              <w:rPr>
                <w:rFonts w:cs="宋体"/>
                <w:sz w:val="24"/>
                <w:highlight w:val="none"/>
              </w:rPr>
            </w:pPr>
          </w:p>
        </w:tc>
        <w:tc>
          <w:tcPr>
            <w:tcW w:w="1584" w:type="dxa"/>
            <w:vAlign w:val="center"/>
          </w:tcPr>
          <w:p w14:paraId="7BC1520A">
            <w:pPr>
              <w:spacing w:line="360" w:lineRule="auto"/>
              <w:ind w:firstLine="480"/>
              <w:jc w:val="left"/>
              <w:rPr>
                <w:rFonts w:cs="宋体"/>
                <w:sz w:val="24"/>
                <w:highlight w:val="none"/>
              </w:rPr>
            </w:pPr>
          </w:p>
        </w:tc>
        <w:tc>
          <w:tcPr>
            <w:tcW w:w="1276" w:type="dxa"/>
            <w:vAlign w:val="center"/>
          </w:tcPr>
          <w:p w14:paraId="42753F32">
            <w:pPr>
              <w:spacing w:line="360" w:lineRule="auto"/>
              <w:ind w:firstLine="480"/>
              <w:jc w:val="left"/>
              <w:rPr>
                <w:rFonts w:cs="宋体"/>
                <w:sz w:val="24"/>
                <w:highlight w:val="none"/>
              </w:rPr>
            </w:pPr>
          </w:p>
        </w:tc>
        <w:tc>
          <w:tcPr>
            <w:tcW w:w="2126" w:type="dxa"/>
            <w:vAlign w:val="center"/>
          </w:tcPr>
          <w:p w14:paraId="27063ADB">
            <w:pPr>
              <w:spacing w:line="360" w:lineRule="auto"/>
              <w:ind w:firstLine="480"/>
              <w:jc w:val="left"/>
              <w:rPr>
                <w:rFonts w:cs="宋体"/>
                <w:sz w:val="24"/>
                <w:highlight w:val="none"/>
              </w:rPr>
            </w:pPr>
          </w:p>
        </w:tc>
      </w:tr>
      <w:tr w14:paraId="5C56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 w:hRule="atLeast"/>
          <w:jc w:val="center"/>
        </w:trPr>
        <w:tc>
          <w:tcPr>
            <w:tcW w:w="1441" w:type="dxa"/>
            <w:vAlign w:val="center"/>
          </w:tcPr>
          <w:p w14:paraId="417AC9E1">
            <w:pPr>
              <w:spacing w:line="360" w:lineRule="auto"/>
              <w:ind w:firstLine="480"/>
              <w:jc w:val="left"/>
              <w:rPr>
                <w:rFonts w:cs="宋体"/>
                <w:sz w:val="24"/>
                <w:highlight w:val="none"/>
              </w:rPr>
            </w:pPr>
            <w:r>
              <w:rPr>
                <w:rFonts w:cs="宋体"/>
                <w:sz w:val="24"/>
                <w:highlight w:val="none"/>
              </w:rPr>
              <w:t>3</w:t>
            </w:r>
          </w:p>
        </w:tc>
        <w:tc>
          <w:tcPr>
            <w:tcW w:w="2198" w:type="dxa"/>
            <w:vAlign w:val="center"/>
          </w:tcPr>
          <w:p w14:paraId="1E9F8A37">
            <w:pPr>
              <w:spacing w:line="360" w:lineRule="auto"/>
              <w:ind w:firstLine="480"/>
              <w:jc w:val="left"/>
              <w:rPr>
                <w:rFonts w:cs="宋体"/>
                <w:sz w:val="24"/>
                <w:highlight w:val="none"/>
              </w:rPr>
            </w:pPr>
            <w:r>
              <w:rPr>
                <w:rFonts w:hint="eastAsia" w:cs="宋体"/>
                <w:sz w:val="24"/>
                <w:highlight w:val="none"/>
              </w:rPr>
              <w:t>合计</w:t>
            </w:r>
          </w:p>
        </w:tc>
        <w:tc>
          <w:tcPr>
            <w:tcW w:w="4986" w:type="dxa"/>
            <w:gridSpan w:val="3"/>
            <w:vAlign w:val="center"/>
          </w:tcPr>
          <w:p w14:paraId="698632C6">
            <w:pPr>
              <w:spacing w:line="360" w:lineRule="auto"/>
              <w:ind w:firstLine="480"/>
              <w:jc w:val="left"/>
              <w:rPr>
                <w:rFonts w:cs="宋体"/>
                <w:sz w:val="24"/>
                <w:highlight w:val="none"/>
              </w:rPr>
            </w:pPr>
          </w:p>
        </w:tc>
      </w:tr>
      <w:tr w14:paraId="2A45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41" w:type="dxa"/>
            <w:vAlign w:val="center"/>
          </w:tcPr>
          <w:p w14:paraId="08BB1B0A">
            <w:pPr>
              <w:spacing w:line="360" w:lineRule="auto"/>
              <w:ind w:firstLine="480"/>
              <w:jc w:val="left"/>
              <w:rPr>
                <w:rFonts w:cs="宋体"/>
                <w:sz w:val="24"/>
                <w:highlight w:val="none"/>
              </w:rPr>
            </w:pPr>
            <w:r>
              <w:rPr>
                <w:rFonts w:hint="eastAsia" w:cs="宋体"/>
                <w:sz w:val="24"/>
                <w:highlight w:val="none"/>
              </w:rPr>
              <w:t>总计</w:t>
            </w:r>
          </w:p>
        </w:tc>
        <w:tc>
          <w:tcPr>
            <w:tcW w:w="7184" w:type="dxa"/>
            <w:gridSpan w:val="4"/>
            <w:vAlign w:val="center"/>
          </w:tcPr>
          <w:p w14:paraId="0D08F9A5">
            <w:pPr>
              <w:spacing w:line="360" w:lineRule="auto"/>
              <w:ind w:firstLine="480"/>
              <w:jc w:val="left"/>
              <w:rPr>
                <w:rFonts w:cs="宋体"/>
                <w:sz w:val="24"/>
                <w:highlight w:val="none"/>
              </w:rPr>
            </w:pPr>
            <w:r>
              <w:rPr>
                <w:rFonts w:hint="eastAsia" w:cs="宋体"/>
                <w:sz w:val="24"/>
                <w:highlight w:val="none"/>
              </w:rPr>
              <w:t>小写</w:t>
            </w:r>
            <w:r>
              <w:rPr>
                <w:rFonts w:cs="宋体"/>
                <w:sz w:val="24"/>
                <w:highlight w:val="none"/>
              </w:rPr>
              <w:t xml:space="preserve">:                                  </w:t>
            </w:r>
          </w:p>
          <w:p w14:paraId="2C5DEC76">
            <w:pPr>
              <w:spacing w:line="360" w:lineRule="auto"/>
              <w:ind w:firstLine="480"/>
              <w:jc w:val="left"/>
              <w:rPr>
                <w:rFonts w:cs="宋体"/>
                <w:sz w:val="24"/>
                <w:highlight w:val="none"/>
              </w:rPr>
            </w:pPr>
            <w:r>
              <w:rPr>
                <w:rFonts w:hint="eastAsia" w:cs="宋体"/>
                <w:sz w:val="24"/>
                <w:highlight w:val="none"/>
              </w:rPr>
              <w:t>大写</w:t>
            </w:r>
            <w:r>
              <w:rPr>
                <w:rFonts w:cs="宋体"/>
                <w:sz w:val="24"/>
                <w:highlight w:val="none"/>
              </w:rPr>
              <w:t>:</w:t>
            </w:r>
          </w:p>
        </w:tc>
      </w:tr>
    </w:tbl>
    <w:p w14:paraId="76E3CE75">
      <w:pPr>
        <w:pStyle w:val="48"/>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10553CAF">
      <w:pPr>
        <w:pStyle w:val="48"/>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65C19D17">
      <w:pPr>
        <w:pStyle w:val="48"/>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13432BCB">
      <w:pPr>
        <w:pageBreakBefore w:val="0"/>
        <w:kinsoku/>
        <w:wordWrap/>
        <w:overflowPunct/>
        <w:topLinePunct w:val="0"/>
        <w:bidi w:val="0"/>
        <w:adjustRightInd w:val="0"/>
        <w:snapToGrid w:val="0"/>
        <w:spacing w:line="360" w:lineRule="auto"/>
        <w:ind w:left="843" w:hanging="843" w:hangingChars="350"/>
        <w:rPr>
          <w:rFonts w:hAnsi="宋体" w:eastAsia="宋体" w:cs="Times New Roman"/>
          <w:b/>
          <w:color w:val="auto"/>
          <w:kern w:val="0"/>
          <w:sz w:val="24"/>
          <w:highlight w:val="none"/>
          <w:lang w:val="zh-CN"/>
        </w:rPr>
      </w:pPr>
      <w:r>
        <w:rPr>
          <w:rFonts w:hint="eastAsia" w:hAnsi="宋体" w:eastAsia="宋体" w:cs="Times New Roman"/>
          <w:b/>
          <w:color w:val="auto"/>
          <w:kern w:val="0"/>
          <w:sz w:val="24"/>
          <w:highlight w:val="none"/>
          <w:lang w:val="zh-CN"/>
        </w:rPr>
        <w:t>注：1.供应商须按“分项价格表”的格式详细报出竞标总价的各个</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内容组成部分的报价。</w:t>
      </w:r>
    </w:p>
    <w:p w14:paraId="532E2F52">
      <w:pPr>
        <w:pageBreakBefore w:val="0"/>
        <w:kinsoku/>
        <w:wordWrap/>
        <w:overflowPunct/>
        <w:topLinePunct w:val="0"/>
        <w:bidi w:val="0"/>
        <w:adjustRightInd w:val="0"/>
        <w:snapToGrid w:val="0"/>
        <w:spacing w:line="360" w:lineRule="auto"/>
        <w:ind w:firstLine="482" w:firstLineChars="200"/>
        <w:rPr>
          <w:rFonts w:hAnsi="宋体" w:eastAsia="宋体" w:cs="宋体"/>
          <w:b/>
          <w:bCs/>
          <w:color w:val="auto"/>
          <w:sz w:val="24"/>
          <w:highlight w:val="none"/>
        </w:rPr>
      </w:pPr>
      <w:r>
        <w:rPr>
          <w:rFonts w:hint="eastAsia" w:hAnsi="宋体" w:eastAsia="宋体" w:cs="Times New Roman"/>
          <w:b/>
          <w:color w:val="auto"/>
          <w:kern w:val="0"/>
          <w:sz w:val="24"/>
          <w:highlight w:val="none"/>
          <w:lang w:val="zh-CN"/>
        </w:rPr>
        <w:t>2.“分项价格表”各项</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内容报价合计应当与“报价</w:t>
      </w:r>
      <w:r>
        <w:rPr>
          <w:rFonts w:hint="eastAsia" w:hAnsi="宋体" w:eastAsia="宋体" w:cs="Times New Roman"/>
          <w:b/>
          <w:color w:val="auto"/>
          <w:kern w:val="0"/>
          <w:sz w:val="24"/>
          <w:highlight w:val="none"/>
        </w:rPr>
        <w:t>表</w:t>
      </w:r>
      <w:r>
        <w:rPr>
          <w:rFonts w:hint="eastAsia" w:hAnsi="宋体" w:eastAsia="宋体" w:cs="Times New Roman"/>
          <w:b/>
          <w:color w:val="auto"/>
          <w:kern w:val="0"/>
          <w:sz w:val="24"/>
          <w:highlight w:val="none"/>
          <w:lang w:val="zh-CN"/>
        </w:rPr>
        <w:t>”中初始报价合计相等。</w:t>
      </w:r>
    </w:p>
    <w:p w14:paraId="3CD32D53">
      <w:pPr>
        <w:pStyle w:val="48"/>
        <w:pageBreakBefore w:val="0"/>
        <w:kinsoku/>
        <w:wordWrap/>
        <w:overflowPunct/>
        <w:topLinePunct w:val="0"/>
        <w:bidi w:val="0"/>
        <w:adjustRightInd w:val="0"/>
        <w:snapToGrid w:val="0"/>
        <w:spacing w:line="360" w:lineRule="auto"/>
        <w:ind w:left="1320" w:leftChars="400" w:hanging="480" w:hangingChars="200"/>
        <w:rPr>
          <w:rFonts w:hAnsi="宋体" w:asciiTheme="minorHAnsi"/>
          <w:color w:val="auto"/>
          <w:sz w:val="24"/>
          <w:szCs w:val="24"/>
          <w:highlight w:val="none"/>
        </w:rPr>
      </w:pPr>
      <w:r>
        <w:rPr>
          <w:rFonts w:hint="eastAsia" w:hAnsi="宋体" w:asciiTheme="minorHAnsi"/>
          <w:color w:val="auto"/>
          <w:sz w:val="24"/>
          <w:szCs w:val="24"/>
          <w:highlight w:val="none"/>
        </w:rPr>
        <w:t xml:space="preserve"> </w:t>
      </w:r>
    </w:p>
    <w:p w14:paraId="59410761">
      <w:pPr>
        <w:pStyle w:val="39"/>
        <w:pageBreakBefore w:val="0"/>
        <w:kinsoku/>
        <w:wordWrap/>
        <w:overflowPunct/>
        <w:topLinePunct w:val="0"/>
        <w:bidi w:val="0"/>
        <w:adjustRightInd w:val="0"/>
        <w:snapToGrid w:val="0"/>
        <w:spacing w:line="360" w:lineRule="auto"/>
        <w:ind w:right="84" w:rightChars="40" w:firstLine="4080" w:firstLineChars="1700"/>
        <w:rPr>
          <w:rFonts w:asciiTheme="minorHAnsi" w:hAnsiTheme="minorEastAsia" w:eastAsiaTheme="minorEastAsia"/>
          <w:color w:val="auto"/>
          <w:sz w:val="24"/>
          <w:szCs w:val="24"/>
          <w:highlight w:val="none"/>
        </w:rPr>
      </w:pPr>
    </w:p>
    <w:p w14:paraId="23257CD2">
      <w:pPr>
        <w:pStyle w:val="39"/>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669CEF2E">
      <w:pPr>
        <w:pStyle w:val="39"/>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2C93B250">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2C9868A7">
      <w:pPr>
        <w:pStyle w:val="48"/>
        <w:pageBreakBefore w:val="0"/>
        <w:kinsoku/>
        <w:wordWrap/>
        <w:overflowPunct/>
        <w:topLinePunct w:val="0"/>
        <w:bidi w:val="0"/>
        <w:adjustRightInd w:val="0"/>
        <w:snapToGrid w:val="0"/>
        <w:spacing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5E3B0826">
      <w:pPr>
        <w:pStyle w:val="48"/>
        <w:pageBreakBefore w:val="0"/>
        <w:kinsoku/>
        <w:wordWrap/>
        <w:overflowPunct/>
        <w:topLinePunct w:val="0"/>
        <w:bidi w:val="0"/>
        <w:adjustRightInd w:val="0"/>
        <w:snapToGrid w:val="0"/>
        <w:spacing w:line="360" w:lineRule="auto"/>
        <w:ind w:firstLine="4080" w:firstLineChars="1700"/>
        <w:rPr>
          <w:rFonts w:hAnsi="宋体" w:asciiTheme="minorHAnsi"/>
          <w:color w:val="auto"/>
          <w:sz w:val="24"/>
          <w:szCs w:val="24"/>
          <w:highlight w:val="non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月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60596D63">
      <w:pPr>
        <w:pageBreakBefore w:val="0"/>
        <w:kinsoku/>
        <w:wordWrap/>
        <w:overflowPunct/>
        <w:topLinePunct w:val="0"/>
        <w:bidi w:val="0"/>
        <w:spacing w:line="360" w:lineRule="auto"/>
        <w:ind w:firstLine="1928" w:firstLineChars="800"/>
        <w:rPr>
          <w:b/>
          <w:bCs/>
          <w:color w:val="auto"/>
          <w:sz w:val="24"/>
          <w:highlight w:val="none"/>
        </w:rPr>
      </w:pPr>
    </w:p>
    <w:p w14:paraId="2420F746">
      <w:pPr>
        <w:pStyle w:val="39"/>
        <w:pageBreakBefore w:val="0"/>
        <w:kinsoku/>
        <w:wordWrap/>
        <w:overflowPunct/>
        <w:topLinePunct w:val="0"/>
        <w:bidi w:val="0"/>
        <w:adjustRightInd w:val="0"/>
        <w:snapToGrid w:val="0"/>
        <w:spacing w:line="360" w:lineRule="auto"/>
        <w:ind w:right="84" w:rightChars="40"/>
        <w:rPr>
          <w:rFonts w:asciiTheme="minorHAnsi"/>
          <w:bCs/>
          <w:color w:val="auto"/>
          <w:sz w:val="24"/>
          <w:szCs w:val="24"/>
          <w:highlight w:val="none"/>
        </w:rPr>
      </w:pPr>
    </w:p>
    <w:p w14:paraId="44EF205A">
      <w:pPr>
        <w:pStyle w:val="39"/>
        <w:pageBreakBefore w:val="0"/>
        <w:kinsoku/>
        <w:wordWrap/>
        <w:overflowPunct/>
        <w:topLinePunct w:val="0"/>
        <w:bidi w:val="0"/>
        <w:adjustRightInd w:val="0"/>
        <w:snapToGrid w:val="0"/>
        <w:spacing w:line="360" w:lineRule="auto"/>
        <w:ind w:right="84" w:rightChars="40"/>
        <w:jc w:val="center"/>
        <w:rPr>
          <w:rFonts w:ascii="宋体" w:hAnsi="宋体" w:cs="Arial"/>
          <w:b/>
          <w:bCs/>
          <w:color w:val="auto"/>
          <w:sz w:val="28"/>
          <w:szCs w:val="28"/>
          <w:highlight w:val="none"/>
        </w:rPr>
      </w:pPr>
    </w:p>
    <w:p w14:paraId="04A7EAE5">
      <w:pPr>
        <w:rPr>
          <w:rFonts w:hint="eastAsia" w:asciiTheme="minorHAnsi"/>
          <w:b w:val="0"/>
          <w:color w:val="auto"/>
          <w:sz w:val="24"/>
          <w:szCs w:val="24"/>
          <w:highlight w:val="none"/>
        </w:rPr>
      </w:pPr>
      <w:bookmarkStart w:id="383" w:name="_Toc89950782"/>
      <w:bookmarkStart w:id="384" w:name="_Toc21895"/>
      <w:bookmarkStart w:id="385" w:name="_Toc4718"/>
      <w:r>
        <w:rPr>
          <w:rFonts w:hint="eastAsia" w:asciiTheme="minorHAnsi"/>
          <w:b w:val="0"/>
          <w:color w:val="auto"/>
          <w:sz w:val="24"/>
          <w:szCs w:val="24"/>
          <w:highlight w:val="none"/>
        </w:rPr>
        <w:br w:type="page"/>
      </w:r>
    </w:p>
    <w:p w14:paraId="7BF91B3D">
      <w:pPr>
        <w:pStyle w:val="20"/>
        <w:pageBreakBefore w:val="0"/>
        <w:kinsoku/>
        <w:wordWrap/>
        <w:overflowPunct/>
        <w:topLinePunct w:val="0"/>
        <w:bidi w:val="0"/>
        <w:spacing w:line="360" w:lineRule="auto"/>
        <w:jc w:val="both"/>
        <w:rPr>
          <w:rFonts w:hint="eastAsia" w:eastAsia="宋体" w:asciiTheme="minorHAnsi"/>
          <w:b w:val="0"/>
          <w:color w:val="auto"/>
          <w:sz w:val="24"/>
          <w:szCs w:val="24"/>
          <w:highlight w:val="none"/>
          <w:lang w:eastAsia="zh-CN"/>
        </w:rPr>
      </w:pPr>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五</w:t>
      </w:r>
      <w:r>
        <w:rPr>
          <w:rFonts w:hint="eastAsia" w:asciiTheme="minorHAnsi"/>
          <w:b w:val="0"/>
          <w:color w:val="auto"/>
          <w:sz w:val="24"/>
          <w:szCs w:val="24"/>
          <w:highlight w:val="none"/>
        </w:rPr>
        <w:t>、拟投入主要设备</w:t>
      </w:r>
      <w:bookmarkEnd w:id="383"/>
      <w:r>
        <w:rPr>
          <w:rFonts w:hint="eastAsia" w:asciiTheme="minorHAnsi"/>
          <w:b w:val="0"/>
          <w:color w:val="auto"/>
          <w:sz w:val="24"/>
          <w:szCs w:val="24"/>
          <w:highlight w:val="none"/>
        </w:rPr>
        <w:t xml:space="preserve">  </w:t>
      </w:r>
      <w:bookmarkEnd w:id="384"/>
      <w:bookmarkEnd w:id="385"/>
      <w:r>
        <w:rPr>
          <w:rFonts w:hint="eastAsia" w:asciiTheme="minorHAnsi"/>
          <w:b w:val="0"/>
          <w:color w:val="auto"/>
          <w:sz w:val="24"/>
          <w:szCs w:val="24"/>
          <w:highlight w:val="none"/>
          <w:lang w:val="en-US" w:eastAsia="zh-CN"/>
        </w:rPr>
        <w:t xml:space="preserve"> </w:t>
      </w:r>
    </w:p>
    <w:p w14:paraId="05C1749C">
      <w:pPr>
        <w:pStyle w:val="15"/>
        <w:pageBreakBefore w:val="0"/>
        <w:kinsoku/>
        <w:wordWrap/>
        <w:overflowPunct/>
        <w:topLinePunct w:val="0"/>
        <w:bidi w:val="0"/>
        <w:spacing w:line="360" w:lineRule="auto"/>
        <w:jc w:val="center"/>
        <w:rPr>
          <w:rFonts w:asciiTheme="minorHAnsi"/>
          <w:b/>
          <w:color w:val="auto"/>
          <w:sz w:val="24"/>
          <w:highlight w:val="none"/>
        </w:rPr>
      </w:pPr>
      <w:r>
        <w:rPr>
          <w:rFonts w:hint="eastAsia" w:asciiTheme="minorHAnsi"/>
          <w:b/>
          <w:color w:val="auto"/>
          <w:sz w:val="24"/>
          <w:highlight w:val="none"/>
        </w:rPr>
        <w:t>拟投入主要设备</w:t>
      </w:r>
    </w:p>
    <w:p w14:paraId="54918F38">
      <w:pPr>
        <w:pStyle w:val="15"/>
        <w:pageBreakBefore w:val="0"/>
        <w:kinsoku/>
        <w:wordWrap/>
        <w:overflowPunct/>
        <w:topLinePunct w:val="0"/>
        <w:bidi w:val="0"/>
        <w:spacing w:line="360" w:lineRule="auto"/>
        <w:rPr>
          <w:rFonts w:asciiTheme="minorHAnsi"/>
          <w:color w:val="auto"/>
          <w:sz w:val="24"/>
          <w:highlight w:val="none"/>
          <w:u w:val="single"/>
        </w:rPr>
      </w:pPr>
      <w:r>
        <w:rPr>
          <w:rFonts w:hint="eastAsia" w:asciiTheme="minorHAnsi"/>
          <w:color w:val="auto"/>
          <w:sz w:val="24"/>
          <w:highlight w:val="none"/>
        </w:rPr>
        <w:t>项目名称：</w:t>
      </w:r>
      <w:r>
        <w:rPr>
          <w:rFonts w:hint="eastAsia" w:asciiTheme="minorHAnsi"/>
          <w:color w:val="auto"/>
          <w:sz w:val="24"/>
          <w:highlight w:val="none"/>
          <w:u w:val="single"/>
        </w:rPr>
        <w:t xml:space="preserve">                           </w:t>
      </w:r>
      <w:r>
        <w:rPr>
          <w:rFonts w:hint="eastAsia" w:asciiTheme="minorHAnsi"/>
          <w:color w:val="auto"/>
          <w:sz w:val="24"/>
          <w:highlight w:val="none"/>
        </w:rPr>
        <w:t>项目编号：</w:t>
      </w:r>
      <w:r>
        <w:rPr>
          <w:rFonts w:asciiTheme="minorHAnsi"/>
          <w:color w:val="auto"/>
          <w:sz w:val="24"/>
          <w:highlight w:val="none"/>
          <w:u w:val="single"/>
        </w:rPr>
        <w:t xml:space="preserve">                             </w:t>
      </w:r>
    </w:p>
    <w:tbl>
      <w:tblPr>
        <w:tblStyle w:val="26"/>
        <w:tblpPr w:leftFromText="180" w:rightFromText="180" w:vertAnchor="text" w:horzAnchor="margin" w:tblpX="20" w:tblpY="362"/>
        <w:tblW w:w="99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780"/>
        <w:gridCol w:w="2410"/>
        <w:gridCol w:w="1276"/>
        <w:gridCol w:w="1276"/>
        <w:gridCol w:w="1417"/>
        <w:gridCol w:w="851"/>
        <w:gridCol w:w="987"/>
      </w:tblGrid>
      <w:tr w14:paraId="33CBF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926" w:type="dxa"/>
          </w:tcPr>
          <w:p w14:paraId="35D516C0">
            <w:pPr>
              <w:pStyle w:val="49"/>
              <w:pageBreakBefore w:val="0"/>
              <w:kinsoku/>
              <w:wordWrap/>
              <w:overflowPunct/>
              <w:topLinePunct w:val="0"/>
              <w:bidi w:val="0"/>
              <w:spacing w:line="360" w:lineRule="auto"/>
              <w:ind w:left="212" w:right="204"/>
              <w:jc w:val="center"/>
              <w:rPr>
                <w:rFonts w:eastAsia="宋体" w:asciiTheme="minorHAnsi"/>
                <w:color w:val="auto"/>
                <w:sz w:val="24"/>
                <w:highlight w:val="none"/>
              </w:rPr>
            </w:pPr>
            <w:r>
              <w:rPr>
                <w:rFonts w:hint="eastAsia" w:eastAsia="宋体" w:asciiTheme="minorHAnsi"/>
                <w:color w:val="auto"/>
                <w:sz w:val="24"/>
                <w:highlight w:val="none"/>
              </w:rPr>
              <w:t>序号</w:t>
            </w:r>
          </w:p>
        </w:tc>
        <w:tc>
          <w:tcPr>
            <w:tcW w:w="780" w:type="dxa"/>
          </w:tcPr>
          <w:p w14:paraId="69D59FF4">
            <w:pPr>
              <w:pStyle w:val="49"/>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设备</w:t>
            </w:r>
          </w:p>
          <w:p w14:paraId="4C3EAE75">
            <w:pPr>
              <w:pStyle w:val="49"/>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名称</w:t>
            </w:r>
          </w:p>
        </w:tc>
        <w:tc>
          <w:tcPr>
            <w:tcW w:w="2410" w:type="dxa"/>
          </w:tcPr>
          <w:p w14:paraId="7295EBD1">
            <w:pPr>
              <w:pStyle w:val="49"/>
              <w:pageBreakBefore w:val="0"/>
              <w:kinsoku/>
              <w:wordWrap/>
              <w:overflowPunct/>
              <w:topLinePunct w:val="0"/>
              <w:bidi w:val="0"/>
              <w:spacing w:line="360" w:lineRule="auto"/>
              <w:ind w:left="480" w:hanging="480" w:hangingChars="200"/>
              <w:rPr>
                <w:rFonts w:eastAsia="宋体" w:asciiTheme="minorHAnsi"/>
                <w:color w:val="auto"/>
                <w:sz w:val="24"/>
                <w:highlight w:val="none"/>
              </w:rPr>
            </w:pPr>
            <w:r>
              <w:rPr>
                <w:rFonts w:hint="eastAsia" w:eastAsia="宋体" w:asciiTheme="minorHAnsi"/>
                <w:color w:val="auto"/>
                <w:sz w:val="24"/>
                <w:highlight w:val="none"/>
              </w:rPr>
              <w:t>规格型号及主要技术参数</w:t>
            </w:r>
          </w:p>
        </w:tc>
        <w:tc>
          <w:tcPr>
            <w:tcW w:w="1276" w:type="dxa"/>
          </w:tcPr>
          <w:p w14:paraId="68D47066">
            <w:pPr>
              <w:pStyle w:val="49"/>
              <w:pageBreakBefore w:val="0"/>
              <w:kinsoku/>
              <w:wordWrap/>
              <w:overflowPunct/>
              <w:topLinePunct w:val="0"/>
              <w:bidi w:val="0"/>
              <w:spacing w:before="170" w:line="360" w:lineRule="auto"/>
              <w:rPr>
                <w:rFonts w:eastAsia="宋体" w:asciiTheme="minorHAnsi"/>
                <w:color w:val="auto"/>
                <w:sz w:val="24"/>
                <w:highlight w:val="none"/>
              </w:rPr>
            </w:pPr>
            <w:r>
              <w:rPr>
                <w:rFonts w:hint="eastAsia" w:eastAsia="宋体" w:asciiTheme="minorHAnsi"/>
                <w:color w:val="auto"/>
                <w:sz w:val="24"/>
                <w:highlight w:val="none"/>
              </w:rPr>
              <w:t>投入数量</w:t>
            </w:r>
          </w:p>
          <w:p w14:paraId="640FBCEB">
            <w:pPr>
              <w:pStyle w:val="49"/>
              <w:pageBreakBefore w:val="0"/>
              <w:kinsoku/>
              <w:wordWrap/>
              <w:overflowPunct/>
              <w:topLinePunct w:val="0"/>
              <w:bidi w:val="0"/>
              <w:spacing w:before="5" w:line="360" w:lineRule="auto"/>
              <w:rPr>
                <w:rFonts w:eastAsia="宋体" w:asciiTheme="minorHAnsi"/>
                <w:color w:val="auto"/>
                <w:sz w:val="24"/>
                <w:highlight w:val="none"/>
              </w:rPr>
            </w:pPr>
            <w:r>
              <w:rPr>
                <w:rFonts w:hint="eastAsia" w:eastAsia="宋体" w:asciiTheme="minorHAnsi"/>
                <w:color w:val="auto"/>
                <w:sz w:val="24"/>
                <w:highlight w:val="none"/>
              </w:rPr>
              <w:t>（单位）</w:t>
            </w:r>
          </w:p>
        </w:tc>
        <w:tc>
          <w:tcPr>
            <w:tcW w:w="1276" w:type="dxa"/>
          </w:tcPr>
          <w:p w14:paraId="47DC6768">
            <w:pPr>
              <w:pStyle w:val="49"/>
              <w:pageBreakBefore w:val="0"/>
              <w:kinsoku/>
              <w:wordWrap/>
              <w:overflowPunct/>
              <w:topLinePunct w:val="0"/>
              <w:bidi w:val="0"/>
              <w:spacing w:line="360" w:lineRule="auto"/>
              <w:ind w:left="77"/>
              <w:rPr>
                <w:rFonts w:eastAsia="宋体" w:asciiTheme="minorHAnsi"/>
                <w:color w:val="auto"/>
                <w:sz w:val="24"/>
                <w:highlight w:val="none"/>
              </w:rPr>
            </w:pPr>
          </w:p>
          <w:p w14:paraId="50732E3F">
            <w:pPr>
              <w:pStyle w:val="49"/>
              <w:pageBreakBefore w:val="0"/>
              <w:kinsoku/>
              <w:wordWrap/>
              <w:overflowPunct/>
              <w:topLinePunct w:val="0"/>
              <w:bidi w:val="0"/>
              <w:spacing w:line="360" w:lineRule="auto"/>
              <w:ind w:left="77"/>
              <w:rPr>
                <w:rFonts w:eastAsia="宋体" w:asciiTheme="minorHAnsi"/>
                <w:color w:val="auto"/>
                <w:sz w:val="24"/>
                <w:highlight w:val="none"/>
              </w:rPr>
            </w:pPr>
            <w:r>
              <w:rPr>
                <w:rFonts w:hint="eastAsia" w:eastAsia="宋体" w:asciiTheme="minorHAnsi"/>
                <w:color w:val="auto"/>
                <w:sz w:val="24"/>
                <w:highlight w:val="none"/>
              </w:rPr>
              <w:t>性能说明</w:t>
            </w:r>
          </w:p>
        </w:tc>
        <w:tc>
          <w:tcPr>
            <w:tcW w:w="1417" w:type="dxa"/>
          </w:tcPr>
          <w:p w14:paraId="49D27734">
            <w:pPr>
              <w:pStyle w:val="49"/>
              <w:pageBreakBefore w:val="0"/>
              <w:kinsoku/>
              <w:wordWrap/>
              <w:overflowPunct/>
              <w:topLinePunct w:val="0"/>
              <w:bidi w:val="0"/>
              <w:spacing w:before="6" w:line="360" w:lineRule="auto"/>
              <w:rPr>
                <w:rFonts w:eastAsia="宋体" w:asciiTheme="minorHAnsi"/>
                <w:color w:val="auto"/>
                <w:sz w:val="24"/>
                <w:highlight w:val="none"/>
              </w:rPr>
            </w:pPr>
          </w:p>
          <w:p w14:paraId="13C964E8">
            <w:pPr>
              <w:pStyle w:val="49"/>
              <w:pageBreakBefore w:val="0"/>
              <w:kinsoku/>
              <w:wordWrap/>
              <w:overflowPunct/>
              <w:topLinePunct w:val="0"/>
              <w:bidi w:val="0"/>
              <w:spacing w:line="360" w:lineRule="auto"/>
              <w:rPr>
                <w:rFonts w:eastAsia="宋体" w:asciiTheme="minorHAnsi"/>
                <w:color w:val="auto"/>
                <w:sz w:val="24"/>
                <w:highlight w:val="none"/>
              </w:rPr>
            </w:pPr>
            <w:r>
              <w:rPr>
                <w:rFonts w:hint="eastAsia" w:eastAsia="宋体" w:asciiTheme="minorHAnsi"/>
                <w:color w:val="auto"/>
                <w:sz w:val="24"/>
                <w:highlight w:val="none"/>
              </w:rPr>
              <w:t>产品来源</w:t>
            </w:r>
          </w:p>
        </w:tc>
        <w:tc>
          <w:tcPr>
            <w:tcW w:w="851" w:type="dxa"/>
          </w:tcPr>
          <w:p w14:paraId="316CCD12">
            <w:pPr>
              <w:pStyle w:val="49"/>
              <w:pageBreakBefore w:val="0"/>
              <w:kinsoku/>
              <w:wordWrap/>
              <w:overflowPunct/>
              <w:topLinePunct w:val="0"/>
              <w:bidi w:val="0"/>
              <w:spacing w:before="6" w:line="360" w:lineRule="auto"/>
              <w:rPr>
                <w:rFonts w:eastAsia="宋体" w:asciiTheme="minorHAnsi"/>
                <w:color w:val="auto"/>
                <w:sz w:val="24"/>
                <w:highlight w:val="none"/>
              </w:rPr>
            </w:pPr>
          </w:p>
          <w:p w14:paraId="61C026AD">
            <w:pPr>
              <w:pStyle w:val="49"/>
              <w:pageBreakBefore w:val="0"/>
              <w:kinsoku/>
              <w:wordWrap/>
              <w:overflowPunct/>
              <w:topLinePunct w:val="0"/>
              <w:bidi w:val="0"/>
              <w:spacing w:line="360" w:lineRule="auto"/>
              <w:ind w:left="114"/>
              <w:rPr>
                <w:rFonts w:eastAsia="宋体" w:asciiTheme="minorHAnsi"/>
                <w:color w:val="auto"/>
                <w:sz w:val="24"/>
                <w:highlight w:val="none"/>
              </w:rPr>
            </w:pPr>
            <w:r>
              <w:rPr>
                <w:rFonts w:hint="eastAsia" w:eastAsia="宋体" w:asciiTheme="minorHAnsi"/>
                <w:color w:val="auto"/>
                <w:sz w:val="24"/>
                <w:highlight w:val="none"/>
              </w:rPr>
              <w:t>品牌</w:t>
            </w:r>
          </w:p>
        </w:tc>
        <w:tc>
          <w:tcPr>
            <w:tcW w:w="987" w:type="dxa"/>
          </w:tcPr>
          <w:p w14:paraId="285E6255">
            <w:pPr>
              <w:pStyle w:val="49"/>
              <w:pageBreakBefore w:val="0"/>
              <w:kinsoku/>
              <w:wordWrap/>
              <w:overflowPunct/>
              <w:topLinePunct w:val="0"/>
              <w:bidi w:val="0"/>
              <w:spacing w:line="360" w:lineRule="auto"/>
              <w:ind w:left="152"/>
              <w:rPr>
                <w:rFonts w:eastAsia="宋体" w:asciiTheme="minorHAnsi"/>
                <w:color w:val="auto"/>
                <w:sz w:val="24"/>
                <w:highlight w:val="none"/>
              </w:rPr>
            </w:pPr>
          </w:p>
          <w:p w14:paraId="071C0A50">
            <w:pPr>
              <w:pStyle w:val="49"/>
              <w:pageBreakBefore w:val="0"/>
              <w:kinsoku/>
              <w:wordWrap/>
              <w:overflowPunct/>
              <w:topLinePunct w:val="0"/>
              <w:bidi w:val="0"/>
              <w:spacing w:line="360" w:lineRule="auto"/>
              <w:ind w:left="152"/>
              <w:rPr>
                <w:rFonts w:eastAsia="宋体" w:asciiTheme="minorHAnsi"/>
                <w:color w:val="auto"/>
                <w:sz w:val="24"/>
                <w:highlight w:val="none"/>
              </w:rPr>
            </w:pPr>
            <w:r>
              <w:rPr>
                <w:rFonts w:hint="eastAsia" w:eastAsia="宋体" w:asciiTheme="minorHAnsi"/>
                <w:color w:val="auto"/>
                <w:sz w:val="24"/>
                <w:highlight w:val="none"/>
              </w:rPr>
              <w:t>产地</w:t>
            </w:r>
          </w:p>
        </w:tc>
      </w:tr>
      <w:tr w14:paraId="167E4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071F810F">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780" w:type="dxa"/>
          </w:tcPr>
          <w:p w14:paraId="4A372558">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A5CC32D">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0ED6777">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0EBECD2E">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62FC6532">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011FE64C">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AFEA3D3">
            <w:pPr>
              <w:pStyle w:val="49"/>
              <w:pageBreakBefore w:val="0"/>
              <w:kinsoku/>
              <w:wordWrap/>
              <w:overflowPunct/>
              <w:topLinePunct w:val="0"/>
              <w:bidi w:val="0"/>
              <w:spacing w:line="360" w:lineRule="auto"/>
              <w:rPr>
                <w:rFonts w:eastAsia="宋体" w:asciiTheme="minorHAnsi"/>
                <w:color w:val="auto"/>
                <w:sz w:val="24"/>
                <w:highlight w:val="none"/>
              </w:rPr>
            </w:pPr>
          </w:p>
        </w:tc>
      </w:tr>
      <w:tr w14:paraId="62EC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77B591E">
            <w:pPr>
              <w:pStyle w:val="49"/>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780" w:type="dxa"/>
          </w:tcPr>
          <w:p w14:paraId="4D8D5A97">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253EF656">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5BB0B3A0">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28547B98">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851ACB1">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46783ECE">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0E230E0D">
            <w:pPr>
              <w:pStyle w:val="49"/>
              <w:pageBreakBefore w:val="0"/>
              <w:kinsoku/>
              <w:wordWrap/>
              <w:overflowPunct/>
              <w:topLinePunct w:val="0"/>
              <w:bidi w:val="0"/>
              <w:spacing w:line="360" w:lineRule="auto"/>
              <w:rPr>
                <w:rFonts w:eastAsia="宋体" w:asciiTheme="minorHAnsi"/>
                <w:color w:val="auto"/>
                <w:sz w:val="24"/>
                <w:highlight w:val="none"/>
              </w:rPr>
            </w:pPr>
          </w:p>
        </w:tc>
      </w:tr>
      <w:tr w14:paraId="2E9EB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5D7A01B7">
            <w:pPr>
              <w:pStyle w:val="49"/>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780" w:type="dxa"/>
          </w:tcPr>
          <w:p w14:paraId="6A51997F">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E4E2797">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BF76E43">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E98A8BF">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6455116D">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559C1F0B">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779E2B65">
            <w:pPr>
              <w:pStyle w:val="49"/>
              <w:pageBreakBefore w:val="0"/>
              <w:kinsoku/>
              <w:wordWrap/>
              <w:overflowPunct/>
              <w:topLinePunct w:val="0"/>
              <w:bidi w:val="0"/>
              <w:spacing w:line="360" w:lineRule="auto"/>
              <w:rPr>
                <w:rFonts w:eastAsia="宋体" w:asciiTheme="minorHAnsi"/>
                <w:color w:val="auto"/>
                <w:sz w:val="24"/>
                <w:highlight w:val="none"/>
              </w:rPr>
            </w:pPr>
          </w:p>
        </w:tc>
      </w:tr>
      <w:tr w14:paraId="66A1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08FB40E">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4</w:t>
            </w:r>
          </w:p>
        </w:tc>
        <w:tc>
          <w:tcPr>
            <w:tcW w:w="780" w:type="dxa"/>
          </w:tcPr>
          <w:p w14:paraId="38EB8DDA">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987C4EB">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8392702">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9562AB2">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5583BCFD">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5C513DE">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57A83563">
            <w:pPr>
              <w:pStyle w:val="49"/>
              <w:pageBreakBefore w:val="0"/>
              <w:kinsoku/>
              <w:wordWrap/>
              <w:overflowPunct/>
              <w:topLinePunct w:val="0"/>
              <w:bidi w:val="0"/>
              <w:spacing w:line="360" w:lineRule="auto"/>
              <w:rPr>
                <w:rFonts w:eastAsia="宋体" w:asciiTheme="minorHAnsi"/>
                <w:color w:val="auto"/>
                <w:sz w:val="24"/>
                <w:highlight w:val="none"/>
              </w:rPr>
            </w:pPr>
          </w:p>
        </w:tc>
      </w:tr>
      <w:tr w14:paraId="53DE8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C0FD217">
            <w:pPr>
              <w:pStyle w:val="49"/>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5</w:t>
            </w:r>
          </w:p>
        </w:tc>
        <w:tc>
          <w:tcPr>
            <w:tcW w:w="780" w:type="dxa"/>
          </w:tcPr>
          <w:p w14:paraId="24724AB5">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50F04DE">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E225D08">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E6CB57F">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1806D701">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4BF8FA9">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610E77E5">
            <w:pPr>
              <w:pStyle w:val="49"/>
              <w:pageBreakBefore w:val="0"/>
              <w:kinsoku/>
              <w:wordWrap/>
              <w:overflowPunct/>
              <w:topLinePunct w:val="0"/>
              <w:bidi w:val="0"/>
              <w:spacing w:line="360" w:lineRule="auto"/>
              <w:rPr>
                <w:rFonts w:eastAsia="宋体" w:asciiTheme="minorHAnsi"/>
                <w:color w:val="auto"/>
                <w:sz w:val="24"/>
                <w:highlight w:val="none"/>
              </w:rPr>
            </w:pPr>
          </w:p>
        </w:tc>
      </w:tr>
      <w:tr w14:paraId="76EB0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004500F">
            <w:pPr>
              <w:pStyle w:val="49"/>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6</w:t>
            </w:r>
          </w:p>
        </w:tc>
        <w:tc>
          <w:tcPr>
            <w:tcW w:w="780" w:type="dxa"/>
          </w:tcPr>
          <w:p w14:paraId="4B54871E">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11E44A6B">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D62AD36">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4848344">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8B3BDEF">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12A557F2">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251A1552">
            <w:pPr>
              <w:pStyle w:val="49"/>
              <w:pageBreakBefore w:val="0"/>
              <w:kinsoku/>
              <w:wordWrap/>
              <w:overflowPunct/>
              <w:topLinePunct w:val="0"/>
              <w:bidi w:val="0"/>
              <w:spacing w:line="360" w:lineRule="auto"/>
              <w:rPr>
                <w:rFonts w:eastAsia="宋体" w:asciiTheme="minorHAnsi"/>
                <w:color w:val="auto"/>
                <w:sz w:val="24"/>
                <w:highlight w:val="none"/>
              </w:rPr>
            </w:pPr>
          </w:p>
        </w:tc>
      </w:tr>
      <w:tr w14:paraId="20DE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F74094C">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w:t>
            </w:r>
          </w:p>
        </w:tc>
        <w:tc>
          <w:tcPr>
            <w:tcW w:w="780" w:type="dxa"/>
          </w:tcPr>
          <w:p w14:paraId="0E68E99D">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D91C011">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34B701E">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6B501A24">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786FAACE">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0E03B49">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CADF3FC">
            <w:pPr>
              <w:pStyle w:val="49"/>
              <w:pageBreakBefore w:val="0"/>
              <w:kinsoku/>
              <w:wordWrap/>
              <w:overflowPunct/>
              <w:topLinePunct w:val="0"/>
              <w:bidi w:val="0"/>
              <w:spacing w:line="360" w:lineRule="auto"/>
              <w:rPr>
                <w:rFonts w:eastAsia="宋体" w:asciiTheme="minorHAnsi"/>
                <w:color w:val="auto"/>
                <w:sz w:val="24"/>
                <w:highlight w:val="none"/>
              </w:rPr>
            </w:pPr>
          </w:p>
        </w:tc>
      </w:tr>
    </w:tbl>
    <w:p w14:paraId="0EE8F920">
      <w:pPr>
        <w:pStyle w:val="39"/>
        <w:pageBreakBefore w:val="0"/>
        <w:kinsoku/>
        <w:wordWrap/>
        <w:overflowPunct/>
        <w:topLinePunct w:val="0"/>
        <w:bidi w:val="0"/>
        <w:adjustRightInd w:val="0"/>
        <w:snapToGrid w:val="0"/>
        <w:spacing w:line="360" w:lineRule="auto"/>
        <w:ind w:right="84" w:rightChars="40" w:firstLine="2640" w:firstLineChars="1100"/>
        <w:rPr>
          <w:rFonts w:hAnsi="宋体" w:asciiTheme="minorHAnsi"/>
          <w:color w:val="auto"/>
          <w:sz w:val="24"/>
          <w:szCs w:val="24"/>
          <w:highlight w:val="none"/>
        </w:rPr>
      </w:pPr>
    </w:p>
    <w:p w14:paraId="72A9DBBC">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67C7D03B">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28EE2B9A">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40FFFE82">
      <w:pPr>
        <w:pageBreakBefore w:val="0"/>
        <w:kinsoku/>
        <w:wordWrap/>
        <w:overflowPunct/>
        <w:topLinePunct w:val="0"/>
        <w:bidi w:val="0"/>
        <w:adjustRightInd w:val="0"/>
        <w:snapToGrid w:val="0"/>
        <w:spacing w:line="360" w:lineRule="auto"/>
        <w:rPr>
          <w:color w:val="auto"/>
          <w:sz w:val="28"/>
          <w:szCs w:val="28"/>
          <w:highlight w:val="none"/>
        </w:rPr>
      </w:pPr>
    </w:p>
    <w:p w14:paraId="50CE52E3">
      <w:pPr>
        <w:pStyle w:val="6"/>
        <w:pageBreakBefore w:val="0"/>
        <w:kinsoku/>
        <w:wordWrap/>
        <w:overflowPunct/>
        <w:topLinePunct w:val="0"/>
        <w:bidi w:val="0"/>
        <w:adjustRightInd w:val="0"/>
        <w:snapToGrid w:val="0"/>
        <w:spacing w:line="360" w:lineRule="auto"/>
        <w:rPr>
          <w:color w:val="auto"/>
          <w:sz w:val="28"/>
          <w:szCs w:val="28"/>
          <w:highlight w:val="none"/>
        </w:rPr>
      </w:pPr>
    </w:p>
    <w:p w14:paraId="1B2186EE">
      <w:pPr>
        <w:pageBreakBefore w:val="0"/>
        <w:kinsoku/>
        <w:wordWrap/>
        <w:overflowPunct/>
        <w:topLinePunct w:val="0"/>
        <w:bidi w:val="0"/>
        <w:adjustRightInd w:val="0"/>
        <w:snapToGrid w:val="0"/>
        <w:spacing w:line="360" w:lineRule="auto"/>
        <w:rPr>
          <w:color w:val="auto"/>
          <w:sz w:val="28"/>
          <w:szCs w:val="28"/>
          <w:highlight w:val="none"/>
        </w:rPr>
      </w:pPr>
    </w:p>
    <w:p w14:paraId="652E9E3D">
      <w:pPr>
        <w:rPr>
          <w:rFonts w:hint="eastAsia" w:asciiTheme="minorHAnsi"/>
          <w:b w:val="0"/>
          <w:color w:val="auto"/>
          <w:sz w:val="24"/>
          <w:szCs w:val="24"/>
          <w:highlight w:val="none"/>
        </w:rPr>
      </w:pPr>
      <w:bookmarkStart w:id="386" w:name="_Toc31933"/>
      <w:bookmarkStart w:id="387" w:name="_Toc89950783"/>
      <w:r>
        <w:rPr>
          <w:rFonts w:hint="eastAsia" w:asciiTheme="minorHAnsi"/>
          <w:b w:val="0"/>
          <w:color w:val="auto"/>
          <w:sz w:val="24"/>
          <w:szCs w:val="24"/>
          <w:highlight w:val="none"/>
        </w:rPr>
        <w:br w:type="page"/>
      </w:r>
    </w:p>
    <w:p w14:paraId="087B278D">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88" w:name="_Toc3070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六</w:t>
      </w:r>
      <w:r>
        <w:rPr>
          <w:rFonts w:hint="eastAsia" w:asciiTheme="minorHAnsi"/>
          <w:b w:val="0"/>
          <w:color w:val="auto"/>
          <w:sz w:val="24"/>
          <w:szCs w:val="24"/>
          <w:highlight w:val="none"/>
        </w:rPr>
        <w:t>、技术响应/偏离表</w:t>
      </w:r>
      <w:bookmarkEnd w:id="386"/>
      <w:bookmarkEnd w:id="387"/>
      <w:bookmarkEnd w:id="388"/>
      <w:r>
        <w:rPr>
          <w:rFonts w:hint="eastAsia" w:asciiTheme="minorHAnsi"/>
          <w:b w:val="0"/>
          <w:color w:val="auto"/>
          <w:sz w:val="24"/>
          <w:szCs w:val="24"/>
          <w:highlight w:val="none"/>
        </w:rPr>
        <w:t xml:space="preserve">       </w:t>
      </w:r>
    </w:p>
    <w:p w14:paraId="21F40D2F">
      <w:pPr>
        <w:pageBreakBefore w:val="0"/>
        <w:kinsoku/>
        <w:wordWrap/>
        <w:overflowPunct/>
        <w:topLinePunct w:val="0"/>
        <w:bidi w:val="0"/>
        <w:spacing w:line="360" w:lineRule="auto"/>
        <w:jc w:val="center"/>
        <w:rPr>
          <w:b/>
          <w:bCs/>
          <w:color w:val="auto"/>
          <w:sz w:val="24"/>
          <w:highlight w:val="none"/>
        </w:rPr>
      </w:pPr>
      <w:r>
        <w:rPr>
          <w:rFonts w:hint="eastAsia"/>
          <w:b/>
          <w:bCs/>
          <w:color w:val="auto"/>
          <w:sz w:val="24"/>
          <w:highlight w:val="none"/>
        </w:rPr>
        <w:t>服务内容响应/偏离表</w:t>
      </w:r>
    </w:p>
    <w:p w14:paraId="5D3E8426">
      <w:pPr>
        <w:pStyle w:val="46"/>
        <w:pageBreakBefore w:val="0"/>
        <w:kinsoku/>
        <w:wordWrap/>
        <w:overflowPunct/>
        <w:topLinePunct w:val="0"/>
        <w:bidi w:val="0"/>
        <w:adjustRightInd w:val="0"/>
        <w:snapToGrid w:val="0"/>
        <w:spacing w:line="360" w:lineRule="auto"/>
        <w:rPr>
          <w:rFonts w:hint="eastAsia" w:hAnsi="宋体" w:asciiTheme="minorHAnsi"/>
          <w:b/>
          <w:color w:val="auto"/>
          <w:kern w:val="2"/>
          <w:sz w:val="24"/>
          <w:szCs w:val="24"/>
          <w:highlight w:val="none"/>
          <w:lang w:val="en-US"/>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r>
        <w:rPr>
          <w:rFonts w:hint="eastAsia" w:hAnsi="宋体" w:asciiTheme="minorHAnsi"/>
          <w:b/>
          <w:color w:val="auto"/>
          <w:kern w:val="2"/>
          <w:sz w:val="24"/>
          <w:szCs w:val="24"/>
          <w:highlight w:val="none"/>
          <w:lang w:val="en-US"/>
        </w:rPr>
        <w:t xml:space="preserve"> </w:t>
      </w:r>
    </w:p>
    <w:tbl>
      <w:tblPr>
        <w:tblStyle w:val="26"/>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20"/>
        <w:gridCol w:w="2493"/>
        <w:gridCol w:w="2497"/>
        <w:gridCol w:w="1501"/>
        <w:gridCol w:w="1149"/>
      </w:tblGrid>
      <w:tr w14:paraId="52A6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00" w:type="dxa"/>
            <w:vAlign w:val="center"/>
          </w:tcPr>
          <w:p w14:paraId="68094B01">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序号</w:t>
            </w:r>
          </w:p>
        </w:tc>
        <w:tc>
          <w:tcPr>
            <w:tcW w:w="1220" w:type="dxa"/>
            <w:vAlign w:val="center"/>
          </w:tcPr>
          <w:p w14:paraId="078B0B01">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服务名称</w:t>
            </w:r>
          </w:p>
        </w:tc>
        <w:tc>
          <w:tcPr>
            <w:tcW w:w="2493" w:type="dxa"/>
            <w:vAlign w:val="center"/>
          </w:tcPr>
          <w:p w14:paraId="02038EB5">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磋商文件的技术要求</w:t>
            </w:r>
          </w:p>
        </w:tc>
        <w:tc>
          <w:tcPr>
            <w:tcW w:w="2497" w:type="dxa"/>
            <w:vAlign w:val="center"/>
          </w:tcPr>
          <w:p w14:paraId="0E4FA0A7">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响应文件的技术响应</w:t>
            </w:r>
          </w:p>
        </w:tc>
        <w:tc>
          <w:tcPr>
            <w:tcW w:w="1501" w:type="dxa"/>
            <w:vAlign w:val="center"/>
          </w:tcPr>
          <w:p w14:paraId="60EF46F0">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响应/偏离</w:t>
            </w:r>
          </w:p>
        </w:tc>
        <w:tc>
          <w:tcPr>
            <w:tcW w:w="1149" w:type="dxa"/>
            <w:vAlign w:val="center"/>
          </w:tcPr>
          <w:p w14:paraId="1800F688">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说明</w:t>
            </w:r>
          </w:p>
        </w:tc>
      </w:tr>
      <w:tr w14:paraId="16F9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trPr>
        <w:tc>
          <w:tcPr>
            <w:tcW w:w="1100" w:type="dxa"/>
            <w:vAlign w:val="center"/>
          </w:tcPr>
          <w:p w14:paraId="17F6A294">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1</w:t>
            </w:r>
          </w:p>
        </w:tc>
        <w:tc>
          <w:tcPr>
            <w:tcW w:w="1220" w:type="dxa"/>
            <w:vAlign w:val="center"/>
          </w:tcPr>
          <w:p w14:paraId="5A9B9A7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885C8E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7405934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0560247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0F57446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42C1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100" w:type="dxa"/>
            <w:vAlign w:val="center"/>
          </w:tcPr>
          <w:p w14:paraId="28E4043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2</w:t>
            </w:r>
          </w:p>
        </w:tc>
        <w:tc>
          <w:tcPr>
            <w:tcW w:w="1220" w:type="dxa"/>
            <w:vAlign w:val="center"/>
          </w:tcPr>
          <w:p w14:paraId="527B866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82A882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5C4919B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616294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64F6BE0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61BE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100" w:type="dxa"/>
            <w:vAlign w:val="center"/>
          </w:tcPr>
          <w:p w14:paraId="6F6011F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3</w:t>
            </w:r>
          </w:p>
        </w:tc>
        <w:tc>
          <w:tcPr>
            <w:tcW w:w="1220" w:type="dxa"/>
            <w:vAlign w:val="center"/>
          </w:tcPr>
          <w:p w14:paraId="6C72FF0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7FBF4FE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FA6AD6C">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91A59C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FDD465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6637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1100" w:type="dxa"/>
            <w:vAlign w:val="center"/>
          </w:tcPr>
          <w:p w14:paraId="5274E56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w:t>
            </w:r>
          </w:p>
        </w:tc>
        <w:tc>
          <w:tcPr>
            <w:tcW w:w="1220" w:type="dxa"/>
            <w:vAlign w:val="center"/>
          </w:tcPr>
          <w:p w14:paraId="4AE056B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056C7D6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C7FE8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D79C83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B884475">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07B7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00" w:type="dxa"/>
            <w:vAlign w:val="center"/>
          </w:tcPr>
          <w:p w14:paraId="7B0CE8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3DFB0F0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42C5BF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164D3D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7A7A172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E0B567C">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33DE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1100" w:type="dxa"/>
            <w:vAlign w:val="center"/>
          </w:tcPr>
          <w:p w14:paraId="4E78C53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65900CF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5DFCA4F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76684BC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4C5A854">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3AECCDC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79F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100" w:type="dxa"/>
            <w:vAlign w:val="center"/>
          </w:tcPr>
          <w:p w14:paraId="525ED29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14996F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233BE21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53DFEA76">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1B8E9A5">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5D22F2C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1B0A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100" w:type="dxa"/>
            <w:vAlign w:val="center"/>
          </w:tcPr>
          <w:p w14:paraId="4DB349A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36A63F3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75B2C8E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59FB77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F429DC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C156AE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771A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vAlign w:val="center"/>
          </w:tcPr>
          <w:p w14:paraId="1CC6FA18">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vAlign w:val="center"/>
          </w:tcPr>
          <w:p w14:paraId="5CD1DF0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4E9ACE6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5C2B97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29A394B">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100665E">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r w14:paraId="77C7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tcBorders>
              <w:bottom w:val="single" w:color="auto" w:sz="4" w:space="0"/>
            </w:tcBorders>
            <w:vAlign w:val="center"/>
          </w:tcPr>
          <w:p w14:paraId="64808E21">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tcBorders>
              <w:bottom w:val="single" w:color="auto" w:sz="4" w:space="0"/>
            </w:tcBorders>
            <w:vAlign w:val="center"/>
          </w:tcPr>
          <w:p w14:paraId="0FFC707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tcBorders>
              <w:bottom w:val="single" w:color="auto" w:sz="4" w:space="0"/>
            </w:tcBorders>
            <w:vAlign w:val="center"/>
          </w:tcPr>
          <w:p w14:paraId="0507981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tcBorders>
              <w:bottom w:val="single" w:color="auto" w:sz="4" w:space="0"/>
            </w:tcBorders>
            <w:vAlign w:val="center"/>
          </w:tcPr>
          <w:p w14:paraId="3C6FA40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tcBorders>
              <w:bottom w:val="single" w:color="auto" w:sz="4" w:space="0"/>
            </w:tcBorders>
            <w:vAlign w:val="center"/>
          </w:tcPr>
          <w:p w14:paraId="779C44F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tcBorders>
              <w:bottom w:val="single" w:color="auto" w:sz="4" w:space="0"/>
            </w:tcBorders>
            <w:vAlign w:val="center"/>
          </w:tcPr>
          <w:p w14:paraId="18512DB6">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bl>
    <w:p w14:paraId="3B2A0AEB">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2A4F4BF2">
      <w:pPr>
        <w:pageBreakBefore w:val="0"/>
        <w:kinsoku/>
        <w:wordWrap/>
        <w:overflowPunct/>
        <w:topLinePunct w:val="0"/>
        <w:bidi w:val="0"/>
        <w:spacing w:line="360" w:lineRule="auto"/>
        <w:ind w:firstLine="240" w:firstLineChars="100"/>
        <w:rPr>
          <w:rFonts w:hAnsi="宋体" w:eastAsia="宋体" w:cs="Times New Roman"/>
          <w:color w:val="auto"/>
          <w:sz w:val="24"/>
          <w:highlight w:val="none"/>
        </w:rPr>
      </w:pPr>
      <w:r>
        <w:rPr>
          <w:rFonts w:hint="eastAsia" w:hAnsi="宋体" w:eastAsia="宋体" w:cs="Times New Roman"/>
          <w:color w:val="auto"/>
          <w:sz w:val="24"/>
          <w:highlight w:val="none"/>
        </w:rPr>
        <w:t>“响应/偏离”应注明“响应”或“正/负偏离”。</w:t>
      </w:r>
    </w:p>
    <w:p w14:paraId="7157FC5E">
      <w:pPr>
        <w:pStyle w:val="52"/>
        <w:pageBreakBefore w:val="0"/>
        <w:widowControl/>
        <w:tabs>
          <w:tab w:val="left" w:pos="360"/>
        </w:tabs>
        <w:kinsoku/>
        <w:wordWrap/>
        <w:overflowPunct/>
        <w:topLinePunct w:val="0"/>
        <w:bidi w:val="0"/>
        <w:adjustRightInd w:val="0"/>
        <w:snapToGrid w:val="0"/>
        <w:spacing w:line="360" w:lineRule="auto"/>
        <w:ind w:right="84" w:rightChars="40" w:firstLine="560"/>
        <w:jc w:val="left"/>
        <w:rPr>
          <w:rFonts w:hAnsi="宋体" w:asciiTheme="minorHAnsi"/>
          <w:color w:val="auto"/>
          <w:sz w:val="24"/>
          <w:szCs w:val="24"/>
          <w:highlight w:val="none"/>
        </w:rPr>
      </w:pPr>
    </w:p>
    <w:p w14:paraId="2F885093">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33FDAD31">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1EA33410">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57ED2EFB">
      <w:pPr>
        <w:pageBreakBefore w:val="0"/>
        <w:kinsoku/>
        <w:wordWrap/>
        <w:overflowPunct/>
        <w:topLinePunct w:val="0"/>
        <w:bidi w:val="0"/>
        <w:spacing w:line="360" w:lineRule="auto"/>
        <w:ind w:firstLine="2168" w:firstLineChars="900"/>
        <w:rPr>
          <w:rFonts w:hint="eastAsia"/>
          <w:b/>
          <w:bCs/>
          <w:color w:val="auto"/>
          <w:sz w:val="24"/>
          <w:highlight w:val="none"/>
        </w:rPr>
      </w:pPr>
    </w:p>
    <w:p w14:paraId="4696515E">
      <w:pPr>
        <w:rPr>
          <w:rFonts w:hint="eastAsia"/>
          <w:b/>
          <w:bCs/>
          <w:color w:val="auto"/>
          <w:sz w:val="24"/>
          <w:highlight w:val="none"/>
        </w:rPr>
      </w:pPr>
      <w:r>
        <w:rPr>
          <w:rFonts w:hint="eastAsia"/>
          <w:b/>
          <w:bCs/>
          <w:color w:val="auto"/>
          <w:sz w:val="24"/>
          <w:highlight w:val="none"/>
        </w:rPr>
        <w:br w:type="page"/>
      </w:r>
    </w:p>
    <w:p w14:paraId="5D7B1A41">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89" w:name="_Toc8439"/>
      <w:bookmarkStart w:id="390" w:name="_Toc89950785"/>
      <w:bookmarkStart w:id="391" w:name="_Toc17769"/>
      <w:r>
        <w:rPr>
          <w:rFonts w:hint="eastAsia" w:asciiTheme="minorHAnsi"/>
          <w:b w:val="0"/>
          <w:color w:val="auto"/>
          <w:sz w:val="24"/>
          <w:szCs w:val="24"/>
          <w:highlight w:val="none"/>
          <w:lang w:val="en-US" w:eastAsia="zh-CN"/>
        </w:rPr>
        <w:t>十七</w:t>
      </w:r>
      <w:r>
        <w:rPr>
          <w:rFonts w:hint="eastAsia" w:asciiTheme="minorHAnsi"/>
          <w:b w:val="0"/>
          <w:color w:val="auto"/>
          <w:sz w:val="24"/>
          <w:szCs w:val="24"/>
          <w:highlight w:val="none"/>
        </w:rPr>
        <w:t>、项目负责人</w:t>
      </w:r>
      <w:bookmarkEnd w:id="389"/>
      <w:bookmarkEnd w:id="390"/>
      <w:bookmarkEnd w:id="391"/>
    </w:p>
    <w:p w14:paraId="63F67271">
      <w:pPr>
        <w:pStyle w:val="15"/>
        <w:pageBreakBefore w:val="0"/>
        <w:kinsoku/>
        <w:wordWrap/>
        <w:overflowPunct/>
        <w:topLinePunct w:val="0"/>
        <w:bidi w:val="0"/>
        <w:spacing w:line="360" w:lineRule="auto"/>
        <w:ind w:firstLine="3373" w:firstLineChars="1400"/>
        <w:rPr>
          <w:rFonts w:asciiTheme="minorHAnsi"/>
          <w:b/>
          <w:color w:val="auto"/>
          <w:sz w:val="24"/>
          <w:highlight w:val="none"/>
        </w:rPr>
      </w:pPr>
      <w:r>
        <w:rPr>
          <w:rFonts w:asciiTheme="minorHAnsi"/>
          <w:b/>
          <w:color w:val="auto"/>
          <w:sz w:val="24"/>
          <w:highlight w:val="none"/>
        </w:rPr>
        <w:t>项目负责人</w:t>
      </w:r>
      <w:r>
        <w:rPr>
          <w:rFonts w:hint="eastAsia" w:asciiTheme="minorHAnsi"/>
          <w:b/>
          <w:color w:val="auto"/>
          <w:sz w:val="24"/>
          <w:highlight w:val="none"/>
        </w:rPr>
        <w:t xml:space="preserve">       </w:t>
      </w:r>
      <w:r>
        <w:rPr>
          <w:rFonts w:hint="eastAsia" w:asciiTheme="minorHAnsi"/>
          <w:b/>
          <w:color w:val="auto"/>
          <w:sz w:val="24"/>
          <w:highlight w:val="none"/>
          <w:lang w:eastAsia="zh-CN"/>
        </w:rPr>
        <w:t>（</w:t>
      </w:r>
      <w:r>
        <w:rPr>
          <w:rFonts w:hint="eastAsia" w:asciiTheme="minorHAnsi"/>
          <w:b/>
          <w:color w:val="auto"/>
          <w:sz w:val="24"/>
          <w:highlight w:val="none"/>
          <w:lang w:val="en-US" w:eastAsia="zh-CN"/>
        </w:rPr>
        <w:t>如需要</w:t>
      </w:r>
      <w:r>
        <w:rPr>
          <w:rFonts w:hint="eastAsia" w:asciiTheme="minorHAnsi"/>
          <w:b/>
          <w:color w:val="auto"/>
          <w:sz w:val="24"/>
          <w:highlight w:val="none"/>
          <w:lang w:eastAsia="zh-CN"/>
        </w:rPr>
        <w:t>）</w:t>
      </w:r>
      <w:r>
        <w:rPr>
          <w:rFonts w:hint="eastAsia" w:asciiTheme="minorHAnsi"/>
          <w:b/>
          <w:color w:val="auto"/>
          <w:sz w:val="24"/>
          <w:highlight w:val="none"/>
        </w:rPr>
        <w:t xml:space="preserve">    </w:t>
      </w:r>
    </w:p>
    <w:p w14:paraId="5DF5C003">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X="16" w:tblpY="121"/>
        <w:tblW w:w="95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71"/>
        <w:gridCol w:w="2422"/>
        <w:gridCol w:w="1005"/>
        <w:gridCol w:w="1073"/>
        <w:gridCol w:w="1714"/>
        <w:gridCol w:w="2021"/>
      </w:tblGrid>
      <w:tr w14:paraId="33D8E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271" w:type="dxa"/>
            <w:vAlign w:val="center"/>
          </w:tcPr>
          <w:p w14:paraId="170BA544">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姓名</w:t>
            </w:r>
          </w:p>
        </w:tc>
        <w:tc>
          <w:tcPr>
            <w:tcW w:w="2422" w:type="dxa"/>
            <w:vAlign w:val="center"/>
          </w:tcPr>
          <w:p w14:paraId="60C8DF47">
            <w:pPr>
              <w:pStyle w:val="49"/>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033BF432">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年龄</w:t>
            </w:r>
          </w:p>
        </w:tc>
        <w:tc>
          <w:tcPr>
            <w:tcW w:w="1073" w:type="dxa"/>
            <w:vAlign w:val="center"/>
          </w:tcPr>
          <w:p w14:paraId="573DFEAD">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3E8BDF02">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身份证号码</w:t>
            </w:r>
          </w:p>
        </w:tc>
        <w:tc>
          <w:tcPr>
            <w:tcW w:w="2021" w:type="dxa"/>
            <w:vAlign w:val="center"/>
          </w:tcPr>
          <w:p w14:paraId="6268034E">
            <w:pPr>
              <w:pStyle w:val="49"/>
              <w:pageBreakBefore w:val="0"/>
              <w:kinsoku/>
              <w:wordWrap/>
              <w:overflowPunct/>
              <w:topLinePunct w:val="0"/>
              <w:bidi w:val="0"/>
              <w:spacing w:line="360" w:lineRule="auto"/>
              <w:jc w:val="center"/>
              <w:rPr>
                <w:rFonts w:asciiTheme="minorHAnsi"/>
                <w:color w:val="auto"/>
                <w:sz w:val="24"/>
                <w:highlight w:val="none"/>
              </w:rPr>
            </w:pPr>
          </w:p>
        </w:tc>
      </w:tr>
      <w:tr w14:paraId="5C326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271" w:type="dxa"/>
            <w:vAlign w:val="center"/>
          </w:tcPr>
          <w:p w14:paraId="2B768F06">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毕业学校</w:t>
            </w:r>
          </w:p>
        </w:tc>
        <w:tc>
          <w:tcPr>
            <w:tcW w:w="4500" w:type="dxa"/>
            <w:gridSpan w:val="3"/>
            <w:vAlign w:val="center"/>
          </w:tcPr>
          <w:p w14:paraId="77A03ED4">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111FA74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专业</w:t>
            </w:r>
          </w:p>
        </w:tc>
        <w:tc>
          <w:tcPr>
            <w:tcW w:w="2021" w:type="dxa"/>
            <w:vAlign w:val="center"/>
          </w:tcPr>
          <w:p w14:paraId="27052C28">
            <w:pPr>
              <w:pStyle w:val="49"/>
              <w:pageBreakBefore w:val="0"/>
              <w:kinsoku/>
              <w:wordWrap/>
              <w:overflowPunct/>
              <w:topLinePunct w:val="0"/>
              <w:bidi w:val="0"/>
              <w:spacing w:line="360" w:lineRule="auto"/>
              <w:jc w:val="center"/>
              <w:rPr>
                <w:rFonts w:asciiTheme="minorHAnsi"/>
                <w:color w:val="auto"/>
                <w:sz w:val="24"/>
                <w:highlight w:val="none"/>
              </w:rPr>
            </w:pPr>
          </w:p>
        </w:tc>
      </w:tr>
      <w:tr w14:paraId="4CC3D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271" w:type="dxa"/>
            <w:vAlign w:val="center"/>
          </w:tcPr>
          <w:p w14:paraId="380EFA38">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学位</w:t>
            </w:r>
          </w:p>
        </w:tc>
        <w:tc>
          <w:tcPr>
            <w:tcW w:w="2422" w:type="dxa"/>
            <w:vAlign w:val="center"/>
          </w:tcPr>
          <w:p w14:paraId="4C92E854">
            <w:pPr>
              <w:pStyle w:val="49"/>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74395D44">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职称</w:t>
            </w:r>
          </w:p>
        </w:tc>
        <w:tc>
          <w:tcPr>
            <w:tcW w:w="1073" w:type="dxa"/>
            <w:vAlign w:val="center"/>
          </w:tcPr>
          <w:p w14:paraId="192E4B25">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53BD35B0">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职务</w:t>
            </w:r>
          </w:p>
        </w:tc>
        <w:tc>
          <w:tcPr>
            <w:tcW w:w="2021" w:type="dxa"/>
            <w:vAlign w:val="center"/>
          </w:tcPr>
          <w:p w14:paraId="279ED0BB">
            <w:pPr>
              <w:pStyle w:val="49"/>
              <w:pageBreakBefore w:val="0"/>
              <w:kinsoku/>
              <w:wordWrap/>
              <w:overflowPunct/>
              <w:topLinePunct w:val="0"/>
              <w:bidi w:val="0"/>
              <w:spacing w:line="360" w:lineRule="auto"/>
              <w:jc w:val="center"/>
              <w:rPr>
                <w:rFonts w:asciiTheme="minorHAnsi"/>
                <w:color w:val="auto"/>
                <w:sz w:val="24"/>
                <w:highlight w:val="none"/>
              </w:rPr>
            </w:pPr>
          </w:p>
        </w:tc>
      </w:tr>
      <w:tr w14:paraId="5F0CD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271" w:type="dxa"/>
            <w:vAlign w:val="center"/>
          </w:tcPr>
          <w:p w14:paraId="0EF226C5">
            <w:pPr>
              <w:pStyle w:val="49"/>
              <w:pageBreakBefore w:val="0"/>
              <w:kinsoku/>
              <w:wordWrap/>
              <w:overflowPunct/>
              <w:topLinePunct w:val="0"/>
              <w:bidi w:val="0"/>
              <w:spacing w:before="201" w:line="360" w:lineRule="auto"/>
              <w:ind w:left="5" w:right="-15"/>
              <w:jc w:val="center"/>
              <w:rPr>
                <w:rFonts w:asciiTheme="minorHAnsi"/>
                <w:color w:val="auto"/>
                <w:sz w:val="24"/>
                <w:highlight w:val="none"/>
              </w:rPr>
            </w:pPr>
            <w:r>
              <w:rPr>
                <w:rFonts w:asciiTheme="minorHAnsi"/>
                <w:color w:val="auto"/>
                <w:spacing w:val="12"/>
                <w:sz w:val="24"/>
                <w:highlight w:val="none"/>
              </w:rPr>
              <w:t>现所在机构或部门</w:t>
            </w:r>
          </w:p>
        </w:tc>
        <w:tc>
          <w:tcPr>
            <w:tcW w:w="4500" w:type="dxa"/>
            <w:gridSpan w:val="3"/>
            <w:vAlign w:val="center"/>
          </w:tcPr>
          <w:p w14:paraId="3D86D8F0">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4A6D97DD">
            <w:pPr>
              <w:pStyle w:val="49"/>
              <w:pageBreakBefore w:val="0"/>
              <w:kinsoku/>
              <w:wordWrap/>
              <w:overflowPunct/>
              <w:topLinePunct w:val="0"/>
              <w:bidi w:val="0"/>
              <w:spacing w:line="360" w:lineRule="auto"/>
              <w:jc w:val="center"/>
              <w:rPr>
                <w:rFonts w:asciiTheme="minorHAnsi"/>
                <w:b/>
                <w:color w:val="auto"/>
                <w:sz w:val="24"/>
                <w:highlight w:val="none"/>
              </w:rPr>
            </w:pPr>
          </w:p>
          <w:p w14:paraId="1D79AB42">
            <w:pPr>
              <w:pStyle w:val="49"/>
              <w:pageBreakBefore w:val="0"/>
              <w:kinsoku/>
              <w:wordWrap/>
              <w:overflowPunct/>
              <w:topLinePunct w:val="0"/>
              <w:bidi w:val="0"/>
              <w:spacing w:before="206" w:line="360" w:lineRule="auto"/>
              <w:ind w:left="7"/>
              <w:jc w:val="center"/>
              <w:rPr>
                <w:rFonts w:asciiTheme="minorHAnsi"/>
                <w:color w:val="auto"/>
                <w:sz w:val="24"/>
                <w:highlight w:val="none"/>
              </w:rPr>
            </w:pPr>
            <w:r>
              <w:rPr>
                <w:rFonts w:asciiTheme="minorHAnsi"/>
                <w:color w:val="auto"/>
                <w:sz w:val="24"/>
                <w:highlight w:val="none"/>
              </w:rPr>
              <w:t>服务时间</w:t>
            </w:r>
          </w:p>
        </w:tc>
        <w:tc>
          <w:tcPr>
            <w:tcW w:w="2021" w:type="dxa"/>
            <w:vAlign w:val="center"/>
          </w:tcPr>
          <w:p w14:paraId="2BC6280D">
            <w:pPr>
              <w:pStyle w:val="49"/>
              <w:pageBreakBefore w:val="0"/>
              <w:kinsoku/>
              <w:wordWrap/>
              <w:overflowPunct/>
              <w:topLinePunct w:val="0"/>
              <w:bidi w:val="0"/>
              <w:spacing w:line="360" w:lineRule="auto"/>
              <w:jc w:val="center"/>
              <w:rPr>
                <w:rFonts w:asciiTheme="minorHAnsi"/>
                <w:color w:val="auto"/>
                <w:sz w:val="24"/>
                <w:highlight w:val="none"/>
              </w:rPr>
            </w:pPr>
          </w:p>
        </w:tc>
      </w:tr>
      <w:tr w14:paraId="364E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71" w:type="dxa"/>
            <w:vAlign w:val="center"/>
          </w:tcPr>
          <w:p w14:paraId="5944FB42">
            <w:pPr>
              <w:pStyle w:val="49"/>
              <w:pageBreakBefore w:val="0"/>
              <w:kinsoku/>
              <w:wordWrap/>
              <w:overflowPunct/>
              <w:topLinePunct w:val="0"/>
              <w:bidi w:val="0"/>
              <w:spacing w:before="1" w:line="360" w:lineRule="auto"/>
              <w:ind w:left="5"/>
              <w:jc w:val="center"/>
              <w:rPr>
                <w:rFonts w:asciiTheme="minorHAnsi"/>
                <w:color w:val="auto"/>
                <w:sz w:val="24"/>
                <w:highlight w:val="none"/>
              </w:rPr>
            </w:pPr>
            <w:r>
              <w:rPr>
                <w:rFonts w:asciiTheme="minorHAnsi"/>
                <w:color w:val="auto"/>
                <w:sz w:val="24"/>
                <w:highlight w:val="none"/>
              </w:rPr>
              <w:t>主要经历</w:t>
            </w:r>
          </w:p>
        </w:tc>
        <w:tc>
          <w:tcPr>
            <w:tcW w:w="8235" w:type="dxa"/>
            <w:gridSpan w:val="5"/>
            <w:vAlign w:val="center"/>
          </w:tcPr>
          <w:p w14:paraId="56B8D25D">
            <w:pPr>
              <w:pStyle w:val="49"/>
              <w:pageBreakBefore w:val="0"/>
              <w:kinsoku/>
              <w:wordWrap/>
              <w:overflowPunct/>
              <w:topLinePunct w:val="0"/>
              <w:bidi w:val="0"/>
              <w:spacing w:line="360" w:lineRule="auto"/>
              <w:jc w:val="center"/>
              <w:rPr>
                <w:rFonts w:asciiTheme="minorHAnsi"/>
                <w:color w:val="auto"/>
                <w:sz w:val="24"/>
                <w:highlight w:val="none"/>
              </w:rPr>
            </w:pPr>
          </w:p>
        </w:tc>
      </w:tr>
      <w:tr w14:paraId="1B7CC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271" w:type="dxa"/>
            <w:vAlign w:val="center"/>
          </w:tcPr>
          <w:p w14:paraId="50901D83">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日期</w:t>
            </w:r>
          </w:p>
        </w:tc>
        <w:tc>
          <w:tcPr>
            <w:tcW w:w="3427" w:type="dxa"/>
            <w:gridSpan w:val="2"/>
            <w:vAlign w:val="center"/>
          </w:tcPr>
          <w:p w14:paraId="4FBDBC2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参加过的项目名称</w:t>
            </w:r>
          </w:p>
        </w:tc>
        <w:tc>
          <w:tcPr>
            <w:tcW w:w="2787" w:type="dxa"/>
            <w:gridSpan w:val="2"/>
            <w:vAlign w:val="center"/>
          </w:tcPr>
          <w:p w14:paraId="463E449D">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担任何职务</w:t>
            </w:r>
          </w:p>
        </w:tc>
        <w:tc>
          <w:tcPr>
            <w:tcW w:w="2021" w:type="dxa"/>
            <w:vAlign w:val="center"/>
          </w:tcPr>
          <w:p w14:paraId="0CF7EB4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备注</w:t>
            </w:r>
          </w:p>
        </w:tc>
      </w:tr>
      <w:tr w14:paraId="5A65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271" w:type="dxa"/>
          </w:tcPr>
          <w:p w14:paraId="2D3E5A1A">
            <w:pPr>
              <w:pStyle w:val="49"/>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2B4207D3">
            <w:pPr>
              <w:pStyle w:val="49"/>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3B5BF16C">
            <w:pPr>
              <w:pStyle w:val="49"/>
              <w:pageBreakBefore w:val="0"/>
              <w:kinsoku/>
              <w:wordWrap/>
              <w:overflowPunct/>
              <w:topLinePunct w:val="0"/>
              <w:bidi w:val="0"/>
              <w:spacing w:line="360" w:lineRule="auto"/>
              <w:rPr>
                <w:rFonts w:asciiTheme="minorHAnsi"/>
                <w:color w:val="auto"/>
                <w:sz w:val="24"/>
                <w:highlight w:val="none"/>
              </w:rPr>
            </w:pPr>
          </w:p>
        </w:tc>
        <w:tc>
          <w:tcPr>
            <w:tcW w:w="2021" w:type="dxa"/>
          </w:tcPr>
          <w:p w14:paraId="0A99EDA8">
            <w:pPr>
              <w:pStyle w:val="49"/>
              <w:pageBreakBefore w:val="0"/>
              <w:kinsoku/>
              <w:wordWrap/>
              <w:overflowPunct/>
              <w:topLinePunct w:val="0"/>
              <w:bidi w:val="0"/>
              <w:spacing w:line="360" w:lineRule="auto"/>
              <w:rPr>
                <w:rFonts w:asciiTheme="minorHAnsi"/>
                <w:color w:val="auto"/>
                <w:sz w:val="24"/>
                <w:highlight w:val="none"/>
              </w:rPr>
            </w:pPr>
          </w:p>
        </w:tc>
      </w:tr>
      <w:tr w14:paraId="189EB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271" w:type="dxa"/>
          </w:tcPr>
          <w:p w14:paraId="07C1E06A">
            <w:pPr>
              <w:pStyle w:val="49"/>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3EB6234F">
            <w:pPr>
              <w:pStyle w:val="49"/>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55B44344">
            <w:pPr>
              <w:pStyle w:val="49"/>
              <w:pageBreakBefore w:val="0"/>
              <w:kinsoku/>
              <w:wordWrap/>
              <w:overflowPunct/>
              <w:topLinePunct w:val="0"/>
              <w:bidi w:val="0"/>
              <w:spacing w:line="360" w:lineRule="auto"/>
              <w:rPr>
                <w:rFonts w:asciiTheme="minorHAnsi"/>
                <w:color w:val="auto"/>
                <w:sz w:val="24"/>
                <w:highlight w:val="none"/>
              </w:rPr>
            </w:pPr>
          </w:p>
        </w:tc>
        <w:tc>
          <w:tcPr>
            <w:tcW w:w="2021" w:type="dxa"/>
          </w:tcPr>
          <w:p w14:paraId="6B6ABAA0">
            <w:pPr>
              <w:pStyle w:val="49"/>
              <w:pageBreakBefore w:val="0"/>
              <w:kinsoku/>
              <w:wordWrap/>
              <w:overflowPunct/>
              <w:topLinePunct w:val="0"/>
              <w:bidi w:val="0"/>
              <w:spacing w:line="360" w:lineRule="auto"/>
              <w:rPr>
                <w:rFonts w:asciiTheme="minorHAnsi"/>
                <w:color w:val="auto"/>
                <w:sz w:val="24"/>
                <w:highlight w:val="none"/>
              </w:rPr>
            </w:pPr>
          </w:p>
        </w:tc>
      </w:tr>
    </w:tbl>
    <w:p w14:paraId="6BBC0359">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p>
    <w:p w14:paraId="3B2F9D6D">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038EB8A1">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075DF9CC">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7FCBA34D">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92" w:name="_Toc89950786"/>
    </w:p>
    <w:p w14:paraId="0F7B4113">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AF5E7CF">
      <w:pPr>
        <w:rPr>
          <w:rFonts w:hint="eastAsia" w:asciiTheme="minorHAnsi"/>
          <w:b w:val="0"/>
          <w:color w:val="auto"/>
          <w:sz w:val="24"/>
          <w:szCs w:val="24"/>
          <w:highlight w:val="none"/>
        </w:rPr>
      </w:pPr>
      <w:bookmarkStart w:id="393" w:name="_Toc12970"/>
      <w:r>
        <w:rPr>
          <w:rFonts w:hint="eastAsia" w:asciiTheme="minorHAnsi"/>
          <w:b w:val="0"/>
          <w:color w:val="auto"/>
          <w:sz w:val="24"/>
          <w:szCs w:val="24"/>
          <w:highlight w:val="none"/>
        </w:rPr>
        <w:br w:type="page"/>
      </w:r>
    </w:p>
    <w:p w14:paraId="6B376EBD">
      <w:pPr>
        <w:pStyle w:val="20"/>
        <w:pageBreakBefore w:val="0"/>
        <w:kinsoku/>
        <w:wordWrap/>
        <w:overflowPunct/>
        <w:topLinePunct w:val="0"/>
        <w:bidi w:val="0"/>
        <w:spacing w:line="360" w:lineRule="auto"/>
        <w:jc w:val="both"/>
        <w:rPr>
          <w:rFonts w:hint="eastAsia" w:eastAsia="宋体" w:asciiTheme="minorHAnsi"/>
          <w:b w:val="0"/>
          <w:color w:val="auto"/>
          <w:sz w:val="24"/>
          <w:szCs w:val="24"/>
          <w:highlight w:val="none"/>
          <w:lang w:eastAsia="zh-CN"/>
        </w:rPr>
      </w:pPr>
      <w:bookmarkStart w:id="394" w:name="_Toc9565"/>
      <w:r>
        <w:rPr>
          <w:rFonts w:hint="eastAsia" w:asciiTheme="minorHAnsi"/>
          <w:b w:val="0"/>
          <w:color w:val="auto"/>
          <w:sz w:val="24"/>
          <w:szCs w:val="24"/>
          <w:highlight w:val="none"/>
          <w:lang w:val="en-US" w:eastAsia="zh-CN"/>
        </w:rPr>
        <w:t>十八</w:t>
      </w:r>
      <w:r>
        <w:rPr>
          <w:rFonts w:hint="eastAsia" w:asciiTheme="minorHAnsi"/>
          <w:b w:val="0"/>
          <w:color w:val="auto"/>
          <w:sz w:val="24"/>
          <w:szCs w:val="24"/>
          <w:highlight w:val="none"/>
        </w:rPr>
        <w:t>、拟投入本项目的主要成员表</w:t>
      </w:r>
      <w:bookmarkEnd w:id="392"/>
      <w:r>
        <w:rPr>
          <w:rFonts w:hint="eastAsia" w:asciiTheme="minorHAnsi"/>
          <w:b w:val="0"/>
          <w:color w:val="auto"/>
          <w:sz w:val="24"/>
          <w:szCs w:val="24"/>
          <w:highlight w:val="none"/>
        </w:rPr>
        <w:t xml:space="preserve"> </w:t>
      </w:r>
      <w:bookmarkEnd w:id="393"/>
      <w:bookmarkEnd w:id="394"/>
    </w:p>
    <w:p w14:paraId="46451623">
      <w:pPr>
        <w:pStyle w:val="15"/>
        <w:pageBreakBefore w:val="0"/>
        <w:kinsoku/>
        <w:wordWrap/>
        <w:overflowPunct/>
        <w:topLinePunct w:val="0"/>
        <w:bidi w:val="0"/>
        <w:spacing w:line="360" w:lineRule="auto"/>
        <w:rPr>
          <w:rFonts w:asciiTheme="minorHAnsi"/>
          <w:b/>
          <w:color w:val="auto"/>
          <w:sz w:val="24"/>
          <w:highlight w:val="none"/>
        </w:rPr>
      </w:pPr>
      <w:r>
        <w:rPr>
          <w:rFonts w:hint="eastAsia" w:asciiTheme="minorHAnsi"/>
          <w:b/>
          <w:color w:val="auto"/>
          <w:sz w:val="24"/>
          <w:highlight w:val="none"/>
        </w:rPr>
        <w:t xml:space="preserve">  </w:t>
      </w:r>
      <w:r>
        <w:rPr>
          <w:rFonts w:hint="eastAsia" w:asciiTheme="minorHAnsi"/>
          <w:color w:val="auto"/>
          <w:sz w:val="24"/>
          <w:highlight w:val="none"/>
        </w:rPr>
        <w:t xml:space="preserve">         </w:t>
      </w:r>
      <w:r>
        <w:rPr>
          <w:rFonts w:hint="eastAsia" w:asciiTheme="minorHAnsi"/>
          <w:b/>
          <w:color w:val="auto"/>
          <w:sz w:val="24"/>
          <w:highlight w:val="none"/>
        </w:rPr>
        <w:t xml:space="preserve">       </w:t>
      </w:r>
      <w:r>
        <w:rPr>
          <w:rFonts w:asciiTheme="minorHAnsi"/>
          <w:b/>
          <w:color w:val="auto"/>
          <w:sz w:val="24"/>
          <w:highlight w:val="none"/>
        </w:rPr>
        <w:t>拟投入本项目的主要成员表</w:t>
      </w:r>
      <w:r>
        <w:rPr>
          <w:rFonts w:hint="eastAsia" w:asciiTheme="minorHAnsi"/>
          <w:b/>
          <w:color w:val="auto"/>
          <w:sz w:val="24"/>
          <w:highlight w:val="none"/>
        </w:rPr>
        <w:t xml:space="preserve">       （服务类）</w:t>
      </w:r>
    </w:p>
    <w:p w14:paraId="6060A89B">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Y="14"/>
        <w:tblW w:w="98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332"/>
        <w:gridCol w:w="2039"/>
        <w:gridCol w:w="1936"/>
        <w:gridCol w:w="1799"/>
        <w:gridCol w:w="2005"/>
      </w:tblGrid>
      <w:tr w14:paraId="4BC1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452D6D24">
            <w:pPr>
              <w:pStyle w:val="49"/>
              <w:pageBreakBefore w:val="0"/>
              <w:kinsoku/>
              <w:wordWrap/>
              <w:overflowPunct/>
              <w:topLinePunct w:val="0"/>
              <w:bidi w:val="0"/>
              <w:spacing w:before="134" w:line="360" w:lineRule="auto"/>
              <w:ind w:left="114" w:right="95"/>
              <w:jc w:val="center"/>
              <w:rPr>
                <w:rFonts w:asciiTheme="minorHAnsi"/>
                <w:color w:val="auto"/>
                <w:sz w:val="24"/>
                <w:highlight w:val="none"/>
              </w:rPr>
            </w:pPr>
            <w:r>
              <w:rPr>
                <w:rFonts w:asciiTheme="minorHAnsi"/>
                <w:color w:val="auto"/>
                <w:sz w:val="24"/>
                <w:highlight w:val="none"/>
              </w:rPr>
              <w:t>序号</w:t>
            </w:r>
          </w:p>
        </w:tc>
        <w:tc>
          <w:tcPr>
            <w:tcW w:w="1332" w:type="dxa"/>
          </w:tcPr>
          <w:p w14:paraId="76741AEE">
            <w:pPr>
              <w:pStyle w:val="49"/>
              <w:pageBreakBefore w:val="0"/>
              <w:kinsoku/>
              <w:wordWrap/>
              <w:overflowPunct/>
              <w:topLinePunct w:val="0"/>
              <w:bidi w:val="0"/>
              <w:spacing w:before="134" w:line="360" w:lineRule="auto"/>
              <w:ind w:left="429"/>
              <w:rPr>
                <w:rFonts w:asciiTheme="minorHAnsi"/>
                <w:color w:val="auto"/>
                <w:sz w:val="24"/>
                <w:highlight w:val="none"/>
              </w:rPr>
            </w:pPr>
            <w:r>
              <w:rPr>
                <w:rFonts w:asciiTheme="minorHAnsi"/>
                <w:color w:val="auto"/>
                <w:sz w:val="24"/>
                <w:highlight w:val="none"/>
              </w:rPr>
              <w:t>姓名</w:t>
            </w:r>
          </w:p>
        </w:tc>
        <w:tc>
          <w:tcPr>
            <w:tcW w:w="2039" w:type="dxa"/>
          </w:tcPr>
          <w:p w14:paraId="3356C41E">
            <w:pPr>
              <w:pStyle w:val="49"/>
              <w:pageBreakBefore w:val="0"/>
              <w:kinsoku/>
              <w:wordWrap/>
              <w:overflowPunct/>
              <w:topLinePunct w:val="0"/>
              <w:bidi w:val="0"/>
              <w:spacing w:before="134" w:line="360" w:lineRule="auto"/>
              <w:ind w:left="764" w:right="744"/>
              <w:jc w:val="center"/>
              <w:rPr>
                <w:rFonts w:asciiTheme="minorHAnsi"/>
                <w:color w:val="auto"/>
                <w:sz w:val="24"/>
                <w:highlight w:val="none"/>
              </w:rPr>
            </w:pPr>
            <w:r>
              <w:rPr>
                <w:rFonts w:asciiTheme="minorHAnsi"/>
                <w:color w:val="auto"/>
                <w:sz w:val="24"/>
                <w:highlight w:val="none"/>
              </w:rPr>
              <w:t>性别</w:t>
            </w:r>
          </w:p>
        </w:tc>
        <w:tc>
          <w:tcPr>
            <w:tcW w:w="1936" w:type="dxa"/>
          </w:tcPr>
          <w:p w14:paraId="147EB955">
            <w:pPr>
              <w:pStyle w:val="49"/>
              <w:pageBreakBefore w:val="0"/>
              <w:kinsoku/>
              <w:wordWrap/>
              <w:overflowPunct/>
              <w:topLinePunct w:val="0"/>
              <w:bidi w:val="0"/>
              <w:spacing w:before="134" w:line="360" w:lineRule="auto"/>
              <w:ind w:left="715" w:right="690"/>
              <w:jc w:val="center"/>
              <w:rPr>
                <w:rFonts w:asciiTheme="minorHAnsi"/>
                <w:color w:val="auto"/>
                <w:sz w:val="24"/>
                <w:highlight w:val="none"/>
              </w:rPr>
            </w:pPr>
            <w:r>
              <w:rPr>
                <w:rFonts w:asciiTheme="minorHAnsi"/>
                <w:color w:val="auto"/>
                <w:sz w:val="24"/>
                <w:highlight w:val="none"/>
              </w:rPr>
              <w:t>职称</w:t>
            </w:r>
          </w:p>
        </w:tc>
        <w:tc>
          <w:tcPr>
            <w:tcW w:w="1799" w:type="dxa"/>
          </w:tcPr>
          <w:p w14:paraId="7F4A1BCE">
            <w:pPr>
              <w:pStyle w:val="49"/>
              <w:pageBreakBefore w:val="0"/>
              <w:kinsoku/>
              <w:wordWrap/>
              <w:overflowPunct/>
              <w:topLinePunct w:val="0"/>
              <w:bidi w:val="0"/>
              <w:spacing w:before="134" w:line="360" w:lineRule="auto"/>
              <w:ind w:left="646" w:right="622"/>
              <w:jc w:val="center"/>
              <w:rPr>
                <w:rFonts w:asciiTheme="minorHAnsi"/>
                <w:color w:val="auto"/>
                <w:sz w:val="24"/>
                <w:highlight w:val="none"/>
              </w:rPr>
            </w:pPr>
            <w:r>
              <w:rPr>
                <w:rFonts w:asciiTheme="minorHAnsi"/>
                <w:color w:val="auto"/>
                <w:sz w:val="24"/>
                <w:highlight w:val="none"/>
              </w:rPr>
              <w:t>岗位</w:t>
            </w:r>
          </w:p>
        </w:tc>
        <w:tc>
          <w:tcPr>
            <w:tcW w:w="2005" w:type="dxa"/>
          </w:tcPr>
          <w:p w14:paraId="4853EC80">
            <w:pPr>
              <w:pStyle w:val="49"/>
              <w:pageBreakBefore w:val="0"/>
              <w:kinsoku/>
              <w:wordWrap/>
              <w:overflowPunct/>
              <w:topLinePunct w:val="0"/>
              <w:bidi w:val="0"/>
              <w:spacing w:before="134" w:line="360" w:lineRule="auto"/>
              <w:ind w:left="170"/>
              <w:rPr>
                <w:rFonts w:asciiTheme="minorHAnsi"/>
                <w:color w:val="auto"/>
                <w:sz w:val="24"/>
                <w:highlight w:val="none"/>
              </w:rPr>
            </w:pPr>
            <w:r>
              <w:rPr>
                <w:rFonts w:asciiTheme="minorHAnsi"/>
                <w:color w:val="auto"/>
                <w:sz w:val="24"/>
                <w:highlight w:val="none"/>
              </w:rPr>
              <w:t>从事该岗位时间</w:t>
            </w:r>
          </w:p>
        </w:tc>
      </w:tr>
      <w:tr w14:paraId="3628A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22B80ED5">
            <w:pPr>
              <w:pStyle w:val="49"/>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1</w:t>
            </w:r>
          </w:p>
        </w:tc>
        <w:tc>
          <w:tcPr>
            <w:tcW w:w="1332" w:type="dxa"/>
          </w:tcPr>
          <w:p w14:paraId="04255455">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120AEF65">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166909FD">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A079B68">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C1BF197">
            <w:pPr>
              <w:pStyle w:val="49"/>
              <w:pageBreakBefore w:val="0"/>
              <w:kinsoku/>
              <w:wordWrap/>
              <w:overflowPunct/>
              <w:topLinePunct w:val="0"/>
              <w:bidi w:val="0"/>
              <w:spacing w:line="360" w:lineRule="auto"/>
              <w:rPr>
                <w:rFonts w:asciiTheme="minorHAnsi"/>
                <w:color w:val="auto"/>
                <w:sz w:val="24"/>
                <w:highlight w:val="none"/>
              </w:rPr>
            </w:pPr>
          </w:p>
        </w:tc>
      </w:tr>
      <w:tr w14:paraId="7961F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D9C4C7D">
            <w:pPr>
              <w:pStyle w:val="49"/>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2</w:t>
            </w:r>
          </w:p>
        </w:tc>
        <w:tc>
          <w:tcPr>
            <w:tcW w:w="1332" w:type="dxa"/>
          </w:tcPr>
          <w:p w14:paraId="24CB03B0">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4A0C20BF">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7CF22164">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7EE12323">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DB2EDE4">
            <w:pPr>
              <w:pStyle w:val="49"/>
              <w:pageBreakBefore w:val="0"/>
              <w:kinsoku/>
              <w:wordWrap/>
              <w:overflowPunct/>
              <w:topLinePunct w:val="0"/>
              <w:bidi w:val="0"/>
              <w:spacing w:line="360" w:lineRule="auto"/>
              <w:rPr>
                <w:rFonts w:asciiTheme="minorHAnsi"/>
                <w:color w:val="auto"/>
                <w:sz w:val="24"/>
                <w:highlight w:val="none"/>
              </w:rPr>
            </w:pPr>
          </w:p>
        </w:tc>
      </w:tr>
      <w:tr w14:paraId="740A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8E2CECC">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3</w:t>
            </w:r>
          </w:p>
        </w:tc>
        <w:tc>
          <w:tcPr>
            <w:tcW w:w="1332" w:type="dxa"/>
          </w:tcPr>
          <w:p w14:paraId="6F2464CF">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36476C92">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38164BC6">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00728023">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5276D01">
            <w:pPr>
              <w:pStyle w:val="49"/>
              <w:pageBreakBefore w:val="0"/>
              <w:kinsoku/>
              <w:wordWrap/>
              <w:overflowPunct/>
              <w:topLinePunct w:val="0"/>
              <w:bidi w:val="0"/>
              <w:spacing w:line="360" w:lineRule="auto"/>
              <w:rPr>
                <w:rFonts w:asciiTheme="minorHAnsi"/>
                <w:color w:val="auto"/>
                <w:sz w:val="24"/>
                <w:highlight w:val="none"/>
              </w:rPr>
            </w:pPr>
          </w:p>
        </w:tc>
      </w:tr>
      <w:tr w14:paraId="3ED28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41B0E740">
            <w:pPr>
              <w:pStyle w:val="49"/>
              <w:pageBreakBefore w:val="0"/>
              <w:kinsoku/>
              <w:wordWrap/>
              <w:overflowPunct/>
              <w:topLinePunct w:val="0"/>
              <w:bidi w:val="0"/>
              <w:spacing w:before="116" w:line="360" w:lineRule="auto"/>
              <w:ind w:left="19"/>
              <w:jc w:val="center"/>
              <w:rPr>
                <w:rFonts w:asciiTheme="minorHAnsi"/>
                <w:color w:val="auto"/>
                <w:sz w:val="24"/>
                <w:highlight w:val="none"/>
              </w:rPr>
            </w:pPr>
            <w:r>
              <w:rPr>
                <w:rFonts w:asciiTheme="minorHAnsi"/>
                <w:color w:val="auto"/>
                <w:sz w:val="24"/>
                <w:highlight w:val="none"/>
              </w:rPr>
              <w:t>4</w:t>
            </w:r>
          </w:p>
        </w:tc>
        <w:tc>
          <w:tcPr>
            <w:tcW w:w="1332" w:type="dxa"/>
          </w:tcPr>
          <w:p w14:paraId="24513AA6">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7E3668F4">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257B43F3">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EE5A1A2">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5139398">
            <w:pPr>
              <w:pStyle w:val="49"/>
              <w:pageBreakBefore w:val="0"/>
              <w:kinsoku/>
              <w:wordWrap/>
              <w:overflowPunct/>
              <w:topLinePunct w:val="0"/>
              <w:bidi w:val="0"/>
              <w:spacing w:line="360" w:lineRule="auto"/>
              <w:rPr>
                <w:rFonts w:asciiTheme="minorHAnsi"/>
                <w:color w:val="auto"/>
                <w:sz w:val="24"/>
                <w:highlight w:val="none"/>
              </w:rPr>
            </w:pPr>
          </w:p>
        </w:tc>
      </w:tr>
      <w:tr w14:paraId="3CA8C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8742F9A">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5</w:t>
            </w:r>
          </w:p>
        </w:tc>
        <w:tc>
          <w:tcPr>
            <w:tcW w:w="1332" w:type="dxa"/>
          </w:tcPr>
          <w:p w14:paraId="2288DD15">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57FF5011">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77F92E08">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4C97A306">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8650939">
            <w:pPr>
              <w:pStyle w:val="49"/>
              <w:pageBreakBefore w:val="0"/>
              <w:kinsoku/>
              <w:wordWrap/>
              <w:overflowPunct/>
              <w:topLinePunct w:val="0"/>
              <w:bidi w:val="0"/>
              <w:spacing w:line="360" w:lineRule="auto"/>
              <w:rPr>
                <w:rFonts w:asciiTheme="minorHAnsi"/>
                <w:color w:val="auto"/>
                <w:sz w:val="24"/>
                <w:highlight w:val="none"/>
              </w:rPr>
            </w:pPr>
          </w:p>
        </w:tc>
      </w:tr>
      <w:tr w14:paraId="7579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5EC554DF">
            <w:pPr>
              <w:pStyle w:val="49"/>
              <w:pageBreakBefore w:val="0"/>
              <w:kinsoku/>
              <w:wordWrap/>
              <w:overflowPunct/>
              <w:topLinePunct w:val="0"/>
              <w:bidi w:val="0"/>
              <w:spacing w:before="117" w:line="360" w:lineRule="auto"/>
              <w:ind w:left="19"/>
              <w:jc w:val="center"/>
              <w:rPr>
                <w:rFonts w:asciiTheme="minorHAnsi"/>
                <w:color w:val="auto"/>
                <w:sz w:val="24"/>
                <w:highlight w:val="none"/>
              </w:rPr>
            </w:pPr>
            <w:r>
              <w:rPr>
                <w:rFonts w:asciiTheme="minorHAnsi"/>
                <w:color w:val="auto"/>
                <w:sz w:val="24"/>
                <w:highlight w:val="none"/>
              </w:rPr>
              <w:t>6</w:t>
            </w:r>
          </w:p>
        </w:tc>
        <w:tc>
          <w:tcPr>
            <w:tcW w:w="1332" w:type="dxa"/>
          </w:tcPr>
          <w:p w14:paraId="7333EB04">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62A3BAF5">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47600BA1">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5AB5B76">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E5D3D49">
            <w:pPr>
              <w:pStyle w:val="49"/>
              <w:pageBreakBefore w:val="0"/>
              <w:kinsoku/>
              <w:wordWrap/>
              <w:overflowPunct/>
              <w:topLinePunct w:val="0"/>
              <w:bidi w:val="0"/>
              <w:spacing w:line="360" w:lineRule="auto"/>
              <w:rPr>
                <w:rFonts w:asciiTheme="minorHAnsi"/>
                <w:color w:val="auto"/>
                <w:sz w:val="24"/>
                <w:highlight w:val="none"/>
              </w:rPr>
            </w:pPr>
          </w:p>
        </w:tc>
      </w:tr>
      <w:tr w14:paraId="7451F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630758CF">
            <w:pPr>
              <w:pStyle w:val="49"/>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7</w:t>
            </w:r>
          </w:p>
        </w:tc>
        <w:tc>
          <w:tcPr>
            <w:tcW w:w="1332" w:type="dxa"/>
          </w:tcPr>
          <w:p w14:paraId="3474F14E">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3367598C">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130897B8">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199F0A9C">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F73007A">
            <w:pPr>
              <w:pStyle w:val="49"/>
              <w:pageBreakBefore w:val="0"/>
              <w:kinsoku/>
              <w:wordWrap/>
              <w:overflowPunct/>
              <w:topLinePunct w:val="0"/>
              <w:bidi w:val="0"/>
              <w:spacing w:line="360" w:lineRule="auto"/>
              <w:rPr>
                <w:rFonts w:asciiTheme="minorHAnsi"/>
                <w:color w:val="auto"/>
                <w:sz w:val="24"/>
                <w:highlight w:val="none"/>
              </w:rPr>
            </w:pPr>
          </w:p>
        </w:tc>
      </w:tr>
      <w:tr w14:paraId="21ECC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D2897F5">
            <w:pPr>
              <w:pStyle w:val="49"/>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8</w:t>
            </w:r>
          </w:p>
        </w:tc>
        <w:tc>
          <w:tcPr>
            <w:tcW w:w="1332" w:type="dxa"/>
          </w:tcPr>
          <w:p w14:paraId="12B0DAEB">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65F1BC7A">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63B10C6F">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64DAD56E">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0D52CD0D">
            <w:pPr>
              <w:pStyle w:val="49"/>
              <w:pageBreakBefore w:val="0"/>
              <w:kinsoku/>
              <w:wordWrap/>
              <w:overflowPunct/>
              <w:topLinePunct w:val="0"/>
              <w:bidi w:val="0"/>
              <w:spacing w:line="360" w:lineRule="auto"/>
              <w:rPr>
                <w:rFonts w:asciiTheme="minorHAnsi"/>
                <w:color w:val="auto"/>
                <w:sz w:val="24"/>
                <w:highlight w:val="none"/>
              </w:rPr>
            </w:pPr>
          </w:p>
        </w:tc>
      </w:tr>
      <w:tr w14:paraId="053B4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2390AF9F">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9</w:t>
            </w:r>
          </w:p>
        </w:tc>
        <w:tc>
          <w:tcPr>
            <w:tcW w:w="1332" w:type="dxa"/>
          </w:tcPr>
          <w:p w14:paraId="171D0E73">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1ECB8A2C">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48C2BC27">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31704AB2">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78FEB79C">
            <w:pPr>
              <w:pStyle w:val="49"/>
              <w:pageBreakBefore w:val="0"/>
              <w:kinsoku/>
              <w:wordWrap/>
              <w:overflowPunct/>
              <w:topLinePunct w:val="0"/>
              <w:bidi w:val="0"/>
              <w:spacing w:line="360" w:lineRule="auto"/>
              <w:rPr>
                <w:rFonts w:asciiTheme="minorHAnsi"/>
                <w:color w:val="auto"/>
                <w:sz w:val="24"/>
                <w:highlight w:val="none"/>
              </w:rPr>
            </w:pPr>
          </w:p>
        </w:tc>
      </w:tr>
    </w:tbl>
    <w:p w14:paraId="5270C138">
      <w:pPr>
        <w:pStyle w:val="8"/>
        <w:pageBreakBefore w:val="0"/>
        <w:kinsoku/>
        <w:wordWrap/>
        <w:overflowPunct/>
        <w:topLinePunct w:val="0"/>
        <w:bidi w:val="0"/>
        <w:spacing w:before="7" w:after="1" w:line="360" w:lineRule="auto"/>
        <w:rPr>
          <w:b/>
          <w:color w:val="auto"/>
          <w:sz w:val="24"/>
          <w:highlight w:val="none"/>
        </w:rPr>
      </w:pPr>
    </w:p>
    <w:p w14:paraId="4FF9A0B1">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7A9159C4">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41836FD9">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29C361D5">
      <w:pPr>
        <w:pStyle w:val="21"/>
        <w:pageBreakBefore w:val="0"/>
        <w:kinsoku/>
        <w:wordWrap/>
        <w:overflowPunct/>
        <w:topLinePunct w:val="0"/>
        <w:bidi w:val="0"/>
        <w:spacing w:line="360" w:lineRule="auto"/>
        <w:rPr>
          <w:color w:val="auto"/>
          <w:sz w:val="24"/>
          <w:szCs w:val="24"/>
          <w:highlight w:val="none"/>
        </w:rPr>
      </w:pPr>
    </w:p>
    <w:p w14:paraId="2EEE790A">
      <w:pPr>
        <w:rPr>
          <w:rFonts w:hint="eastAsia" w:asciiTheme="minorHAnsi"/>
          <w:b w:val="0"/>
          <w:color w:val="auto"/>
          <w:sz w:val="24"/>
          <w:szCs w:val="24"/>
          <w:highlight w:val="none"/>
        </w:rPr>
      </w:pPr>
      <w:bookmarkStart w:id="395" w:name="_Toc29003"/>
      <w:r>
        <w:rPr>
          <w:rFonts w:hint="eastAsia" w:asciiTheme="minorHAnsi"/>
          <w:b w:val="0"/>
          <w:color w:val="auto"/>
          <w:sz w:val="24"/>
          <w:szCs w:val="24"/>
          <w:highlight w:val="none"/>
        </w:rPr>
        <w:br w:type="page"/>
      </w:r>
    </w:p>
    <w:p w14:paraId="66405B05">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396" w:name="_Toc13644"/>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九</w:t>
      </w:r>
      <w:r>
        <w:rPr>
          <w:rFonts w:hint="eastAsia" w:asciiTheme="minorHAnsi"/>
          <w:b w:val="0"/>
          <w:color w:val="auto"/>
          <w:sz w:val="24"/>
          <w:szCs w:val="24"/>
          <w:highlight w:val="none"/>
        </w:rPr>
        <w:t>、重大违法记录的声明函</w:t>
      </w:r>
      <w:bookmarkEnd w:id="395"/>
      <w:bookmarkEnd w:id="396"/>
      <w:r>
        <w:rPr>
          <w:rFonts w:hint="eastAsia" w:asciiTheme="minorHAnsi"/>
          <w:b w:val="0"/>
          <w:color w:val="auto"/>
          <w:sz w:val="24"/>
          <w:szCs w:val="24"/>
          <w:highlight w:val="none"/>
        </w:rPr>
        <w:t xml:space="preserve">   </w:t>
      </w:r>
    </w:p>
    <w:p w14:paraId="65D887D1">
      <w:pPr>
        <w:pStyle w:val="21"/>
        <w:pageBreakBefore w:val="0"/>
        <w:kinsoku/>
        <w:wordWrap/>
        <w:overflowPunct/>
        <w:topLinePunct w:val="0"/>
        <w:bidi w:val="0"/>
        <w:spacing w:line="360" w:lineRule="auto"/>
        <w:rPr>
          <w:color w:val="auto"/>
          <w:sz w:val="24"/>
          <w:szCs w:val="24"/>
          <w:highlight w:val="none"/>
        </w:rPr>
      </w:pPr>
    </w:p>
    <w:p w14:paraId="397187C0">
      <w:pPr>
        <w:pStyle w:val="15"/>
        <w:pageBreakBefore w:val="0"/>
        <w:kinsoku/>
        <w:wordWrap/>
        <w:overflowPunct/>
        <w:topLinePunct w:val="0"/>
        <w:bidi w:val="0"/>
        <w:spacing w:line="360" w:lineRule="auto"/>
        <w:ind w:firstLine="3132" w:firstLineChars="1300"/>
        <w:rPr>
          <w:rFonts w:asciiTheme="minorHAnsi"/>
          <w:b/>
          <w:color w:val="auto"/>
          <w:sz w:val="24"/>
          <w:highlight w:val="none"/>
        </w:rPr>
      </w:pPr>
      <w:r>
        <w:rPr>
          <w:rFonts w:hint="eastAsia" w:asciiTheme="minorHAnsi"/>
          <w:b/>
          <w:color w:val="auto"/>
          <w:sz w:val="24"/>
          <w:highlight w:val="none"/>
        </w:rPr>
        <w:t xml:space="preserve">重大违法记录的声明函                    </w:t>
      </w:r>
    </w:p>
    <w:p w14:paraId="17672E0D">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16AB5444">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7FC0FA9D">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1960E953">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u w:val="single"/>
        </w:rPr>
      </w:pPr>
      <w:r>
        <w:rPr>
          <w:rFonts w:hint="eastAsia" w:hAnsiTheme="minorEastAsia" w:cstheme="minorEastAsia"/>
          <w:color w:val="auto"/>
          <w:sz w:val="24"/>
          <w:highlight w:val="none"/>
        </w:rPr>
        <w:t>致：</w:t>
      </w:r>
      <w:r>
        <w:rPr>
          <w:rFonts w:hint="eastAsia" w:hAnsiTheme="minorEastAsia" w:cstheme="minorEastAsia"/>
          <w:color w:val="auto"/>
          <w:sz w:val="24"/>
          <w:highlight w:val="none"/>
          <w:u w:val="single"/>
        </w:rPr>
        <w:t xml:space="preserve">   </w:t>
      </w:r>
      <w:r>
        <w:rPr>
          <w:rFonts w:hint="eastAsia" w:asciiTheme="minorHAnsi"/>
          <w:color w:val="auto"/>
          <w:sz w:val="24"/>
          <w:highlight w:val="none"/>
          <w:u w:val="single"/>
        </w:rPr>
        <w:t xml:space="preserve">（采购人或采购代理机构）  </w:t>
      </w:r>
      <w:r>
        <w:rPr>
          <w:rFonts w:hint="eastAsia" w:hAnsiTheme="minorEastAsia" w:cstheme="minorEastAsia"/>
          <w:color w:val="auto"/>
          <w:sz w:val="24"/>
          <w:highlight w:val="none"/>
          <w:u w:val="single"/>
        </w:rPr>
        <w:t xml:space="preserve">    </w:t>
      </w:r>
    </w:p>
    <w:p w14:paraId="0C1C1D72">
      <w:pPr>
        <w:pageBreakBefore w:val="0"/>
        <w:shd w:val="clear" w:color="auto" w:fill="FFFFFF" w:themeFill="background1"/>
        <w:kinsoku/>
        <w:wordWrap/>
        <w:overflowPunct/>
        <w:topLinePunct w:val="0"/>
        <w:bidi w:val="0"/>
        <w:adjustRightInd w:val="0"/>
        <w:snapToGrid w:val="0"/>
        <w:spacing w:line="360" w:lineRule="auto"/>
        <w:ind w:firstLine="420"/>
        <w:rPr>
          <w:rFonts w:hint="eastAsia" w:hAnsiTheme="minorEastAsia" w:cstheme="minorEastAsia"/>
          <w:color w:val="auto"/>
          <w:sz w:val="24"/>
          <w:highlight w:val="none"/>
          <w:u w:val="single"/>
        </w:rPr>
      </w:pPr>
    </w:p>
    <w:p w14:paraId="24BAA10C">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r>
        <w:rPr>
          <w:rFonts w:hint="eastAsia" w:hAnsiTheme="minorEastAsia" w:cstheme="minorEastAsia"/>
          <w:color w:val="auto"/>
          <w:sz w:val="24"/>
          <w:highlight w:val="none"/>
          <w:u w:val="single"/>
        </w:rPr>
        <w:t xml:space="preserve">      （供应商全称）            </w:t>
      </w:r>
      <w:r>
        <w:rPr>
          <w:rFonts w:hint="eastAsia" w:hAnsiTheme="minorEastAsia" w:cstheme="minorEastAsia"/>
          <w:color w:val="auto"/>
          <w:sz w:val="24"/>
          <w:highlight w:val="none"/>
        </w:rPr>
        <w:t>，参加贵单位组织的</w:t>
      </w:r>
      <w:r>
        <w:rPr>
          <w:rFonts w:hint="eastAsia" w:hAnsiTheme="minorEastAsia" w:cstheme="minorEastAsia"/>
          <w:color w:val="auto"/>
          <w:sz w:val="24"/>
          <w:highlight w:val="none"/>
          <w:lang w:val="en-US" w:eastAsia="zh-CN"/>
        </w:rPr>
        <w:t>项目名称</w:t>
      </w:r>
      <w:r>
        <w:rPr>
          <w:rFonts w:hint="eastAsia" w:hAnsiTheme="minorEastAsia" w:cstheme="minorEastAsia"/>
          <w:color w:val="auto"/>
          <w:sz w:val="24"/>
          <w:highlight w:val="none"/>
        </w:rPr>
        <w:t>为：</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rPr>
        <w:t>项目</w:t>
      </w:r>
      <w:r>
        <w:rPr>
          <w:rFonts w:hint="eastAsia" w:hAnsiTheme="minorEastAsia" w:cstheme="minorEastAsia"/>
          <w:color w:val="auto"/>
          <w:sz w:val="24"/>
          <w:highlight w:val="none"/>
          <w:lang w:val="en-US" w:eastAsia="zh-CN"/>
        </w:rPr>
        <w:t>编号</w:t>
      </w:r>
      <w:r>
        <w:rPr>
          <w:rFonts w:hint="eastAsia" w:hAnsiTheme="minorEastAsia" w:cstheme="minorEastAsia"/>
          <w:color w:val="auto"/>
          <w:sz w:val="24"/>
          <w:highlight w:val="none"/>
        </w:rPr>
        <w:t>：</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 xml:space="preserve">  的政府采购活动，在此郑重声明：我单位在参加本项目政府采购活动前3年内在经营活动中未因违法经营受到刑事处罚或者责令停产停业、吊销许可证或者执照、较大数额罚款等行政处罚。</w:t>
      </w:r>
    </w:p>
    <w:p w14:paraId="0A39A5C7">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p>
    <w:p w14:paraId="5B97D5BD">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2A44E4A2">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39A02AB6">
      <w:pPr>
        <w:pStyle w:val="5"/>
        <w:pageBreakBefore w:val="0"/>
        <w:kinsoku/>
        <w:wordWrap/>
        <w:overflowPunct/>
        <w:topLinePunct w:val="0"/>
        <w:bidi w:val="0"/>
        <w:spacing w:line="360" w:lineRule="auto"/>
        <w:rPr>
          <w:color w:val="auto"/>
          <w:sz w:val="24"/>
          <w:highlight w:val="none"/>
        </w:rPr>
      </w:pPr>
    </w:p>
    <w:p w14:paraId="54CB9AEF">
      <w:pPr>
        <w:pStyle w:val="5"/>
        <w:pageBreakBefore w:val="0"/>
        <w:kinsoku/>
        <w:wordWrap/>
        <w:overflowPunct/>
        <w:topLinePunct w:val="0"/>
        <w:bidi w:val="0"/>
        <w:spacing w:line="360" w:lineRule="auto"/>
        <w:rPr>
          <w:color w:val="auto"/>
          <w:sz w:val="24"/>
          <w:highlight w:val="none"/>
        </w:rPr>
      </w:pPr>
    </w:p>
    <w:p w14:paraId="7BDF330B">
      <w:pPr>
        <w:pStyle w:val="5"/>
        <w:pageBreakBefore w:val="0"/>
        <w:kinsoku/>
        <w:wordWrap/>
        <w:overflowPunct/>
        <w:topLinePunct w:val="0"/>
        <w:bidi w:val="0"/>
        <w:spacing w:line="360" w:lineRule="auto"/>
        <w:rPr>
          <w:color w:val="auto"/>
          <w:sz w:val="24"/>
          <w:highlight w:val="none"/>
        </w:rPr>
      </w:pPr>
    </w:p>
    <w:p w14:paraId="28B07914">
      <w:pPr>
        <w:pStyle w:val="5"/>
        <w:pageBreakBefore w:val="0"/>
        <w:kinsoku/>
        <w:wordWrap/>
        <w:overflowPunct/>
        <w:topLinePunct w:val="0"/>
        <w:bidi w:val="0"/>
        <w:spacing w:line="360" w:lineRule="auto"/>
        <w:rPr>
          <w:color w:val="auto"/>
          <w:sz w:val="24"/>
          <w:highlight w:val="none"/>
        </w:rPr>
      </w:pPr>
    </w:p>
    <w:p w14:paraId="0DD0E84F">
      <w:pPr>
        <w:pStyle w:val="5"/>
        <w:pageBreakBefore w:val="0"/>
        <w:kinsoku/>
        <w:wordWrap/>
        <w:overflowPunct/>
        <w:topLinePunct w:val="0"/>
        <w:bidi w:val="0"/>
        <w:spacing w:line="360" w:lineRule="auto"/>
        <w:rPr>
          <w:color w:val="auto"/>
          <w:sz w:val="24"/>
          <w:highlight w:val="none"/>
        </w:rPr>
      </w:pPr>
    </w:p>
    <w:p w14:paraId="37DBD347">
      <w:pPr>
        <w:pStyle w:val="5"/>
        <w:pageBreakBefore w:val="0"/>
        <w:kinsoku/>
        <w:wordWrap/>
        <w:overflowPunct/>
        <w:topLinePunct w:val="0"/>
        <w:bidi w:val="0"/>
        <w:spacing w:line="360" w:lineRule="auto"/>
        <w:rPr>
          <w:color w:val="auto"/>
          <w:sz w:val="24"/>
          <w:highlight w:val="none"/>
        </w:rPr>
      </w:pPr>
    </w:p>
    <w:p w14:paraId="289FF18B">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17F1D32C">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771705B4">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5AEDAF51">
      <w:pPr>
        <w:pStyle w:val="6"/>
        <w:pageBreakBefore w:val="0"/>
        <w:kinsoku/>
        <w:wordWrap/>
        <w:overflowPunct/>
        <w:topLinePunct w:val="0"/>
        <w:bidi w:val="0"/>
        <w:adjustRightInd w:val="0"/>
        <w:snapToGrid w:val="0"/>
        <w:spacing w:line="360" w:lineRule="auto"/>
        <w:rPr>
          <w:color w:val="auto"/>
          <w:sz w:val="28"/>
          <w:szCs w:val="28"/>
          <w:highlight w:val="none"/>
        </w:rPr>
        <w:sectPr>
          <w:headerReference r:id="rId7" w:type="default"/>
          <w:footerReference r:id="rId8" w:type="default"/>
          <w:pgSz w:w="11906" w:h="16838"/>
          <w:pgMar w:top="1440" w:right="1080" w:bottom="1440" w:left="1080" w:header="851" w:footer="992" w:gutter="0"/>
          <w:pgNumType w:fmt="decimal"/>
          <w:cols w:space="425" w:num="1"/>
          <w:docGrid w:type="lines" w:linePitch="312" w:charSpace="0"/>
        </w:sectPr>
      </w:pPr>
    </w:p>
    <w:p w14:paraId="18F6A1BA">
      <w:pPr>
        <w:pStyle w:val="15"/>
        <w:pageBreakBefore w:val="0"/>
        <w:kinsoku/>
        <w:wordWrap/>
        <w:overflowPunct/>
        <w:topLinePunct w:val="0"/>
        <w:bidi w:val="0"/>
        <w:spacing w:line="360" w:lineRule="auto"/>
        <w:outlineLvl w:val="1"/>
        <w:rPr>
          <w:rFonts w:hint="eastAsia" w:asciiTheme="minorHAnsi"/>
          <w:b w:val="0"/>
          <w:bCs/>
          <w:color w:val="auto"/>
          <w:sz w:val="24"/>
          <w:szCs w:val="24"/>
          <w:highlight w:val="none"/>
        </w:rPr>
      </w:pPr>
      <w:bookmarkStart w:id="397" w:name="_Toc89950788"/>
      <w:bookmarkStart w:id="398" w:name="_Toc7120"/>
      <w:r>
        <w:rPr>
          <w:rFonts w:hint="eastAsia" w:asciiTheme="minorHAnsi"/>
          <w:b w:val="0"/>
          <w:color w:val="auto"/>
          <w:sz w:val="24"/>
          <w:szCs w:val="24"/>
          <w:highlight w:val="none"/>
        </w:rPr>
        <w:t>二十、</w:t>
      </w:r>
      <w:bookmarkEnd w:id="397"/>
      <w:r>
        <w:rPr>
          <w:rFonts w:hint="eastAsia" w:asciiTheme="minorHAnsi"/>
          <w:b w:val="0"/>
          <w:bCs/>
          <w:color w:val="auto"/>
          <w:sz w:val="24"/>
          <w:highlight w:val="none"/>
        </w:rPr>
        <w:t>中小企业声明函</w:t>
      </w:r>
      <w:bookmarkEnd w:id="398"/>
      <w:r>
        <w:rPr>
          <w:rFonts w:hint="eastAsia" w:asciiTheme="minorHAnsi"/>
          <w:b w:val="0"/>
          <w:bCs/>
          <w:color w:val="auto"/>
          <w:sz w:val="24"/>
          <w:highlight w:val="none"/>
        </w:rPr>
        <w:t xml:space="preserve"> </w:t>
      </w:r>
    </w:p>
    <w:p w14:paraId="58DF0599">
      <w:pPr>
        <w:pStyle w:val="21"/>
        <w:pageBreakBefore w:val="0"/>
        <w:kinsoku/>
        <w:wordWrap/>
        <w:overflowPunct/>
        <w:topLinePunct w:val="0"/>
        <w:bidi w:val="0"/>
        <w:spacing w:line="360" w:lineRule="auto"/>
        <w:ind w:firstLine="2891" w:firstLineChars="1200"/>
        <w:rPr>
          <w:rFonts w:hint="eastAsia"/>
          <w:b/>
          <w:bCs/>
          <w:color w:val="auto"/>
          <w:sz w:val="24"/>
          <w:szCs w:val="24"/>
          <w:highlight w:val="none"/>
        </w:rPr>
      </w:pPr>
    </w:p>
    <w:p w14:paraId="20F80D48">
      <w:pPr>
        <w:pStyle w:val="21"/>
        <w:pageBreakBefore w:val="0"/>
        <w:kinsoku/>
        <w:wordWrap/>
        <w:overflowPunct/>
        <w:topLinePunct w:val="0"/>
        <w:bidi w:val="0"/>
        <w:spacing w:line="360" w:lineRule="auto"/>
        <w:ind w:firstLine="2891" w:firstLineChars="1200"/>
        <w:rPr>
          <w:b/>
          <w:bCs/>
          <w:color w:val="auto"/>
          <w:sz w:val="24"/>
          <w:szCs w:val="24"/>
          <w:highlight w:val="none"/>
        </w:rPr>
      </w:pPr>
      <w:r>
        <w:rPr>
          <w:rFonts w:hint="eastAsia"/>
          <w:b/>
          <w:bCs/>
          <w:color w:val="auto"/>
          <w:sz w:val="24"/>
          <w:szCs w:val="24"/>
          <w:highlight w:val="none"/>
        </w:rPr>
        <w:t>中小企业声明函     (工程、服务)</w:t>
      </w:r>
    </w:p>
    <w:p w14:paraId="1C29AF56">
      <w:pPr>
        <w:pStyle w:val="21"/>
        <w:pageBreakBefore w:val="0"/>
        <w:kinsoku/>
        <w:wordWrap/>
        <w:overflowPunct/>
        <w:topLinePunct w:val="0"/>
        <w:bidi w:val="0"/>
        <w:spacing w:line="360" w:lineRule="auto"/>
        <w:ind w:firstLine="480" w:firstLineChars="200"/>
        <w:rPr>
          <w:rFonts w:hint="eastAsia"/>
          <w:color w:val="auto"/>
          <w:sz w:val="24"/>
          <w:szCs w:val="24"/>
          <w:highlight w:val="none"/>
        </w:rPr>
      </w:pPr>
    </w:p>
    <w:p w14:paraId="6DAA153C">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致： （采购人或采购代理机构）     ：</w:t>
      </w:r>
    </w:p>
    <w:p w14:paraId="6C07AF28">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本公司(联合体)郑重声明，根据《政府采购促进中小企业发展管理办法》(财库(2020)46号)的规定，本公司(联合体)参加新疆重道敬德招标咨询有限公司组织的(</w:t>
      </w:r>
      <w:r>
        <w:rPr>
          <w:rFonts w:hint="eastAsia"/>
          <w:color w:val="auto"/>
          <w:sz w:val="24"/>
          <w:szCs w:val="24"/>
          <w:highlight w:val="none"/>
          <w:u w:val="single"/>
        </w:rPr>
        <w:t>项目名称</w:t>
      </w:r>
      <w:r>
        <w:rPr>
          <w:rFonts w:hint="eastAsia"/>
          <w:color w:val="auto"/>
          <w:sz w:val="24"/>
          <w:szCs w:val="24"/>
          <w:highlight w:val="none"/>
        </w:rPr>
        <w:t>)，（</w:t>
      </w:r>
      <w:r>
        <w:rPr>
          <w:rFonts w:hint="eastAsia"/>
          <w:color w:val="auto"/>
          <w:sz w:val="24"/>
          <w:szCs w:val="24"/>
          <w:highlight w:val="none"/>
          <w:u w:val="single"/>
        </w:rPr>
        <w:t>项目编号</w:t>
      </w:r>
      <w:r>
        <w:rPr>
          <w:rFonts w:hint="eastAsia"/>
          <w:color w:val="auto"/>
          <w:sz w:val="24"/>
          <w:szCs w:val="24"/>
          <w:highlight w:val="none"/>
        </w:rPr>
        <w:t>）的采购活动，工程的施工单位全部为符合政策要求的中小企业(或者:服务全部由符合政策要求的中小企业承接)。相关企业(含联合体中的中小企业、签订分包意向协议的中小企业)的具体情况如下:</w:t>
      </w:r>
    </w:p>
    <w:p w14:paraId="5DE8B426">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1.(</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u w:val="single"/>
        </w:rPr>
        <w:t>磋商文件中明确的所属行业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52D7AD2F">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2.（</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u w:val="single"/>
        </w:rPr>
        <w:t>磋商文件中明确的所属行业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2DD14B36">
      <w:pPr>
        <w:pStyle w:val="21"/>
        <w:pageBreakBefore w:val="0"/>
        <w:kinsoku/>
        <w:wordWrap/>
        <w:overflowPunct/>
        <w:topLinePunct w:val="0"/>
        <w:bidi w:val="0"/>
        <w:spacing w:line="360" w:lineRule="auto"/>
        <w:rPr>
          <w:color w:val="auto"/>
          <w:sz w:val="24"/>
          <w:szCs w:val="24"/>
          <w:highlight w:val="none"/>
        </w:rPr>
      </w:pPr>
    </w:p>
    <w:p w14:paraId="0AD2E10C">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以上企业，不属于大企业的分支机构，不存在控股股东为大企业的情形，也不存在与大企业的负责人为同一人的情形。</w:t>
      </w:r>
    </w:p>
    <w:p w14:paraId="28DC2208">
      <w:pPr>
        <w:pStyle w:val="21"/>
        <w:pageBreakBefore w:val="0"/>
        <w:kinsoku/>
        <w:wordWrap/>
        <w:overflowPunct/>
        <w:topLinePunct w:val="0"/>
        <w:bidi w:val="0"/>
        <w:spacing w:line="360" w:lineRule="auto"/>
        <w:rPr>
          <w:rFonts w:hint="eastAsia"/>
          <w:color w:val="auto"/>
          <w:sz w:val="24"/>
          <w:szCs w:val="24"/>
          <w:highlight w:val="none"/>
        </w:rPr>
      </w:pPr>
    </w:p>
    <w:p w14:paraId="2D02C296">
      <w:pPr>
        <w:pStyle w:val="21"/>
        <w:pageBreakBefore w:val="0"/>
        <w:kinsoku/>
        <w:wordWrap/>
        <w:overflowPunct/>
        <w:topLinePunct w:val="0"/>
        <w:bidi w:val="0"/>
        <w:spacing w:line="360" w:lineRule="auto"/>
        <w:rPr>
          <w:color w:val="auto"/>
          <w:sz w:val="24"/>
          <w:szCs w:val="24"/>
          <w:highlight w:val="none"/>
        </w:rPr>
      </w:pPr>
      <w:r>
        <w:rPr>
          <w:rFonts w:hint="eastAsia"/>
          <w:color w:val="auto"/>
          <w:sz w:val="24"/>
          <w:szCs w:val="24"/>
          <w:highlight w:val="none"/>
        </w:rPr>
        <w:t>本企业对上述声明内容的真实性负责。如有虚假，将依法承担相应责任。</w:t>
      </w:r>
    </w:p>
    <w:p w14:paraId="63138EE7">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12539DFC">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49C389D2">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73DBD5B3">
      <w:pPr>
        <w:pStyle w:val="21"/>
        <w:pageBreakBefore w:val="0"/>
        <w:kinsoku/>
        <w:wordWrap/>
        <w:overflowPunct/>
        <w:topLinePunct w:val="0"/>
        <w:bidi w:val="0"/>
        <w:spacing w:line="360" w:lineRule="auto"/>
        <w:ind w:firstLine="5280" w:firstLineChars="2200"/>
        <w:rPr>
          <w:rFonts w:hint="eastAsia" w:hAnsi="宋体"/>
          <w:color w:val="auto"/>
          <w:sz w:val="24"/>
          <w:highlight w:val="none"/>
          <w:lang w:val="en-US" w:eastAsia="zh-CN"/>
        </w:rPr>
      </w:pPr>
      <w:r>
        <w:rPr>
          <w:rFonts w:hint="eastAsia"/>
          <w:color w:val="auto"/>
          <w:sz w:val="24"/>
          <w:szCs w:val="24"/>
          <w:highlight w:val="none"/>
        </w:rPr>
        <w:t>企业名称</w:t>
      </w:r>
      <w:r>
        <w:rPr>
          <w:rFonts w:hint="eastAsia"/>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lang w:val="en-US" w:eastAsia="zh-CN"/>
        </w:rPr>
        <w:t>盖章</w:t>
      </w:r>
      <w:r>
        <w:rPr>
          <w:rFonts w:hint="eastAsia"/>
          <w:color w:val="auto"/>
          <w:sz w:val="24"/>
          <w:szCs w:val="24"/>
          <w:highlight w:val="none"/>
        </w:rPr>
        <w:t>)</w:t>
      </w:r>
      <w:r>
        <w:rPr>
          <w:rFonts w:hint="eastAsia" w:hAnsi="宋体"/>
          <w:color w:val="auto"/>
          <w:sz w:val="24"/>
          <w:highlight w:val="none"/>
          <w:lang w:val="en-US" w:eastAsia="zh-CN"/>
        </w:rPr>
        <w:t xml:space="preserve">     </w:t>
      </w:r>
    </w:p>
    <w:p w14:paraId="392AE168">
      <w:pPr>
        <w:pStyle w:val="21"/>
        <w:pageBreakBefore w:val="0"/>
        <w:kinsoku/>
        <w:wordWrap/>
        <w:overflowPunct/>
        <w:topLinePunct w:val="0"/>
        <w:bidi w:val="0"/>
        <w:spacing w:line="360" w:lineRule="auto"/>
        <w:ind w:firstLine="5280" w:firstLineChars="2200"/>
        <w:rPr>
          <w:color w:val="auto"/>
          <w:sz w:val="24"/>
          <w:szCs w:val="24"/>
          <w:highlight w:val="none"/>
        </w:rPr>
      </w:pPr>
      <w:r>
        <w:rPr>
          <w:rFonts w:hint="eastAsia"/>
          <w:color w:val="auto"/>
          <w:sz w:val="24"/>
          <w:szCs w:val="24"/>
          <w:highlight w:val="none"/>
        </w:rPr>
        <w:t>日期:</w:t>
      </w:r>
      <w:r>
        <w:rPr>
          <w:rFonts w:hint="eastAsia"/>
          <w:color w:val="auto"/>
          <w:sz w:val="24"/>
          <w:szCs w:val="24"/>
          <w:highlight w:val="none"/>
          <w:u w:val="single"/>
        </w:rPr>
        <w:t xml:space="preserve">   </w:t>
      </w:r>
      <w:r>
        <w:rPr>
          <w:rFonts w:hint="eastAsia"/>
          <w:color w:val="auto"/>
          <w:sz w:val="24"/>
          <w:szCs w:val="24"/>
          <w:highlight w:val="none"/>
        </w:rPr>
        <w:t>年</w:t>
      </w:r>
      <w:r>
        <w:rPr>
          <w:rFonts w:hint="eastAsia"/>
          <w:color w:val="auto"/>
          <w:sz w:val="24"/>
          <w:szCs w:val="24"/>
          <w:highlight w:val="none"/>
          <w:u w:val="single"/>
        </w:rPr>
        <w:t xml:space="preserve">   </w:t>
      </w:r>
      <w:r>
        <w:rPr>
          <w:rFonts w:hint="eastAsia"/>
          <w:color w:val="auto"/>
          <w:sz w:val="24"/>
          <w:szCs w:val="24"/>
          <w:highlight w:val="none"/>
        </w:rPr>
        <w:t>月</w:t>
      </w:r>
      <w:r>
        <w:rPr>
          <w:rFonts w:hint="eastAsia"/>
          <w:color w:val="auto"/>
          <w:sz w:val="24"/>
          <w:szCs w:val="24"/>
          <w:highlight w:val="none"/>
          <w:u w:val="single"/>
        </w:rPr>
        <w:t xml:space="preserve">     </w:t>
      </w:r>
      <w:r>
        <w:rPr>
          <w:rFonts w:hint="eastAsia"/>
          <w:color w:val="auto"/>
          <w:sz w:val="24"/>
          <w:szCs w:val="24"/>
          <w:highlight w:val="none"/>
        </w:rPr>
        <w:t>日</w:t>
      </w:r>
    </w:p>
    <w:p w14:paraId="71D00E30">
      <w:pPr>
        <w:pStyle w:val="15"/>
        <w:pageBreakBefore w:val="0"/>
        <w:kinsoku/>
        <w:wordWrap/>
        <w:overflowPunct/>
        <w:topLinePunct w:val="0"/>
        <w:bidi w:val="0"/>
        <w:spacing w:line="360" w:lineRule="auto"/>
        <w:ind w:firstLine="2168" w:firstLineChars="900"/>
        <w:rPr>
          <w:rFonts w:asciiTheme="minorHAnsi"/>
          <w:b/>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7913470B">
      <w:pPr>
        <w:pStyle w:val="20"/>
        <w:pageBreakBefore w:val="0"/>
        <w:kinsoku/>
        <w:wordWrap/>
        <w:overflowPunct/>
        <w:topLinePunct w:val="0"/>
        <w:bidi w:val="0"/>
        <w:spacing w:line="360" w:lineRule="auto"/>
        <w:jc w:val="both"/>
        <w:rPr>
          <w:rFonts w:hint="eastAsia" w:hAnsi="Calibri" w:eastAsia="宋体" w:asciiTheme="minorHAnsi"/>
          <w:b w:val="0"/>
          <w:color w:val="auto"/>
          <w:sz w:val="24"/>
          <w:szCs w:val="24"/>
          <w:highlight w:val="none"/>
          <w:lang w:eastAsia="zh-CN"/>
        </w:rPr>
      </w:pPr>
      <w:bookmarkStart w:id="399" w:name="_Toc24626"/>
      <w:bookmarkStart w:id="400" w:name="_Toc89950791"/>
      <w:bookmarkStart w:id="401" w:name="_Toc20055"/>
      <w:r>
        <w:rPr>
          <w:rFonts w:asciiTheme="minorHAnsi"/>
          <w:b w:val="0"/>
          <w:color w:val="auto"/>
          <w:sz w:val="24"/>
          <w:szCs w:val="24"/>
          <w:highlight w:val="none"/>
        </w:rPr>
        <w:t>二十</w:t>
      </w:r>
      <w:r>
        <w:rPr>
          <w:rFonts w:hint="eastAsia" w:asciiTheme="minorHAnsi"/>
          <w:b w:val="0"/>
          <w:color w:val="auto"/>
          <w:sz w:val="24"/>
          <w:szCs w:val="24"/>
          <w:highlight w:val="none"/>
          <w:lang w:val="en-US" w:eastAsia="zh-CN"/>
        </w:rPr>
        <w:t>一</w:t>
      </w:r>
      <w:r>
        <w:rPr>
          <w:rFonts w:asciiTheme="minorHAnsi"/>
          <w:b w:val="0"/>
          <w:color w:val="auto"/>
          <w:sz w:val="24"/>
          <w:szCs w:val="24"/>
          <w:highlight w:val="none"/>
        </w:rPr>
        <w:t>、其他文件</w:t>
      </w:r>
      <w:bookmarkEnd w:id="399"/>
      <w:bookmarkEnd w:id="400"/>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401"/>
    </w:p>
    <w:p w14:paraId="20016B20">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供应商认为对投标有利的其他资料。</w:t>
      </w:r>
    </w:p>
    <w:p w14:paraId="489A6FFB">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注意事项：投标供应商认为与采购项目相关的磋商文件未提供格式的其他佐证文件、资料、声明及承诺等（格式自拟，复</w:t>
      </w:r>
      <w:r>
        <w:rPr>
          <w:rFonts w:hint="eastAsia" w:asciiTheme="minorHAnsi"/>
          <w:color w:val="auto"/>
          <w:sz w:val="24"/>
          <w:highlight w:val="none"/>
          <w:lang w:eastAsia="zh-CN"/>
        </w:rPr>
        <w:t>印件</w:t>
      </w:r>
      <w:r>
        <w:rPr>
          <w:rFonts w:hint="eastAsia" w:asciiTheme="minorHAnsi"/>
          <w:color w:val="auto"/>
          <w:sz w:val="24"/>
          <w:highlight w:val="none"/>
        </w:rPr>
        <w:t>或扫描件须加盖竞标供应商公章），非国家行政机关出具的证明文件，由专家磋商小组评审其有效性。</w:t>
      </w:r>
    </w:p>
    <w:p w14:paraId="02B96FEF">
      <w:pPr>
        <w:pStyle w:val="15"/>
        <w:pageBreakBefore w:val="0"/>
        <w:kinsoku/>
        <w:wordWrap/>
        <w:overflowPunct/>
        <w:topLinePunct w:val="0"/>
        <w:bidi w:val="0"/>
        <w:spacing w:line="360" w:lineRule="auto"/>
        <w:rPr>
          <w:rFonts w:asciiTheme="minorHAnsi"/>
          <w:color w:val="auto"/>
          <w:sz w:val="24"/>
          <w:highlight w:val="none"/>
        </w:rPr>
      </w:pPr>
    </w:p>
    <w:p w14:paraId="318A05AC">
      <w:pPr>
        <w:pStyle w:val="15"/>
        <w:pageBreakBefore w:val="0"/>
        <w:kinsoku/>
        <w:wordWrap/>
        <w:overflowPunct/>
        <w:topLinePunct w:val="0"/>
        <w:bidi w:val="0"/>
        <w:spacing w:line="360" w:lineRule="auto"/>
        <w:rPr>
          <w:rFonts w:asciiTheme="minorHAnsi"/>
          <w:color w:val="auto"/>
          <w:sz w:val="24"/>
          <w:highlight w:val="none"/>
        </w:rPr>
      </w:pPr>
    </w:p>
    <w:p w14:paraId="562D77CC">
      <w:pPr>
        <w:pStyle w:val="15"/>
        <w:pageBreakBefore w:val="0"/>
        <w:kinsoku/>
        <w:wordWrap/>
        <w:overflowPunct/>
        <w:topLinePunct w:val="0"/>
        <w:bidi w:val="0"/>
        <w:spacing w:line="360" w:lineRule="auto"/>
        <w:rPr>
          <w:rFonts w:asciiTheme="minorHAnsi"/>
          <w:color w:val="auto"/>
          <w:sz w:val="24"/>
          <w:highlight w:val="none"/>
        </w:rPr>
      </w:pPr>
    </w:p>
    <w:p w14:paraId="6D51220A">
      <w:pPr>
        <w:pStyle w:val="15"/>
        <w:pageBreakBefore w:val="0"/>
        <w:kinsoku/>
        <w:wordWrap/>
        <w:overflowPunct/>
        <w:topLinePunct w:val="0"/>
        <w:bidi w:val="0"/>
        <w:spacing w:line="360" w:lineRule="auto"/>
        <w:rPr>
          <w:rFonts w:asciiTheme="minorHAnsi"/>
          <w:color w:val="auto"/>
          <w:sz w:val="24"/>
          <w:highlight w:val="none"/>
        </w:rPr>
      </w:pPr>
    </w:p>
    <w:p w14:paraId="2DD80DF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21EE3FB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7A1FAB3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8499F3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2856F69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A13854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3130F8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6043275D">
      <w:pPr>
        <w:rPr>
          <w:rStyle w:val="29"/>
          <w:rFonts w:hint="eastAsia" w:ascii="仿宋" w:hAnsi="仿宋" w:eastAsia="仿宋" w:cs="仿宋"/>
          <w:i w:val="0"/>
          <w:iCs w:val="0"/>
          <w:caps w:val="0"/>
          <w:color w:val="auto"/>
          <w:spacing w:val="0"/>
          <w:sz w:val="28"/>
          <w:szCs w:val="28"/>
          <w:highlight w:val="none"/>
          <w:u w:val="none"/>
          <w:shd w:val="clear" w:fill="FFFFFF"/>
          <w:vertAlign w:val="baseline"/>
        </w:rPr>
      </w:pPr>
      <w:r>
        <w:rPr>
          <w:rStyle w:val="29"/>
          <w:rFonts w:hint="eastAsia" w:ascii="仿宋" w:hAnsi="仿宋" w:eastAsia="仿宋" w:cs="仿宋"/>
          <w:i w:val="0"/>
          <w:iCs w:val="0"/>
          <w:caps w:val="0"/>
          <w:color w:val="auto"/>
          <w:spacing w:val="0"/>
          <w:sz w:val="28"/>
          <w:szCs w:val="28"/>
          <w:highlight w:val="none"/>
          <w:u w:val="none"/>
          <w:shd w:val="clear" w:fill="FFFFFF"/>
          <w:vertAlign w:val="baseline"/>
        </w:rPr>
        <w:br w:type="page"/>
      </w:r>
    </w:p>
    <w:p w14:paraId="2275372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color w:val="auto"/>
          <w:sz w:val="28"/>
          <w:szCs w:val="28"/>
          <w:highlight w:val="none"/>
        </w:rPr>
      </w:pPr>
      <w:r>
        <w:rPr>
          <w:rStyle w:val="29"/>
          <w:rFonts w:hint="eastAsia" w:ascii="仿宋" w:hAnsi="仿宋" w:eastAsia="仿宋" w:cs="仿宋"/>
          <w:i w:val="0"/>
          <w:iCs w:val="0"/>
          <w:caps w:val="0"/>
          <w:color w:val="auto"/>
          <w:spacing w:val="0"/>
          <w:sz w:val="28"/>
          <w:szCs w:val="28"/>
          <w:highlight w:val="none"/>
          <w:u w:val="none"/>
          <w:shd w:val="clear" w:fill="FFFFFF"/>
          <w:vertAlign w:val="baseline"/>
        </w:rPr>
        <w:t>中小企业划型标准规定</w:t>
      </w:r>
    </w:p>
    <w:p w14:paraId="42B40D07">
      <w:pPr>
        <w:pStyle w:val="15"/>
        <w:pageBreakBefore w:val="0"/>
        <w:kinsoku/>
        <w:wordWrap/>
        <w:overflowPunct/>
        <w:topLinePunct w:val="0"/>
        <w:bidi w:val="0"/>
        <w:spacing w:line="360" w:lineRule="auto"/>
        <w:ind w:firstLine="560"/>
        <w:rPr>
          <w:rFonts w:hint="eastAsia" w:ascii="仿宋" w:hAnsi="仿宋" w:eastAsia="仿宋" w:cs="仿宋"/>
          <w:i w:val="0"/>
          <w:iCs w:val="0"/>
          <w:caps w:val="0"/>
          <w:color w:val="auto"/>
          <w:spacing w:val="0"/>
          <w:sz w:val="28"/>
          <w:szCs w:val="28"/>
          <w:highlight w:val="none"/>
          <w:u w:val="none"/>
          <w:shd w:val="clear" w:fill="FFFFFF"/>
          <w:vertAlign w:val="baseline"/>
        </w:rPr>
      </w:pPr>
      <w:r>
        <w:rPr>
          <w:rFonts w:hint="eastAsia" w:ascii="仿宋" w:hAnsi="仿宋" w:eastAsia="仿宋" w:cs="仿宋"/>
          <w:i w:val="0"/>
          <w:iCs w:val="0"/>
          <w:caps w:val="0"/>
          <w:color w:val="auto"/>
          <w:spacing w:val="0"/>
          <w:sz w:val="28"/>
          <w:szCs w:val="28"/>
          <w:highlight w:val="none"/>
          <w:u w:val="none"/>
          <w:shd w:val="clear" w:fill="FFFFFF"/>
          <w:vertAlign w:val="baseline"/>
        </w:rPr>
        <w:t>一、根据《中华人民共和国中小企业促进法》和《国务院关于进一步促进中小企业发展的若干意见》(国发〔2009〕36号)，制定本规定。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二、中小企业划分为中型、小型、微型三种类型，具体标准根据企业从业人员、营业收入、资产总额等指标，结合行业特点制定。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四、各行业划型标准为：</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（一）农、林、牧、渔业。营业收入20000万元以下的为中小微型企业。其中，营业收入500万元及以上的为中型企业，营业收入50万元及以上的为小型企业，营业收入50万元以下的为微型企业。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（十六）其他未列明行业。从业人员300人以下的为中小微型企业。其中，从业人员100人及以上的为中型企业；从业人员10人及以上的为小型企业；从业人员10人以下的为微型企业。</w:t>
      </w:r>
    </w:p>
    <w:p w14:paraId="1B4EDE9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color w:val="auto"/>
          <w:sz w:val="28"/>
          <w:szCs w:val="28"/>
          <w:highlight w:val="none"/>
        </w:rPr>
      </w:pPr>
      <w:r>
        <w:rPr>
          <w:rFonts w:hint="eastAsia" w:ascii="仿宋" w:hAnsi="仿宋" w:eastAsia="仿宋" w:cs="仿宋"/>
          <w:i w:val="0"/>
          <w:iCs w:val="0"/>
          <w:caps w:val="0"/>
          <w:color w:val="auto"/>
          <w:spacing w:val="0"/>
          <w:sz w:val="28"/>
          <w:szCs w:val="28"/>
          <w:highlight w:val="none"/>
          <w:u w:val="none"/>
          <w:shd w:val="clear" w:fill="FFFFFF"/>
          <w:vertAlign w:val="baseline"/>
        </w:rPr>
        <w:t>五、企业类型的划分以统计部门的统计数据为依据。</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六、本规定适用于在中华人民共和国境内依法设立的各类所有制和各种组织形式的企业。个体工商户和本规定以外的行业，参照本规定进行划型。</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八、本规定由工业和信息化部、国家统计局会同有关部门根据《国民经济行业分类》修订情况和企业发展变化情况适时修订。</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九、本规定由工业和信息化部、国家统计局会同有关部门负责解释。</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十、本规定自发布之日起执行，原国家经贸委、原国家计委、财政部和国家统计局2003年颁布的《中小企业标准暂行规定》同时废止。</w:t>
      </w:r>
    </w:p>
    <w:p w14:paraId="702AC55A">
      <w:pPr>
        <w:keepNext w:val="0"/>
        <w:keepLines w:val="0"/>
        <w:pageBreakBefore w:val="0"/>
        <w:kinsoku/>
        <w:wordWrap/>
        <w:overflowPunct/>
        <w:topLinePunct w:val="0"/>
        <w:bidi w:val="0"/>
        <w:spacing w:line="360" w:lineRule="auto"/>
        <w:rPr>
          <w:color w:val="auto"/>
          <w:highlight w:val="none"/>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6A9D3FA-1629-4ECA-B40A-6E35F966FD2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E979241-A179-4B34-9B4F-495B434AC745}"/>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roman"/>
    <w:pitch w:val="default"/>
    <w:sig w:usb0="00000001" w:usb1="080E0000" w:usb2="00000000" w:usb3="00000000" w:csb0="00040000" w:csb1="00000000"/>
    <w:embedRegular r:id="rId3" w:fontKey="{D2E550BC-7362-4914-AA53-A8E4E44355CE}"/>
  </w:font>
  <w:font w:name="Calibri Light">
    <w:panose1 w:val="020F0302020204030204"/>
    <w:charset w:val="00"/>
    <w:family w:val="swiss"/>
    <w:pitch w:val="default"/>
    <w:sig w:usb0="E4002EFF" w:usb1="C000247B" w:usb2="00000009" w:usb3="00000000" w:csb0="200001FF" w:csb1="00000000"/>
    <w:embedRegular r:id="rId4" w:fontKey="{A9FF98D1-222A-4FB8-A6B1-D2BBDA43CEEF}"/>
  </w:font>
  <w:font w:name="仿宋">
    <w:panose1 w:val="02010609060101010101"/>
    <w:charset w:val="86"/>
    <w:family w:val="auto"/>
    <w:pitch w:val="default"/>
    <w:sig w:usb0="800002BF" w:usb1="38CF7CFA" w:usb2="00000016" w:usb3="00000000" w:csb0="00040001" w:csb1="00000000"/>
    <w:embedRegular r:id="rId5" w:fontKey="{E575FCB5-930F-4C5E-B798-CFED0C737434}"/>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EETKVU+ËÎÌå">
    <w:altName w:val="Segoe Print"/>
    <w:panose1 w:val="00000000000000000000"/>
    <w:charset w:val="01"/>
    <w:family w:val="auto"/>
    <w:pitch w:val="default"/>
    <w:sig w:usb0="00000000" w:usb1="00000000" w:usb2="01010101" w:usb3="01010101" w:csb0="01010101" w:csb1="01010101"/>
    <w:embedRegular r:id="rId6" w:fontKey="{8AC263B3-1E85-41A8-AB89-9B005225316E}"/>
  </w:font>
  <w:font w:name="Segoe Print">
    <w:panose1 w:val="02000600000000000000"/>
    <w:charset w:val="00"/>
    <w:family w:val="auto"/>
    <w:pitch w:val="default"/>
    <w:sig w:usb0="0000028F" w:usb1="00000000" w:usb2="00000000" w:usb3="00000000" w:csb0="2000009F" w:csb1="47010000"/>
  </w:font>
  <w:font w:name="NVQPQH+ËÎÌå">
    <w:altName w:val="Segoe Print"/>
    <w:panose1 w:val="00000000000000000000"/>
    <w:charset w:val="01"/>
    <w:family w:val="auto"/>
    <w:pitch w:val="default"/>
    <w:sig w:usb0="00000000" w:usb1="00000000" w:usb2="01010101" w:usb3="01010101" w:csb0="01010101" w:csb1="01010101"/>
    <w:embedRegular r:id="rId7" w:fontKey="{13A5D939-9F8B-4FC6-B0C5-96062542DF44}"/>
  </w:font>
  <w:font w:name="TKEBTB+ËÎÌå">
    <w:altName w:val="Verdana"/>
    <w:panose1 w:val="00000000000000000000"/>
    <w:charset w:val="01"/>
    <w:family w:val="auto"/>
    <w:pitch w:val="default"/>
    <w:sig w:usb0="00000000" w:usb1="00000000" w:usb2="01010101" w:usb3="01010101" w:csb0="01010101" w:csb1="01010101"/>
    <w:embedRegular r:id="rId8" w:fontKey="{45346E9F-9ADB-49A2-9F45-38FBDCA8D870}"/>
  </w:font>
  <w:font w:name="Verdana">
    <w:panose1 w:val="020B0604030504040204"/>
    <w:charset w:val="00"/>
    <w:family w:val="auto"/>
    <w:pitch w:val="default"/>
    <w:sig w:usb0="A00006FF" w:usb1="4000205B" w:usb2="00000010" w:usb3="00000000" w:csb0="2000019F" w:csb1="00000000"/>
  </w:font>
  <w:font w:name="JALHGD+ËÎÌå">
    <w:altName w:val="Verdana"/>
    <w:panose1 w:val="00000000000000000000"/>
    <w:charset w:val="01"/>
    <w:family w:val="auto"/>
    <w:pitch w:val="default"/>
    <w:sig w:usb0="00000000" w:usb1="00000000" w:usb2="01010101" w:usb3="01010101" w:csb0="01010101" w:csb1="01010101"/>
    <w:embedRegular r:id="rId9" w:fontKey="{472FCC3B-2207-4E3D-B127-C7030DED1B9B}"/>
  </w:font>
  <w:font w:name="NTAFTU+ËÎÌå">
    <w:altName w:val="Verdana"/>
    <w:panose1 w:val="00000000000000000000"/>
    <w:charset w:val="01"/>
    <w:family w:val="auto"/>
    <w:pitch w:val="default"/>
    <w:sig w:usb0="00000000" w:usb1="00000000" w:usb2="01010101" w:usb3="01010101" w:csb0="01010101" w:csb1="01010101"/>
    <w:embedRegular r:id="rId10" w:fontKey="{1A60DAF9-0053-491F-877C-713161D6F33C}"/>
  </w:font>
  <w:font w:name="VGFCIT+·ÂËÎ">
    <w:altName w:val="Segoe Print"/>
    <w:panose1 w:val="00000000000000000000"/>
    <w:charset w:val="01"/>
    <w:family w:val="modern"/>
    <w:pitch w:val="default"/>
    <w:sig w:usb0="00000000" w:usb1="00000000" w:usb2="01010101" w:usb3="01010101" w:csb0="01010101" w:csb1="01010101"/>
    <w:embedRegular r:id="rId11" w:fontKey="{FB9AB8C0-FC11-4444-B491-DE82E41BCA5A}"/>
  </w:font>
  <w:font w:name="MS Gothic">
    <w:panose1 w:val="020B0609070205080204"/>
    <w:charset w:val="80"/>
    <w:family w:val="modern"/>
    <w:pitch w:val="default"/>
    <w:sig w:usb0="E00002FF" w:usb1="6AC7FDFB" w:usb2="08000012" w:usb3="00000000" w:csb0="4002009F" w:csb1="DFD70000"/>
    <w:embedRegular r:id="rId12" w:fontKey="{B36766F1-0727-4B9F-8A23-48D5519A0A92}"/>
  </w:font>
  <w:font w:name="PGGCUS+·ÂËÎ">
    <w:altName w:val="Segoe Print"/>
    <w:panose1 w:val="00000000000000000000"/>
    <w:charset w:val="01"/>
    <w:family w:val="modern"/>
    <w:pitch w:val="default"/>
    <w:sig w:usb0="00000000" w:usb1="00000000" w:usb2="01010101" w:usb3="01010101" w:csb0="01010101" w:csb1="01010101"/>
    <w:embedRegular r:id="rId13" w:fontKey="{41893F92-831E-485D-89C6-169F1D8BF015}"/>
  </w:font>
  <w:font w:name="BHVDMB+·ÂËÎ">
    <w:altName w:val="Segoe Print"/>
    <w:panose1 w:val="00000000000000000000"/>
    <w:charset w:val="01"/>
    <w:family w:val="modern"/>
    <w:pitch w:val="default"/>
    <w:sig w:usb0="00000000" w:usb1="00000000" w:usb2="01010101" w:usb3="01010101" w:csb0="01010101" w:csb1="01010101"/>
    <w:embedRegular r:id="rId14" w:fontKey="{8F6FD42E-D2B1-4BF4-B53E-26A2CE0F991C}"/>
  </w:font>
  <w:font w:name="UAKEGC+·ÂËÎ">
    <w:altName w:val="Segoe Print"/>
    <w:panose1 w:val="00000000000000000000"/>
    <w:charset w:val="01"/>
    <w:family w:val="modern"/>
    <w:pitch w:val="default"/>
    <w:sig w:usb0="00000000" w:usb1="00000000" w:usb2="01010101" w:usb3="01010101" w:csb0="01010101" w:csb1="01010101"/>
    <w:embedRegular r:id="rId15" w:fontKey="{A69B9B55-1C76-48F5-8340-2F68D24BF7F2}"/>
  </w:font>
  <w:font w:name="CGMJEW+·ÂËÎ">
    <w:altName w:val="Segoe Print"/>
    <w:panose1 w:val="00000000000000000000"/>
    <w:charset w:val="01"/>
    <w:family w:val="modern"/>
    <w:pitch w:val="default"/>
    <w:sig w:usb0="00000000" w:usb1="00000000" w:usb2="01010101" w:usb3="01010101" w:csb0="01010101" w:csb1="01010101"/>
    <w:embedRegular r:id="rId16" w:fontKey="{FFB27771-8045-4CAC-B7F0-D4F7A03574F7}"/>
  </w:font>
  <w:font w:name="HACBAN+·ÂËÎ">
    <w:altName w:val="Segoe Print"/>
    <w:panose1 w:val="00000000000000000000"/>
    <w:charset w:val="01"/>
    <w:family w:val="modern"/>
    <w:pitch w:val="default"/>
    <w:sig w:usb0="00000000" w:usb1="00000000" w:usb2="01010101" w:usb3="01010101" w:csb0="01010101" w:csb1="01010101"/>
    <w:embedRegular r:id="rId17" w:fontKey="{208E1321-31A9-4344-AD56-86203195963D}"/>
  </w:font>
  <w:font w:name="MFHLLT+·ÂËÎ">
    <w:altName w:val="Segoe Print"/>
    <w:panose1 w:val="00000000000000000000"/>
    <w:charset w:val="01"/>
    <w:family w:val="modern"/>
    <w:pitch w:val="default"/>
    <w:sig w:usb0="00000000" w:usb1="00000000" w:usb2="01010101" w:usb3="01010101" w:csb0="01010101" w:csb1="01010101"/>
    <w:embedRegular r:id="rId18" w:fontKey="{95434021-87FB-42BD-A237-6C22731E4515}"/>
  </w:font>
  <w:font w:name="VFHSHT+·ÂËÎ">
    <w:altName w:val="Segoe Print"/>
    <w:panose1 w:val="00000000000000000000"/>
    <w:charset w:val="01"/>
    <w:family w:val="modern"/>
    <w:pitch w:val="default"/>
    <w:sig w:usb0="00000000" w:usb1="00000000" w:usb2="01010101" w:usb3="01010101" w:csb0="01010101" w:csb1="01010101"/>
    <w:embedRegular r:id="rId19" w:fontKey="{3A5452B9-4FED-44EF-A738-A967817C80DA}"/>
  </w:font>
  <w:font w:name="MHVPCT+·ÂËÎ">
    <w:altName w:val="Segoe Print"/>
    <w:panose1 w:val="00000000000000000000"/>
    <w:charset w:val="01"/>
    <w:family w:val="modern"/>
    <w:pitch w:val="default"/>
    <w:sig w:usb0="00000000" w:usb1="00000000" w:usb2="01010101" w:usb3="01010101" w:csb0="01010101" w:csb1="01010101"/>
    <w:embedRegular r:id="rId20" w:fontKey="{0B5886D6-A07A-4ED9-90BB-C30AA508DFC7}"/>
  </w:font>
  <w:font w:name="CQDPIK+·ÂËÎ">
    <w:altName w:val="Segoe Print"/>
    <w:panose1 w:val="00000000000000000000"/>
    <w:charset w:val="01"/>
    <w:family w:val="modern"/>
    <w:pitch w:val="default"/>
    <w:sig w:usb0="00000000" w:usb1="00000000" w:usb2="01010101" w:usb3="01010101" w:csb0="01010101" w:csb1="01010101"/>
    <w:embedRegular r:id="rId21" w:fontKey="{8615C4C1-2913-464D-B72D-5B9D034A52D8}"/>
  </w:font>
  <w:font w:name="IHPKHT+·ÂËÎ">
    <w:altName w:val="Segoe Print"/>
    <w:panose1 w:val="00000000000000000000"/>
    <w:charset w:val="01"/>
    <w:family w:val="modern"/>
    <w:pitch w:val="default"/>
    <w:sig w:usb0="00000000" w:usb1="00000000" w:usb2="01010101" w:usb3="01010101" w:csb0="01010101" w:csb1="01010101"/>
    <w:embedRegular r:id="rId22" w:fontKey="{DDE5125C-3FB9-4A70-985C-10E20B79A021}"/>
  </w:font>
  <w:font w:name="QODNGT+·ÂËÎ">
    <w:altName w:val="Segoe Print"/>
    <w:panose1 w:val="00000000000000000000"/>
    <w:charset w:val="01"/>
    <w:family w:val="modern"/>
    <w:pitch w:val="default"/>
    <w:sig w:usb0="00000000" w:usb1="00000000" w:usb2="01010101" w:usb3="01010101" w:csb0="01010101" w:csb1="01010101"/>
    <w:embedRegular r:id="rId23" w:fontKey="{3AE75542-F217-4B87-A1D8-D36ABEFC0136}"/>
  </w:font>
  <w:font w:name="TNWRRB+·ÂËÎ">
    <w:altName w:val="Segoe Print"/>
    <w:panose1 w:val="00000000000000000000"/>
    <w:charset w:val="01"/>
    <w:family w:val="modern"/>
    <w:pitch w:val="default"/>
    <w:sig w:usb0="00000000" w:usb1="00000000" w:usb2="01010101" w:usb3="01010101" w:csb0="01010101" w:csb1="01010101"/>
    <w:embedRegular r:id="rId24" w:fontKey="{94EF93DD-5324-42AF-8681-B995F222EDAE}"/>
  </w:font>
  <w:font w:name="LFTHJW+ËÎÌå">
    <w:altName w:val="Segoe Print"/>
    <w:panose1 w:val="00000000000000000000"/>
    <w:charset w:val="01"/>
    <w:family w:val="auto"/>
    <w:pitch w:val="default"/>
    <w:sig w:usb0="00000000" w:usb1="00000000" w:usb2="01010101" w:usb3="01010101" w:csb0="01010101" w:csb1="01010101"/>
    <w:embedRegular r:id="rId25" w:fontKey="{930F036E-B19B-4781-A53B-3F2ABF660C7A}"/>
  </w:font>
  <w:font w:name="JTIOTF+·ÂËÎ">
    <w:altName w:val="Segoe Print"/>
    <w:panose1 w:val="00000000000000000000"/>
    <w:charset w:val="01"/>
    <w:family w:val="modern"/>
    <w:pitch w:val="default"/>
    <w:sig w:usb0="00000000" w:usb1="00000000" w:usb2="01010101" w:usb3="01010101" w:csb0="01010101" w:csb1="01010101"/>
    <w:embedRegular r:id="rId26" w:fontKey="{062CDC60-1D70-422F-B989-B6AD04D4D205}"/>
  </w:font>
  <w:font w:name="HEKJFG+·ÂËÎ">
    <w:altName w:val="Segoe Print"/>
    <w:panose1 w:val="00000000000000000000"/>
    <w:charset w:val="01"/>
    <w:family w:val="modern"/>
    <w:pitch w:val="default"/>
    <w:sig w:usb0="00000000" w:usb1="00000000" w:usb2="01010101" w:usb3="01010101" w:csb0="01010101" w:csb1="01010101"/>
    <w:embedRegular r:id="rId27" w:fontKey="{10B46E68-11F0-4A6E-81FF-AC38A4DB9560}"/>
  </w:font>
  <w:font w:name="TBUBVS+·ÂËÎ">
    <w:altName w:val="Segoe Print"/>
    <w:panose1 w:val="00000000000000000000"/>
    <w:charset w:val="01"/>
    <w:family w:val="modern"/>
    <w:pitch w:val="default"/>
    <w:sig w:usb0="00000000" w:usb1="00000000" w:usb2="01010101" w:usb3="01010101" w:csb0="01010101" w:csb1="01010101"/>
    <w:embedRegular r:id="rId28" w:fontKey="{920FF97A-9100-4412-A3DD-45378F0EF96A}"/>
  </w:font>
  <w:font w:name="EENQPB+·ÂËÎ">
    <w:altName w:val="Segoe Print"/>
    <w:panose1 w:val="00000000000000000000"/>
    <w:charset w:val="01"/>
    <w:family w:val="modern"/>
    <w:pitch w:val="default"/>
    <w:sig w:usb0="00000000" w:usb1="00000000" w:usb2="01010101" w:usb3="01010101" w:csb0="01010101" w:csb1="01010101"/>
    <w:embedRegular r:id="rId29" w:fontKey="{D8896719-7D7A-441C-BFA8-B696712D9E7F}"/>
  </w:font>
  <w:font w:name="NKBUPC+·ÂËÎ">
    <w:altName w:val="Segoe Print"/>
    <w:panose1 w:val="00000000000000000000"/>
    <w:charset w:val="01"/>
    <w:family w:val="modern"/>
    <w:pitch w:val="default"/>
    <w:sig w:usb0="00000000" w:usb1="00000000" w:usb2="01010101" w:usb3="01010101" w:csb0="01010101" w:csb1="01010101"/>
    <w:embedRegular r:id="rId30" w:fontKey="{5EBA5F61-D55B-40F9-BF1E-7DF31C186F80}"/>
  </w:font>
  <w:font w:name="VFMOMV+·ÂËÎ">
    <w:altName w:val="Segoe Print"/>
    <w:panose1 w:val="00000000000000000000"/>
    <w:charset w:val="01"/>
    <w:family w:val="modern"/>
    <w:pitch w:val="default"/>
    <w:sig w:usb0="00000000" w:usb1="00000000" w:usb2="01010101" w:usb3="01010101" w:csb0="01010101" w:csb1="01010101"/>
    <w:embedRegular r:id="rId31" w:fontKey="{F19EB081-D05C-4D1A-A1E8-FAE651B71CAF}"/>
  </w:font>
  <w:font w:name="OPMFEL+ËÎÌå">
    <w:altName w:val="Verdana"/>
    <w:panose1 w:val="00000000000000000000"/>
    <w:charset w:val="01"/>
    <w:family w:val="auto"/>
    <w:pitch w:val="default"/>
    <w:sig w:usb0="00000000" w:usb1="00000000" w:usb2="01010101" w:usb3="01010101" w:csb0="01010101" w:csb1="01010101"/>
    <w:embedRegular r:id="rId32" w:fontKey="{DD370EED-ABDC-44C4-B013-362B0D76F099}"/>
  </w:font>
  <w:font w:name="IFJRKJ+ËÎÌå">
    <w:altName w:val="Verdana"/>
    <w:panose1 w:val="00000000000000000000"/>
    <w:charset w:val="01"/>
    <w:family w:val="auto"/>
    <w:pitch w:val="default"/>
    <w:sig w:usb0="00000000" w:usb1="00000000" w:usb2="01010101" w:usb3="01010101" w:csb0="01010101" w:csb1="01010101"/>
    <w:embedRegular r:id="rId33" w:fontKey="{7757D1B5-5776-477C-8106-6D25568E7FDB}"/>
  </w:font>
  <w:font w:name="CFICBP+ËÎÌå">
    <w:altName w:val="Segoe Print"/>
    <w:panose1 w:val="00000000000000000000"/>
    <w:charset w:val="01"/>
    <w:family w:val="auto"/>
    <w:pitch w:val="default"/>
    <w:sig w:usb0="00000000" w:usb1="00000000" w:usb2="01010101" w:usb3="01010101" w:csb0="01010101" w:csb1="01010101"/>
    <w:embedRegular r:id="rId34" w:fontKey="{20812B45-B9B8-4F69-BF6D-8E6CD69E512C}"/>
  </w:font>
  <w:font w:name="ASAROH+ËÎÌå">
    <w:altName w:val="Segoe Print"/>
    <w:panose1 w:val="00000000000000000000"/>
    <w:charset w:val="01"/>
    <w:family w:val="auto"/>
    <w:pitch w:val="default"/>
    <w:sig w:usb0="00000000" w:usb1="00000000" w:usb2="01010101" w:usb3="01010101" w:csb0="01010101" w:csb1="01010101"/>
    <w:embedRegular r:id="rId35" w:fontKey="{4BC1329A-439A-45D8-A873-70C0B71E7F6F}"/>
  </w:font>
  <w:font w:name="PVWGCA+·ÂËÎ">
    <w:altName w:val="Segoe Print"/>
    <w:panose1 w:val="00000000000000000000"/>
    <w:charset w:val="01"/>
    <w:family w:val="modern"/>
    <w:pitch w:val="default"/>
    <w:sig w:usb0="00000000" w:usb1="00000000" w:usb2="01010101" w:usb3="01010101" w:csb0="01010101" w:csb1="01010101"/>
    <w:embedRegular r:id="rId36" w:fontKey="{B1447149-759A-42A7-A009-919B3498F698}"/>
  </w:font>
  <w:font w:name="WAPKNB+·ÂËÎ">
    <w:altName w:val="Segoe Print"/>
    <w:panose1 w:val="00000000000000000000"/>
    <w:charset w:val="01"/>
    <w:family w:val="modern"/>
    <w:pitch w:val="default"/>
    <w:sig w:usb0="00000000" w:usb1="00000000" w:usb2="01010101" w:usb3="01010101" w:csb0="01010101" w:csb1="01010101"/>
    <w:embedRegular r:id="rId37" w:fontKey="{197E33E3-2ADC-4852-896D-7D462BB5B575}"/>
  </w:font>
  <w:font w:name="SRWTJJ+ËÎÌå">
    <w:altName w:val="Segoe Print"/>
    <w:panose1 w:val="00000000000000000000"/>
    <w:charset w:val="01"/>
    <w:family w:val="auto"/>
    <w:pitch w:val="default"/>
    <w:sig w:usb0="00000000" w:usb1="00000000" w:usb2="01010101" w:usb3="01010101" w:csb0="01010101" w:csb1="01010101"/>
    <w:embedRegular r:id="rId38" w:fontKey="{025660CE-36EC-4548-9BFD-869881B58109}"/>
  </w:font>
  <w:font w:name="TRCVNT+·ÂËÎ">
    <w:altName w:val="Segoe Print"/>
    <w:panose1 w:val="00000000000000000000"/>
    <w:charset w:val="01"/>
    <w:family w:val="modern"/>
    <w:pitch w:val="default"/>
    <w:sig w:usb0="00000000" w:usb1="00000000" w:usb2="01010101" w:usb3="01010101" w:csb0="01010101" w:csb1="01010101"/>
    <w:embedRegular r:id="rId39" w:fontKey="{113D3145-828F-4AA4-BC97-484E9A06FDE6}"/>
  </w:font>
  <w:font w:name="MSSTTN+ËÎÌå">
    <w:altName w:val="Segoe Print"/>
    <w:panose1 w:val="00000000000000000000"/>
    <w:charset w:val="01"/>
    <w:family w:val="auto"/>
    <w:pitch w:val="default"/>
    <w:sig w:usb0="00000000" w:usb1="00000000" w:usb2="01010101" w:usb3="01010101" w:csb0="01010101" w:csb1="01010101"/>
    <w:embedRegular r:id="rId40" w:fontKey="{3D670F4C-71F2-4162-9FC4-3F7ECA0BF793}"/>
  </w:font>
  <w:font w:name="CLGJOD+·ÂËÎ">
    <w:altName w:val="Segoe Print"/>
    <w:panose1 w:val="00000000000000000000"/>
    <w:charset w:val="01"/>
    <w:family w:val="modern"/>
    <w:pitch w:val="default"/>
    <w:sig w:usb0="00000000" w:usb1="00000000" w:usb2="01010101" w:usb3="01010101" w:csb0="01010101" w:csb1="01010101"/>
    <w:embedRegular r:id="rId41" w:fontKey="{3D54A541-C07A-4760-9F2C-7C46BB7C8EA8}"/>
  </w:font>
  <w:font w:name="STTKJS+·ÂËÎ">
    <w:altName w:val="Segoe Print"/>
    <w:panose1 w:val="00000000000000000000"/>
    <w:charset w:val="01"/>
    <w:family w:val="modern"/>
    <w:pitch w:val="default"/>
    <w:sig w:usb0="00000000" w:usb1="00000000" w:usb2="01010101" w:usb3="01010101" w:csb0="01010101" w:csb1="01010101"/>
    <w:embedRegular r:id="rId42" w:fontKey="{B6B3949C-1104-4231-990B-B6AD10133D10}"/>
  </w:font>
  <w:font w:name="VMKEEH+·ÂËÎ">
    <w:altName w:val="Segoe Print"/>
    <w:panose1 w:val="00000000000000000000"/>
    <w:charset w:val="01"/>
    <w:family w:val="modern"/>
    <w:pitch w:val="default"/>
    <w:sig w:usb0="00000000" w:usb1="00000000" w:usb2="01010101" w:usb3="01010101" w:csb0="01010101" w:csb1="01010101"/>
    <w:embedRegular r:id="rId43" w:fontKey="{83FC32B5-28A1-4B68-B565-EF4F6A0586D0}"/>
  </w:font>
  <w:font w:name="HBDJGJ+·ÂËÎ">
    <w:altName w:val="Segoe Print"/>
    <w:panose1 w:val="00000000000000000000"/>
    <w:charset w:val="01"/>
    <w:family w:val="modern"/>
    <w:pitch w:val="default"/>
    <w:sig w:usb0="00000000" w:usb1="00000000" w:usb2="01010101" w:usb3="01010101" w:csb0="01010101" w:csb1="01010101"/>
    <w:embedRegular r:id="rId44" w:fontKey="{4621829B-AF4E-49E4-BCEC-6F02A22B7458}"/>
  </w:font>
  <w:font w:name="VIPIIL+ËÎÌå">
    <w:altName w:val="Segoe Print"/>
    <w:panose1 w:val="00000000000000000000"/>
    <w:charset w:val="01"/>
    <w:family w:val="auto"/>
    <w:pitch w:val="default"/>
    <w:sig w:usb0="00000000" w:usb1="00000000" w:usb2="01010101" w:usb3="01010101" w:csb0="01010101" w:csb1="01010101"/>
    <w:embedRegular r:id="rId45" w:fontKey="{97B10D1C-B36E-41D3-97EF-EF56C48EA36D}"/>
  </w:font>
  <w:font w:name="UGJDBS+·ÂËÎ">
    <w:altName w:val="Segoe Print"/>
    <w:panose1 w:val="00000000000000000000"/>
    <w:charset w:val="01"/>
    <w:family w:val="modern"/>
    <w:pitch w:val="default"/>
    <w:sig w:usb0="00000000" w:usb1="00000000" w:usb2="01010101" w:usb3="01010101" w:csb0="01010101" w:csb1="01010101"/>
    <w:embedRegular r:id="rId46" w:fontKey="{67C7F644-D8B6-4276-A28A-1087ECBF6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1373">
    <w:pPr>
      <w:pStyle w:val="17"/>
      <w:ind w:firstLine="5520" w:firstLineChars="2300"/>
      <w:rPr>
        <w:rFonts w:hint="eastAsia"/>
        <w:sz w:val="24"/>
      </w:rPr>
    </w:pPr>
  </w:p>
  <w:p w14:paraId="369B68A9">
    <w:pPr>
      <w:pStyle w:val="17"/>
      <w:ind w:firstLine="5040" w:firstLineChars="2100"/>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95D6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B95D68">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4"/>
      </w:rPr>
      <w:t>新疆重道敬德招标咨询有限公司编制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179A9">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A42FE">
                          <w:pPr>
                            <w:pStyle w:val="17"/>
                          </w:pPr>
                          <w:r>
                            <w:fldChar w:fldCharType="begin"/>
                          </w:r>
                          <w:r>
                            <w:instrText xml:space="preserve"> PAGE  \* MERGEFORMAT </w:instrText>
                          </w:r>
                          <w:r>
                            <w:fldChar w:fldCharType="separate"/>
                          </w:r>
                          <w:r>
                            <w:t>- 60 -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94A42FE">
                    <w:pPr>
                      <w:pStyle w:val="17"/>
                    </w:pPr>
                    <w:r>
                      <w:fldChar w:fldCharType="begin"/>
                    </w:r>
                    <w:r>
                      <w:instrText xml:space="preserve"> PAGE  \* MERGEFORMAT </w:instrText>
                    </w:r>
                    <w:r>
                      <w:fldChar w:fldCharType="separate"/>
                    </w:r>
                    <w:r>
                      <w:t>- 60 -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D01CD">
    <w:pPr>
      <w:pStyle w:val="1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90B19">
                          <w:pPr>
                            <w:pStyle w:val="17"/>
                          </w:pPr>
                          <w:r>
                            <w:fldChar w:fldCharType="begin"/>
                          </w:r>
                          <w:r>
                            <w:instrText xml:space="preserve"> PAGE  \* MERGEFORMAT </w:instrText>
                          </w:r>
                          <w:r>
                            <w:fldChar w:fldCharType="separate"/>
                          </w:r>
                          <w:r>
                            <w:t>- 59 -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AE90B19">
                    <w:pPr>
                      <w:pStyle w:val="17"/>
                    </w:pPr>
                    <w:r>
                      <w:fldChar w:fldCharType="begin"/>
                    </w:r>
                    <w:r>
                      <w:instrText xml:space="preserve"> PAGE  \* MERGEFORMAT </w:instrText>
                    </w:r>
                    <w:r>
                      <w:fldChar w:fldCharType="separate"/>
                    </w:r>
                    <w:r>
                      <w:t>- 59 -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13EA">
    <w:pPr>
      <w:pStyle w:val="17"/>
      <w:tabs>
        <w:tab w:val="left" w:pos="4773"/>
        <w:tab w:val="clear" w:pos="8306"/>
      </w:tabs>
      <w:ind w:firstLine="5520" w:firstLineChars="2300"/>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B1EF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4AB1EF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432B6357">
    <w:pPr>
      <w:pStyle w:val="17"/>
      <w:ind w:firstLine="5760" w:firstLineChars="2400"/>
      <w:rPr>
        <w:sz w:val="24"/>
      </w:rPr>
    </w:pPr>
    <w:r>
      <w:rPr>
        <w:rFonts w:hint="eastAsia"/>
        <w:sz w:val="24"/>
      </w:rPr>
      <w:t>新疆重道敬德招标咨询有限公司编制</w:t>
    </w:r>
  </w:p>
  <w:p w14:paraId="30F93027">
    <w:pPr>
      <w:pStyle w:val="17"/>
      <w:rPr>
        <w:rFonts w:ascii="宋体" w:hAnsi="宋体" w:eastAsia="宋体" w:cs="宋体"/>
        <w:b/>
        <w:bCs/>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2F88A">
    <w:pPr>
      <w:pStyle w:val="18"/>
      <w:pBdr>
        <w:top w:val="none" w:color="auto" w:sz="0" w:space="0"/>
        <w:bottom w:val="threeDEngrave" w:color="auto" w:sz="18" w:space="0"/>
      </w:pBdr>
    </w:pPr>
    <w:r>
      <w:rPr>
        <w:rFonts w:hint="eastAsia"/>
      </w:rPr>
      <w:t xml:space="preserve"> </w:t>
    </w:r>
    <w:r>
      <w:rPr>
        <w:rFonts w:hint="eastAsia"/>
      </w:rPr>
      <w:drawing>
        <wp:inline distT="0" distB="0" distL="0" distR="0">
          <wp:extent cx="306705" cy="13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5247" cy="141297"/>
                  </a:xfrm>
                  <a:prstGeom prst="rect">
                    <a:avLst/>
                  </a:prstGeom>
                </pic:spPr>
              </pic:pic>
            </a:graphicData>
          </a:graphic>
        </wp:inline>
      </w:drawing>
    </w:r>
    <w:r>
      <w:rPr>
        <w:rFonts w:hint="eastAsia"/>
      </w:rPr>
      <w:t xml:space="preserve">                                                                              </w:t>
    </w:r>
    <w:r>
      <w:rPr>
        <w:rFonts w:hint="eastAsia"/>
        <w:b/>
        <w:bCs/>
        <w:sz w:val="24"/>
      </w:rPr>
      <w:t>竞争性磋商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44D21">
    <w:pPr>
      <w:pStyle w:val="18"/>
      <w:pBdr>
        <w:top w:val="none" w:color="auto" w:sz="0" w:space="0"/>
        <w:bottom w:val="threeDEngrave" w:color="auto" w:sz="18" w:space="0"/>
      </w:pBdr>
    </w:pPr>
    <w:r>
      <w:rPr>
        <w:rFonts w:hint="eastAsia"/>
      </w:rPr>
      <w:t xml:space="preserve">                                                                          </w:t>
    </w:r>
  </w:p>
  <w:p w14:paraId="768A779F">
    <w:pPr>
      <w:pStyle w:val="18"/>
      <w:pBdr>
        <w:top w:val="none" w:color="auto" w:sz="0" w:space="0"/>
        <w:bottom w:val="threeDEngrave" w:color="auto" w:sz="18" w:space="0"/>
      </w:pBdr>
    </w:pPr>
    <w:r>
      <w:rPr>
        <w:rFonts w:hint="eastAsia"/>
      </w:rPr>
      <w:t xml:space="preserve"> </w:t>
    </w:r>
    <w:r>
      <w:rPr>
        <w:rFonts w:hint="eastAsia"/>
      </w:rPr>
      <w:drawing>
        <wp:inline distT="0" distB="0" distL="0" distR="0">
          <wp:extent cx="323850" cy="14033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2812" cy="144583"/>
                  </a:xfrm>
                  <a:prstGeom prst="rect">
                    <a:avLst/>
                  </a:prstGeom>
                </pic:spPr>
              </pic:pic>
            </a:graphicData>
          </a:graphic>
        </wp:inline>
      </w:drawing>
    </w:r>
    <w:r>
      <w:rPr>
        <w:rFonts w:hint="eastAsia"/>
      </w:rPr>
      <w:t xml:space="preserve">                                                                                 </w:t>
    </w:r>
    <w:r>
      <w:rPr>
        <w:rFonts w:hint="eastAsia"/>
        <w:b/>
        <w:bCs/>
        <w:sz w:val="24"/>
      </w:rPr>
      <w:t>竞争性磋商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E3DD93"/>
    <w:multiLevelType w:val="singleLevel"/>
    <w:tmpl w:val="85E3DD93"/>
    <w:lvl w:ilvl="0" w:tentative="0">
      <w:start w:val="9"/>
      <w:numFmt w:val="decimal"/>
      <w:lvlText w:val="%1."/>
      <w:lvlJc w:val="left"/>
      <w:pPr>
        <w:tabs>
          <w:tab w:val="left" w:pos="312"/>
        </w:tabs>
      </w:pPr>
    </w:lvl>
  </w:abstractNum>
  <w:abstractNum w:abstractNumId="1">
    <w:nsid w:val="24E409BB"/>
    <w:multiLevelType w:val="multilevel"/>
    <w:tmpl w:val="24E409BB"/>
    <w:lvl w:ilvl="0" w:tentative="0">
      <w:start w:val="1"/>
      <w:numFmt w:val="decimal"/>
      <w:pStyle w:val="33"/>
      <w:lvlText w:val="表%1："/>
      <w:lvlJc w:val="left"/>
      <w:pPr>
        <w:ind w:left="5240" w:hanging="420"/>
      </w:pPr>
      <w:rPr>
        <w:rFonts w:hint="eastAsia"/>
        <w:b w:val="0"/>
        <w:lang w:val="en-US"/>
      </w:rPr>
    </w:lvl>
    <w:lvl w:ilvl="1" w:tentative="0">
      <w:start w:val="1"/>
      <w:numFmt w:val="lowerLetter"/>
      <w:lvlText w:val="%2)"/>
      <w:lvlJc w:val="left"/>
      <w:pPr>
        <w:ind w:left="1178" w:hanging="420"/>
      </w:pPr>
    </w:lvl>
    <w:lvl w:ilvl="2" w:tentative="0">
      <w:start w:val="1"/>
      <w:numFmt w:val="lowerRoman"/>
      <w:lvlText w:val="%3."/>
      <w:lvlJc w:val="right"/>
      <w:pPr>
        <w:ind w:left="1598" w:hanging="420"/>
      </w:pPr>
    </w:lvl>
    <w:lvl w:ilvl="3" w:tentative="0">
      <w:start w:val="1"/>
      <w:numFmt w:val="decimal"/>
      <w:lvlText w:val="%4."/>
      <w:lvlJc w:val="left"/>
      <w:pPr>
        <w:ind w:left="2018" w:hanging="420"/>
      </w:pPr>
    </w:lvl>
    <w:lvl w:ilvl="4" w:tentative="0">
      <w:start w:val="1"/>
      <w:numFmt w:val="lowerLetter"/>
      <w:lvlText w:val="%5)"/>
      <w:lvlJc w:val="left"/>
      <w:pPr>
        <w:ind w:left="2438" w:hanging="420"/>
      </w:pPr>
    </w:lvl>
    <w:lvl w:ilvl="5" w:tentative="0">
      <w:start w:val="1"/>
      <w:numFmt w:val="lowerRoman"/>
      <w:lvlText w:val="%6."/>
      <w:lvlJc w:val="right"/>
      <w:pPr>
        <w:ind w:left="2858" w:hanging="420"/>
      </w:pPr>
    </w:lvl>
    <w:lvl w:ilvl="6" w:tentative="0">
      <w:start w:val="1"/>
      <w:numFmt w:val="decimal"/>
      <w:lvlText w:val="%7."/>
      <w:lvlJc w:val="left"/>
      <w:pPr>
        <w:ind w:left="3278" w:hanging="420"/>
      </w:pPr>
    </w:lvl>
    <w:lvl w:ilvl="7" w:tentative="0">
      <w:start w:val="1"/>
      <w:numFmt w:val="lowerLetter"/>
      <w:lvlText w:val="%8)"/>
      <w:lvlJc w:val="left"/>
      <w:pPr>
        <w:ind w:left="3698" w:hanging="420"/>
      </w:pPr>
    </w:lvl>
    <w:lvl w:ilvl="8" w:tentative="0">
      <w:start w:val="1"/>
      <w:numFmt w:val="lowerRoman"/>
      <w:lvlText w:val="%9."/>
      <w:lvlJc w:val="right"/>
      <w:pPr>
        <w:ind w:left="4118" w:hanging="420"/>
      </w:pPr>
    </w:lvl>
  </w:abstractNum>
  <w:abstractNum w:abstractNumId="2">
    <w:nsid w:val="6E6F60ED"/>
    <w:multiLevelType w:val="multilevel"/>
    <w:tmpl w:val="6E6F60ED"/>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40"/>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6E6F60EF"/>
    <w:multiLevelType w:val="multilevel"/>
    <w:tmpl w:val="6E6F60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D76CC6"/>
    <w:multiLevelType w:val="singleLevel"/>
    <w:tmpl w:val="78D76CC6"/>
    <w:lvl w:ilvl="0" w:tentative="0">
      <w:start w:val="3"/>
      <w:numFmt w:val="chineseCounting"/>
      <w:suff w:val="nothing"/>
      <w:lvlText w:val="%1、"/>
      <w:lvlJc w:val="left"/>
      <w:rPr>
        <w:rFonts w:hint="eastAsia"/>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p7iYoRd3mtb6cfPqUMgyo2reCGA=" w:salt="YzexY60f4/xnVAGr1j/jgg=="/>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Yzg1NWUyZDA0OTg1NjA0NTM4ZWM1ODM1YmUzOGMifQ=="/>
    <w:docVar w:name="KSO_WPS_MARK_KEY" w:val="f57b7a4a-35fc-4925-8761-fdcd422f89a8"/>
  </w:docVars>
  <w:rsids>
    <w:rsidRoot w:val="00172A27"/>
    <w:rsid w:val="00026990"/>
    <w:rsid w:val="00026B1E"/>
    <w:rsid w:val="000351D4"/>
    <w:rsid w:val="00050073"/>
    <w:rsid w:val="00064910"/>
    <w:rsid w:val="00076802"/>
    <w:rsid w:val="0008239E"/>
    <w:rsid w:val="000E5511"/>
    <w:rsid w:val="00106A4F"/>
    <w:rsid w:val="00111629"/>
    <w:rsid w:val="00117BCB"/>
    <w:rsid w:val="00121207"/>
    <w:rsid w:val="00160F7E"/>
    <w:rsid w:val="00170093"/>
    <w:rsid w:val="00172A27"/>
    <w:rsid w:val="001867DF"/>
    <w:rsid w:val="001D280C"/>
    <w:rsid w:val="001D5085"/>
    <w:rsid w:val="002051AC"/>
    <w:rsid w:val="0022126C"/>
    <w:rsid w:val="00224165"/>
    <w:rsid w:val="00251A6F"/>
    <w:rsid w:val="002A09F0"/>
    <w:rsid w:val="002D2374"/>
    <w:rsid w:val="002F1BE7"/>
    <w:rsid w:val="00332DE0"/>
    <w:rsid w:val="003829CA"/>
    <w:rsid w:val="003B0365"/>
    <w:rsid w:val="003B4ADD"/>
    <w:rsid w:val="003B634E"/>
    <w:rsid w:val="003C663A"/>
    <w:rsid w:val="003E298C"/>
    <w:rsid w:val="0040598E"/>
    <w:rsid w:val="0041315E"/>
    <w:rsid w:val="00432F30"/>
    <w:rsid w:val="00450933"/>
    <w:rsid w:val="004757C1"/>
    <w:rsid w:val="004863D3"/>
    <w:rsid w:val="004951A4"/>
    <w:rsid w:val="004D629D"/>
    <w:rsid w:val="00522A9A"/>
    <w:rsid w:val="00523E1B"/>
    <w:rsid w:val="00532DF8"/>
    <w:rsid w:val="00543B55"/>
    <w:rsid w:val="00554183"/>
    <w:rsid w:val="00556C21"/>
    <w:rsid w:val="00564D11"/>
    <w:rsid w:val="00566707"/>
    <w:rsid w:val="00592146"/>
    <w:rsid w:val="005B74F3"/>
    <w:rsid w:val="006120E2"/>
    <w:rsid w:val="00623451"/>
    <w:rsid w:val="00632E25"/>
    <w:rsid w:val="00696D6D"/>
    <w:rsid w:val="006D2983"/>
    <w:rsid w:val="006E4566"/>
    <w:rsid w:val="00702991"/>
    <w:rsid w:val="00737A37"/>
    <w:rsid w:val="007A5E0F"/>
    <w:rsid w:val="007A6E34"/>
    <w:rsid w:val="008535E4"/>
    <w:rsid w:val="008D2234"/>
    <w:rsid w:val="008F35AF"/>
    <w:rsid w:val="00904598"/>
    <w:rsid w:val="0093228D"/>
    <w:rsid w:val="00953573"/>
    <w:rsid w:val="00996554"/>
    <w:rsid w:val="00A241A4"/>
    <w:rsid w:val="00A575A1"/>
    <w:rsid w:val="00A63F8F"/>
    <w:rsid w:val="00AD5510"/>
    <w:rsid w:val="00AE37E2"/>
    <w:rsid w:val="00AF6697"/>
    <w:rsid w:val="00B53783"/>
    <w:rsid w:val="00B60943"/>
    <w:rsid w:val="00B61DE2"/>
    <w:rsid w:val="00B71994"/>
    <w:rsid w:val="00B74107"/>
    <w:rsid w:val="00B92355"/>
    <w:rsid w:val="00B94810"/>
    <w:rsid w:val="00BA685A"/>
    <w:rsid w:val="00BA7349"/>
    <w:rsid w:val="00C068FC"/>
    <w:rsid w:val="00C240D5"/>
    <w:rsid w:val="00C368F6"/>
    <w:rsid w:val="00C465D6"/>
    <w:rsid w:val="00C52CDA"/>
    <w:rsid w:val="00D65ACD"/>
    <w:rsid w:val="00D7143B"/>
    <w:rsid w:val="00D76D5B"/>
    <w:rsid w:val="00D80BDE"/>
    <w:rsid w:val="00D81792"/>
    <w:rsid w:val="00D83B88"/>
    <w:rsid w:val="00D851B3"/>
    <w:rsid w:val="00DC6723"/>
    <w:rsid w:val="00DE0DD3"/>
    <w:rsid w:val="00E455B1"/>
    <w:rsid w:val="00E63AF4"/>
    <w:rsid w:val="00E8115F"/>
    <w:rsid w:val="00E90ABC"/>
    <w:rsid w:val="00EA2B07"/>
    <w:rsid w:val="00EB24E7"/>
    <w:rsid w:val="00EF5EB4"/>
    <w:rsid w:val="00F04198"/>
    <w:rsid w:val="00F453C8"/>
    <w:rsid w:val="00F47B4F"/>
    <w:rsid w:val="00F962BE"/>
    <w:rsid w:val="00FA1EC7"/>
    <w:rsid w:val="00FB688C"/>
    <w:rsid w:val="00FD1899"/>
    <w:rsid w:val="012D69F9"/>
    <w:rsid w:val="01917CC3"/>
    <w:rsid w:val="01F320CF"/>
    <w:rsid w:val="02122F1A"/>
    <w:rsid w:val="02B95C0C"/>
    <w:rsid w:val="02BB4F8D"/>
    <w:rsid w:val="02BE018F"/>
    <w:rsid w:val="02FE7907"/>
    <w:rsid w:val="031A2336"/>
    <w:rsid w:val="03CE219C"/>
    <w:rsid w:val="03ED2C37"/>
    <w:rsid w:val="03FE3C06"/>
    <w:rsid w:val="04166F99"/>
    <w:rsid w:val="045D0A6D"/>
    <w:rsid w:val="04685D08"/>
    <w:rsid w:val="048279B1"/>
    <w:rsid w:val="048F01B2"/>
    <w:rsid w:val="04C05DD8"/>
    <w:rsid w:val="04DF29B8"/>
    <w:rsid w:val="04E6106A"/>
    <w:rsid w:val="0517629E"/>
    <w:rsid w:val="05CD3B71"/>
    <w:rsid w:val="05F12A9C"/>
    <w:rsid w:val="05FF62DE"/>
    <w:rsid w:val="06142C86"/>
    <w:rsid w:val="062803DE"/>
    <w:rsid w:val="063A3415"/>
    <w:rsid w:val="06662CAA"/>
    <w:rsid w:val="07091ED6"/>
    <w:rsid w:val="070C0151"/>
    <w:rsid w:val="0711392A"/>
    <w:rsid w:val="07267721"/>
    <w:rsid w:val="072C1883"/>
    <w:rsid w:val="07350087"/>
    <w:rsid w:val="073954E1"/>
    <w:rsid w:val="07435EC4"/>
    <w:rsid w:val="07466C58"/>
    <w:rsid w:val="08266D30"/>
    <w:rsid w:val="08471E20"/>
    <w:rsid w:val="08576D37"/>
    <w:rsid w:val="09280F57"/>
    <w:rsid w:val="09491BC8"/>
    <w:rsid w:val="09A358EB"/>
    <w:rsid w:val="09D772FE"/>
    <w:rsid w:val="09FF5766"/>
    <w:rsid w:val="0A767CEA"/>
    <w:rsid w:val="0AA663AB"/>
    <w:rsid w:val="0AAA31F2"/>
    <w:rsid w:val="0AAC359F"/>
    <w:rsid w:val="0AB2555C"/>
    <w:rsid w:val="0AB92398"/>
    <w:rsid w:val="0AB92C22"/>
    <w:rsid w:val="0ABA4577"/>
    <w:rsid w:val="0ABF391A"/>
    <w:rsid w:val="0AC2104C"/>
    <w:rsid w:val="0AC3539A"/>
    <w:rsid w:val="0AD10766"/>
    <w:rsid w:val="0ADB19D9"/>
    <w:rsid w:val="0B7908B7"/>
    <w:rsid w:val="0B9345F8"/>
    <w:rsid w:val="0BEE5548"/>
    <w:rsid w:val="0BF4406D"/>
    <w:rsid w:val="0BF573A3"/>
    <w:rsid w:val="0C033547"/>
    <w:rsid w:val="0C6675BB"/>
    <w:rsid w:val="0C6F7C23"/>
    <w:rsid w:val="0C783979"/>
    <w:rsid w:val="0CB617C8"/>
    <w:rsid w:val="0CE023A4"/>
    <w:rsid w:val="0CE37E84"/>
    <w:rsid w:val="0CE62E14"/>
    <w:rsid w:val="0D28639A"/>
    <w:rsid w:val="0D3F6BF4"/>
    <w:rsid w:val="0D410210"/>
    <w:rsid w:val="0D744C91"/>
    <w:rsid w:val="0DCC0F7E"/>
    <w:rsid w:val="0E1A4B6D"/>
    <w:rsid w:val="0E225238"/>
    <w:rsid w:val="0EAD6637"/>
    <w:rsid w:val="0EC21223"/>
    <w:rsid w:val="0ED57440"/>
    <w:rsid w:val="0EEA4B98"/>
    <w:rsid w:val="0F525A82"/>
    <w:rsid w:val="0F8C362B"/>
    <w:rsid w:val="0FA02B6C"/>
    <w:rsid w:val="0FE64C56"/>
    <w:rsid w:val="0FF73D54"/>
    <w:rsid w:val="10377803"/>
    <w:rsid w:val="1044416C"/>
    <w:rsid w:val="104C61F7"/>
    <w:rsid w:val="10726C9E"/>
    <w:rsid w:val="10A32A69"/>
    <w:rsid w:val="10D77F2A"/>
    <w:rsid w:val="10D93E84"/>
    <w:rsid w:val="1111121D"/>
    <w:rsid w:val="113359E1"/>
    <w:rsid w:val="116111EC"/>
    <w:rsid w:val="11667325"/>
    <w:rsid w:val="116B706D"/>
    <w:rsid w:val="11A90FC5"/>
    <w:rsid w:val="11D22EA9"/>
    <w:rsid w:val="12412BDE"/>
    <w:rsid w:val="1246703D"/>
    <w:rsid w:val="12674858"/>
    <w:rsid w:val="12770F04"/>
    <w:rsid w:val="1277378C"/>
    <w:rsid w:val="128926F1"/>
    <w:rsid w:val="12DF0125"/>
    <w:rsid w:val="12F40C4B"/>
    <w:rsid w:val="12F627A9"/>
    <w:rsid w:val="130662B7"/>
    <w:rsid w:val="13202156"/>
    <w:rsid w:val="134D5844"/>
    <w:rsid w:val="13555AB2"/>
    <w:rsid w:val="13C074CC"/>
    <w:rsid w:val="13C61FEC"/>
    <w:rsid w:val="13FA4A03"/>
    <w:rsid w:val="142C2D8E"/>
    <w:rsid w:val="1476752B"/>
    <w:rsid w:val="14970342"/>
    <w:rsid w:val="14F828E0"/>
    <w:rsid w:val="150250C1"/>
    <w:rsid w:val="1557615F"/>
    <w:rsid w:val="15660D5F"/>
    <w:rsid w:val="15C316E5"/>
    <w:rsid w:val="15CB6F74"/>
    <w:rsid w:val="161F43DC"/>
    <w:rsid w:val="16211091"/>
    <w:rsid w:val="165B0B18"/>
    <w:rsid w:val="1671136D"/>
    <w:rsid w:val="16B212AB"/>
    <w:rsid w:val="17246C97"/>
    <w:rsid w:val="17897B5B"/>
    <w:rsid w:val="18230015"/>
    <w:rsid w:val="183E77D9"/>
    <w:rsid w:val="18804DC7"/>
    <w:rsid w:val="18C535EB"/>
    <w:rsid w:val="18D24207"/>
    <w:rsid w:val="18F64569"/>
    <w:rsid w:val="18FD1973"/>
    <w:rsid w:val="192A12A8"/>
    <w:rsid w:val="197015CD"/>
    <w:rsid w:val="19C21FBF"/>
    <w:rsid w:val="19CD3E98"/>
    <w:rsid w:val="19E24822"/>
    <w:rsid w:val="19E77A3D"/>
    <w:rsid w:val="1A3315C9"/>
    <w:rsid w:val="1A5F4059"/>
    <w:rsid w:val="1A841478"/>
    <w:rsid w:val="1A8735D5"/>
    <w:rsid w:val="1A9457B7"/>
    <w:rsid w:val="1ADB5A99"/>
    <w:rsid w:val="1AF515FD"/>
    <w:rsid w:val="1B460D87"/>
    <w:rsid w:val="1B92663F"/>
    <w:rsid w:val="1BA608F4"/>
    <w:rsid w:val="1BB926BC"/>
    <w:rsid w:val="1CB6182D"/>
    <w:rsid w:val="1D502154"/>
    <w:rsid w:val="1D964ABA"/>
    <w:rsid w:val="1DD223A7"/>
    <w:rsid w:val="1DD9661E"/>
    <w:rsid w:val="1E941AA4"/>
    <w:rsid w:val="1E970005"/>
    <w:rsid w:val="1ECD2A6B"/>
    <w:rsid w:val="1EDF61F4"/>
    <w:rsid w:val="1F293EAE"/>
    <w:rsid w:val="1F8774DA"/>
    <w:rsid w:val="20123240"/>
    <w:rsid w:val="20342FB8"/>
    <w:rsid w:val="20773E8A"/>
    <w:rsid w:val="20916602"/>
    <w:rsid w:val="20B83064"/>
    <w:rsid w:val="20E0264A"/>
    <w:rsid w:val="20EB2041"/>
    <w:rsid w:val="20ED7A13"/>
    <w:rsid w:val="212E6DA7"/>
    <w:rsid w:val="21472BAF"/>
    <w:rsid w:val="21897FA8"/>
    <w:rsid w:val="2190477B"/>
    <w:rsid w:val="21A65EB0"/>
    <w:rsid w:val="21E1429F"/>
    <w:rsid w:val="22253D95"/>
    <w:rsid w:val="222F3E78"/>
    <w:rsid w:val="22587005"/>
    <w:rsid w:val="22852F56"/>
    <w:rsid w:val="229D06EB"/>
    <w:rsid w:val="22A77C33"/>
    <w:rsid w:val="22FF187E"/>
    <w:rsid w:val="23105550"/>
    <w:rsid w:val="23106927"/>
    <w:rsid w:val="23291303"/>
    <w:rsid w:val="232C7E18"/>
    <w:rsid w:val="23333C2B"/>
    <w:rsid w:val="23466FF2"/>
    <w:rsid w:val="235A40AC"/>
    <w:rsid w:val="236E24FF"/>
    <w:rsid w:val="23716A16"/>
    <w:rsid w:val="23B60BEE"/>
    <w:rsid w:val="23F06146"/>
    <w:rsid w:val="23FC3A8F"/>
    <w:rsid w:val="243219CE"/>
    <w:rsid w:val="246318E7"/>
    <w:rsid w:val="24902F0D"/>
    <w:rsid w:val="24965F00"/>
    <w:rsid w:val="24CD2986"/>
    <w:rsid w:val="251F4492"/>
    <w:rsid w:val="25FA1223"/>
    <w:rsid w:val="26011824"/>
    <w:rsid w:val="26132912"/>
    <w:rsid w:val="26356AC8"/>
    <w:rsid w:val="269738DB"/>
    <w:rsid w:val="26AA1AA0"/>
    <w:rsid w:val="26DE3F37"/>
    <w:rsid w:val="26DF418A"/>
    <w:rsid w:val="26E07221"/>
    <w:rsid w:val="27292135"/>
    <w:rsid w:val="276E5701"/>
    <w:rsid w:val="279334D6"/>
    <w:rsid w:val="27B77ACB"/>
    <w:rsid w:val="27DA6677"/>
    <w:rsid w:val="27F24521"/>
    <w:rsid w:val="280A52A3"/>
    <w:rsid w:val="28107987"/>
    <w:rsid w:val="283A679F"/>
    <w:rsid w:val="28584810"/>
    <w:rsid w:val="287B2AE2"/>
    <w:rsid w:val="28D948BF"/>
    <w:rsid w:val="298929F8"/>
    <w:rsid w:val="29B650F0"/>
    <w:rsid w:val="29D90E8C"/>
    <w:rsid w:val="29F81BB6"/>
    <w:rsid w:val="2A36796D"/>
    <w:rsid w:val="2A405518"/>
    <w:rsid w:val="2A4A167D"/>
    <w:rsid w:val="2AFA1CEF"/>
    <w:rsid w:val="2B043DA3"/>
    <w:rsid w:val="2B515511"/>
    <w:rsid w:val="2B581F98"/>
    <w:rsid w:val="2BD845B6"/>
    <w:rsid w:val="2C174AF9"/>
    <w:rsid w:val="2C2A506D"/>
    <w:rsid w:val="2C2C1E83"/>
    <w:rsid w:val="2C363D26"/>
    <w:rsid w:val="2C3D0EDB"/>
    <w:rsid w:val="2C3F78CC"/>
    <w:rsid w:val="2C824814"/>
    <w:rsid w:val="2C8709D0"/>
    <w:rsid w:val="2C871CB4"/>
    <w:rsid w:val="2CD37C2E"/>
    <w:rsid w:val="2CF4151E"/>
    <w:rsid w:val="2D5E4625"/>
    <w:rsid w:val="2D8D7A26"/>
    <w:rsid w:val="2DA829C8"/>
    <w:rsid w:val="2DB838A8"/>
    <w:rsid w:val="2E265090"/>
    <w:rsid w:val="2E84707B"/>
    <w:rsid w:val="2E880786"/>
    <w:rsid w:val="2E9A032A"/>
    <w:rsid w:val="2E9B298D"/>
    <w:rsid w:val="2EAB27E9"/>
    <w:rsid w:val="2EEC7C44"/>
    <w:rsid w:val="2EEF1A07"/>
    <w:rsid w:val="2EF03EA1"/>
    <w:rsid w:val="2F7715DD"/>
    <w:rsid w:val="2F775126"/>
    <w:rsid w:val="2F8C641C"/>
    <w:rsid w:val="2FA829C3"/>
    <w:rsid w:val="2FBB67E1"/>
    <w:rsid w:val="2FBD12DC"/>
    <w:rsid w:val="2FC7197D"/>
    <w:rsid w:val="2FE129ED"/>
    <w:rsid w:val="3021721D"/>
    <w:rsid w:val="30422D49"/>
    <w:rsid w:val="304E12B0"/>
    <w:rsid w:val="30E2235C"/>
    <w:rsid w:val="30EF04D7"/>
    <w:rsid w:val="310E1D12"/>
    <w:rsid w:val="319468DA"/>
    <w:rsid w:val="31A72405"/>
    <w:rsid w:val="31F3556D"/>
    <w:rsid w:val="321A7AD7"/>
    <w:rsid w:val="323A5129"/>
    <w:rsid w:val="323F1C36"/>
    <w:rsid w:val="32480882"/>
    <w:rsid w:val="32737637"/>
    <w:rsid w:val="330D4396"/>
    <w:rsid w:val="333735DD"/>
    <w:rsid w:val="333B1366"/>
    <w:rsid w:val="336178B6"/>
    <w:rsid w:val="337105C3"/>
    <w:rsid w:val="33A56C61"/>
    <w:rsid w:val="33CF2DD1"/>
    <w:rsid w:val="33D63870"/>
    <w:rsid w:val="33FC6742"/>
    <w:rsid w:val="347B58AB"/>
    <w:rsid w:val="34837FD9"/>
    <w:rsid w:val="349124F1"/>
    <w:rsid w:val="34AD76AC"/>
    <w:rsid w:val="34D35CEA"/>
    <w:rsid w:val="3566409A"/>
    <w:rsid w:val="35971896"/>
    <w:rsid w:val="35990448"/>
    <w:rsid w:val="35AD1889"/>
    <w:rsid w:val="35BB76F2"/>
    <w:rsid w:val="3641585E"/>
    <w:rsid w:val="36BB15B6"/>
    <w:rsid w:val="36CF7289"/>
    <w:rsid w:val="370E7E29"/>
    <w:rsid w:val="374D1B58"/>
    <w:rsid w:val="379125B7"/>
    <w:rsid w:val="37B026D0"/>
    <w:rsid w:val="37B91168"/>
    <w:rsid w:val="37CA053C"/>
    <w:rsid w:val="37EB3979"/>
    <w:rsid w:val="382647C6"/>
    <w:rsid w:val="38417D8A"/>
    <w:rsid w:val="385B1FA1"/>
    <w:rsid w:val="387C338C"/>
    <w:rsid w:val="388C6481"/>
    <w:rsid w:val="38945653"/>
    <w:rsid w:val="389B3654"/>
    <w:rsid w:val="38E007F4"/>
    <w:rsid w:val="38F537F0"/>
    <w:rsid w:val="38F83567"/>
    <w:rsid w:val="390135F1"/>
    <w:rsid w:val="39B02E69"/>
    <w:rsid w:val="39E27375"/>
    <w:rsid w:val="39E93DDE"/>
    <w:rsid w:val="39EB34B2"/>
    <w:rsid w:val="3A2726C2"/>
    <w:rsid w:val="3A703FD7"/>
    <w:rsid w:val="3A884CFF"/>
    <w:rsid w:val="3AA27D5B"/>
    <w:rsid w:val="3AFA1F44"/>
    <w:rsid w:val="3AFD79F6"/>
    <w:rsid w:val="3B1654FE"/>
    <w:rsid w:val="3B6F663F"/>
    <w:rsid w:val="3B7517A7"/>
    <w:rsid w:val="3B872459"/>
    <w:rsid w:val="3B882178"/>
    <w:rsid w:val="3B9A612F"/>
    <w:rsid w:val="3BC87279"/>
    <w:rsid w:val="3BCB69D6"/>
    <w:rsid w:val="3BED340A"/>
    <w:rsid w:val="3C1145A5"/>
    <w:rsid w:val="3C9F3570"/>
    <w:rsid w:val="3CB94A0D"/>
    <w:rsid w:val="3CC16439"/>
    <w:rsid w:val="3D723E79"/>
    <w:rsid w:val="3DDD4A8F"/>
    <w:rsid w:val="3DE63212"/>
    <w:rsid w:val="3DE764AB"/>
    <w:rsid w:val="3E455441"/>
    <w:rsid w:val="3E6A4B7B"/>
    <w:rsid w:val="3E7D006B"/>
    <w:rsid w:val="3E7D027B"/>
    <w:rsid w:val="3EA27B11"/>
    <w:rsid w:val="3F7919FA"/>
    <w:rsid w:val="3F932B5B"/>
    <w:rsid w:val="3FB84DD6"/>
    <w:rsid w:val="3FDF78A0"/>
    <w:rsid w:val="40183F58"/>
    <w:rsid w:val="402E0F27"/>
    <w:rsid w:val="404A301C"/>
    <w:rsid w:val="404D7889"/>
    <w:rsid w:val="405E083B"/>
    <w:rsid w:val="40645CC5"/>
    <w:rsid w:val="40AA1C33"/>
    <w:rsid w:val="4101153E"/>
    <w:rsid w:val="41305C12"/>
    <w:rsid w:val="413B2C86"/>
    <w:rsid w:val="413E2586"/>
    <w:rsid w:val="414556A4"/>
    <w:rsid w:val="41605AB7"/>
    <w:rsid w:val="41764162"/>
    <w:rsid w:val="419A17C0"/>
    <w:rsid w:val="41F5147A"/>
    <w:rsid w:val="421A2C82"/>
    <w:rsid w:val="421E4780"/>
    <w:rsid w:val="42414910"/>
    <w:rsid w:val="42C6780A"/>
    <w:rsid w:val="42D31499"/>
    <w:rsid w:val="430E2464"/>
    <w:rsid w:val="43A044FF"/>
    <w:rsid w:val="43AF0F09"/>
    <w:rsid w:val="43B37A0A"/>
    <w:rsid w:val="43DC5F7B"/>
    <w:rsid w:val="446D581D"/>
    <w:rsid w:val="44A404D4"/>
    <w:rsid w:val="44BA6D92"/>
    <w:rsid w:val="44D65613"/>
    <w:rsid w:val="46690BD8"/>
    <w:rsid w:val="467B090B"/>
    <w:rsid w:val="46951FB7"/>
    <w:rsid w:val="46C95885"/>
    <w:rsid w:val="46FE39D0"/>
    <w:rsid w:val="472C606A"/>
    <w:rsid w:val="47665CD5"/>
    <w:rsid w:val="481A5E02"/>
    <w:rsid w:val="48465BD1"/>
    <w:rsid w:val="48557733"/>
    <w:rsid w:val="487A1FF6"/>
    <w:rsid w:val="489C22EB"/>
    <w:rsid w:val="48A022C0"/>
    <w:rsid w:val="491D4581"/>
    <w:rsid w:val="49923788"/>
    <w:rsid w:val="4999325E"/>
    <w:rsid w:val="4A1F7D66"/>
    <w:rsid w:val="4A3608E7"/>
    <w:rsid w:val="4A3C3367"/>
    <w:rsid w:val="4A52253E"/>
    <w:rsid w:val="4A942F93"/>
    <w:rsid w:val="4AC57162"/>
    <w:rsid w:val="4AD131F0"/>
    <w:rsid w:val="4AD71D2A"/>
    <w:rsid w:val="4AFE3BEF"/>
    <w:rsid w:val="4B230A83"/>
    <w:rsid w:val="4B983E2E"/>
    <w:rsid w:val="4BA87B7B"/>
    <w:rsid w:val="4BBA6971"/>
    <w:rsid w:val="4BD57219"/>
    <w:rsid w:val="4BD92BAD"/>
    <w:rsid w:val="4C3E5B41"/>
    <w:rsid w:val="4C855AD5"/>
    <w:rsid w:val="4CB86201"/>
    <w:rsid w:val="4CC2611C"/>
    <w:rsid w:val="4CE969FB"/>
    <w:rsid w:val="4D047BB6"/>
    <w:rsid w:val="4D09114D"/>
    <w:rsid w:val="4D147B22"/>
    <w:rsid w:val="4D491126"/>
    <w:rsid w:val="4D507D4F"/>
    <w:rsid w:val="4D6D4ABE"/>
    <w:rsid w:val="4D786791"/>
    <w:rsid w:val="4E2F13F5"/>
    <w:rsid w:val="4E352D30"/>
    <w:rsid w:val="4E430148"/>
    <w:rsid w:val="4E4A7604"/>
    <w:rsid w:val="4E834801"/>
    <w:rsid w:val="4F042AC3"/>
    <w:rsid w:val="4F7B140C"/>
    <w:rsid w:val="4FDC4432"/>
    <w:rsid w:val="4FF34167"/>
    <w:rsid w:val="4FF4527D"/>
    <w:rsid w:val="510D474B"/>
    <w:rsid w:val="51236162"/>
    <w:rsid w:val="51A55EB6"/>
    <w:rsid w:val="524C6241"/>
    <w:rsid w:val="526741AD"/>
    <w:rsid w:val="52D62D7F"/>
    <w:rsid w:val="53057EDB"/>
    <w:rsid w:val="53374402"/>
    <w:rsid w:val="53505EE7"/>
    <w:rsid w:val="536C1ECE"/>
    <w:rsid w:val="53966C56"/>
    <w:rsid w:val="53B921C1"/>
    <w:rsid w:val="53E53B49"/>
    <w:rsid w:val="53EE2C38"/>
    <w:rsid w:val="54563554"/>
    <w:rsid w:val="54570D55"/>
    <w:rsid w:val="547B3DEE"/>
    <w:rsid w:val="5491394E"/>
    <w:rsid w:val="54BA4BD8"/>
    <w:rsid w:val="54BF40B9"/>
    <w:rsid w:val="54F2747E"/>
    <w:rsid w:val="54FE1B04"/>
    <w:rsid w:val="558E76E4"/>
    <w:rsid w:val="559265BF"/>
    <w:rsid w:val="55954A18"/>
    <w:rsid w:val="55B97CEC"/>
    <w:rsid w:val="55D718D7"/>
    <w:rsid w:val="55FA3344"/>
    <w:rsid w:val="55FF66E5"/>
    <w:rsid w:val="55FF7CF2"/>
    <w:rsid w:val="561E46B8"/>
    <w:rsid w:val="56355BD9"/>
    <w:rsid w:val="56753075"/>
    <w:rsid w:val="569F5951"/>
    <w:rsid w:val="56AE7F1D"/>
    <w:rsid w:val="56E9798D"/>
    <w:rsid w:val="57693372"/>
    <w:rsid w:val="57790FEF"/>
    <w:rsid w:val="57AB42AD"/>
    <w:rsid w:val="57EA7B72"/>
    <w:rsid w:val="581C33E5"/>
    <w:rsid w:val="587D617F"/>
    <w:rsid w:val="58C6086C"/>
    <w:rsid w:val="58CE39B7"/>
    <w:rsid w:val="58D719DF"/>
    <w:rsid w:val="58DA3ED7"/>
    <w:rsid w:val="58FB4ADE"/>
    <w:rsid w:val="591A59F9"/>
    <w:rsid w:val="591F0EF4"/>
    <w:rsid w:val="592A1F5E"/>
    <w:rsid w:val="592F51D6"/>
    <w:rsid w:val="59384783"/>
    <w:rsid w:val="5A2301D6"/>
    <w:rsid w:val="5A376315"/>
    <w:rsid w:val="5A516AE4"/>
    <w:rsid w:val="5A6F691A"/>
    <w:rsid w:val="5AC43F81"/>
    <w:rsid w:val="5B8B7B1B"/>
    <w:rsid w:val="5B922F94"/>
    <w:rsid w:val="5B973A9B"/>
    <w:rsid w:val="5BE51D7B"/>
    <w:rsid w:val="5BE6758A"/>
    <w:rsid w:val="5C167099"/>
    <w:rsid w:val="5C3455DD"/>
    <w:rsid w:val="5C727941"/>
    <w:rsid w:val="5C7F32C5"/>
    <w:rsid w:val="5C835F64"/>
    <w:rsid w:val="5CA130BF"/>
    <w:rsid w:val="5D347D1F"/>
    <w:rsid w:val="5DA823CA"/>
    <w:rsid w:val="5DB905BB"/>
    <w:rsid w:val="5DDF5718"/>
    <w:rsid w:val="5EBC5AF5"/>
    <w:rsid w:val="5ED86CB6"/>
    <w:rsid w:val="5EEF7059"/>
    <w:rsid w:val="5F1F1C0E"/>
    <w:rsid w:val="5F275A67"/>
    <w:rsid w:val="5F353A5F"/>
    <w:rsid w:val="5F5D2550"/>
    <w:rsid w:val="5F6E50CC"/>
    <w:rsid w:val="5F743FBB"/>
    <w:rsid w:val="5F9D377B"/>
    <w:rsid w:val="5FB0040D"/>
    <w:rsid w:val="607C6966"/>
    <w:rsid w:val="60F22570"/>
    <w:rsid w:val="611B5020"/>
    <w:rsid w:val="615269E1"/>
    <w:rsid w:val="61726151"/>
    <w:rsid w:val="617635B5"/>
    <w:rsid w:val="619A5581"/>
    <w:rsid w:val="61BB5ABD"/>
    <w:rsid w:val="61D96523"/>
    <w:rsid w:val="621512A2"/>
    <w:rsid w:val="62744735"/>
    <w:rsid w:val="628030DA"/>
    <w:rsid w:val="6297163E"/>
    <w:rsid w:val="62DA3D51"/>
    <w:rsid w:val="63136E56"/>
    <w:rsid w:val="636E0DE8"/>
    <w:rsid w:val="63754FCB"/>
    <w:rsid w:val="63B96FA0"/>
    <w:rsid w:val="640E69DC"/>
    <w:rsid w:val="641328DA"/>
    <w:rsid w:val="641C37D3"/>
    <w:rsid w:val="642B756A"/>
    <w:rsid w:val="643F4944"/>
    <w:rsid w:val="645E42B8"/>
    <w:rsid w:val="64B07242"/>
    <w:rsid w:val="64E54D92"/>
    <w:rsid w:val="64F47F7F"/>
    <w:rsid w:val="65071890"/>
    <w:rsid w:val="65224B33"/>
    <w:rsid w:val="652F1587"/>
    <w:rsid w:val="653A0F0D"/>
    <w:rsid w:val="658C2D0E"/>
    <w:rsid w:val="65905DE0"/>
    <w:rsid w:val="65C94CD8"/>
    <w:rsid w:val="65DE4130"/>
    <w:rsid w:val="662D037C"/>
    <w:rsid w:val="66660DB7"/>
    <w:rsid w:val="66727B37"/>
    <w:rsid w:val="6679178F"/>
    <w:rsid w:val="669003AD"/>
    <w:rsid w:val="66C0619B"/>
    <w:rsid w:val="66CC70A1"/>
    <w:rsid w:val="66F51D24"/>
    <w:rsid w:val="66F661E9"/>
    <w:rsid w:val="672D1422"/>
    <w:rsid w:val="675003BD"/>
    <w:rsid w:val="67F62989"/>
    <w:rsid w:val="68435E55"/>
    <w:rsid w:val="684F2EB5"/>
    <w:rsid w:val="68AE1334"/>
    <w:rsid w:val="68B62324"/>
    <w:rsid w:val="68BC1590"/>
    <w:rsid w:val="68C2701F"/>
    <w:rsid w:val="68C375C6"/>
    <w:rsid w:val="68D15664"/>
    <w:rsid w:val="68E74790"/>
    <w:rsid w:val="691A2776"/>
    <w:rsid w:val="693C736B"/>
    <w:rsid w:val="694F3CDA"/>
    <w:rsid w:val="69B1581F"/>
    <w:rsid w:val="69EC7A41"/>
    <w:rsid w:val="69F7024B"/>
    <w:rsid w:val="6A3B065A"/>
    <w:rsid w:val="6A7D3D39"/>
    <w:rsid w:val="6AA25F7A"/>
    <w:rsid w:val="6AA62425"/>
    <w:rsid w:val="6ABE4434"/>
    <w:rsid w:val="6ACB33A5"/>
    <w:rsid w:val="6B0E7CAC"/>
    <w:rsid w:val="6B4339ED"/>
    <w:rsid w:val="6B4A0528"/>
    <w:rsid w:val="6B5C5B0E"/>
    <w:rsid w:val="6B976469"/>
    <w:rsid w:val="6BA240C1"/>
    <w:rsid w:val="6BD61FBC"/>
    <w:rsid w:val="6BE012F4"/>
    <w:rsid w:val="6BEE3CDA"/>
    <w:rsid w:val="6C2F7C6E"/>
    <w:rsid w:val="6C6D79BC"/>
    <w:rsid w:val="6CA47517"/>
    <w:rsid w:val="6CF40731"/>
    <w:rsid w:val="6D1A1720"/>
    <w:rsid w:val="6D201310"/>
    <w:rsid w:val="6D5E5DAE"/>
    <w:rsid w:val="6D866423"/>
    <w:rsid w:val="6D9F5C19"/>
    <w:rsid w:val="6E0853CC"/>
    <w:rsid w:val="6EE92756"/>
    <w:rsid w:val="6EEF666E"/>
    <w:rsid w:val="6FFA009A"/>
    <w:rsid w:val="6FFB12D9"/>
    <w:rsid w:val="70440F20"/>
    <w:rsid w:val="7080315C"/>
    <w:rsid w:val="70864D36"/>
    <w:rsid w:val="70CF5CE5"/>
    <w:rsid w:val="715B2BF8"/>
    <w:rsid w:val="716A5681"/>
    <w:rsid w:val="717D79A1"/>
    <w:rsid w:val="71850820"/>
    <w:rsid w:val="71E64686"/>
    <w:rsid w:val="7200428B"/>
    <w:rsid w:val="72726225"/>
    <w:rsid w:val="72981DD9"/>
    <w:rsid w:val="72A833E6"/>
    <w:rsid w:val="73107C55"/>
    <w:rsid w:val="732A652E"/>
    <w:rsid w:val="733D7136"/>
    <w:rsid w:val="733F40AC"/>
    <w:rsid w:val="734450D2"/>
    <w:rsid w:val="7365379D"/>
    <w:rsid w:val="73662034"/>
    <w:rsid w:val="73860EF2"/>
    <w:rsid w:val="739369E5"/>
    <w:rsid w:val="73BD2098"/>
    <w:rsid w:val="73C45D5F"/>
    <w:rsid w:val="73F434AD"/>
    <w:rsid w:val="74171D7F"/>
    <w:rsid w:val="745B7E8E"/>
    <w:rsid w:val="746A5A8B"/>
    <w:rsid w:val="746E3192"/>
    <w:rsid w:val="74711B6B"/>
    <w:rsid w:val="74883AF4"/>
    <w:rsid w:val="748D5111"/>
    <w:rsid w:val="74936486"/>
    <w:rsid w:val="7498051C"/>
    <w:rsid w:val="74C2487E"/>
    <w:rsid w:val="74E05C7C"/>
    <w:rsid w:val="74EE7608"/>
    <w:rsid w:val="752735AB"/>
    <w:rsid w:val="75750A98"/>
    <w:rsid w:val="76202CFA"/>
    <w:rsid w:val="762962B0"/>
    <w:rsid w:val="764847C6"/>
    <w:rsid w:val="76704E50"/>
    <w:rsid w:val="767964C4"/>
    <w:rsid w:val="7685584E"/>
    <w:rsid w:val="769E55DA"/>
    <w:rsid w:val="76D65C9B"/>
    <w:rsid w:val="76E77774"/>
    <w:rsid w:val="771020CD"/>
    <w:rsid w:val="773F753A"/>
    <w:rsid w:val="776534A2"/>
    <w:rsid w:val="7771241E"/>
    <w:rsid w:val="77C53810"/>
    <w:rsid w:val="77DE048B"/>
    <w:rsid w:val="783C0A79"/>
    <w:rsid w:val="783E2095"/>
    <w:rsid w:val="784D1486"/>
    <w:rsid w:val="78E31A40"/>
    <w:rsid w:val="792F562E"/>
    <w:rsid w:val="79371810"/>
    <w:rsid w:val="798A3F98"/>
    <w:rsid w:val="799F7935"/>
    <w:rsid w:val="79B649A3"/>
    <w:rsid w:val="79B97998"/>
    <w:rsid w:val="7A2B5BC9"/>
    <w:rsid w:val="7A384009"/>
    <w:rsid w:val="7A5A7D47"/>
    <w:rsid w:val="7A6868DD"/>
    <w:rsid w:val="7A731DFE"/>
    <w:rsid w:val="7AAE244F"/>
    <w:rsid w:val="7ABE5DB4"/>
    <w:rsid w:val="7AE4194E"/>
    <w:rsid w:val="7AF44162"/>
    <w:rsid w:val="7B0976E5"/>
    <w:rsid w:val="7B9A4DB4"/>
    <w:rsid w:val="7BA86F5F"/>
    <w:rsid w:val="7BDC5F7A"/>
    <w:rsid w:val="7C902424"/>
    <w:rsid w:val="7CC0612F"/>
    <w:rsid w:val="7CD07524"/>
    <w:rsid w:val="7CD9190C"/>
    <w:rsid w:val="7CDC6C39"/>
    <w:rsid w:val="7D0A380A"/>
    <w:rsid w:val="7D797161"/>
    <w:rsid w:val="7D8F2C47"/>
    <w:rsid w:val="7DB91F8A"/>
    <w:rsid w:val="7DCB29E8"/>
    <w:rsid w:val="7DCF4595"/>
    <w:rsid w:val="7DF967B3"/>
    <w:rsid w:val="7E2F7213"/>
    <w:rsid w:val="7E810CD2"/>
    <w:rsid w:val="7EA123CA"/>
    <w:rsid w:val="7ED54E27"/>
    <w:rsid w:val="7F226773"/>
    <w:rsid w:val="7FCC196F"/>
    <w:rsid w:val="7FD741A3"/>
    <w:rsid w:val="7FEA39C9"/>
    <w:rsid w:val="7FEC145E"/>
    <w:rsid w:val="7FFF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jc w:val="center"/>
      <w:outlineLvl w:val="2"/>
    </w:pPr>
    <w:rPr>
      <w:rFonts w:eastAsia="黑体"/>
      <w:bCs/>
      <w:kern w:val="0"/>
      <w:sz w:val="24"/>
      <w:szCs w:val="32"/>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kern w:val="0"/>
      <w:sz w:val="20"/>
    </w:rPr>
  </w:style>
  <w:style w:type="paragraph" w:styleId="6">
    <w:name w:val="toa heading"/>
    <w:basedOn w:val="1"/>
    <w:next w:val="1"/>
    <w:autoRedefine/>
    <w:qFormat/>
    <w:uiPriority w:val="0"/>
    <w:pPr>
      <w:spacing w:before="120"/>
    </w:pPr>
    <w:rPr>
      <w:rFonts w:ascii="Cambria" w:hAnsi="Cambria"/>
      <w:sz w:val="24"/>
    </w:rPr>
  </w:style>
  <w:style w:type="paragraph" w:styleId="7">
    <w:name w:val="Body Text 3"/>
    <w:basedOn w:val="1"/>
    <w:autoRedefine/>
    <w:unhideWhenUsed/>
    <w:qFormat/>
    <w:uiPriority w:val="0"/>
    <w:pPr>
      <w:spacing w:after="120"/>
    </w:pPr>
    <w:rPr>
      <w:sz w:val="16"/>
      <w:szCs w:val="16"/>
    </w:rPr>
  </w:style>
  <w:style w:type="paragraph" w:styleId="8">
    <w:name w:val="Body Text"/>
    <w:basedOn w:val="1"/>
    <w:next w:val="9"/>
    <w:autoRedefine/>
    <w:qFormat/>
    <w:uiPriority w:val="0"/>
    <w:pPr>
      <w:spacing w:after="120"/>
    </w:pPr>
  </w:style>
  <w:style w:type="paragraph" w:customStyle="1" w:styleId="9">
    <w:name w:val="Default"/>
    <w:autoRedefine/>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10">
    <w:name w:val="Body Text Indent"/>
    <w:basedOn w:val="1"/>
    <w:next w:val="11"/>
    <w:autoRedefine/>
    <w:qFormat/>
    <w:uiPriority w:val="0"/>
    <w:pPr>
      <w:spacing w:line="380" w:lineRule="exact"/>
      <w:ind w:firstLine="480"/>
    </w:pPr>
    <w:rPr>
      <w:rFonts w:eastAsia="方正书宋简体"/>
      <w:kern w:val="0"/>
      <w:sz w:val="24"/>
      <w:szCs w:val="20"/>
    </w:rPr>
  </w:style>
  <w:style w:type="paragraph" w:styleId="11">
    <w:name w:val="Body Text First Indent 2"/>
    <w:basedOn w:val="10"/>
    <w:next w:val="12"/>
    <w:autoRedefine/>
    <w:qFormat/>
    <w:uiPriority w:val="0"/>
    <w:pPr>
      <w:spacing w:line="360" w:lineRule="auto"/>
      <w:ind w:firstLine="420" w:firstLineChars="200"/>
    </w:pPr>
    <w:rPr>
      <w:rFonts w:ascii="Times New Roman" w:hAnsi="Times New Roman" w:eastAsia="仿宋_GB2312" w:cs="Times New Roman"/>
      <w:spacing w:val="15"/>
      <w:kern w:val="10"/>
      <w:szCs w:val="24"/>
    </w:rPr>
  </w:style>
  <w:style w:type="paragraph" w:styleId="12">
    <w:name w:val="Body Text First Indent"/>
    <w:basedOn w:val="8"/>
    <w:autoRedefine/>
    <w:qFormat/>
    <w:uiPriority w:val="0"/>
    <w:pPr>
      <w:ind w:firstLine="420" w:firstLineChars="100"/>
    </w:pPr>
    <w:rPr>
      <w:szCs w:val="20"/>
    </w:rPr>
  </w:style>
  <w:style w:type="paragraph" w:styleId="13">
    <w:name w:val="Block Text"/>
    <w:basedOn w:val="1"/>
    <w:autoRedefine/>
    <w:qFormat/>
    <w:uiPriority w:val="0"/>
    <w:pPr>
      <w:adjustRightInd w:val="0"/>
      <w:ind w:left="420" w:right="33"/>
      <w:jc w:val="left"/>
      <w:textAlignment w:val="baseline"/>
    </w:pPr>
    <w:rPr>
      <w:sz w:val="24"/>
      <w:szCs w:val="20"/>
    </w:rPr>
  </w:style>
  <w:style w:type="paragraph" w:styleId="14">
    <w:name w:val="toc 3"/>
    <w:basedOn w:val="1"/>
    <w:next w:val="1"/>
    <w:autoRedefine/>
    <w:qFormat/>
    <w:uiPriority w:val="0"/>
    <w:pPr>
      <w:ind w:left="840" w:leftChars="400"/>
    </w:pPr>
  </w:style>
  <w:style w:type="paragraph" w:styleId="15">
    <w:name w:val="Plain Text"/>
    <w:basedOn w:val="1"/>
    <w:link w:val="63"/>
    <w:autoRedefine/>
    <w:qFormat/>
    <w:uiPriority w:val="0"/>
    <w:rPr>
      <w:rFonts w:ascii="宋体" w:hAnsi="宋体"/>
    </w:rPr>
  </w:style>
  <w:style w:type="paragraph" w:styleId="16">
    <w:name w:val="Balloon Text"/>
    <w:basedOn w:val="1"/>
    <w:link w:val="59"/>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qFormat/>
    <w:uiPriority w:val="39"/>
  </w:style>
  <w:style w:type="paragraph" w:styleId="20">
    <w:name w:val="Subtitle"/>
    <w:basedOn w:val="1"/>
    <w:next w:val="1"/>
    <w:link w:val="75"/>
    <w:autoRedefine/>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footnote text"/>
    <w:basedOn w:val="1"/>
    <w:next w:val="1"/>
    <w:link w:val="64"/>
    <w:autoRedefine/>
    <w:unhideWhenUsed/>
    <w:qFormat/>
    <w:uiPriority w:val="0"/>
    <w:pPr>
      <w:snapToGrid w:val="0"/>
      <w:jc w:val="left"/>
    </w:pPr>
    <w:rPr>
      <w:sz w:val="18"/>
      <w:szCs w:val="18"/>
    </w:rPr>
  </w:style>
  <w:style w:type="paragraph" w:styleId="22">
    <w:name w:val="index 9"/>
    <w:basedOn w:val="1"/>
    <w:next w:val="1"/>
    <w:autoRedefine/>
    <w:unhideWhenUsed/>
    <w:qFormat/>
    <w:uiPriority w:val="99"/>
    <w:pPr>
      <w:ind w:left="1600" w:leftChars="1600"/>
    </w:pPr>
  </w:style>
  <w:style w:type="paragraph" w:styleId="23">
    <w:name w:val="toc 2"/>
    <w:basedOn w:val="1"/>
    <w:next w:val="1"/>
    <w:autoRedefine/>
    <w:qFormat/>
    <w:uiPriority w:val="39"/>
    <w:pPr>
      <w:ind w:left="420" w:leftChars="200"/>
    </w:pPr>
  </w:style>
  <w:style w:type="paragraph" w:styleId="24">
    <w:name w:val="Normal (Web)"/>
    <w:basedOn w:val="1"/>
    <w:autoRedefine/>
    <w:unhideWhenUsed/>
    <w:qFormat/>
    <w:uiPriority w:val="0"/>
    <w:rPr>
      <w:sz w:val="24"/>
    </w:rPr>
  </w:style>
  <w:style w:type="paragraph" w:styleId="25">
    <w:name w:val="Title"/>
    <w:basedOn w:val="1"/>
    <w:next w:val="1"/>
    <w:link w:val="74"/>
    <w:autoRedefine/>
    <w:qFormat/>
    <w:uiPriority w:val="0"/>
    <w:pPr>
      <w:spacing w:before="240" w:after="60"/>
      <w:jc w:val="center"/>
      <w:outlineLvl w:val="0"/>
    </w:pPr>
    <w:rPr>
      <w:rFonts w:eastAsia="宋体" w:asciiTheme="majorHAnsi" w:hAnsiTheme="majorHAnsi" w:cstheme="majorBidi"/>
      <w:b/>
      <w:bCs/>
      <w:sz w:val="32"/>
      <w:szCs w:val="3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Hyperlink"/>
    <w:autoRedefine/>
    <w:unhideWhenUsed/>
    <w:qFormat/>
    <w:uiPriority w:val="99"/>
    <w:rPr>
      <w:rFonts w:cs="Times New Roman"/>
      <w:color w:val="0000FF"/>
      <w:u w:val="single"/>
    </w:rPr>
  </w:style>
  <w:style w:type="character" w:styleId="32">
    <w:name w:val="HTML Sample"/>
    <w:basedOn w:val="28"/>
    <w:autoRedefine/>
    <w:unhideWhenUsed/>
    <w:qFormat/>
    <w:uiPriority w:val="99"/>
    <w:rPr>
      <w:rFonts w:ascii="Courier New" w:hAnsi="Courier New"/>
    </w:rPr>
  </w:style>
  <w:style w:type="paragraph" w:customStyle="1" w:styleId="33">
    <w:name w:val="表名称"/>
    <w:basedOn w:val="5"/>
    <w:autoRedefine/>
    <w:qFormat/>
    <w:uiPriority w:val="0"/>
    <w:pPr>
      <w:numPr>
        <w:ilvl w:val="0"/>
        <w:numId w:val="1"/>
      </w:numPr>
      <w:ind w:left="900" w:firstLine="0"/>
      <w:jc w:val="center"/>
    </w:pPr>
  </w:style>
  <w:style w:type="paragraph" w:customStyle="1" w:styleId="34">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表内文本"/>
    <w:autoRedefine/>
    <w:qFormat/>
    <w:uiPriority w:val="0"/>
    <w:pPr>
      <w:widowControl w:val="0"/>
      <w:adjustRightInd w:val="0"/>
      <w:snapToGrid w:val="0"/>
      <w:jc w:val="center"/>
    </w:pPr>
    <w:rPr>
      <w:rFonts w:ascii="Times New Roman" w:hAnsi="Times New Roman" w:eastAsia="仿宋" w:cs="Times New Roman"/>
      <w:spacing w:val="-20"/>
      <w:kern w:val="2"/>
      <w:sz w:val="28"/>
      <w:szCs w:val="21"/>
      <w:lang w:val="en-US" w:eastAsia="zh-CN" w:bidi="ar-SA"/>
    </w:rPr>
  </w:style>
  <w:style w:type="paragraph" w:customStyle="1" w:styleId="36">
    <w:name w:val="1"/>
    <w:basedOn w:val="1"/>
    <w:next w:val="15"/>
    <w:autoRedefine/>
    <w:qFormat/>
    <w:uiPriority w:val="0"/>
    <w:rPr>
      <w:rFonts w:ascii="宋体" w:hAnsi="Courier New"/>
      <w:szCs w:val="22"/>
    </w:rPr>
  </w:style>
  <w:style w:type="paragraph" w:customStyle="1" w:styleId="37">
    <w:name w:val="缺省文本"/>
    <w:autoRedefine/>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8">
    <w:name w:val="纯文本_0"/>
    <w:basedOn w:val="39"/>
    <w:autoRedefine/>
    <w:unhideWhenUsed/>
    <w:qFormat/>
    <w:uiPriority w:val="0"/>
    <w:pPr>
      <w:widowControl/>
      <w:jc w:val="left"/>
    </w:pPr>
    <w:rPr>
      <w:rFonts w:ascii="宋体" w:hAnsi="Courier New"/>
      <w:kern w:val="0"/>
      <w:sz w:val="20"/>
      <w:szCs w:val="21"/>
      <w:lang w:val="zh-CN"/>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标题 3_0"/>
    <w:basedOn w:val="39"/>
    <w:next w:val="39"/>
    <w:autoRedefine/>
    <w:qFormat/>
    <w:uiPriority w:val="9"/>
    <w:pPr>
      <w:keepNext/>
      <w:keepLines/>
      <w:numPr>
        <w:ilvl w:val="2"/>
        <w:numId w:val="2"/>
      </w:numPr>
      <w:spacing w:before="260" w:after="260" w:line="416" w:lineRule="auto"/>
      <w:outlineLvl w:val="2"/>
    </w:pPr>
    <w:rPr>
      <w:rFonts w:ascii="Times New Roman" w:hAnsi="Times New Roman" w:eastAsia="华文细黑"/>
      <w:kern w:val="0"/>
      <w:sz w:val="36"/>
      <w:szCs w:val="20"/>
    </w:rPr>
  </w:style>
  <w:style w:type="paragraph" w:customStyle="1" w:styleId="41">
    <w:name w:val="纯文本_0_0"/>
    <w:basedOn w:val="42"/>
    <w:autoRedefine/>
    <w:unhideWhenUsed/>
    <w:qFormat/>
    <w:uiPriority w:val="0"/>
    <w:pPr>
      <w:widowControl/>
      <w:jc w:val="left"/>
    </w:pPr>
    <w:rPr>
      <w:rFonts w:ascii="宋体" w:hAnsi="Courier New"/>
      <w:kern w:val="0"/>
      <w:sz w:val="20"/>
      <w:szCs w:val="21"/>
      <w:lang w:val="zh-CN"/>
    </w:rPr>
  </w:style>
  <w:style w:type="paragraph" w:customStyle="1" w:styleId="42">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纯文本_1"/>
    <w:basedOn w:val="1"/>
    <w:autoRedefine/>
    <w:qFormat/>
    <w:uiPriority w:val="0"/>
    <w:pPr>
      <w:widowControl/>
      <w:jc w:val="left"/>
    </w:pPr>
    <w:rPr>
      <w:rFonts w:ascii="宋体" w:hAnsi="Courier New"/>
      <w:kern w:val="0"/>
      <w:sz w:val="20"/>
      <w:szCs w:val="21"/>
      <w:lang w:val="zh-CN"/>
    </w:rPr>
  </w:style>
  <w:style w:type="paragraph" w:customStyle="1" w:styleId="44">
    <w:name w:val="1_0"/>
    <w:basedOn w:val="1"/>
    <w:next w:val="43"/>
    <w:autoRedefine/>
    <w:qFormat/>
    <w:uiPriority w:val="0"/>
    <w:rPr>
      <w:rFonts w:ascii="宋体" w:hAnsi="Courier New"/>
      <w:szCs w:val="20"/>
    </w:rPr>
  </w:style>
  <w:style w:type="paragraph" w:customStyle="1" w:styleId="4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纯文本_2"/>
    <w:basedOn w:val="45"/>
    <w:autoRedefine/>
    <w:unhideWhenUsed/>
    <w:qFormat/>
    <w:uiPriority w:val="0"/>
    <w:pPr>
      <w:widowControl/>
      <w:jc w:val="left"/>
    </w:pPr>
    <w:rPr>
      <w:rFonts w:ascii="宋体" w:hAnsi="Courier New"/>
      <w:kern w:val="0"/>
      <w:sz w:val="20"/>
      <w:szCs w:val="21"/>
      <w:lang w:val="zh-CN"/>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纯文本_3"/>
    <w:basedOn w:val="47"/>
    <w:autoRedefine/>
    <w:qFormat/>
    <w:uiPriority w:val="0"/>
    <w:rPr>
      <w:rFonts w:ascii="宋体" w:hAnsi="Courier New"/>
      <w:kern w:val="0"/>
      <w:sz w:val="20"/>
      <w:szCs w:val="20"/>
      <w:lang w:val="zh-CN"/>
    </w:rPr>
  </w:style>
  <w:style w:type="paragraph" w:customStyle="1" w:styleId="49">
    <w:name w:val="Table Paragraph"/>
    <w:basedOn w:val="1"/>
    <w:autoRedefine/>
    <w:qFormat/>
    <w:uiPriority w:val="1"/>
    <w:rPr>
      <w:rFonts w:ascii="宋体" w:hAnsi="宋体" w:cs="宋体"/>
      <w:lang w:val="zh-CN" w:bidi="zh-CN"/>
    </w:rPr>
  </w:style>
  <w:style w:type="paragraph" w:customStyle="1" w:styleId="50">
    <w:name w:val="样式1_1"/>
    <w:basedOn w:val="1"/>
    <w:autoRedefine/>
    <w:qFormat/>
    <w:uiPriority w:val="0"/>
    <w:pPr>
      <w:keepNext/>
      <w:keepLines/>
      <w:widowControl/>
      <w:tabs>
        <w:tab w:val="left" w:pos="420"/>
      </w:tabs>
      <w:adjustRightInd w:val="0"/>
      <w:snapToGrid w:val="0"/>
      <w:ind w:left="420" w:hanging="420"/>
      <w:jc w:val="center"/>
      <w:outlineLvl w:val="1"/>
    </w:pPr>
    <w:rPr>
      <w:rFonts w:ascii="宋体" w:hAnsi="Arial"/>
      <w:b/>
      <w:kern w:val="0"/>
      <w:sz w:val="32"/>
      <w:szCs w:val="20"/>
    </w:rPr>
  </w:style>
  <w:style w:type="paragraph" w:customStyle="1" w:styleId="51">
    <w:name w:val="正文_1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正文_1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_Style 2"/>
    <w:basedOn w:val="1"/>
    <w:autoRedefine/>
    <w:qFormat/>
    <w:uiPriority w:val="34"/>
    <w:pPr>
      <w:ind w:firstLine="420" w:firstLineChars="200"/>
    </w:pPr>
  </w:style>
  <w:style w:type="paragraph" w:customStyle="1" w:styleId="54">
    <w:name w:val="样式 样式 样式 样式 标题 2 + 宋体 五号 非加粗 黑色 + 段前: 6 磅 段后: 0 磅 行距: 单倍行距 + 段前:..."/>
    <w:basedOn w:val="1"/>
    <w:autoRedefine/>
    <w:qFormat/>
    <w:uiPriority w:val="0"/>
    <w:pPr>
      <w:keepNext/>
      <w:keepLines/>
      <w:adjustRightInd w:val="0"/>
      <w:spacing w:before="240"/>
      <w:textAlignment w:val="baseline"/>
      <w:outlineLvl w:val="1"/>
    </w:pPr>
    <w:rPr>
      <w:rFonts w:ascii="宋体" w:hAnsi="宋体" w:eastAsia="宋体"/>
      <w:b/>
      <w:bCs/>
      <w:kern w:val="0"/>
      <w:szCs w:val="20"/>
    </w:rPr>
  </w:style>
  <w:style w:type="paragraph" w:customStyle="1" w:styleId="55">
    <w:name w:val="列表段落1"/>
    <w:basedOn w:val="1"/>
    <w:autoRedefine/>
    <w:qFormat/>
    <w:uiPriority w:val="0"/>
    <w:pPr>
      <w:ind w:firstLine="420" w:firstLineChars="200"/>
    </w:pPr>
    <w:rPr>
      <w:rFonts w:ascii="等线" w:hAnsi="等线" w:eastAsia="等线"/>
      <w:szCs w:val="22"/>
    </w:rPr>
  </w:style>
  <w:style w:type="character" w:customStyle="1" w:styleId="56">
    <w:name w:val="font21"/>
    <w:basedOn w:val="28"/>
    <w:autoRedefine/>
    <w:qFormat/>
    <w:uiPriority w:val="0"/>
    <w:rPr>
      <w:rFonts w:hint="eastAsia" w:ascii="宋体" w:hAnsi="宋体" w:eastAsia="宋体" w:cs="宋体"/>
      <w:color w:val="000000"/>
      <w:sz w:val="28"/>
      <w:szCs w:val="28"/>
      <w:u w:val="none"/>
    </w:rPr>
  </w:style>
  <w:style w:type="character" w:customStyle="1" w:styleId="57">
    <w:name w:val="font11"/>
    <w:basedOn w:val="28"/>
    <w:autoRedefine/>
    <w:qFormat/>
    <w:uiPriority w:val="0"/>
    <w:rPr>
      <w:rFonts w:hint="eastAsia" w:ascii="宋体" w:hAnsi="宋体" w:eastAsia="宋体" w:cs="宋体"/>
      <w:color w:val="000000"/>
      <w:sz w:val="28"/>
      <w:szCs w:val="28"/>
      <w:u w:val="none"/>
    </w:rPr>
  </w:style>
  <w:style w:type="paragraph" w:customStyle="1" w:styleId="58">
    <w:name w:val="副标题1"/>
    <w:basedOn w:val="1"/>
    <w:next w:val="1"/>
    <w:autoRedefine/>
    <w:qFormat/>
    <w:uiPriority w:val="0"/>
    <w:pPr>
      <w:spacing w:line="360" w:lineRule="auto"/>
    </w:pPr>
    <w:rPr>
      <w:rFonts w:ascii="宋体" w:hAnsi="宋体" w:cs="Times New Roman"/>
      <w:b/>
      <w:sz w:val="28"/>
      <w:lang w:val="zh-CN"/>
    </w:rPr>
  </w:style>
  <w:style w:type="character" w:customStyle="1" w:styleId="59">
    <w:name w:val="批注框文本 Char"/>
    <w:basedOn w:val="28"/>
    <w:link w:val="16"/>
    <w:autoRedefine/>
    <w:qFormat/>
    <w:uiPriority w:val="0"/>
    <w:rPr>
      <w:rFonts w:asciiTheme="minorHAnsi" w:hAnsiTheme="minorHAnsi" w:eastAsiaTheme="minorEastAsia" w:cstheme="minorBidi"/>
      <w:kern w:val="2"/>
      <w:sz w:val="18"/>
      <w:szCs w:val="18"/>
    </w:rPr>
  </w:style>
  <w:style w:type="character" w:customStyle="1" w:styleId="60">
    <w:name w:val="标题 Char"/>
    <w:basedOn w:val="28"/>
    <w:link w:val="25"/>
    <w:autoRedefine/>
    <w:qFormat/>
    <w:uiPriority w:val="0"/>
    <w:rPr>
      <w:rFonts w:asciiTheme="majorHAnsi" w:hAnsiTheme="majorHAnsi" w:cstheme="majorBidi"/>
      <w:b/>
      <w:bCs/>
      <w:kern w:val="2"/>
      <w:sz w:val="32"/>
      <w:szCs w:val="32"/>
    </w:rPr>
  </w:style>
  <w:style w:type="paragraph" w:styleId="61">
    <w:name w:val="List Paragraph"/>
    <w:basedOn w:val="1"/>
    <w:autoRedefine/>
    <w:unhideWhenUsed/>
    <w:qFormat/>
    <w:uiPriority w:val="99"/>
    <w:pPr>
      <w:ind w:firstLine="420" w:firstLineChars="200"/>
    </w:pPr>
  </w:style>
  <w:style w:type="character" w:customStyle="1" w:styleId="62">
    <w:name w:val="副标题 Char"/>
    <w:basedOn w:val="28"/>
    <w:link w:val="20"/>
    <w:autoRedefine/>
    <w:qFormat/>
    <w:uiPriority w:val="0"/>
    <w:rPr>
      <w:rFonts w:asciiTheme="majorHAnsi" w:hAnsiTheme="majorHAnsi" w:cstheme="majorBidi"/>
      <w:b/>
      <w:bCs/>
      <w:kern w:val="28"/>
      <w:sz w:val="32"/>
      <w:szCs w:val="32"/>
    </w:rPr>
  </w:style>
  <w:style w:type="character" w:customStyle="1" w:styleId="63">
    <w:name w:val="纯文本 Char"/>
    <w:basedOn w:val="28"/>
    <w:link w:val="15"/>
    <w:autoRedefine/>
    <w:qFormat/>
    <w:uiPriority w:val="0"/>
    <w:rPr>
      <w:rFonts w:ascii="宋体" w:hAnsi="宋体" w:eastAsiaTheme="minorEastAsia" w:cstheme="minorBidi"/>
      <w:kern w:val="2"/>
      <w:sz w:val="21"/>
      <w:szCs w:val="24"/>
    </w:rPr>
  </w:style>
  <w:style w:type="character" w:customStyle="1" w:styleId="64">
    <w:name w:val="脚注文本 Char"/>
    <w:basedOn w:val="28"/>
    <w:link w:val="21"/>
    <w:autoRedefine/>
    <w:qFormat/>
    <w:uiPriority w:val="0"/>
    <w:rPr>
      <w:rFonts w:asciiTheme="minorHAnsi" w:hAnsiTheme="minorHAnsi" w:eastAsiaTheme="minorEastAsia" w:cstheme="minorBidi"/>
      <w:kern w:val="2"/>
      <w:sz w:val="18"/>
      <w:szCs w:val="18"/>
    </w:rPr>
  </w:style>
  <w:style w:type="paragraph" w:styleId="65">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无间隔1"/>
    <w:autoRedefine/>
    <w:qFormat/>
    <w:uiPriority w:val="1"/>
    <w:pPr>
      <w:widowControl w:val="0"/>
      <w:jc w:val="both"/>
    </w:pPr>
    <w:rPr>
      <w:rFonts w:ascii="Calibri" w:hAnsi="Calibri" w:eastAsia="宋体" w:cs="Calibri"/>
      <w:kern w:val="2"/>
      <w:sz w:val="21"/>
      <w:szCs w:val="21"/>
      <w:lang w:val="en-US" w:eastAsia="zh-CN" w:bidi="ar-SA"/>
    </w:rPr>
  </w:style>
  <w:style w:type="character" w:customStyle="1" w:styleId="67">
    <w:name w:val="NormalCharacter"/>
    <w:autoRedefine/>
    <w:qFormat/>
    <w:uiPriority w:val="0"/>
  </w:style>
  <w:style w:type="paragraph" w:customStyle="1" w:styleId="68">
    <w:name w:val="正文 New"/>
    <w:autoRedefine/>
    <w:qFormat/>
    <w:uiPriority w:val="99"/>
    <w:pPr>
      <w:widowControl w:val="0"/>
      <w:jc w:val="both"/>
    </w:pPr>
    <w:rPr>
      <w:rFonts w:ascii="Times New Roman" w:hAnsi="Times New Roman" w:eastAsia="仿宋_GB2312" w:cs="Times New Roman"/>
      <w:lang w:val="en-US" w:eastAsia="zh-CN" w:bidi="ar-SA"/>
    </w:rPr>
  </w:style>
  <w:style w:type="paragraph" w:customStyle="1" w:styleId="69">
    <w:name w:val="_Style 3"/>
    <w:next w:val="1"/>
    <w:autoRedefine/>
    <w:qFormat/>
    <w:uiPriority w:val="0"/>
    <w:pPr>
      <w:wordWrap w:val="0"/>
    </w:pPr>
    <w:rPr>
      <w:rFonts w:ascii="Times New Roman" w:hAnsi="Times New Roman" w:eastAsia="宋体" w:cs="Times New Roman"/>
      <w:sz w:val="32"/>
      <w:lang w:val="en-US" w:eastAsia="zh-CN" w:bidi="ar-SA"/>
    </w:rPr>
  </w:style>
  <w:style w:type="paragraph" w:customStyle="1" w:styleId="70">
    <w:name w:val="zhang"/>
    <w:basedOn w:val="1"/>
    <w:qFormat/>
    <w:uiPriority w:val="0"/>
    <w:pPr>
      <w:spacing w:before="100" w:beforeLines="0" w:beforeAutospacing="1" w:after="100" w:afterLines="0" w:afterAutospacing="1"/>
    </w:pPr>
    <w:rPr>
      <w:b/>
      <w:bCs/>
      <w:smallCaps/>
      <w:color w:val="000000"/>
      <w:sz w:val="20"/>
      <w:szCs w:val="20"/>
    </w:rPr>
  </w:style>
  <w:style w:type="paragraph" w:customStyle="1" w:styleId="71">
    <w:name w:val="TOC 标题"/>
    <w:basedOn w:val="2"/>
    <w:next w:val="1"/>
    <w:qFormat/>
    <w:uiPriority w:val="0"/>
    <w:pPr>
      <w:widowControl w:val="0"/>
      <w:spacing w:line="576" w:lineRule="auto"/>
      <w:jc w:val="both"/>
      <w:outlineLvl w:val="9"/>
    </w:pPr>
    <w:rPr>
      <w:rFonts w:ascii="Calibri" w:hAnsi="Calibri" w:cs="Times New Roman"/>
    </w:rPr>
  </w:style>
  <w:style w:type="paragraph" w:customStyle="1" w:styleId="72">
    <w:name w:val="p0"/>
    <w:basedOn w:val="1"/>
    <w:qFormat/>
    <w:uiPriority w:val="0"/>
    <w:pPr>
      <w:jc w:val="both"/>
    </w:pPr>
    <w:rPr>
      <w:rFonts w:ascii="Times New Roman" w:hAnsi="Times New Roman" w:cs="Times New Roman"/>
      <w:sz w:val="21"/>
      <w:szCs w:val="21"/>
    </w:rPr>
  </w:style>
  <w:style w:type="character" w:customStyle="1" w:styleId="73">
    <w:name w:val="15"/>
    <w:qFormat/>
    <w:uiPriority w:val="0"/>
    <w:rPr>
      <w:rFonts w:hint="default" w:ascii="Times New Roman" w:hAnsi="Times New Roman" w:cs="Times New Roman"/>
      <w:color w:val="464445"/>
      <w:u w:val="none"/>
    </w:rPr>
  </w:style>
  <w:style w:type="character" w:customStyle="1" w:styleId="74">
    <w:name w:val=" Char Char1"/>
    <w:link w:val="25"/>
    <w:qFormat/>
    <w:uiPriority w:val="10"/>
    <w:rPr>
      <w:rFonts w:ascii="Cambria" w:hAnsi="Cambria"/>
      <w:b/>
      <w:bCs/>
      <w:sz w:val="24"/>
      <w:szCs w:val="32"/>
    </w:rPr>
  </w:style>
  <w:style w:type="character" w:customStyle="1" w:styleId="75">
    <w:name w:val=" Char Char2"/>
    <w:link w:val="20"/>
    <w:qFormat/>
    <w:uiPriority w:val="11"/>
    <w:rPr>
      <w:rFonts w:ascii="Calibri Light" w:hAnsi="Calibri Light" w:cs="Times New Roman"/>
      <w:b/>
      <w:bCs/>
      <w:kern w:val="28"/>
      <w:sz w:val="32"/>
      <w:szCs w:val="32"/>
    </w:rPr>
  </w:style>
  <w:style w:type="paragraph" w:customStyle="1" w:styleId="76">
    <w:name w:val="msolistparagraph"/>
    <w:basedOn w:val="1"/>
    <w:qFormat/>
    <w:uiPriority w:val="0"/>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6" Type="http://schemas.openxmlformats.org/officeDocument/2006/relationships/font" Target="fonts/font46.odttf"/><Relationship Id="rId45" Type="http://schemas.openxmlformats.org/officeDocument/2006/relationships/font" Target="fonts/font45.odttf"/><Relationship Id="rId44" Type="http://schemas.openxmlformats.org/officeDocument/2006/relationships/font" Target="fonts/font44.odttf"/><Relationship Id="rId43" Type="http://schemas.openxmlformats.org/officeDocument/2006/relationships/font" Target="fonts/font43.odttf"/><Relationship Id="rId42" Type="http://schemas.openxmlformats.org/officeDocument/2006/relationships/font" Target="fonts/font42.odttf"/><Relationship Id="rId41" Type="http://schemas.openxmlformats.org/officeDocument/2006/relationships/font" Target="fonts/font41.odttf"/><Relationship Id="rId40" Type="http://schemas.openxmlformats.org/officeDocument/2006/relationships/font" Target="fonts/font40.odttf"/><Relationship Id="rId4" Type="http://schemas.openxmlformats.org/officeDocument/2006/relationships/font" Target="fonts/font4.odttf"/><Relationship Id="rId39" Type="http://schemas.openxmlformats.org/officeDocument/2006/relationships/font" Target="fonts/font39.odttf"/><Relationship Id="rId38" Type="http://schemas.openxmlformats.org/officeDocument/2006/relationships/font" Target="fonts/font38.odttf"/><Relationship Id="rId37" Type="http://schemas.openxmlformats.org/officeDocument/2006/relationships/font" Target="fonts/font37.odttf"/><Relationship Id="rId36" Type="http://schemas.openxmlformats.org/officeDocument/2006/relationships/font" Target="fonts/font36.odttf"/><Relationship Id="rId35" Type="http://schemas.openxmlformats.org/officeDocument/2006/relationships/font" Target="fonts/font35.odttf"/><Relationship Id="rId34" Type="http://schemas.openxmlformats.org/officeDocument/2006/relationships/font" Target="fonts/font34.odttf"/><Relationship Id="rId33" Type="http://schemas.openxmlformats.org/officeDocument/2006/relationships/font" Target="fonts/font33.odttf"/><Relationship Id="rId32" Type="http://schemas.openxmlformats.org/officeDocument/2006/relationships/font" Target="fonts/font32.odttf"/><Relationship Id="rId31" Type="http://schemas.openxmlformats.org/officeDocument/2006/relationships/font" Target="fonts/font31.odttf"/><Relationship Id="rId30" Type="http://schemas.openxmlformats.org/officeDocument/2006/relationships/font" Target="fonts/font30.odttf"/><Relationship Id="rId3" Type="http://schemas.openxmlformats.org/officeDocument/2006/relationships/font" Target="fonts/font3.odttf"/><Relationship Id="rId29" Type="http://schemas.openxmlformats.org/officeDocument/2006/relationships/font" Target="fonts/font29.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31A41-491E-4065-9FD2-2C03F8DABD6C}">
  <ds:schemaRefs/>
</ds:datastoreItem>
</file>

<file path=docProps/app.xml><?xml version="1.0" encoding="utf-8"?>
<Properties xmlns="http://schemas.openxmlformats.org/officeDocument/2006/extended-properties" xmlns:vt="http://schemas.openxmlformats.org/officeDocument/2006/docPropsVTypes">
  <Template>Normal</Template>
  <Pages>82</Pages>
  <Words>7666</Words>
  <Characters>8741</Characters>
  <Lines>327</Lines>
  <Paragraphs>92</Paragraphs>
  <TotalTime>44</TotalTime>
  <ScaleCrop>false</ScaleCrop>
  <LinksUpToDate>false</LinksUpToDate>
  <CharactersWithSpaces>8981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2021-09-18T09:04:00Z</dcterms:created>
  <dc:creator>jjw</dc:creator>
  <cp:lastModifiedBy>shut the fucking off</cp:lastModifiedBy>
  <cp:lastPrinted>2022-07-28T05:41:00Z</cp:lastPrinted>
  <dcterms:modified xsi:type="dcterms:W3CDTF">2025-07-09T08:29:45Z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A99E8FAF0D8A41B89D01E9AC93D1F343_13</vt:lpwstr>
  </property>
  <property fmtid="{D5CDD505-2E9C-101B-9397-08002B2CF9AE}" pid="4" name="KSOTemplateDocerSaveRecord">
    <vt:lpwstr>eyJoZGlkIjoiYzc5OWI4MjJlOWI5NjZlY2NiYzZjZDJmOGFkOGNhMmUiLCJ1c2VySWQiOiIxNjQwMTUyNDU5In0=</vt:lpwstr>
  </property>
</Properties>
</file>