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FFE9C">
      <w:pPr>
        <w:snapToGrid w:val="0"/>
        <w:spacing w:line="360" w:lineRule="auto"/>
        <w:ind w:right="17"/>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56C24B6A">
      <w:pPr>
        <w:widowControl/>
        <w:spacing w:line="360" w:lineRule="atLeast"/>
        <w:ind w:firstLine="540"/>
        <w:jc w:val="center"/>
        <w:rPr>
          <w:rFonts w:hint="eastAsia" w:asciiTheme="minorEastAsia" w:hAnsiTheme="minorEastAsia" w:eastAsiaTheme="minorEastAsia" w:cstheme="minorEastAsia"/>
          <w:bCs/>
          <w:sz w:val="44"/>
          <w:szCs w:val="44"/>
        </w:rPr>
      </w:pPr>
    </w:p>
    <w:p w14:paraId="44399DB0">
      <w:pPr>
        <w:widowControl/>
        <w:spacing w:line="360" w:lineRule="atLeast"/>
        <w:ind w:firstLine="540"/>
        <w:jc w:val="center"/>
        <w:rPr>
          <w:rFonts w:hint="eastAsia" w:asciiTheme="minorEastAsia" w:hAnsiTheme="minorEastAsia" w:eastAsiaTheme="minorEastAsia" w:cstheme="minorEastAsia"/>
          <w:b/>
          <w:kern w:val="0"/>
          <w:sz w:val="72"/>
          <w:szCs w:val="72"/>
          <w:shd w:val="clear" w:color="auto" w:fill="FFFFFF"/>
        </w:rPr>
      </w:pPr>
    </w:p>
    <w:p w14:paraId="3E60115B">
      <w:pPr>
        <w:snapToGrid w:val="0"/>
        <w:spacing w:line="360" w:lineRule="auto"/>
        <w:ind w:right="17"/>
        <w:jc w:val="center"/>
        <w:rPr>
          <w:rFonts w:hint="eastAsia" w:asciiTheme="minorEastAsia" w:hAnsiTheme="minorEastAsia" w:eastAsiaTheme="minorEastAsia" w:cstheme="minorEastAsia"/>
          <w:b/>
          <w:spacing w:val="60"/>
          <w:sz w:val="84"/>
          <w:szCs w:val="84"/>
        </w:rPr>
      </w:pPr>
      <w:r>
        <w:rPr>
          <w:rFonts w:hint="eastAsia" w:asciiTheme="minorEastAsia" w:hAnsiTheme="minorEastAsia" w:eastAsiaTheme="minorEastAsia" w:cstheme="minorEastAsia"/>
          <w:b/>
          <w:spacing w:val="60"/>
          <w:sz w:val="84"/>
          <w:szCs w:val="84"/>
        </w:rPr>
        <w:t>竞争性磋商文件</w:t>
      </w:r>
    </w:p>
    <w:p w14:paraId="5F4FCACE">
      <w:pPr>
        <w:snapToGrid w:val="0"/>
        <w:spacing w:line="360" w:lineRule="auto"/>
        <w:ind w:right="17"/>
        <w:jc w:val="left"/>
        <w:rPr>
          <w:rFonts w:hint="eastAsia" w:asciiTheme="minorEastAsia" w:hAnsiTheme="minorEastAsia" w:eastAsiaTheme="minorEastAsia" w:cstheme="minorEastAsia"/>
          <w:bCs/>
          <w:sz w:val="30"/>
          <w:szCs w:val="30"/>
        </w:rPr>
      </w:pPr>
    </w:p>
    <w:p w14:paraId="04E08BB3">
      <w:pPr>
        <w:snapToGrid w:val="0"/>
        <w:spacing w:line="360" w:lineRule="auto"/>
        <w:ind w:left="1400" w:right="17" w:hanging="1400" w:hangingChars="500"/>
        <w:jc w:val="left"/>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lang w:eastAsia="zh-CN"/>
        </w:rPr>
        <w:t>新疆维吾尔自治区粮食和物资储备局数据安全分类分级及数据安全风险评估项目</w:t>
      </w:r>
    </w:p>
    <w:p w14:paraId="15C27FDB">
      <w:pPr>
        <w:snapToGrid w:val="0"/>
        <w:spacing w:line="360" w:lineRule="auto"/>
        <w:ind w:right="17"/>
        <w:jc w:val="left"/>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项目编号</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XJHS-2025-111</w:t>
      </w:r>
    </w:p>
    <w:p w14:paraId="5DD940A2">
      <w:pPr>
        <w:pStyle w:val="26"/>
        <w:tabs>
          <w:tab w:val="left" w:pos="8460"/>
        </w:tabs>
        <w:snapToGrid w:val="0"/>
        <w:spacing w:line="360" w:lineRule="auto"/>
        <w:ind w:right="-334" w:rightChars="-159"/>
        <w:rPr>
          <w:rFonts w:hint="eastAsia" w:asciiTheme="minorEastAsia" w:hAnsiTheme="minorEastAsia" w:eastAsiaTheme="minorEastAsia" w:cstheme="minorEastAsia"/>
          <w:b/>
          <w:bCs/>
          <w:sz w:val="30"/>
          <w:szCs w:val="30"/>
        </w:rPr>
      </w:pPr>
    </w:p>
    <w:p w14:paraId="01056FD1">
      <w:pPr>
        <w:pStyle w:val="26"/>
        <w:tabs>
          <w:tab w:val="left" w:pos="8460"/>
        </w:tabs>
        <w:snapToGrid w:val="0"/>
        <w:spacing w:line="360" w:lineRule="auto"/>
        <w:ind w:right="-334" w:rightChars="-159"/>
        <w:rPr>
          <w:rFonts w:hint="eastAsia" w:asciiTheme="minorEastAsia" w:hAnsiTheme="minorEastAsia" w:eastAsiaTheme="minorEastAsia" w:cstheme="minorEastAsia"/>
          <w:b/>
          <w:bCs/>
          <w:sz w:val="30"/>
          <w:szCs w:val="30"/>
        </w:rPr>
      </w:pPr>
    </w:p>
    <w:p w14:paraId="7FEBB0F6">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bCs/>
          <w:sz w:val="28"/>
          <w:szCs w:val="28"/>
          <w:lang w:eastAsia="zh-CN"/>
        </w:rPr>
        <w:t>新疆维吾尔自治区粮食和物资储备局信息中心</w:t>
      </w:r>
    </w:p>
    <w:p w14:paraId="4E01E74D">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eastAsia="zh-CN"/>
        </w:rPr>
        <w:t>张薇</w:t>
      </w:r>
    </w:p>
    <w:p w14:paraId="3F1A3780">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eastAsia="zh-CN"/>
        </w:rPr>
        <w:t>15099176960</w:t>
      </w:r>
    </w:p>
    <w:p w14:paraId="3006D077">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乌鲁木齐市新华北路246号</w:t>
      </w:r>
    </w:p>
    <w:p w14:paraId="57399F82">
      <w:pPr>
        <w:snapToGrid w:val="0"/>
        <w:spacing w:line="360" w:lineRule="auto"/>
        <w:jc w:val="left"/>
        <w:rPr>
          <w:rFonts w:hint="eastAsia" w:asciiTheme="minorEastAsia" w:hAnsiTheme="minorEastAsia" w:eastAsiaTheme="minorEastAsia" w:cstheme="minorEastAsia"/>
          <w:sz w:val="28"/>
          <w:szCs w:val="28"/>
        </w:rPr>
      </w:pPr>
    </w:p>
    <w:p w14:paraId="552D61F5">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代理机构：</w:t>
      </w:r>
      <w:r>
        <w:rPr>
          <w:rFonts w:hint="eastAsia" w:asciiTheme="minorEastAsia" w:hAnsiTheme="minorEastAsia" w:eastAsiaTheme="minorEastAsia" w:cstheme="minorEastAsia"/>
          <w:sz w:val="28"/>
          <w:szCs w:val="28"/>
          <w:lang w:eastAsia="zh-CN"/>
        </w:rPr>
        <w:t>新疆泓升项目管理有限公司</w:t>
      </w:r>
    </w:p>
    <w:p w14:paraId="02AF7FA8">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eastAsia="zh-CN"/>
        </w:rPr>
        <w:t>李工</w:t>
      </w:r>
    </w:p>
    <w:p w14:paraId="3D0EC42A">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eastAsia="zh-CN"/>
        </w:rPr>
        <w:t>18119118883</w:t>
      </w:r>
    </w:p>
    <w:p w14:paraId="514EE8BF">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乌鲁木齐市水磨沟区乐清大厦2508室</w:t>
      </w:r>
    </w:p>
    <w:p w14:paraId="55923A14">
      <w:pPr>
        <w:snapToGrid w:val="0"/>
        <w:spacing w:line="360" w:lineRule="auto"/>
        <w:ind w:right="17" w:firstLine="980" w:firstLineChars="350"/>
        <w:jc w:val="left"/>
        <w:rPr>
          <w:rFonts w:hint="eastAsia" w:asciiTheme="minorEastAsia" w:hAnsiTheme="minorEastAsia" w:eastAsiaTheme="minorEastAsia" w:cstheme="minorEastAsia"/>
          <w:sz w:val="28"/>
          <w:szCs w:val="28"/>
        </w:rPr>
      </w:pPr>
    </w:p>
    <w:p w14:paraId="04EFFE39">
      <w:pPr>
        <w:pStyle w:val="18"/>
        <w:snapToGrid w:val="0"/>
        <w:spacing w:line="360" w:lineRule="auto"/>
        <w:jc w:val="center"/>
        <w:rPr>
          <w:rFonts w:hint="eastAsia" w:asciiTheme="minorEastAsia" w:hAnsiTheme="minorEastAsia" w:eastAsiaTheme="minorEastAsia" w:cstheme="minorEastAsia"/>
          <w:sz w:val="30"/>
          <w:szCs w:val="30"/>
        </w:rPr>
      </w:pPr>
    </w:p>
    <w:p w14:paraId="06262864">
      <w:pPr>
        <w:pStyle w:val="18"/>
        <w:snapToGrid w:val="0"/>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0"/>
          <w:szCs w:val="30"/>
        </w:rPr>
        <w:t>二〇二</w:t>
      </w: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rPr>
        <w:t>月</w:t>
      </w:r>
    </w:p>
    <w:p w14:paraId="5D721FDA">
      <w:pPr>
        <w:snapToGrid w:val="0"/>
        <w:spacing w:line="360" w:lineRule="auto"/>
        <w:jc w:val="center"/>
        <w:rPr>
          <w:rFonts w:hint="eastAsia" w:asciiTheme="minorEastAsia" w:hAnsiTheme="minorEastAsia" w:eastAsiaTheme="minorEastAsia" w:cstheme="minorEastAsia"/>
          <w:b/>
          <w:sz w:val="32"/>
          <w:szCs w:val="32"/>
        </w:rPr>
        <w:sectPr>
          <w:footerReference r:id="rId3" w:type="default"/>
          <w:pgSz w:w="11911" w:h="16838"/>
          <w:pgMar w:top="1440" w:right="1633" w:bottom="1440" w:left="1633" w:header="0" w:footer="879" w:gutter="0"/>
          <w:cols w:space="720" w:num="1"/>
        </w:sectPr>
      </w:pPr>
    </w:p>
    <w:p w14:paraId="23E5A4D2">
      <w:pPr>
        <w:rPr>
          <w:rFonts w:hint="eastAsia" w:asciiTheme="minorEastAsia" w:hAnsiTheme="minorEastAsia" w:eastAsiaTheme="minorEastAsia" w:cstheme="minorEastAsia"/>
        </w:rPr>
      </w:pPr>
    </w:p>
    <w:p w14:paraId="3DF6EB06">
      <w:pPr>
        <w:snapToGrid w:val="0"/>
        <w:spacing w:line="360" w:lineRule="auto"/>
        <w:jc w:val="center"/>
        <w:outlineLvl w:val="0"/>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目 录</w:t>
      </w:r>
    </w:p>
    <w:p w14:paraId="129A024D">
      <w:pPr>
        <w:pStyle w:val="7"/>
        <w:ind w:firstLine="0"/>
        <w:rPr>
          <w:rFonts w:hint="eastAsia" w:asciiTheme="minorEastAsia" w:hAnsiTheme="minorEastAsia" w:eastAsiaTheme="minorEastAsia" w:cstheme="minorEastAsia"/>
          <w:color w:val="auto"/>
        </w:rPr>
      </w:pPr>
    </w:p>
    <w:p w14:paraId="031EA31F">
      <w:pPr>
        <w:pStyle w:val="100"/>
        <w:tabs>
          <w:tab w:val="right" w:leader="dot" w:pos="8305"/>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TOC \o "1-1" \h \u </w:instrText>
      </w:r>
      <w:r>
        <w:rPr>
          <w:rFonts w:hint="eastAsia" w:asciiTheme="minorEastAsia" w:hAnsiTheme="minorEastAsia" w:eastAsiaTheme="minorEastAsia" w:cstheme="minorEastAsia"/>
          <w:szCs w:val="24"/>
        </w:rPr>
        <w:fldChar w:fldCharType="separate"/>
      </w:r>
    </w:p>
    <w:p w14:paraId="25448E55">
      <w:pPr>
        <w:pStyle w:val="100"/>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"_Toc22261" </w:instrText>
      </w:r>
      <w:r>
        <w:fldChar w:fldCharType="separate"/>
      </w:r>
      <w:r>
        <w:rPr>
          <w:rFonts w:hint="eastAsia" w:asciiTheme="minorEastAsia" w:hAnsiTheme="minorEastAsia" w:eastAsiaTheme="minorEastAsia" w:cstheme="minorEastAsia"/>
          <w:sz w:val="28"/>
          <w:szCs w:val="28"/>
        </w:rPr>
        <w:t>第一部分  竞争性磋商公告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_Toc22261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EAE3BDB">
      <w:pPr>
        <w:pStyle w:val="100"/>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"_Toc24415" </w:instrText>
      </w:r>
      <w:r>
        <w:fldChar w:fldCharType="separate"/>
      </w:r>
      <w:r>
        <w:rPr>
          <w:rFonts w:hint="eastAsia" w:asciiTheme="minorEastAsia" w:hAnsiTheme="minorEastAsia" w:eastAsiaTheme="minorEastAsia" w:cstheme="minorEastAsia"/>
          <w:sz w:val="28"/>
          <w:szCs w:val="28"/>
        </w:rPr>
        <w:t>第二部分  供应商须知前附表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_Toc24415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18CD30">
      <w:pPr>
        <w:pStyle w:val="100"/>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"_Toc3729" </w:instrText>
      </w:r>
      <w:r>
        <w:fldChar w:fldCharType="separate"/>
      </w:r>
      <w:r>
        <w:rPr>
          <w:rFonts w:hint="eastAsia" w:asciiTheme="minorEastAsia" w:hAnsiTheme="minorEastAsia" w:eastAsiaTheme="minorEastAsia" w:cstheme="minorEastAsia"/>
          <w:sz w:val="28"/>
          <w:szCs w:val="28"/>
        </w:rPr>
        <w:t>第三部分  采购合同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_Toc3729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CD2FEA3">
      <w:pPr>
        <w:pStyle w:val="100"/>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"_Toc9739" </w:instrText>
      </w:r>
      <w:r>
        <w:fldChar w:fldCharType="separate"/>
      </w:r>
      <w:r>
        <w:rPr>
          <w:rFonts w:hint="eastAsia" w:asciiTheme="minorEastAsia" w:hAnsiTheme="minorEastAsia" w:eastAsiaTheme="minorEastAsia" w:cstheme="minorEastAsia"/>
          <w:sz w:val="28"/>
          <w:szCs w:val="28"/>
        </w:rPr>
        <w:t>第四部分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_Toc9739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2BFC638">
      <w:pPr>
        <w:pStyle w:val="100"/>
        <w:tabs>
          <w:tab w:val="right" w:leader="dot" w:pos="8305"/>
        </w:tabs>
        <w:spacing w:line="480" w:lineRule="auto"/>
        <w:rPr>
          <w:rFonts w:hint="eastAsia" w:asciiTheme="minorEastAsia" w:hAnsiTheme="minorEastAsia" w:eastAsiaTheme="minorEastAsia" w:cstheme="minorEastAsia"/>
          <w:b/>
          <w:bCs/>
          <w:sz w:val="28"/>
          <w:szCs w:val="28"/>
        </w:rPr>
      </w:pPr>
      <w:r>
        <w:fldChar w:fldCharType="begin"/>
      </w:r>
      <w:r>
        <w:instrText xml:space="preserve"> HYPERLINK \l "_Toc20810" </w:instrText>
      </w:r>
      <w:r>
        <w:fldChar w:fldCharType="separate"/>
      </w:r>
      <w:r>
        <w:rPr>
          <w:rFonts w:hint="eastAsia" w:asciiTheme="minorEastAsia" w:hAnsiTheme="minorEastAsia" w:eastAsiaTheme="minorEastAsia" w:cstheme="minorEastAsia"/>
          <w:sz w:val="28"/>
          <w:szCs w:val="28"/>
        </w:rPr>
        <w:t>第五部分  磋商响应文件格式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C4D3D49">
      <w:pPr>
        <w:pStyle w:val="100"/>
        <w:tabs>
          <w:tab w:val="right" w:leader="dot" w:pos="8305"/>
        </w:tabs>
        <w:rPr>
          <w:rFonts w:hint="eastAsia" w:asciiTheme="minorEastAsia" w:hAnsiTheme="minorEastAsia" w:eastAsiaTheme="minorEastAsia" w:cstheme="minorEastAsia"/>
        </w:rPr>
      </w:pPr>
    </w:p>
    <w:p w14:paraId="67C889D5">
      <w:pPr>
        <w:pStyle w:val="100"/>
        <w:tabs>
          <w:tab w:val="right" w:leader="dot" w:pos="8305"/>
        </w:tabs>
        <w:rPr>
          <w:rFonts w:hint="eastAsia" w:asciiTheme="minorEastAsia" w:hAnsiTheme="minorEastAsia" w:eastAsiaTheme="minorEastAsia" w:cstheme="minorEastAsia"/>
        </w:rPr>
      </w:pPr>
    </w:p>
    <w:p w14:paraId="54E9E76F">
      <w:pP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p>
    <w:p w14:paraId="77EFBF09">
      <w:pPr>
        <w:rPr>
          <w:rFonts w:hint="eastAsia" w:asciiTheme="minorEastAsia" w:hAnsiTheme="minorEastAsia" w:eastAsiaTheme="minorEastAsia" w:cstheme="minorEastAsia"/>
        </w:rPr>
      </w:pPr>
    </w:p>
    <w:p w14:paraId="323C4AD6">
      <w:pPr>
        <w:rPr>
          <w:rFonts w:hint="eastAsia" w:asciiTheme="minorEastAsia" w:hAnsiTheme="minorEastAsia" w:eastAsiaTheme="minorEastAsia" w:cstheme="minorEastAsia"/>
        </w:rPr>
      </w:pPr>
    </w:p>
    <w:p w14:paraId="15434766">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p>
    <w:p w14:paraId="4E6E2129">
      <w:pPr>
        <w:snapToGrid w:val="0"/>
        <w:spacing w:line="360" w:lineRule="auto"/>
        <w:rPr>
          <w:rFonts w:hint="eastAsia" w:asciiTheme="minorEastAsia" w:hAnsiTheme="minorEastAsia" w:eastAsiaTheme="minorEastAsia" w:cstheme="minorEastAsia"/>
          <w:bCs/>
          <w:sz w:val="36"/>
          <w:szCs w:val="36"/>
        </w:rPr>
      </w:pPr>
    </w:p>
    <w:p w14:paraId="76CFA475">
      <w:pPr>
        <w:snapToGrid w:val="0"/>
        <w:spacing w:line="360" w:lineRule="auto"/>
        <w:rPr>
          <w:rFonts w:hint="eastAsia" w:asciiTheme="minorEastAsia" w:hAnsiTheme="minorEastAsia" w:eastAsiaTheme="minorEastAsia" w:cstheme="minorEastAsia"/>
          <w:bCs/>
          <w:sz w:val="36"/>
          <w:szCs w:val="36"/>
        </w:rPr>
      </w:pPr>
    </w:p>
    <w:p w14:paraId="0FF09894">
      <w:pPr>
        <w:snapToGrid w:val="0"/>
        <w:spacing w:line="360" w:lineRule="auto"/>
        <w:rPr>
          <w:rFonts w:hint="eastAsia" w:asciiTheme="minorEastAsia" w:hAnsiTheme="minorEastAsia" w:eastAsiaTheme="minorEastAsia" w:cstheme="minorEastAsia"/>
          <w:bCs/>
          <w:sz w:val="36"/>
          <w:szCs w:val="36"/>
        </w:rPr>
      </w:pPr>
    </w:p>
    <w:p w14:paraId="403692BB">
      <w:pPr>
        <w:snapToGrid w:val="0"/>
        <w:spacing w:line="360" w:lineRule="auto"/>
        <w:jc w:val="center"/>
        <w:outlineLvl w:val="0"/>
        <w:rPr>
          <w:rFonts w:hint="eastAsia" w:asciiTheme="minorEastAsia" w:hAnsiTheme="minorEastAsia" w:eastAsiaTheme="minorEastAsia" w:cstheme="minorEastAsia"/>
          <w:b/>
          <w:sz w:val="30"/>
          <w:szCs w:val="30"/>
        </w:rPr>
        <w:sectPr>
          <w:headerReference r:id="rId5" w:type="first"/>
          <w:footerReference r:id="rId7" w:type="first"/>
          <w:headerReference r:id="rId4" w:type="default"/>
          <w:footerReference r:id="rId6" w:type="default"/>
          <w:pgSz w:w="11911" w:h="16838"/>
          <w:pgMar w:top="1440" w:right="1633" w:bottom="1440" w:left="1633" w:header="0" w:footer="879" w:gutter="0"/>
          <w:pgNumType w:start="1"/>
          <w:cols w:space="720" w:num="1"/>
          <w:docGrid w:linePitch="312" w:charSpace="0"/>
        </w:sectPr>
      </w:pPr>
      <w:bookmarkStart w:id="0" w:name="_Toc21101"/>
      <w:bookmarkStart w:id="1" w:name="_Toc22261"/>
    </w:p>
    <w:p w14:paraId="0A832747">
      <w:pPr>
        <w:snapToGrid w:val="0"/>
        <w:spacing w:line="36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0"/>
          <w:szCs w:val="30"/>
        </w:rPr>
        <w:t>第一部分   竞争性磋商公告</w:t>
      </w:r>
      <w:bookmarkEnd w:id="0"/>
      <w:bookmarkEnd w:id="1"/>
    </w:p>
    <w:p w14:paraId="3D34ACAB">
      <w:pPr>
        <w:pStyle w:val="4"/>
        <w:widowControl/>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新疆维吾尔自治区粮食和物资储备局数据安全分类分级及数据安全风险评估项目</w:t>
      </w:r>
      <w:r>
        <w:rPr>
          <w:rFonts w:hint="eastAsia" w:asciiTheme="minorEastAsia" w:hAnsiTheme="minorEastAsia" w:eastAsiaTheme="minorEastAsia" w:cstheme="minorEastAsia"/>
          <w:sz w:val="32"/>
          <w:szCs w:val="32"/>
        </w:rPr>
        <w:t>竞争性磋商公告</w:t>
      </w:r>
    </w:p>
    <w:p w14:paraId="34879B00">
      <w:pPr>
        <w:widowControl/>
        <w:spacing w:before="100" w:beforeAutospacing="1" w:after="100" w:afterAutospacing="1"/>
        <w:ind w:right="72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项目概况</w:t>
      </w:r>
    </w:p>
    <w:p w14:paraId="03D51C16">
      <w:pPr>
        <w:widowControl/>
        <w:spacing w:before="100" w:beforeAutospacing="1" w:after="100" w:afterAutospacing="1" w:line="360" w:lineRule="auto"/>
        <w:ind w:right="720"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新疆维吾尔自治区粮食和物资储备局数据安全分类分级及数据安全风险评估项目</w:t>
      </w:r>
      <w:r>
        <w:rPr>
          <w:rFonts w:hint="eastAsia" w:asciiTheme="minorEastAsia" w:hAnsiTheme="minorEastAsia" w:eastAsiaTheme="minorEastAsia" w:cstheme="minorEastAsia"/>
          <w:kern w:val="0"/>
          <w:sz w:val="24"/>
          <w:szCs w:val="24"/>
        </w:rPr>
        <w:t xml:space="preserve"> 的潜在供应商应在</w:t>
      </w:r>
      <w:r>
        <w:rPr>
          <w:rFonts w:hint="eastAsia" w:asciiTheme="minorEastAsia" w:hAnsiTheme="minorEastAsia" w:eastAsiaTheme="minorEastAsia" w:cstheme="minorEastAsia"/>
          <w:kern w:val="0"/>
          <w:sz w:val="24"/>
          <w:szCs w:val="24"/>
          <w:lang w:val="en-US" w:eastAsia="zh-CN"/>
        </w:rPr>
        <w:t>新疆政府采购网</w:t>
      </w:r>
      <w:r>
        <w:rPr>
          <w:rFonts w:hint="eastAsia" w:asciiTheme="minorEastAsia" w:hAnsiTheme="minorEastAsia" w:eastAsiaTheme="minorEastAsia" w:cstheme="minorEastAsia"/>
          <w:kern w:val="0"/>
          <w:sz w:val="24"/>
          <w:szCs w:val="24"/>
        </w:rPr>
        <w:t>获取采购文件，并于</w:t>
      </w:r>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（北京时间）前提交响应文件。</w:t>
      </w:r>
    </w:p>
    <w:p w14:paraId="2AB5F0B7">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一、项目基本情况</w:t>
      </w:r>
    </w:p>
    <w:p w14:paraId="63411C0F">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lang w:eastAsia="zh-CN"/>
        </w:rPr>
        <w:t>XJHS-2025-111</w:t>
      </w:r>
    </w:p>
    <w:p w14:paraId="3404DA22">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lang w:eastAsia="zh-CN"/>
        </w:rPr>
        <w:t>新疆维吾尔自治区粮食和物资储备局数据安全分类分级及数据安全风险评估项目</w:t>
      </w:r>
    </w:p>
    <w:p w14:paraId="1BE3941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采购方式：竞争性磋商</w:t>
      </w:r>
    </w:p>
    <w:p w14:paraId="3C904BF8">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预算金额（元）：</w:t>
      </w:r>
      <w:r>
        <w:rPr>
          <w:rFonts w:hint="eastAsia" w:asciiTheme="minorEastAsia" w:hAnsiTheme="minorEastAsia" w:eastAsiaTheme="minorEastAsia" w:cstheme="minorEastAsia"/>
          <w:kern w:val="0"/>
          <w:sz w:val="24"/>
          <w:szCs w:val="24"/>
          <w:lang w:eastAsia="zh-CN"/>
        </w:rPr>
        <w:t>284000</w:t>
      </w:r>
      <w:r>
        <w:rPr>
          <w:rFonts w:hint="eastAsia" w:asciiTheme="minorEastAsia" w:hAnsiTheme="minorEastAsia" w:eastAsiaTheme="minorEastAsia" w:cstheme="minorEastAsia"/>
          <w:kern w:val="0"/>
          <w:sz w:val="24"/>
          <w:szCs w:val="24"/>
        </w:rPr>
        <w:t>.00</w:t>
      </w:r>
    </w:p>
    <w:p w14:paraId="0FD7E200">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最高限价（元）：</w:t>
      </w:r>
      <w:r>
        <w:rPr>
          <w:rFonts w:hint="eastAsia" w:asciiTheme="minorEastAsia" w:hAnsiTheme="minorEastAsia" w:eastAsiaTheme="minorEastAsia" w:cstheme="minorEastAsia"/>
          <w:kern w:val="0"/>
          <w:sz w:val="24"/>
          <w:szCs w:val="24"/>
          <w:lang w:eastAsia="zh-CN"/>
        </w:rPr>
        <w:t>284000</w:t>
      </w:r>
      <w:r>
        <w:rPr>
          <w:rFonts w:hint="eastAsia" w:asciiTheme="minorEastAsia" w:hAnsiTheme="minorEastAsia" w:eastAsiaTheme="minorEastAsia" w:cstheme="minorEastAsia"/>
          <w:kern w:val="0"/>
          <w:sz w:val="24"/>
          <w:szCs w:val="24"/>
        </w:rPr>
        <w:t>.00</w:t>
      </w:r>
    </w:p>
    <w:p w14:paraId="24C48E4A">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采购需求：详见磋商文件</w:t>
      </w:r>
    </w:p>
    <w:p w14:paraId="44C49A9C">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合同履行期限：详见磋商文件</w:t>
      </w:r>
    </w:p>
    <w:p w14:paraId="400DCFC1">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本项目(不接受)联合体投标。</w:t>
      </w:r>
    </w:p>
    <w:p w14:paraId="09C5C5F3">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二、申请人的资格要求：</w:t>
      </w:r>
    </w:p>
    <w:p w14:paraId="6BE163DE">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4070D3F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2.落实政府采购政策需满足的资格要求：本项目专门面向中小企业</w:t>
      </w:r>
    </w:p>
    <w:p w14:paraId="1ECF57E3">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本项目的特定资格要求：</w:t>
      </w:r>
    </w:p>
    <w:p w14:paraId="5D208BE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供应商须是中华人民共和国境内注册的，具有有效的营业执照；</w:t>
      </w:r>
    </w:p>
    <w:p w14:paraId="26ACF2CE">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0BA176A4">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三、获取招标文件</w:t>
      </w:r>
    </w:p>
    <w:p w14:paraId="391F3E06">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w:t>
      </w:r>
      <w:r>
        <w:rPr>
          <w:rFonts w:hint="eastAsia" w:asciiTheme="minorEastAsia" w:hAnsiTheme="minorEastAsia" w:eastAsiaTheme="minorEastAsia" w:cstheme="minorEastAsia"/>
          <w:kern w:val="0"/>
          <w:sz w:val="24"/>
          <w:szCs w:val="24"/>
          <w:lang w:eastAsia="zh-CN"/>
        </w:rPr>
        <w:t>2025年7月1日至2025年7月7日</w:t>
      </w:r>
      <w:r>
        <w:rPr>
          <w:rFonts w:hint="eastAsia" w:asciiTheme="minorEastAsia" w:hAnsiTheme="minorEastAsia" w:eastAsiaTheme="minorEastAsia" w:cstheme="minorEastAsia"/>
          <w:kern w:val="0"/>
          <w:sz w:val="24"/>
          <w:szCs w:val="24"/>
        </w:rPr>
        <w:t>，每天上午00:00至12:00，下午12:00至23:59。（北京时间，法定节假日除外）</w:t>
      </w:r>
    </w:p>
    <w:p w14:paraId="19726C0C">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113EE2E5">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方式：供应商</w:t>
      </w:r>
      <w:r>
        <w:rPr>
          <w:rFonts w:hint="eastAsia" w:asciiTheme="minorEastAsia" w:hAnsiTheme="minorEastAsia" w:eastAsiaTheme="minorEastAsia" w:cstheme="minorEastAsia"/>
          <w:kern w:val="0"/>
          <w:sz w:val="24"/>
          <w:szCs w:val="24"/>
          <w:lang w:eastAsia="zh-CN"/>
        </w:rPr>
        <w:t>登录</w:t>
      </w:r>
      <w:r>
        <w:rPr>
          <w:rFonts w:hint="eastAsia" w:asciiTheme="minorEastAsia" w:hAnsiTheme="minorEastAsia" w:eastAsiaTheme="minorEastAsia" w:cstheme="minorEastAsia"/>
          <w:kern w:val="0"/>
          <w:sz w:val="24"/>
          <w:szCs w:val="24"/>
        </w:rPr>
        <w:t>政采云平台 https://www.zcygov.cn/进入“项目采购”栏目，在获取磋商文件菜单中选择所要投标的项目，申请获取磋商文件。</w:t>
      </w:r>
    </w:p>
    <w:p w14:paraId="2D701FC1">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售价：0</w:t>
      </w:r>
    </w:p>
    <w:p w14:paraId="6D6A571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四、响应文件提交</w:t>
      </w:r>
    </w:p>
    <w:p w14:paraId="3B4A28DC">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截止时间：</w:t>
      </w:r>
      <w:bookmarkStart w:id="180" w:name="_GoBack"/>
      <w:bookmarkEnd w:id="180"/>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w:t>
      </w:r>
    </w:p>
    <w:p w14:paraId="2295605C">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17DB6189">
      <w:pPr>
        <w:widowControl/>
        <w:numPr>
          <w:ilvl w:val="0"/>
          <w:numId w:val="2"/>
        </w:numPr>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响应文件开启</w:t>
      </w:r>
    </w:p>
    <w:p w14:paraId="17CC9C68">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开启时间：</w:t>
      </w:r>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w:t>
      </w:r>
    </w:p>
    <w:p w14:paraId="5B4F659C">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663EF1E4">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六、公告期限</w:t>
      </w:r>
    </w:p>
    <w:p w14:paraId="4D8FCB14">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132CABEC">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七、其他补充事宜</w:t>
      </w:r>
    </w:p>
    <w:p w14:paraId="33ADED3D">
      <w:pPr>
        <w:widowControl/>
        <w:spacing w:before="100" w:beforeAutospacing="1" w:after="100" w:afterAutospacing="1" w:line="24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1、本项目实行网上投标，采用电子投标文件。</w:t>
      </w:r>
    </w:p>
    <w:p w14:paraId="27ED590B">
      <w:pPr>
        <w:widowControl/>
        <w:spacing w:before="100" w:beforeAutospacing="1" w:after="100" w:afterAutospacing="1" w:line="24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567E2F66">
      <w:pPr>
        <w:widowControl/>
        <w:spacing w:before="100" w:beforeAutospacing="1" w:after="10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3、供应商将政采云电子交易客户端下载、安装完成后，可通过账号密码或CA登录客户端进行投标文件的制作。在使用政采云投标客户端时，建议使用WIN7及以上操作系统。</w:t>
      </w:r>
    </w:p>
    <w:p w14:paraId="7247E8CC">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八、凡对本次采购提出询问，请按以下方式联系。</w:t>
      </w:r>
    </w:p>
    <w:p w14:paraId="4BEC895A">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0E0AD500">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新疆维吾尔自治区粮食和物资储备局信息中心</w:t>
      </w:r>
    </w:p>
    <w:p w14:paraId="540AD2F8">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乌鲁木齐市新华北路246号</w:t>
      </w:r>
    </w:p>
    <w:p w14:paraId="7BDD7704">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eastAsia="zh-CN"/>
        </w:rPr>
        <w:t>张薇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15099176960</w:t>
      </w:r>
    </w:p>
    <w:p w14:paraId="13785F0A">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14:paraId="78C4F7DE">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新疆泓升项目管理有限公司</w:t>
      </w:r>
    </w:p>
    <w:p w14:paraId="5E91D9D4">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乌鲁木齐市水磨沟区乐清大厦2508室</w:t>
      </w:r>
    </w:p>
    <w:p w14:paraId="12028363">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14:paraId="11BD6508">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eastAsia="zh-CN"/>
        </w:rPr>
        <w:t>李工</w:t>
      </w:r>
    </w:p>
    <w:p w14:paraId="36530456">
      <w:pPr>
        <w:spacing w:line="360" w:lineRule="auto"/>
        <w:ind w:firstLine="24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eastAsia="zh-CN"/>
        </w:rPr>
        <w:t>18119118883</w:t>
      </w:r>
    </w:p>
    <w:p w14:paraId="5C28CD67">
      <w:pPr>
        <w:snapToGrid w:val="0"/>
        <w:spacing w:line="360" w:lineRule="auto"/>
        <w:jc w:val="center"/>
        <w:outlineLvl w:val="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z w:val="24"/>
          <w:szCs w:val="24"/>
        </w:rPr>
        <w:br w:type="page"/>
      </w:r>
      <w:bookmarkStart w:id="2" w:name="_Toc24415"/>
      <w:bookmarkStart w:id="3" w:name="_Toc9179"/>
      <w:r>
        <w:rPr>
          <w:rFonts w:hint="eastAsia" w:asciiTheme="minorEastAsia" w:hAnsiTheme="minorEastAsia" w:eastAsiaTheme="minorEastAsia" w:cstheme="minorEastAsia"/>
          <w:b/>
          <w:sz w:val="30"/>
          <w:szCs w:val="30"/>
        </w:rPr>
        <w:t>第二部分   供应商须知前附表</w:t>
      </w:r>
      <w:bookmarkEnd w:id="2"/>
      <w:bookmarkEnd w:id="3"/>
    </w:p>
    <w:tbl>
      <w:tblPr>
        <w:tblStyle w:val="30"/>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245"/>
      </w:tblGrid>
      <w:tr w14:paraId="22F1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70E54B2F">
            <w:pPr>
              <w:snapToGrid w:val="0"/>
              <w:spacing w:line="360" w:lineRule="auto"/>
              <w:ind w:right="105" w:rightChars="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9245" w:type="dxa"/>
            <w:vAlign w:val="center"/>
          </w:tcPr>
          <w:p w14:paraId="10665015">
            <w:pPr>
              <w:snapToGrid w:val="0"/>
              <w:spacing w:line="360" w:lineRule="auto"/>
              <w:ind w:right="105" w:rightChars="5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54C3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07B3C349">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245" w:type="dxa"/>
            <w:vAlign w:val="center"/>
          </w:tcPr>
          <w:p w14:paraId="74452B06">
            <w:pPr>
              <w:autoSpaceDE w:val="0"/>
              <w:autoSpaceDN w:val="0"/>
              <w:adjustRightIn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新疆维吾尔自治区粮食和物资储备局数据安全分类分级及数据安全风险评估项目</w:t>
            </w:r>
          </w:p>
          <w:p w14:paraId="52E375ED">
            <w:pPr>
              <w:autoSpaceDE w:val="0"/>
              <w:autoSpaceDN w:val="0"/>
              <w:adjustRightInd w:val="0"/>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项目编号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XJHS-2025-111</w:t>
            </w:r>
          </w:p>
        </w:tc>
      </w:tr>
      <w:tr w14:paraId="1100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51" w:type="dxa"/>
            <w:vAlign w:val="center"/>
          </w:tcPr>
          <w:p w14:paraId="321DD60B">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245" w:type="dxa"/>
            <w:vAlign w:val="center"/>
          </w:tcPr>
          <w:p w14:paraId="1F571BB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做好新疆维吾尔自治区粮食和物资储备局粮食购销监管信息化省级平台运维、自治区粮食和物资储备局OA办公系统运维、数据中心基础软硬件运维、信息中心财务服务、信息中心宣传技术服务、自治区粮食和物资储备局门户网站安全技术服务。</w:t>
            </w:r>
          </w:p>
        </w:tc>
      </w:tr>
      <w:tr w14:paraId="7999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693CDC1B">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245" w:type="dxa"/>
            <w:vAlign w:val="center"/>
          </w:tcPr>
          <w:p w14:paraId="12A98E90">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磋商供应商资格要求：</w:t>
            </w:r>
          </w:p>
          <w:p w14:paraId="02770F19">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14:paraId="68942810">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w:t>
            </w:r>
          </w:p>
          <w:p w14:paraId="75559003">
            <w:pPr>
              <w:pStyle w:val="26"/>
              <w:spacing w:before="75" w:after="75" w:line="400" w:lineRule="exact"/>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本项目为专门面向中小企业采购项目，须在响应文件中提供《中小企业声明函》，其投标报价不进行扣除优惠政策。</w:t>
            </w:r>
          </w:p>
          <w:p w14:paraId="54788D13">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14:paraId="0175DA29">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rPr>
              <w:t>供应商须是中华人民共和国境内注册的，具有有效的营业执照；</w:t>
            </w:r>
          </w:p>
          <w:p w14:paraId="6A729EF8">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r>
      <w:tr w14:paraId="44EB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249B3219">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245" w:type="dxa"/>
            <w:vAlign w:val="center"/>
          </w:tcPr>
          <w:p w14:paraId="6D958FFF">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信用查询时间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磋商响应文件提交截止时间前</w:t>
            </w:r>
          </w:p>
        </w:tc>
      </w:tr>
      <w:tr w14:paraId="13C9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041EEACE">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245" w:type="dxa"/>
            <w:vAlign w:val="center"/>
          </w:tcPr>
          <w:p w14:paraId="3E3A204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竞争性磋商文件费用：0元。</w:t>
            </w:r>
          </w:p>
        </w:tc>
      </w:tr>
      <w:tr w14:paraId="6D69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1" w:type="dxa"/>
            <w:vAlign w:val="center"/>
          </w:tcPr>
          <w:p w14:paraId="76779A1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245" w:type="dxa"/>
            <w:vAlign w:val="center"/>
          </w:tcPr>
          <w:p w14:paraId="21D18B47">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投标保证金的金额：人民币5</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00元</w:t>
            </w:r>
          </w:p>
          <w:p w14:paraId="4AC6D1C7">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于</w:t>
            </w:r>
            <w:r>
              <w:rPr>
                <w:rFonts w:hint="eastAsia" w:asciiTheme="minorEastAsia" w:hAnsiTheme="minorEastAsia" w:eastAsiaTheme="minorEastAsia" w:cstheme="minorEastAsia"/>
                <w:lang w:eastAsia="zh-CN"/>
              </w:rPr>
              <w:t>2025年7月11日10点30分</w:t>
            </w:r>
            <w:r>
              <w:rPr>
                <w:rFonts w:hint="eastAsia" w:asciiTheme="minorEastAsia" w:hAnsiTheme="minorEastAsia" w:eastAsiaTheme="minorEastAsia" w:cstheme="minorEastAsia"/>
              </w:rPr>
              <w:t>前（北京时间，以到账时间为准)从供应商基本账户以支票、银行电汇、网银形式汇至指定账户，供应商递交投标保证金应充分考虑资金在途时间。</w:t>
            </w:r>
          </w:p>
          <w:p w14:paraId="12EFB5A4">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开户单位名称：新疆泓升项目管理有限公司</w:t>
            </w:r>
          </w:p>
          <w:p w14:paraId="3395EEF4">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开户银行：中国农业银行股份有限公司乌鲁木齐长江路支行</w:t>
            </w:r>
          </w:p>
          <w:p w14:paraId="5F8A0FB8">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账户账号：30002401040008748</w:t>
            </w:r>
          </w:p>
          <w:p w14:paraId="4A6C68B8">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开户行行号：103881000244</w:t>
            </w:r>
          </w:p>
          <w:p w14:paraId="7127936B">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投标保证金的形式：银行电汇、网银</w:t>
            </w:r>
          </w:p>
          <w:p w14:paraId="5876CED9">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汇款后请把汇款凭证复印件放在投标文件中，无需到公司换取收据。</w:t>
            </w:r>
          </w:p>
          <w:p w14:paraId="631E195D">
            <w:pPr>
              <w:pStyle w:val="26"/>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注：供应商递交磋商保证金时，须注明所投项目名称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可简写</w:t>
            </w:r>
            <w:r>
              <w:rPr>
                <w:rFonts w:hint="eastAsia" w:asciiTheme="minorEastAsia" w:hAnsiTheme="minorEastAsia" w:eastAsiaTheme="minorEastAsia" w:cstheme="minorEastAsia"/>
              </w:rPr>
              <w:t>。</w:t>
            </w:r>
          </w:p>
        </w:tc>
      </w:tr>
      <w:tr w14:paraId="0B16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700BE3F5">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9245" w:type="dxa"/>
            <w:vAlign w:val="center"/>
          </w:tcPr>
          <w:p w14:paraId="431347F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4000</w:t>
            </w:r>
            <w:r>
              <w:rPr>
                <w:rFonts w:hint="eastAsia" w:asciiTheme="minorEastAsia" w:hAnsiTheme="minorEastAsia" w:eastAsiaTheme="minorEastAsia" w:cstheme="minorEastAsia"/>
                <w:sz w:val="24"/>
                <w:szCs w:val="24"/>
              </w:rPr>
              <w:t>元（大写：</w:t>
            </w:r>
            <w:r>
              <w:rPr>
                <w:rFonts w:hint="eastAsia" w:asciiTheme="minorEastAsia" w:hAnsiTheme="minorEastAsia" w:eastAsiaTheme="minorEastAsia" w:cstheme="minorEastAsia"/>
                <w:sz w:val="24"/>
                <w:szCs w:val="24"/>
                <w:lang w:val="en-US" w:eastAsia="zh-CN"/>
              </w:rPr>
              <w:t>贰拾捌万肆仟</w:t>
            </w:r>
            <w:r>
              <w:rPr>
                <w:rFonts w:hint="eastAsia" w:asciiTheme="minorEastAsia" w:hAnsiTheme="minorEastAsia" w:eastAsiaTheme="minorEastAsia" w:cstheme="minorEastAsia"/>
                <w:sz w:val="24"/>
                <w:szCs w:val="24"/>
              </w:rPr>
              <w:t>元整）</w:t>
            </w:r>
            <w:r>
              <w:rPr>
                <w:rFonts w:hint="eastAsia" w:asciiTheme="minorEastAsia" w:hAnsiTheme="minorEastAsia" w:eastAsiaTheme="minorEastAsia" w:cstheme="minorEastAsia"/>
                <w:b/>
                <w:bCs/>
                <w:sz w:val="24"/>
                <w:szCs w:val="24"/>
              </w:rPr>
              <w:t>供应商的投标报价不得高于此限价，否则按无效投标处理</w:t>
            </w:r>
          </w:p>
        </w:tc>
      </w:tr>
      <w:tr w14:paraId="485F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4B163657">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9245" w:type="dxa"/>
            <w:vAlign w:val="center"/>
          </w:tcPr>
          <w:p w14:paraId="097E6B3F">
            <w:pPr>
              <w:numPr>
                <w:ilvl w:val="0"/>
                <w:numId w:val="3"/>
              </w:numPr>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电子投标文件递交：供应商应于</w:t>
            </w:r>
            <w:r>
              <w:rPr>
                <w:rFonts w:hint="eastAsia" w:asciiTheme="minorEastAsia" w:hAnsiTheme="minorEastAsia" w:eastAsiaTheme="minorEastAsia" w:cstheme="minorEastAsia"/>
                <w:bCs/>
                <w:sz w:val="24"/>
                <w:szCs w:val="24"/>
                <w:lang w:eastAsia="zh-CN"/>
              </w:rPr>
              <w:t>2025年7月11日10点30分</w:t>
            </w:r>
            <w:r>
              <w:rPr>
                <w:rFonts w:hint="eastAsia" w:asciiTheme="minorEastAsia" w:hAnsiTheme="minorEastAsia" w:eastAsiaTheme="minorEastAsia" w:cstheme="minorEastAsia"/>
                <w:bCs/>
                <w:sz w:val="24"/>
                <w:szCs w:val="24"/>
              </w:rPr>
              <w:t>之前将电子投标文件上传到“政采云”平台。应按照本项目磋商文件和政采云平台的要求编制、加密传输投标文件。供应商对不见面开评标系统的技术操作咨询，可通过https://edu.zcygov.cn/luban/xinjiang-e-biding 自助查询，也可在政采云帮助中心常见问题解答和操作流程讲解视频中自助查询，网址为：  https://service.zcygov.cn/#/help，“项目采购”—“操作流程</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电子 招投标”—“政府采购项目电子交易管理操作指南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供应商”版面获取操 作指南，同时对自助查询无法解决的问题可通过钉钉群及政采云在线客服获取服务支持。</w:t>
            </w:r>
          </w:p>
          <w:p w14:paraId="5994ACA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（2）投标现场无需递交投标文件。</w:t>
            </w:r>
          </w:p>
        </w:tc>
      </w:tr>
      <w:tr w14:paraId="6853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1" w:type="dxa"/>
            <w:vAlign w:val="center"/>
          </w:tcPr>
          <w:p w14:paraId="20E34E90">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9245" w:type="dxa"/>
            <w:vAlign w:val="center"/>
          </w:tcPr>
          <w:p w14:paraId="3DA57E8E">
            <w:pPr>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本项目实行网上投标，采用电子投标文件。若供应商参与投标，自行承担投标一切费用。</w:t>
            </w:r>
          </w:p>
          <w:p w14:paraId="1ADB4D79">
            <w:pPr>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各供应商应在开标前确保成为新疆维吾尔自治区政府采购网正式注册入库供应商，并完成CA数字证书申领。因未注册入库、未办理CA数字证书等原因造成无法投标或投标失败等后果由供应商自行承担。</w:t>
            </w:r>
          </w:p>
          <w:p w14:paraId="0A78CCAA">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投标供应商应当在投标截止时间前，将生成的“电子加密投标文件”上传递交至“政府采购云平台”。投标截止时间以后上传递交的投标文件将被“政府采购云平台”拒收。</w:t>
            </w:r>
          </w:p>
        </w:tc>
      </w:tr>
      <w:tr w14:paraId="081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75032187">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9245" w:type="dxa"/>
            <w:vAlign w:val="center"/>
          </w:tcPr>
          <w:p w14:paraId="14D52690">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磋商报价：供应商的报价应为所确定的招标范围内的全部工作内容的价格体现。</w:t>
            </w:r>
          </w:p>
        </w:tc>
      </w:tr>
      <w:tr w14:paraId="37B5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1BE0198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9245" w:type="dxa"/>
            <w:vAlign w:val="center"/>
          </w:tcPr>
          <w:p w14:paraId="0F80AB6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投标文件解密时间为30分钟，供应商可以登录“政采云”平台，用“项目采购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标评标”功能进行解密投标文件。若供应商在招标代理现场规定的时间内未按时解密的，视为投标文件撤回。因网上招标系统故障导致所有供应商均解密失败，由采购人或采购代理机构现场请示项目主管部门处理。</w:t>
            </w:r>
          </w:p>
        </w:tc>
      </w:tr>
      <w:tr w14:paraId="6C49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0D7CA87F">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245" w:type="dxa"/>
            <w:vAlign w:val="center"/>
          </w:tcPr>
          <w:p w14:paraId="013AD40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磋商响应文件的递交截止时间：</w:t>
            </w:r>
            <w:r>
              <w:rPr>
                <w:rFonts w:hint="eastAsia" w:asciiTheme="minorEastAsia" w:hAnsiTheme="minorEastAsia" w:eastAsiaTheme="minorEastAsia" w:cstheme="minorEastAsia"/>
                <w:sz w:val="24"/>
                <w:szCs w:val="24"/>
                <w:lang w:eastAsia="zh-CN"/>
              </w:rPr>
              <w:t>2025年7月11日10点30分</w:t>
            </w:r>
            <w:r>
              <w:rPr>
                <w:rFonts w:hint="eastAsia" w:asciiTheme="minorEastAsia" w:hAnsiTheme="minorEastAsia" w:eastAsiaTheme="minorEastAsia" w:cstheme="minorEastAsia"/>
                <w:sz w:val="24"/>
                <w:szCs w:val="24"/>
              </w:rPr>
              <w:t>（北京时间）</w:t>
            </w:r>
          </w:p>
        </w:tc>
      </w:tr>
      <w:tr w14:paraId="5598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vAlign w:val="center"/>
          </w:tcPr>
          <w:p w14:paraId="7D31CC26">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9245" w:type="dxa"/>
            <w:vAlign w:val="center"/>
          </w:tcPr>
          <w:p w14:paraId="14AB937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磋商响应文件递交地点：</w:t>
            </w:r>
            <w:r>
              <w:rPr>
                <w:rFonts w:hint="eastAsia" w:asciiTheme="minorEastAsia" w:hAnsiTheme="minorEastAsia" w:eastAsiaTheme="minorEastAsia" w:cstheme="minorEastAsia"/>
                <w:kern w:val="0"/>
                <w:sz w:val="24"/>
                <w:szCs w:val="24"/>
              </w:rPr>
              <w:t>政采云平台（https://www.zcygov.cn/）</w:t>
            </w:r>
          </w:p>
        </w:tc>
      </w:tr>
      <w:tr w14:paraId="51F1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1" w:type="dxa"/>
            <w:vAlign w:val="center"/>
          </w:tcPr>
          <w:p w14:paraId="70FC657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9245" w:type="dxa"/>
            <w:vAlign w:val="center"/>
          </w:tcPr>
          <w:p w14:paraId="26FEED4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磋商响应时间：</w:t>
            </w:r>
            <w:r>
              <w:rPr>
                <w:rFonts w:hint="eastAsia" w:asciiTheme="minorEastAsia" w:hAnsiTheme="minorEastAsia" w:eastAsiaTheme="minorEastAsia" w:cstheme="minorEastAsia"/>
                <w:sz w:val="24"/>
                <w:szCs w:val="24"/>
                <w:lang w:eastAsia="zh-CN"/>
              </w:rPr>
              <w:t>2025年7月11日10点30分</w:t>
            </w:r>
            <w:r>
              <w:rPr>
                <w:rFonts w:hint="eastAsia" w:asciiTheme="minorEastAsia" w:hAnsiTheme="minorEastAsia" w:eastAsiaTheme="minorEastAsia" w:cstheme="minorEastAsia"/>
                <w:sz w:val="24"/>
                <w:szCs w:val="24"/>
              </w:rPr>
              <w:t>（北京时间）</w:t>
            </w:r>
          </w:p>
          <w:p w14:paraId="5889FEA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磋商地点：</w:t>
            </w:r>
            <w:r>
              <w:rPr>
                <w:rFonts w:hint="eastAsia" w:asciiTheme="minorEastAsia" w:hAnsiTheme="minorEastAsia" w:eastAsiaTheme="minorEastAsia" w:cstheme="minorEastAsia"/>
                <w:kern w:val="0"/>
                <w:sz w:val="24"/>
                <w:szCs w:val="24"/>
              </w:rPr>
              <w:t>政采云平台（https://www.zcygov.cn/）</w:t>
            </w:r>
          </w:p>
        </w:tc>
      </w:tr>
      <w:tr w14:paraId="7E42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73B01300">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9245" w:type="dxa"/>
            <w:vAlign w:val="center"/>
          </w:tcPr>
          <w:p w14:paraId="05EBD516">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成交原则：依据提交最后报价的供应商，由磋商小组采用综合评分法对提交最后报价的供应商的磋商响应文件和最后报价进行综合评分。</w:t>
            </w:r>
          </w:p>
          <w:p w14:paraId="5DEADC8B">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综合评分法，是指磋商响应文件满足磋商文件全部实质性要求且按评审因素的量化指标评审得分最高的供应商为成交候选供应商的评审方法。</w:t>
            </w:r>
          </w:p>
        </w:tc>
      </w:tr>
      <w:tr w14:paraId="0E35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4FBA11E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9245" w:type="dxa"/>
            <w:vAlign w:val="center"/>
          </w:tcPr>
          <w:p w14:paraId="6F75EAF6">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磋商小组的组建：由采购人代表和评审专家共3人以上单数组成，其中评审专家人数不得少于磋商小组成员总数的2/3。</w:t>
            </w:r>
          </w:p>
        </w:tc>
      </w:tr>
      <w:tr w14:paraId="23E2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131E7CA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9245" w:type="dxa"/>
            <w:vAlign w:val="center"/>
          </w:tcPr>
          <w:p w14:paraId="0E3F1D8D">
            <w:pPr>
              <w:spacing w:line="45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中小微型企业有关政策：</w:t>
            </w:r>
          </w:p>
          <w:p w14:paraId="010E0B26">
            <w:pPr>
              <w:spacing w:line="45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根据工信部等部委发布的《关于印发中小企业划型标准规定的通知》（工信部联企业[2011]300号）规定执行；监狱企业、残疾人福利性单位视同为小微企业。</w:t>
            </w:r>
          </w:p>
        </w:tc>
      </w:tr>
      <w:tr w14:paraId="5CE4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361C38C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9245" w:type="dxa"/>
            <w:vAlign w:val="center"/>
          </w:tcPr>
          <w:p w14:paraId="64B7A478">
            <w:pPr>
              <w:spacing w:line="450" w:lineRule="exact"/>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供货期：自合同签订后30日内</w:t>
            </w:r>
          </w:p>
          <w:p w14:paraId="6A481656">
            <w:pPr>
              <w:spacing w:line="450" w:lineRule="exact"/>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服务期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自合同签订之日起30日</w:t>
            </w:r>
          </w:p>
          <w:p w14:paraId="195B93A1">
            <w:pPr>
              <w:spacing w:line="450" w:lineRule="exact"/>
              <w:jc w:val="left"/>
              <w:rPr>
                <w:rFonts w:hint="default" w:eastAsiaTheme="minorEastAsia"/>
                <w:highlight w:val="none"/>
                <w:lang w:val="en-US" w:eastAsia="zh-CN"/>
              </w:rPr>
            </w:pPr>
            <w:r>
              <w:rPr>
                <w:rFonts w:hint="eastAsia" w:asciiTheme="minorEastAsia" w:hAnsiTheme="minorEastAsia" w:eastAsiaTheme="minorEastAsia" w:cstheme="minorEastAsia"/>
                <w:sz w:val="24"/>
                <w:highlight w:val="none"/>
                <w:lang w:eastAsia="zh-CN"/>
              </w:rPr>
              <w:t>服务地点</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招标人指定地点</w:t>
            </w:r>
          </w:p>
        </w:tc>
      </w:tr>
      <w:tr w14:paraId="1D2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0674B2CE">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9245" w:type="dxa"/>
            <w:vAlign w:val="center"/>
          </w:tcPr>
          <w:p w14:paraId="38B3134F">
            <w:pPr>
              <w:spacing w:line="45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付款方式：待合同签订后10个工作日内预付合同金额的40%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依据项目进度及交付结果，乙方提交相关交付资料，通过甲方组织的评估后，按合同约定支付款项。（具体付款时间以合同签订内容为准）。乙方应当在申请付款前，开具符合甲方要求的足额发票，否则甲方有权延期付款且不承担逾期付款的违约责任。</w:t>
            </w:r>
          </w:p>
        </w:tc>
      </w:tr>
      <w:tr w14:paraId="37F4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0F9B32F4">
            <w:pPr>
              <w:snapToGrid w:val="0"/>
              <w:spacing w:line="360" w:lineRule="auto"/>
              <w:ind w:right="105" w:rightChar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9245" w:type="dxa"/>
            <w:vAlign w:val="center"/>
          </w:tcPr>
          <w:p w14:paraId="3EF2D115">
            <w:pPr>
              <w:spacing w:line="45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履约保证金：合同金额的5%，以支票、汇票、本票或者金融机构、担保机构出具的保函等非现金形式。在合同签订七日内提交至财务处，在验收合格后无息退还。</w:t>
            </w:r>
          </w:p>
        </w:tc>
      </w:tr>
      <w:tr w14:paraId="6D8F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shd w:val="clear" w:color="auto" w:fill="auto"/>
            <w:vAlign w:val="center"/>
          </w:tcPr>
          <w:p w14:paraId="79EB0FA3">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p>
        </w:tc>
        <w:tc>
          <w:tcPr>
            <w:tcW w:w="9245" w:type="dxa"/>
            <w:vAlign w:val="center"/>
          </w:tcPr>
          <w:p w14:paraId="26A33A3A">
            <w:pPr>
              <w:spacing w:line="45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因乙方提供产品质量等原因而导致甲方验收不合格，乙方负责继续完善，并承担所产生的费用，如乙方拒绝完善或完善后仍不符合标准的，甲方有权解除合同，乙方按合同总额的20%的标准向甲方支付违约金。</w:t>
            </w:r>
          </w:p>
        </w:tc>
      </w:tr>
      <w:tr w14:paraId="03B1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shd w:val="clear" w:color="auto" w:fill="auto"/>
            <w:vAlign w:val="center"/>
          </w:tcPr>
          <w:p w14:paraId="6FF86023">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p>
        </w:tc>
        <w:tc>
          <w:tcPr>
            <w:tcW w:w="9245" w:type="dxa"/>
            <w:vAlign w:val="center"/>
          </w:tcPr>
          <w:p w14:paraId="7E92FD17">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是否允许提交备选方案：不允许</w:t>
            </w:r>
          </w:p>
        </w:tc>
      </w:tr>
      <w:tr w14:paraId="2FC2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shd w:val="clear" w:color="auto" w:fill="auto"/>
            <w:vAlign w:val="center"/>
          </w:tcPr>
          <w:p w14:paraId="7101244A">
            <w:pPr>
              <w:snapToGrid w:val="0"/>
              <w:spacing w:line="360" w:lineRule="auto"/>
              <w:ind w:right="105" w:rightChars="50"/>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3</w:t>
            </w:r>
          </w:p>
        </w:tc>
        <w:tc>
          <w:tcPr>
            <w:tcW w:w="9245" w:type="dxa"/>
            <w:vAlign w:val="center"/>
          </w:tcPr>
          <w:p w14:paraId="38C435E3">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踏勘现场：采购人不组织踏勘现场</w:t>
            </w:r>
          </w:p>
        </w:tc>
      </w:tr>
      <w:tr w14:paraId="1885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1" w:type="dxa"/>
            <w:shd w:val="clear" w:color="auto" w:fill="auto"/>
            <w:vAlign w:val="center"/>
          </w:tcPr>
          <w:p w14:paraId="3F670A2B">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9245" w:type="dxa"/>
            <w:vAlign w:val="center"/>
          </w:tcPr>
          <w:p w14:paraId="676CEA78">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公告发布媒体：新疆政府采购网</w:t>
            </w:r>
          </w:p>
        </w:tc>
      </w:tr>
      <w:tr w14:paraId="29D4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shd w:val="clear" w:color="auto" w:fill="auto"/>
            <w:vAlign w:val="center"/>
          </w:tcPr>
          <w:p w14:paraId="1E48E175">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9245" w:type="dxa"/>
            <w:vAlign w:val="center"/>
          </w:tcPr>
          <w:p w14:paraId="1EFF091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磋商文件的澄清和修改：</w:t>
            </w:r>
          </w:p>
          <w:p w14:paraId="12490E3D">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tc>
      </w:tr>
      <w:tr w14:paraId="627A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shd w:val="clear" w:color="auto" w:fill="auto"/>
            <w:vAlign w:val="center"/>
          </w:tcPr>
          <w:p w14:paraId="5E902BCB">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9245" w:type="dxa"/>
            <w:vAlign w:val="center"/>
          </w:tcPr>
          <w:p w14:paraId="51D3320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代理服务费：按新疆维吾尔自治区建设工程招标投标协会文件新建招协[2024]4号文的规定收取，由中标单位支付。</w:t>
            </w:r>
          </w:p>
        </w:tc>
      </w:tr>
      <w:tr w14:paraId="5ABA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shd w:val="clear" w:color="auto" w:fill="auto"/>
            <w:vAlign w:val="center"/>
          </w:tcPr>
          <w:p w14:paraId="58846085">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9245" w:type="dxa"/>
            <w:vAlign w:val="center"/>
          </w:tcPr>
          <w:p w14:paraId="3E0919F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无论竞标结果如何，供应商均应自行承担竞标所需一切费用。</w:t>
            </w:r>
          </w:p>
        </w:tc>
      </w:tr>
      <w:tr w14:paraId="36CA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shd w:val="clear" w:color="auto" w:fill="auto"/>
            <w:vAlign w:val="center"/>
          </w:tcPr>
          <w:p w14:paraId="3F7681DF">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p>
        </w:tc>
        <w:tc>
          <w:tcPr>
            <w:tcW w:w="9245" w:type="dxa"/>
            <w:vAlign w:val="center"/>
          </w:tcPr>
          <w:p w14:paraId="245FAC8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磋商有效期：磋商响应文件截止之日起90天。</w:t>
            </w:r>
          </w:p>
        </w:tc>
      </w:tr>
      <w:tr w14:paraId="15F4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033809B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p>
        </w:tc>
        <w:tc>
          <w:tcPr>
            <w:tcW w:w="9245" w:type="dxa"/>
            <w:vAlign w:val="center"/>
          </w:tcPr>
          <w:p w14:paraId="3453416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所报服务等同或不得低于磋商文件要求的服务要求。任何对磋商文件的忽略或误解不能作为响应文件存在缺陷或瑕疵的理由，其风险由供应商承担。（2）供应商应保证，在中华人民共和国境内使用投标成果、服务或其任何一部分时，不会产生因第三方提出侵犯其专利权或其它知识产权而引起的法律和经济纠纷。</w:t>
            </w:r>
          </w:p>
        </w:tc>
      </w:tr>
    </w:tbl>
    <w:p w14:paraId="34B14D5F">
      <w:pPr>
        <w:snapToGrid w:val="0"/>
        <w:spacing w:line="500" w:lineRule="exact"/>
        <w:jc w:val="left"/>
        <w:outlineLvl w:val="1"/>
        <w:rPr>
          <w:rFonts w:hint="eastAsia" w:asciiTheme="minorEastAsia" w:hAnsiTheme="minorEastAsia" w:eastAsiaTheme="minorEastAsia" w:cstheme="minorEastAsia"/>
          <w:b/>
          <w:sz w:val="24"/>
          <w:szCs w:val="24"/>
        </w:rPr>
      </w:pPr>
      <w:bookmarkStart w:id="4" w:name="_Toc27351"/>
      <w:r>
        <w:rPr>
          <w:rFonts w:hint="eastAsia" w:asciiTheme="minorEastAsia" w:hAnsiTheme="minorEastAsia" w:eastAsiaTheme="minorEastAsia" w:cstheme="minorEastAsia"/>
          <w:b/>
          <w:sz w:val="24"/>
          <w:szCs w:val="24"/>
        </w:rPr>
        <w:t>说明</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当正文中的内容与前附表规定的内容不一致时，以前附表的规定为准。</w:t>
      </w:r>
    </w:p>
    <w:p w14:paraId="2EA23A36">
      <w:pPr>
        <w:snapToGrid w:val="0"/>
        <w:spacing w:line="500" w:lineRule="exact"/>
        <w:jc w:val="left"/>
        <w:outlineLvl w:val="1"/>
        <w:rPr>
          <w:rFonts w:hint="eastAsia" w:asciiTheme="minorEastAsia" w:hAnsiTheme="minorEastAsia" w:eastAsiaTheme="minorEastAsia" w:cstheme="minorEastAsia"/>
          <w:b/>
          <w:sz w:val="24"/>
          <w:szCs w:val="24"/>
        </w:rPr>
      </w:pPr>
    </w:p>
    <w:p w14:paraId="22FF8D19">
      <w:pPr>
        <w:pageBreakBefore/>
        <w:snapToGrid w:val="0"/>
        <w:spacing w:line="500" w:lineRule="exact"/>
        <w:jc w:val="center"/>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一、总则</w:t>
      </w:r>
      <w:bookmarkEnd w:id="4"/>
    </w:p>
    <w:p w14:paraId="40F0A77B">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（一）总则</w:t>
      </w:r>
    </w:p>
    <w:p w14:paraId="2D6B7CD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项目说明</w:t>
      </w:r>
    </w:p>
    <w:p w14:paraId="4247548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本项目的说明详见供应商须知前附表（以下简称“前附表”）所述。</w:t>
      </w:r>
    </w:p>
    <w:p w14:paraId="58123B2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本招标项目已经批准，采购单位为</w:t>
      </w:r>
      <w:r>
        <w:rPr>
          <w:rFonts w:hint="eastAsia" w:asciiTheme="minorEastAsia" w:hAnsiTheme="minorEastAsia" w:eastAsiaTheme="minorEastAsia" w:cstheme="minorEastAsia"/>
          <w:sz w:val="24"/>
          <w:szCs w:val="24"/>
          <w:u w:val="single"/>
          <w:lang w:eastAsia="zh-CN"/>
        </w:rPr>
        <w:t>新疆维吾尔自治区粮食和物资储备局信息中心</w:t>
      </w:r>
      <w:r>
        <w:rPr>
          <w:rFonts w:hint="eastAsia" w:asciiTheme="minorEastAsia" w:hAnsiTheme="minorEastAsia" w:eastAsiaTheme="minorEastAsia" w:cstheme="minorEastAsia"/>
          <w:sz w:val="24"/>
          <w:szCs w:val="24"/>
        </w:rPr>
        <w:t>，该项目已具备招标条件。</w:t>
      </w:r>
    </w:p>
    <w:p w14:paraId="711FB82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1.3参加竞标的供应商必须符合供应商须知前附表说明，通过资格后审的供应商为合格的供应商。合格的供应商必须符合磋商文件中对供应商的规定，且具备独立完成本项目的能力</w:t>
      </w:r>
      <w:r>
        <w:rPr>
          <w:rFonts w:hint="eastAsia" w:asciiTheme="minorEastAsia" w:hAnsiTheme="minorEastAsia" w:eastAsiaTheme="minorEastAsia" w:cstheme="minorEastAsia"/>
          <w:b w:val="0"/>
          <w:bCs w:val="0"/>
          <w:sz w:val="24"/>
          <w:szCs w:val="24"/>
        </w:rPr>
        <w:t>，成交后不允许转包、违法分包。</w:t>
      </w:r>
    </w:p>
    <w:p w14:paraId="3534053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资格后审包括下列的内容</w:t>
      </w:r>
    </w:p>
    <w:p w14:paraId="3B9C186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供应商须满足“前附表”规定的资格要求 ；</w:t>
      </w:r>
    </w:p>
    <w:p w14:paraId="65FFE02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磋商响应文件有要求供应商法定代表人或其授权代表签字或盖章和加盖供应商公章要求的，供应商须按要求盖章或签字；</w:t>
      </w:r>
    </w:p>
    <w:p w14:paraId="2C832C3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1.4.3供货期、</w:t>
      </w:r>
      <w:r>
        <w:rPr>
          <w:rFonts w:hint="eastAsia" w:asciiTheme="minorEastAsia" w:hAnsiTheme="minorEastAsia" w:eastAsiaTheme="minorEastAsia" w:cstheme="minorEastAsia"/>
          <w:sz w:val="24"/>
          <w:szCs w:val="24"/>
          <w:lang w:eastAsia="zh-CN"/>
        </w:rPr>
        <w:t>服务期</w:t>
      </w:r>
      <w:r>
        <w:rPr>
          <w:rFonts w:hint="eastAsia" w:asciiTheme="minorEastAsia" w:hAnsiTheme="minorEastAsia" w:eastAsiaTheme="minorEastAsia" w:cstheme="minorEastAsia"/>
          <w:sz w:val="24"/>
          <w:szCs w:val="24"/>
        </w:rPr>
        <w:t>符合磋商文件要求；</w:t>
      </w:r>
    </w:p>
    <w:p w14:paraId="321B545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磋商地点符合磋商文件规定；</w:t>
      </w:r>
    </w:p>
    <w:p w14:paraId="1C86640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磋商内容、质量满足磋商文件要求；</w:t>
      </w:r>
    </w:p>
    <w:p w14:paraId="4FD4963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磋商响应文件中所提条件均符合采购人的要求；</w:t>
      </w:r>
    </w:p>
    <w:p w14:paraId="4A06C55B">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 符合磋商文件中规定的其他实质性要求；</w:t>
      </w:r>
    </w:p>
    <w:p w14:paraId="7EAAE68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 无</w:t>
      </w:r>
      <w:r>
        <w:rPr>
          <w:rFonts w:hint="eastAsia" w:asciiTheme="minorEastAsia" w:hAnsiTheme="minorEastAsia" w:eastAsiaTheme="minorEastAsia" w:cstheme="minorEastAsia"/>
          <w:sz w:val="24"/>
          <w:szCs w:val="24"/>
          <w:lang w:eastAsia="zh-CN"/>
        </w:rPr>
        <w:t>法律法规</w:t>
      </w:r>
      <w:r>
        <w:rPr>
          <w:rFonts w:hint="eastAsia" w:asciiTheme="minorEastAsia" w:hAnsiTheme="minorEastAsia" w:eastAsiaTheme="minorEastAsia" w:cstheme="minorEastAsia"/>
          <w:sz w:val="24"/>
          <w:szCs w:val="24"/>
        </w:rPr>
        <w:t>和规章禁止的其他情况。</w:t>
      </w:r>
    </w:p>
    <w:p w14:paraId="385E43AC">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（二）采购方式</w:t>
      </w:r>
    </w:p>
    <w:p w14:paraId="29922F3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本项目采取</w:t>
      </w:r>
      <w:r>
        <w:rPr>
          <w:rFonts w:hint="eastAsia" w:asciiTheme="minorEastAsia" w:hAnsiTheme="minorEastAsia" w:eastAsiaTheme="minorEastAsia" w:cstheme="minorEastAsia"/>
          <w:sz w:val="24"/>
          <w:szCs w:val="24"/>
          <w:u w:val="single"/>
        </w:rPr>
        <w:t>竞争性磋商方式</w:t>
      </w:r>
      <w:r>
        <w:rPr>
          <w:rFonts w:hint="eastAsia" w:asciiTheme="minorEastAsia" w:hAnsiTheme="minorEastAsia" w:eastAsiaTheme="minorEastAsia" w:cstheme="minorEastAsia"/>
          <w:sz w:val="24"/>
          <w:szCs w:val="24"/>
        </w:rPr>
        <w:t>采购。</w:t>
      </w:r>
    </w:p>
    <w:p w14:paraId="623400C1">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（三）合格的供应商</w:t>
      </w:r>
    </w:p>
    <w:p w14:paraId="5C1CDDF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合格的供应商必须是有能力按照本竞争性磋商文件规定的要求提供货物、服务，且具有独立承担民事等法律责任的法人或其它经济组织，本次磋商不接受联合体投标。</w:t>
      </w:r>
    </w:p>
    <w:p w14:paraId="6F639C1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供应商应按照磋商文件的要求编制磋商响应文件。磋商响应文件应当对磋商文件提出的要求和条件</w:t>
      </w:r>
      <w:r>
        <w:rPr>
          <w:rFonts w:hint="eastAsia" w:asciiTheme="minorEastAsia" w:hAnsiTheme="minorEastAsia" w:eastAsiaTheme="minorEastAsia" w:cstheme="minorEastAsia"/>
          <w:sz w:val="24"/>
          <w:szCs w:val="24"/>
          <w:lang w:eastAsia="zh-CN"/>
        </w:rPr>
        <w:t>作出</w:t>
      </w:r>
      <w:r>
        <w:rPr>
          <w:rFonts w:hint="eastAsia" w:asciiTheme="minorEastAsia" w:hAnsiTheme="minorEastAsia" w:eastAsiaTheme="minorEastAsia" w:cstheme="minorEastAsia"/>
          <w:sz w:val="24"/>
          <w:szCs w:val="24"/>
        </w:rPr>
        <w:t>实质性响应。</w:t>
      </w:r>
    </w:p>
    <w:p w14:paraId="578712AB">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3.3已按规定交纳磋商保证金。</w:t>
      </w:r>
    </w:p>
    <w:p w14:paraId="6354910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3.4单位负责人为同一人或者存在直接控股、管理关系的不同供应商，不得参加同一合同项下的政府采购活动。</w:t>
      </w:r>
    </w:p>
    <w:p w14:paraId="5F66393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为采购项目提供整体设计、规范编制或者项目管理、监理、检测等服务的供应商，不得再参加本项目的采购活动。</w:t>
      </w:r>
    </w:p>
    <w:p w14:paraId="57825AE2">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（四）适用法律</w:t>
      </w:r>
    </w:p>
    <w:p w14:paraId="61624D62">
      <w:pPr>
        <w:pStyle w:val="20"/>
        <w:snapToGrid w:val="0"/>
        <w:spacing w:line="500" w:lineRule="exact"/>
        <w:ind w:left="0" w:leftChars="0" w:firstLine="240" w:firstLineChars="1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val="0"/>
          <w:szCs w:val="24"/>
          <w:u w:val="none"/>
        </w:rPr>
        <w:t>4.1</w:t>
      </w:r>
      <w:r>
        <w:rPr>
          <w:rFonts w:hint="eastAsia" w:asciiTheme="minorEastAsia" w:hAnsiTheme="minorEastAsia" w:eastAsiaTheme="minorEastAsia" w:cstheme="minorEastAsia"/>
          <w:szCs w:val="24"/>
          <w:u w:val="none"/>
        </w:rPr>
        <w:t xml:space="preserve"> </w:t>
      </w:r>
      <w:r>
        <w:rPr>
          <w:rFonts w:hint="eastAsia" w:asciiTheme="minorEastAsia" w:hAnsiTheme="minorEastAsia" w:eastAsiaTheme="minorEastAsia" w:cstheme="minorEastAsia"/>
          <w:szCs w:val="24"/>
        </w:rPr>
        <w:t>本次磋商及由本次磋商产生的合同受中华人民共和国的相关法律、法规制约和保护。</w:t>
      </w:r>
    </w:p>
    <w:p w14:paraId="3A173FDA">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（五）竞争性磋商费用</w:t>
      </w:r>
    </w:p>
    <w:p w14:paraId="5084403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供应商应自行承担所有参加磋商有关的费用。</w:t>
      </w:r>
    </w:p>
    <w:p w14:paraId="4DEA31C8">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（六）竞争性磋商文件的约束力</w:t>
      </w:r>
    </w:p>
    <w:p w14:paraId="1D54C7A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供应商一旦报名参加本项目竞标，即被认为接受了本竞争性磋商文件中的所有条件和规定。</w:t>
      </w:r>
    </w:p>
    <w:p w14:paraId="0C0DB551">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5" w:name="_Toc31468"/>
      <w:r>
        <w:rPr>
          <w:rFonts w:hint="eastAsia" w:asciiTheme="minorEastAsia" w:hAnsiTheme="minorEastAsia" w:eastAsiaTheme="minorEastAsia" w:cstheme="minorEastAsia"/>
          <w:b/>
          <w:sz w:val="24"/>
          <w:szCs w:val="24"/>
        </w:rPr>
        <w:t>二、竞争性磋商文件</w:t>
      </w:r>
      <w:bookmarkEnd w:id="5"/>
    </w:p>
    <w:p w14:paraId="6173C524">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（七）竞争性磋商文件构成</w:t>
      </w:r>
    </w:p>
    <w:p w14:paraId="59FAF9E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7.1 竞争性磋商文件包括内容：</w:t>
      </w:r>
    </w:p>
    <w:p w14:paraId="35EE4A8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7.1.1竞争性磋商公告；</w:t>
      </w:r>
    </w:p>
    <w:p w14:paraId="7979990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7.1.2供应商须知前附表及须知；</w:t>
      </w:r>
    </w:p>
    <w:p w14:paraId="7319FE9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7.1.3采购合同；</w:t>
      </w:r>
    </w:p>
    <w:p w14:paraId="6F892EB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7.1.4采购需求 ；</w:t>
      </w:r>
    </w:p>
    <w:p w14:paraId="43350DE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7.1.5磋商响应文件格式。</w:t>
      </w:r>
    </w:p>
    <w:p w14:paraId="2A91890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供应商获取竞争性磋商文件后，应仔细检查竞争性磋商文件页数和附件数量，如发现有缺漏，请</w:t>
      </w:r>
      <w:r>
        <w:rPr>
          <w:rFonts w:hint="eastAsia" w:asciiTheme="minorEastAsia" w:hAnsiTheme="minorEastAsia" w:eastAsiaTheme="minorEastAsia" w:cstheme="minorEastAsia"/>
          <w:sz w:val="24"/>
          <w:szCs w:val="24"/>
          <w:lang w:eastAsia="zh-CN"/>
        </w:rPr>
        <w:t>及时</w:t>
      </w:r>
      <w:r>
        <w:rPr>
          <w:rFonts w:hint="eastAsia" w:asciiTheme="minorEastAsia" w:hAnsiTheme="minorEastAsia" w:eastAsiaTheme="minorEastAsia" w:cstheme="minorEastAsia"/>
          <w:sz w:val="24"/>
          <w:szCs w:val="24"/>
        </w:rPr>
        <w:t>与采购代理机构联系补全。如果供应商不按上述要求操作而造成不良后果，采购人及采购代理机构不承担责任。</w:t>
      </w:r>
    </w:p>
    <w:p w14:paraId="1C572E28">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（八）竞争性磋商文件的澄清</w:t>
      </w:r>
    </w:p>
    <w:p w14:paraId="2C2FB33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任何要求对竞争性磋商文件澄清的供应商，均应当在提交首次响应文件截止时间5日前按公告中的通讯地址，以书面形式（加盖公章）递交给采购代理机构，采购代理机构对规定时间内收到的澄清要求以书面形式予以答复，答复不包括问题的来源。</w:t>
      </w:r>
    </w:p>
    <w:p w14:paraId="4F3AF637">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（九）竞争性磋商文件的修改</w:t>
      </w:r>
    </w:p>
    <w:p w14:paraId="6029FAE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9.1 </w:t>
      </w:r>
      <w:r>
        <w:rPr>
          <w:rFonts w:hint="eastAsia" w:asciiTheme="minorEastAsia" w:hAnsiTheme="minorEastAsia" w:eastAsiaTheme="minorEastAsia" w:cstheme="minorEastAsia"/>
          <w:bCs/>
          <w:sz w:val="24"/>
          <w:szCs w:val="24"/>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p w14:paraId="4AC504A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竞争性磋商文件的修改将以书面形式通知所有已报名供应商，并对竞标供应商具有约束力。</w:t>
      </w:r>
      <w:r>
        <w:rPr>
          <w:rFonts w:hint="eastAsia" w:asciiTheme="minorEastAsia" w:hAnsiTheme="minorEastAsia" w:eastAsiaTheme="minorEastAsia" w:cstheme="minorEastAsia"/>
          <w:bCs/>
          <w:sz w:val="24"/>
          <w:szCs w:val="24"/>
          <w:u w:val="single"/>
        </w:rPr>
        <w:t>供应商收到修改文件后，应于1日内回复采购人，逾期不回的，视同已收。</w:t>
      </w:r>
    </w:p>
    <w:p w14:paraId="6807212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为使供应商有充分的时间对竞争性磋商文件的修改部分进行分析、研究，采购人有权推迟磋商响应文件接收截止日期和磋商时间，并将此变更书面通知所有购买竞争性磋商文件的供应商。</w:t>
      </w:r>
    </w:p>
    <w:p w14:paraId="1F54E70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采购人发出的所有补充、修改和变更文件均作为竞争性磋商文件的组成部分，与竞争性磋商文件具有同等法律效力。</w:t>
      </w:r>
    </w:p>
    <w:p w14:paraId="008CB1ED">
      <w:pPr>
        <w:snapToGrid w:val="0"/>
        <w:spacing w:line="500" w:lineRule="exact"/>
        <w:ind w:firstLine="480" w:firstLineChars="200"/>
        <w:jc w:val="left"/>
        <w:rPr>
          <w:rFonts w:hint="eastAsia" w:asciiTheme="minorEastAsia" w:hAnsiTheme="minorEastAsia" w:eastAsiaTheme="minorEastAsia" w:cstheme="minorEastAsia"/>
          <w:sz w:val="24"/>
          <w:szCs w:val="24"/>
        </w:rPr>
      </w:pPr>
    </w:p>
    <w:p w14:paraId="5DEDEF80">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6" w:name="_Toc1863"/>
      <w:r>
        <w:rPr>
          <w:rFonts w:hint="eastAsia" w:asciiTheme="minorEastAsia" w:hAnsiTheme="minorEastAsia" w:eastAsiaTheme="minorEastAsia" w:cstheme="minorEastAsia"/>
          <w:b/>
          <w:sz w:val="24"/>
          <w:szCs w:val="24"/>
        </w:rPr>
        <w:t>三、磋商响应文件的编制</w:t>
      </w:r>
      <w:bookmarkEnd w:id="6"/>
    </w:p>
    <w:p w14:paraId="10CAC359">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（十）磋商响应文件的编制要求</w:t>
      </w:r>
    </w:p>
    <w:p w14:paraId="112B812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供应商应仔细阅读“竞争性磋商文件”的所有内容，按“竞争性磋商文件”的要求编制“磋商响应文件”，并保证所提供的全部资料的真实性、完整性及有效性，并对“竞争性磋商文件”做出实质性响应。否则，可能被拒绝。</w:t>
      </w:r>
    </w:p>
    <w:p w14:paraId="5C5FF6F1">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（十一）磋商响应文件构成</w:t>
      </w:r>
    </w:p>
    <w:p w14:paraId="7818F7DD">
      <w:pPr>
        <w:spacing w:line="500" w:lineRule="exact"/>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11.1</w:t>
      </w:r>
      <w:r>
        <w:rPr>
          <w:rFonts w:hint="eastAsia" w:asciiTheme="minorEastAsia" w:hAnsiTheme="minorEastAsia" w:eastAsiaTheme="minorEastAsia" w:cstheme="minorEastAsia"/>
          <w:sz w:val="24"/>
          <w:szCs w:val="24"/>
        </w:rPr>
        <w:t>磋商响应书</w:t>
      </w:r>
    </w:p>
    <w:p w14:paraId="30306F1C">
      <w:pPr>
        <w:spacing w:line="500" w:lineRule="exact"/>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11.2开标一览表</w:t>
      </w:r>
    </w:p>
    <w:p w14:paraId="347676F8">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11.3供应商基本情况表</w:t>
      </w:r>
    </w:p>
    <w:p w14:paraId="7CB29BD3">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11.4法定代表人身份证明书</w:t>
      </w:r>
    </w:p>
    <w:p w14:paraId="2A98C8F8">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11.5法定代表人授权委托书</w:t>
      </w:r>
    </w:p>
    <w:p w14:paraId="4B00A007">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11.6关于《中华人民共和国政府采购法》第二十二条的承诺书</w:t>
      </w:r>
    </w:p>
    <w:p w14:paraId="7F444C6F">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供应商的资格声明</w:t>
      </w:r>
    </w:p>
    <w:p w14:paraId="0F44CE92">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供应商需提供的资料</w:t>
      </w:r>
    </w:p>
    <w:p w14:paraId="495F7BCC">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采购需求响应偏离表</w:t>
      </w:r>
    </w:p>
    <w:p w14:paraId="7BBDE136">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供应商类似项目业绩表</w:t>
      </w:r>
    </w:p>
    <w:p w14:paraId="02CD6E52">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中小微企业声明函</w:t>
      </w:r>
    </w:p>
    <w:p w14:paraId="0C50FDC4">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评审中所需资料</w:t>
      </w:r>
    </w:p>
    <w:p w14:paraId="3588F389">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供应商认为有必要提供的其他资料</w:t>
      </w:r>
    </w:p>
    <w:p w14:paraId="05EEC71B">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（十二）磋商响应文件格式</w:t>
      </w:r>
    </w:p>
    <w:p w14:paraId="060C0B5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供应商需按照上述磋商响应文件构成顺序编制磋商响应文件，并编制目录、页码，并按竞争性磋商文件中提供的格式填写、签署。措施文件未提供格式的，供应商可自行拓展。</w:t>
      </w:r>
    </w:p>
    <w:p w14:paraId="7B643AC8">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（十三）竞标报价</w:t>
      </w:r>
    </w:p>
    <w:p w14:paraId="76151D8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本招标项目使用的货币为</w:t>
      </w:r>
      <w:r>
        <w:rPr>
          <w:rFonts w:hint="eastAsia" w:asciiTheme="minorEastAsia" w:hAnsiTheme="minorEastAsia" w:eastAsiaTheme="minorEastAsia" w:cstheme="minorEastAsia"/>
          <w:sz w:val="24"/>
          <w:szCs w:val="24"/>
          <w:u w:val="single"/>
        </w:rPr>
        <w:t xml:space="preserve"> 人民币 </w:t>
      </w:r>
      <w:r>
        <w:rPr>
          <w:rFonts w:hint="eastAsia" w:asciiTheme="minorEastAsia" w:hAnsiTheme="minorEastAsia" w:eastAsiaTheme="minorEastAsia" w:cstheme="minorEastAsia"/>
          <w:sz w:val="24"/>
          <w:szCs w:val="24"/>
        </w:rPr>
        <w:t xml:space="preserve">，实施时亦以 </w:t>
      </w:r>
      <w:r>
        <w:rPr>
          <w:rFonts w:hint="eastAsia" w:asciiTheme="minorEastAsia" w:hAnsiTheme="minorEastAsia" w:eastAsiaTheme="minorEastAsia" w:cstheme="minorEastAsia"/>
          <w:sz w:val="24"/>
          <w:szCs w:val="24"/>
          <w:u w:val="single"/>
        </w:rPr>
        <w:t xml:space="preserve">人民币 </w:t>
      </w:r>
      <w:r>
        <w:rPr>
          <w:rFonts w:hint="eastAsia" w:asciiTheme="minorEastAsia" w:hAnsiTheme="minorEastAsia" w:eastAsiaTheme="minorEastAsia" w:cstheme="minorEastAsia"/>
          <w:sz w:val="24"/>
          <w:szCs w:val="24"/>
        </w:rPr>
        <w:t>支付。</w:t>
      </w:r>
    </w:p>
    <w:p w14:paraId="07ED64F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竞标报价为供应商的报价应为所确定的招标范围内的全部工作内容的价格体现。任何有选择的报价将不予接受（除非采购人另有约定），否则，在评标时将其视为无效投标。</w:t>
      </w:r>
    </w:p>
    <w:p w14:paraId="7D65E6F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开标一览表（报价表）标明的价格在签订合同及合同执行过程中是固定不变的，不得以任何理由予以变更（除非采购人另有约定）。</w:t>
      </w:r>
    </w:p>
    <w:p w14:paraId="679632B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开标时，磋商响应文件中开标一览表（报价表）内容与磋商响应文件中分项报价表内容不一致的，以开标一览表（报价表）为准。磋商响应文件的大小写金额不一致的，以大写金额为准；总价金额与按单价金额汇总金额不一致的，以单价金额计算结果为准；单价金额小数点有明显错位的，以总价为准，并修改单价；对不同文字文本磋商响应文件的解释发生异议的，以中文文本为准。若供应商拒不接受前述修正，将有可能导致投标无效。</w:t>
      </w:r>
    </w:p>
    <w:p w14:paraId="15B2C923">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（十四）磋商保证金</w:t>
      </w:r>
    </w:p>
    <w:p w14:paraId="4B6B82F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磋商保证金是为了保护采购人和招标机构免遭因供应商的违规、违约行为而引起的风险，采购人/招标机构在受到损害时可根据本须知的有关规定没收供应商的磋商保证金。成交供应商如未能按磋商文件要求与采购人签署项目合同并提交履约担保的，视为成交供应商违约，则采购人有权提取成交供应商磋商保证金。</w:t>
      </w:r>
    </w:p>
    <w:p w14:paraId="09661ED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供应商应提交磋商保证金，并作为其竞标的一部分。磋商文件前附表规定交纳磋商保证金的，供应商应按磋商文件前附表规定的要求提交保证金，磋商保证金有效期应与磋商文件规定的磋商有效期一致。供应商未按照磋商文件要求提交磋商保证金的，政府采购代理机构应当拒绝接收供应商的磋商响应文件或磋商小组在评标时将其视为无效竞标。</w:t>
      </w:r>
    </w:p>
    <w:p w14:paraId="679600F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磋商保证金不接受银行保函。凡未提交磋商保证金的投标，将被视为非实质性响应性投标而被拒绝。</w:t>
      </w:r>
    </w:p>
    <w:p w14:paraId="59B4DEE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联合体投标的，可以由联合体中的一方或者共同提交磋商保证金。以一方名义提交磋商保证金的，对联合体各方均具有约束力。</w:t>
      </w:r>
    </w:p>
    <w:p w14:paraId="19621D3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未成交供应商的磋商保证金，将在成交通知书发出5个工作日内退还。因违反规定被没收的磋商保证金不予退回。</w:t>
      </w:r>
    </w:p>
    <w:p w14:paraId="76119B8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成交供应商的磋商保证金，须按磋商要求与采购人签订合同并缴纳履约担保，提供与采购签署的合同复印件（须加盖成交供应商公章）</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按磋商要求向采购人提交履约担保证明资料（加盖成交供应商公章），向招标机构付清政府采购代理服务费后5个工作日内予以退还。</w:t>
      </w:r>
    </w:p>
    <w:p w14:paraId="3890928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 下列任何情况发生时，磋商保证金将可能被没收：</w:t>
      </w:r>
    </w:p>
    <w:p w14:paraId="76843ED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14.7.1 供应商在规定的磋商有效期内撤回其投标；</w:t>
      </w:r>
    </w:p>
    <w:p w14:paraId="09EF348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14.7.2 成交供应商无正当理由拒绝按规定与采购人签订合同或未能在规定期限内签署合同的或未按采购文件要求提交履约保证金的；</w:t>
      </w:r>
    </w:p>
    <w:p w14:paraId="0BB958B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 供应商办理磋商保证金退款申请手续须提供以下资料：</w:t>
      </w:r>
    </w:p>
    <w:p w14:paraId="6AA82A1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14.8.1 供应商给代理机构开具的收款收据（收款单位开具并加盖收款单位财务章）；同时须提供清晰的开户银行名称、银行账号及收款单位名称。</w:t>
      </w:r>
    </w:p>
    <w:p w14:paraId="5CEE3F5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14.8.2 退还成交供应商方磋商保证金时，成交供应商方还须提供与采购人签订的合同原件一份（原件核查无误后退还）和已加盖成交方公章的合同全本复印件一份（代理机构存档备查）。</w:t>
      </w:r>
    </w:p>
    <w:p w14:paraId="6F769A87">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（十五）磋商有效期</w:t>
      </w:r>
    </w:p>
    <w:p w14:paraId="28BF9C0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磋商有效期为竞争性磋商文件规定的供应商提交磋商响应文件截止之日起</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rPr>
        <w:t>天。磋商有效期不满足竞争性磋商文件要求的将视为非响应性文件而予以拒绝。</w:t>
      </w:r>
    </w:p>
    <w:p w14:paraId="0E22F98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在特殊情况下，采购人于原磋商有效期满之前，可向供应商提出延长磋商有效期的要求，这种要求与答复均应采用书面形式（如信件、传真或电报等），供应商可以拒绝采购人的这一要求而放弃参与磋商，磋商保证金予以退回；同意延长的供应商既不能要求也不允许修改其磋商响应文件。第十四条有关磋商保证金的没收和退还的规定在延长期内继续有效。</w:t>
      </w:r>
    </w:p>
    <w:p w14:paraId="03F83EEC">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（十六）磋商响应文件份数</w:t>
      </w:r>
    </w:p>
    <w:p w14:paraId="43092C6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响应文件的组成</w:t>
      </w:r>
    </w:p>
    <w:p w14:paraId="0BA11BF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投标现场无需递交投标文件。</w:t>
      </w:r>
    </w:p>
    <w:p w14:paraId="7E3D92BA">
      <w:pPr>
        <w:snapToGrid w:val="0"/>
        <w:spacing w:line="500" w:lineRule="exact"/>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b/>
          <w:sz w:val="24"/>
          <w:szCs w:val="24"/>
        </w:rPr>
        <w:t>说明：上传证件、证书等资料须是原件的扫描件，供应商应如实提供资料，并保证真实可靠，不得弄虚作假。如供应商隐瞒事实真相、弄虚作假，一经查实，取消该供应商的磋商资格，若成交的，取消其成交资格。</w:t>
      </w:r>
    </w:p>
    <w:p w14:paraId="5B6DB902">
      <w:pPr>
        <w:snapToGrid w:val="0"/>
        <w:spacing w:line="500" w:lineRule="exact"/>
        <w:ind w:firstLine="480" w:firstLineChars="200"/>
        <w:jc w:val="left"/>
        <w:rPr>
          <w:rFonts w:hint="eastAsia" w:asciiTheme="minorEastAsia" w:hAnsiTheme="minorEastAsia" w:eastAsiaTheme="minorEastAsia" w:cstheme="minorEastAsia"/>
          <w:sz w:val="24"/>
          <w:szCs w:val="24"/>
        </w:rPr>
      </w:pPr>
    </w:p>
    <w:p w14:paraId="4063E60F">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（十七）磋商响应文件格式</w:t>
      </w:r>
    </w:p>
    <w:p w14:paraId="0BC16874">
      <w:pPr>
        <w:snapToGrid w:val="0"/>
        <w:spacing w:line="5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17.1 供应商应按磋商文件提供的格式编写。</w:t>
      </w:r>
    </w:p>
    <w:p w14:paraId="2D4FD554">
      <w:pPr>
        <w:snapToGrid w:val="0"/>
        <w:spacing w:line="500" w:lineRule="exact"/>
        <w:ind w:firstLine="482" w:firstLineChars="200"/>
        <w:rPr>
          <w:rFonts w:hint="eastAsia" w:asciiTheme="minorEastAsia" w:hAnsiTheme="minorEastAsia" w:eastAsiaTheme="minorEastAsia" w:cstheme="minorEastAsia"/>
          <w:b/>
          <w:sz w:val="24"/>
          <w:szCs w:val="24"/>
        </w:rPr>
      </w:pPr>
    </w:p>
    <w:p w14:paraId="5E64DE96">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7" w:name="_Toc10581"/>
      <w:r>
        <w:rPr>
          <w:rFonts w:hint="eastAsia" w:asciiTheme="minorEastAsia" w:hAnsiTheme="minorEastAsia" w:eastAsiaTheme="minorEastAsia" w:cstheme="minorEastAsia"/>
          <w:b/>
          <w:sz w:val="24"/>
          <w:szCs w:val="24"/>
        </w:rPr>
        <w:t>四、磋商响应文件的递交</w:t>
      </w:r>
      <w:bookmarkEnd w:id="7"/>
    </w:p>
    <w:p w14:paraId="222836F8">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（十八）磋商响应文件递交截止日期及方式</w:t>
      </w:r>
    </w:p>
    <w:p w14:paraId="561E09B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所有磋商响应文件都必须在竞争性磋商文件规定的递交截止时间前上传政采云平台。</w:t>
      </w:r>
    </w:p>
    <w:p w14:paraId="79F0D526">
      <w:pPr>
        <w:snapToGrid w:val="0"/>
        <w:spacing w:line="5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18.2 采购代理机构将在竞争性磋商文件规定的时间和地点组织磋商会议</w:t>
      </w:r>
      <w:r>
        <w:rPr>
          <w:rFonts w:hint="eastAsia" w:asciiTheme="minorEastAsia" w:hAnsiTheme="minorEastAsia" w:eastAsiaTheme="minorEastAsia" w:cstheme="minorEastAsia"/>
          <w:b/>
          <w:sz w:val="24"/>
          <w:szCs w:val="24"/>
        </w:rPr>
        <w:t>。</w:t>
      </w:r>
    </w:p>
    <w:p w14:paraId="35266D2C">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（十九）迟交的磋商响应文件</w:t>
      </w:r>
    </w:p>
    <w:p w14:paraId="2DD818F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采购人将拒绝接收在规定的截止日期后递交的任何磋商响应文件。</w:t>
      </w:r>
      <w:bookmarkStart w:id="8" w:name="_Toc213839733"/>
    </w:p>
    <w:p w14:paraId="333AFD2A">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（二十）磋商响应文件的修改</w:t>
      </w:r>
      <w:bookmarkEnd w:id="8"/>
    </w:p>
    <w:p w14:paraId="46D5536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 供应商在递交磋商响应文件截止时间之前，对所递交的磋商响应文件可以以书面形式补充、修改或撤回已提交的磋商响应文件，补充、修改的内容为磋商响应文件的组成部分，对供应商具有约束力。</w:t>
      </w:r>
      <w:bookmarkStart w:id="9" w:name="_Toc213839734"/>
    </w:p>
    <w:p w14:paraId="32458A0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20.2供应商对磋商响应文件的补充、修改或撤回，应按本磋商文件的规定编制、标识和提交。</w:t>
      </w:r>
    </w:p>
    <w:p w14:paraId="43CD552A">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10" w:name="_Toc14072"/>
      <w:r>
        <w:rPr>
          <w:rFonts w:hint="eastAsia" w:asciiTheme="minorEastAsia" w:hAnsiTheme="minorEastAsia" w:eastAsiaTheme="minorEastAsia" w:cstheme="minorEastAsia"/>
          <w:b/>
          <w:sz w:val="24"/>
          <w:szCs w:val="24"/>
        </w:rPr>
        <w:t>五、无效标、废标条款</w:t>
      </w:r>
      <w:bookmarkEnd w:id="10"/>
    </w:p>
    <w:p w14:paraId="5ED1D428">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（二十一）无效竞标条款</w:t>
      </w:r>
    </w:p>
    <w:p w14:paraId="630F7E08">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1" w:name="_Toc520282245"/>
      <w:r>
        <w:rPr>
          <w:rFonts w:hint="eastAsia" w:asciiTheme="minorEastAsia" w:hAnsiTheme="minorEastAsia" w:eastAsiaTheme="minorEastAsia" w:cstheme="minorEastAsia"/>
          <w:sz w:val="24"/>
          <w:szCs w:val="24"/>
        </w:rPr>
        <w:t>21.1</w:t>
      </w:r>
      <w:r>
        <w:rPr>
          <w:rFonts w:hint="eastAsia" w:asciiTheme="minorEastAsia" w:hAnsiTheme="minorEastAsia" w:eastAsiaTheme="minorEastAsia" w:cstheme="minorEastAsia"/>
          <w:sz w:val="24"/>
          <w:szCs w:val="24"/>
          <w:lang w:val="zh-CN"/>
        </w:rPr>
        <w:t>未按竞争性磋商文件规定的形式和金额交纳磋商保证金的；</w:t>
      </w:r>
      <w:bookmarkEnd w:id="11"/>
    </w:p>
    <w:p w14:paraId="1BB91115">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2" w:name="_Toc520282246"/>
      <w:r>
        <w:rPr>
          <w:rFonts w:hint="eastAsia" w:asciiTheme="minorEastAsia" w:hAnsiTheme="minorEastAsia" w:eastAsiaTheme="minorEastAsia" w:cstheme="minorEastAsia"/>
          <w:sz w:val="24"/>
          <w:szCs w:val="24"/>
        </w:rPr>
        <w:t>21.2</w:t>
      </w:r>
      <w:r>
        <w:rPr>
          <w:rFonts w:hint="eastAsia" w:asciiTheme="minorEastAsia" w:hAnsiTheme="minorEastAsia" w:eastAsiaTheme="minorEastAsia" w:cstheme="minorEastAsia"/>
          <w:sz w:val="24"/>
          <w:szCs w:val="24"/>
          <w:lang w:val="zh-CN"/>
        </w:rPr>
        <w:t>未按照竞争性磋商文件规定要求签署、盖章的；</w:t>
      </w:r>
      <w:bookmarkEnd w:id="12"/>
    </w:p>
    <w:p w14:paraId="255AE7D3">
      <w:pPr>
        <w:snapToGrid w:val="0"/>
        <w:spacing w:line="500" w:lineRule="exact"/>
        <w:ind w:firstLine="480" w:firstLineChars="200"/>
        <w:jc w:val="left"/>
        <w:rPr>
          <w:rFonts w:hint="eastAsia" w:asciiTheme="minorEastAsia" w:hAnsiTheme="minorEastAsia" w:eastAsiaTheme="minorEastAsia" w:cstheme="minorEastAsia"/>
          <w:sz w:val="24"/>
          <w:szCs w:val="24"/>
        </w:rPr>
      </w:pPr>
      <w:bookmarkStart w:id="13" w:name="_Toc520282247"/>
      <w:r>
        <w:rPr>
          <w:rFonts w:hint="eastAsia" w:asciiTheme="minorEastAsia" w:hAnsiTheme="minorEastAsia" w:eastAsiaTheme="minorEastAsia" w:cstheme="minorEastAsia"/>
          <w:sz w:val="24"/>
          <w:szCs w:val="24"/>
        </w:rPr>
        <w:t>21.3</w:t>
      </w:r>
      <w:r>
        <w:rPr>
          <w:rFonts w:hint="eastAsia" w:asciiTheme="minorEastAsia" w:hAnsiTheme="minorEastAsia" w:eastAsiaTheme="minorEastAsia" w:cstheme="minorEastAsia"/>
          <w:sz w:val="24"/>
          <w:szCs w:val="24"/>
          <w:lang w:val="zh-CN"/>
        </w:rPr>
        <w:t>未满足</w:t>
      </w:r>
      <w:r>
        <w:rPr>
          <w:rFonts w:hint="eastAsia" w:asciiTheme="minorEastAsia" w:hAnsiTheme="minorEastAsia" w:eastAsiaTheme="minorEastAsia" w:cstheme="minorEastAsia"/>
          <w:sz w:val="24"/>
          <w:szCs w:val="24"/>
        </w:rPr>
        <w:t>竞争性磋商文件规定资格要求的；</w:t>
      </w:r>
    </w:p>
    <w:p w14:paraId="604B088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21.4未满足“投标须知”规定的实质性要求的；</w:t>
      </w:r>
    </w:p>
    <w:p w14:paraId="457F95D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21.5同一供应商提交两个以上不同的磋商响应文件或者竞标报价的（竞争性磋商文件要求允许提交备选方案的除外）；</w:t>
      </w:r>
    </w:p>
    <w:p w14:paraId="39C31B6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21.6磋商响应文件载明的磋商响应内容小于竞争性磋商文件规定的采购内容的(缺漏竞争性磋商文件所要求的内容)；</w:t>
      </w:r>
    </w:p>
    <w:p w14:paraId="6183620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21.7磋商有效期</w:t>
      </w:r>
      <w:r>
        <w:rPr>
          <w:rFonts w:hint="eastAsia" w:asciiTheme="minorEastAsia" w:hAnsiTheme="minorEastAsia" w:eastAsiaTheme="minorEastAsia" w:cstheme="minorEastAsia"/>
          <w:sz w:val="24"/>
          <w:szCs w:val="24"/>
          <w:lang w:val="zh-CN"/>
        </w:rPr>
        <w:t>不满足要求</w:t>
      </w:r>
      <w:r>
        <w:rPr>
          <w:rFonts w:hint="eastAsia" w:asciiTheme="minorEastAsia" w:hAnsiTheme="minorEastAsia" w:eastAsiaTheme="minorEastAsia" w:cstheme="minorEastAsia"/>
          <w:sz w:val="24"/>
          <w:szCs w:val="24"/>
        </w:rPr>
        <w:t>的；</w:t>
      </w:r>
    </w:p>
    <w:p w14:paraId="1F0B153B">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21.8</w:t>
      </w:r>
      <w:r>
        <w:rPr>
          <w:rFonts w:hint="eastAsia" w:asciiTheme="minorEastAsia" w:hAnsiTheme="minorEastAsia" w:eastAsiaTheme="minorEastAsia" w:cstheme="minorEastAsia"/>
          <w:sz w:val="24"/>
          <w:szCs w:val="24"/>
          <w:lang w:val="zh-CN"/>
        </w:rPr>
        <w:t>未满足竞争性磋商文件中商务及技术条款的实质性要求；</w:t>
      </w:r>
      <w:bookmarkEnd w:id="13"/>
    </w:p>
    <w:p w14:paraId="4AC5DD0A">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4" w:name="_Toc520282248"/>
      <w:r>
        <w:rPr>
          <w:rFonts w:hint="eastAsia" w:asciiTheme="minorEastAsia" w:hAnsiTheme="minorEastAsia" w:eastAsiaTheme="minorEastAsia" w:cstheme="minorEastAsia"/>
          <w:sz w:val="24"/>
          <w:szCs w:val="24"/>
        </w:rPr>
        <w:t>21.9</w:t>
      </w:r>
      <w:r>
        <w:rPr>
          <w:rFonts w:hint="eastAsia" w:asciiTheme="minorEastAsia" w:hAnsiTheme="minorEastAsia" w:eastAsiaTheme="minorEastAsia" w:cstheme="minorEastAsia"/>
          <w:sz w:val="24"/>
          <w:szCs w:val="24"/>
          <w:lang w:val="zh-CN"/>
        </w:rPr>
        <w:t>与其他供应商串通投标，或者与采购人串通投标妨碍其他供应商竞争行为，损害采购人或者其他供应商合法权益的；</w:t>
      </w:r>
      <w:bookmarkEnd w:id="14"/>
    </w:p>
    <w:p w14:paraId="43F9B57F">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5" w:name="_Toc520282249"/>
      <w:r>
        <w:rPr>
          <w:rFonts w:hint="eastAsia" w:asciiTheme="minorEastAsia" w:hAnsiTheme="minorEastAsia" w:eastAsiaTheme="minorEastAsia" w:cstheme="minorEastAsia"/>
          <w:sz w:val="24"/>
          <w:szCs w:val="24"/>
        </w:rPr>
        <w:t>21.10</w:t>
      </w:r>
      <w:r>
        <w:rPr>
          <w:rFonts w:hint="eastAsia" w:asciiTheme="minorEastAsia" w:hAnsiTheme="minorEastAsia" w:eastAsiaTheme="minorEastAsia" w:cstheme="minorEastAsia"/>
          <w:sz w:val="24"/>
          <w:szCs w:val="24"/>
          <w:lang w:val="zh-CN"/>
        </w:rPr>
        <w:t>属于竞争性磋商文件规定的其他无效投标情形；</w:t>
      </w:r>
      <w:bookmarkEnd w:id="15"/>
    </w:p>
    <w:p w14:paraId="15181152">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6" w:name="_Toc520282250"/>
      <w:r>
        <w:rPr>
          <w:rFonts w:hint="eastAsia" w:asciiTheme="minorEastAsia" w:hAnsiTheme="minorEastAsia" w:eastAsiaTheme="minorEastAsia" w:cstheme="minorEastAsia"/>
          <w:sz w:val="24"/>
          <w:szCs w:val="24"/>
        </w:rPr>
        <w:t>21.11</w:t>
      </w:r>
      <w:r>
        <w:rPr>
          <w:rFonts w:hint="eastAsia" w:asciiTheme="minorEastAsia" w:hAnsiTheme="minorEastAsia" w:eastAsiaTheme="minorEastAsia" w:cstheme="minorEastAsia"/>
          <w:sz w:val="24"/>
          <w:szCs w:val="24"/>
          <w:lang w:val="zh-CN"/>
        </w:rPr>
        <w:t>评标委员会认为供应商的价格明显低于其他通过符合性检查供应商的价格，有可能影响履约的，且供应商未按照规定证明其报价合理性的；</w:t>
      </w:r>
      <w:bookmarkEnd w:id="16"/>
    </w:p>
    <w:p w14:paraId="59193C20">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7" w:name="_Toc520282251"/>
      <w:r>
        <w:rPr>
          <w:rFonts w:hint="eastAsia" w:asciiTheme="minorEastAsia" w:hAnsiTheme="minorEastAsia" w:eastAsiaTheme="minorEastAsia" w:cstheme="minorEastAsia"/>
          <w:sz w:val="24"/>
          <w:szCs w:val="24"/>
        </w:rPr>
        <w:t>21.12</w:t>
      </w:r>
      <w:r>
        <w:rPr>
          <w:rFonts w:hint="eastAsia" w:asciiTheme="minorEastAsia" w:hAnsiTheme="minorEastAsia" w:eastAsiaTheme="minorEastAsia" w:cstheme="minorEastAsia"/>
          <w:sz w:val="24"/>
          <w:szCs w:val="24"/>
          <w:lang w:val="zh-CN"/>
        </w:rPr>
        <w:t>磋商响应文件含有采购人不能接受的附加条件的；</w:t>
      </w:r>
      <w:bookmarkEnd w:id="17"/>
    </w:p>
    <w:p w14:paraId="666A2584">
      <w:pPr>
        <w:snapToGrid w:val="0"/>
        <w:spacing w:line="500" w:lineRule="exact"/>
        <w:ind w:firstLine="480" w:firstLineChars="200"/>
        <w:jc w:val="left"/>
        <w:rPr>
          <w:rFonts w:hint="eastAsia" w:asciiTheme="minorEastAsia" w:hAnsiTheme="minorEastAsia" w:eastAsiaTheme="minorEastAsia" w:cstheme="minorEastAsia"/>
          <w:sz w:val="24"/>
          <w:szCs w:val="24"/>
        </w:rPr>
      </w:pPr>
      <w:bookmarkStart w:id="18" w:name="_Toc520282252"/>
      <w:r>
        <w:rPr>
          <w:rFonts w:hint="eastAsia" w:asciiTheme="minorEastAsia" w:hAnsiTheme="minorEastAsia" w:eastAsiaTheme="minorEastAsia" w:cstheme="minorEastAsia"/>
          <w:sz w:val="24"/>
          <w:szCs w:val="24"/>
        </w:rPr>
        <w:t>21.13</w:t>
      </w:r>
      <w:r>
        <w:rPr>
          <w:rFonts w:hint="eastAsia" w:asciiTheme="minorEastAsia" w:hAnsiTheme="minorEastAsia" w:eastAsiaTheme="minorEastAsia" w:cstheme="minorEastAsia"/>
          <w:sz w:val="24"/>
          <w:szCs w:val="24"/>
          <w:lang w:val="zh-CN"/>
        </w:rPr>
        <w:t>不符合法规和竞争性磋商文件中规定的其他实质性要求的。</w:t>
      </w:r>
      <w:bookmarkEnd w:id="18"/>
    </w:p>
    <w:p w14:paraId="69481FC9">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（二十二）废标条款</w:t>
      </w:r>
    </w:p>
    <w:p w14:paraId="0394C042">
      <w:pPr>
        <w:snapToGrid w:val="0"/>
        <w:spacing w:line="5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22.1 开标后，符合专业条件的供应商或者对竞争性磋商文件作实质响应的供应商不足三家的；</w:t>
      </w:r>
    </w:p>
    <w:p w14:paraId="3FE824E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 出现影响采购公正的违法、违规行为的；</w:t>
      </w:r>
    </w:p>
    <w:p w14:paraId="168396D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 供应商的报价均超过了采购预算，采购人不能支付的；</w:t>
      </w:r>
    </w:p>
    <w:p w14:paraId="3E590BF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 因重大变故，采购任务取消的。</w:t>
      </w:r>
    </w:p>
    <w:p w14:paraId="56EC6590">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（二十三）参与供应商不得少于三家</w:t>
      </w:r>
    </w:p>
    <w:p w14:paraId="7F4BB32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根据《政府采购竞争性磋商采购方式管理暂行办法》的规定，参与项目的供应商不得少于三家。</w:t>
      </w:r>
    </w:p>
    <w:p w14:paraId="4B1FFE46">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（二十四）取消成交候选人资格条款</w:t>
      </w:r>
    </w:p>
    <w:p w14:paraId="1CEEF22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提供虚假材料谋取成交的；</w:t>
      </w:r>
    </w:p>
    <w:p w14:paraId="5D043AF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采取不正当手段诋毁、排挤其他供应商的；</w:t>
      </w:r>
    </w:p>
    <w:p w14:paraId="0E0BCDF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24.3 与采购人、其他供应商或者采购代理机构恶意串通的；</w:t>
      </w:r>
    </w:p>
    <w:p w14:paraId="766C733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 向采购人、采购代理机构行贿或者提供其他不正当利益的；</w:t>
      </w:r>
    </w:p>
    <w:p w14:paraId="6F17D19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24.5 在规定的时间内未按磋商要求与采购人签订采购合同或未按采购文件要求提交履约担保的；</w:t>
      </w:r>
    </w:p>
    <w:p w14:paraId="16A7D0A6">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24.6 法律、法规规定的其他情况。</w:t>
      </w:r>
    </w:p>
    <w:p w14:paraId="425C5732">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19" w:name="_Toc5909"/>
      <w:r>
        <w:rPr>
          <w:rFonts w:hint="eastAsia" w:asciiTheme="minorEastAsia" w:hAnsiTheme="minorEastAsia" w:eastAsiaTheme="minorEastAsia" w:cstheme="minorEastAsia"/>
          <w:b/>
          <w:sz w:val="24"/>
          <w:szCs w:val="24"/>
        </w:rPr>
        <w:t>六、磋商程序及最终报价</w:t>
      </w:r>
      <w:bookmarkEnd w:id="9"/>
      <w:bookmarkEnd w:id="19"/>
    </w:p>
    <w:p w14:paraId="3D7D2359">
      <w:pPr>
        <w:snapToGrid w:val="0"/>
        <w:spacing w:line="500" w:lineRule="exact"/>
        <w:ind w:firstLine="472" w:firstLineChars="19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（二十五）磋商原则</w:t>
      </w:r>
    </w:p>
    <w:p w14:paraId="66606D10">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评、定标依据《中华人民共和国政府采购法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政府采购竞争性磋商采购方式管理暂行办法》等相关规定，遵循公开、公平、公正、竞争的原则。</w:t>
      </w:r>
    </w:p>
    <w:p w14:paraId="63CEE27C">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 严格执行《中华人民共和国政府采购法》及自治区有关法规、政策、维护采购人、供应商的合法权益，选择对采购人最为有利的供应商或候选供应商。</w:t>
      </w:r>
    </w:p>
    <w:p w14:paraId="38CC7A95">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 磋商小组所有成员应当集中与单一供应商分别进行磋商，并给予所有参加磋商的供应商平等的磋商机会。不应谈及与供应商所提供的服务质量、技术、价格等无关的话题。</w:t>
      </w:r>
    </w:p>
    <w:p w14:paraId="31BE46CE">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供应商。</w:t>
      </w:r>
    </w:p>
    <w:p w14:paraId="3CF68C0A">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25.4 坚持价格合理、综合评优的原则，不以最低报价作为中标唯一标准。</w:t>
      </w:r>
    </w:p>
    <w:p w14:paraId="079F165F">
      <w:pPr>
        <w:adjustRightInd w:val="0"/>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（二十六）</w:t>
      </w:r>
      <w:r>
        <w:rPr>
          <w:rFonts w:hint="eastAsia" w:asciiTheme="minorEastAsia" w:hAnsiTheme="minorEastAsia" w:eastAsiaTheme="minorEastAsia" w:cstheme="minorEastAsia"/>
          <w:b/>
          <w:sz w:val="24"/>
          <w:szCs w:val="24"/>
        </w:rPr>
        <w:t>磋商小组</w:t>
      </w:r>
    </w:p>
    <w:p w14:paraId="7D4D467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 采购人根据本项目的特点，于开标前48小时内，从新疆政府采购网政采云评审专家库中随机抽取组建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E7D0C0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 磋商小组在监督部门的监督下独立完成磋商工作，负责对磋商响应文件进行审查、质询、评审、推选成交候选供应商。</w:t>
      </w:r>
    </w:p>
    <w:p w14:paraId="0E77517A">
      <w:pPr>
        <w:tabs>
          <w:tab w:val="left" w:pos="5744"/>
        </w:tabs>
        <w:snapToGrid w:val="0"/>
        <w:spacing w:line="5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（二十七）磋商程序</w:t>
      </w:r>
      <w:r>
        <w:rPr>
          <w:rFonts w:hint="eastAsia" w:asciiTheme="minorEastAsia" w:hAnsiTheme="minorEastAsia" w:eastAsiaTheme="minorEastAsia" w:cstheme="minorEastAsia"/>
          <w:b/>
          <w:bCs/>
          <w:sz w:val="24"/>
          <w:szCs w:val="24"/>
        </w:rPr>
        <w:tab/>
      </w:r>
    </w:p>
    <w:p w14:paraId="17FC5738">
      <w:pPr>
        <w:widowControl/>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 代理机构按竞争性磋商文件规定的时间、地点组织开标、磋商。采购单位代表及有关工作人员参加，政府采购监管部门视情况参与。</w:t>
      </w:r>
    </w:p>
    <w:p w14:paraId="0D5BEFA3">
      <w:pPr>
        <w:widowControl/>
        <w:snapToGrid w:val="0"/>
        <w:spacing w:line="500" w:lineRule="exact"/>
        <w:ind w:firstLine="480" w:firstLineChars="200"/>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sz w:val="24"/>
          <w:szCs w:val="24"/>
        </w:rPr>
        <w:t>27.2 招标会将于供应商须知前附表规定的时间和地点召开，邀请供应商参加。磋商小组成员不得参加开标活动</w:t>
      </w:r>
      <w:r>
        <w:rPr>
          <w:rFonts w:hint="eastAsia" w:asciiTheme="minorEastAsia" w:hAnsiTheme="minorEastAsia" w:eastAsiaTheme="minorEastAsia" w:cstheme="minorEastAsia"/>
          <w:b w:val="0"/>
          <w:bCs w:val="0"/>
          <w:sz w:val="24"/>
          <w:szCs w:val="24"/>
        </w:rPr>
        <w:t>。在开标截止时间前不得解密磋商响应文件。</w:t>
      </w:r>
    </w:p>
    <w:p w14:paraId="420CFCA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 开标会议由代理机构主持。合格供应商不足3家的，不得评标。对检查未通过的，采购人将拒绝并原封退回其磋商响应文件。</w:t>
      </w:r>
    </w:p>
    <w:p w14:paraId="4DF8A76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27.4. 在本项目竞争性磋商文件规定的查询时间之外，网站信息发生的任何变更均不作为资格审查依据。</w:t>
      </w:r>
    </w:p>
    <w:p w14:paraId="5886DF0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27.5 供应商代表对开标过程和开标记录有疑义，以及认为采购人、采购代理机构相关工作人员有需要回避的情形的，应当场提出询问或者回避申请。供应商未参加开标的，视同认可开标结果。</w:t>
      </w:r>
    </w:p>
    <w:p w14:paraId="4993944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27.6 磋商会议由磋商小组组长主持。磋商小组首先对各磋商响应文件进行初步审查，初步审查包括资格性审查和符合性审查，未通过审查的为无效标。</w:t>
      </w:r>
    </w:p>
    <w:p w14:paraId="582CBBD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⑴资格性检查：磋商小组将根据法律法规和竞争性磋商文件的规定，对磋商响应文件的资格证明文件、磋商保证金等进行审查，以确定供应商是否具备竞争性磋商资格。</w:t>
      </w:r>
    </w:p>
    <w:p w14:paraId="62FB6DF1">
      <w:pPr>
        <w:widowControl/>
        <w:tabs>
          <w:tab w:val="left" w:pos="54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符合性检查：依据竞争性磋商文件的规定，从磋商响应文件的有效性、完整性和对竞争性磋商文件的响应程度进行审查，以确定是否对竞争性磋商文件的要求做出了实质性的响应，存在重大偏离的磋商响应文件为无效标。所谓重大偏离是指供应商磋商响应文件中所述服务质量、技术、规格、数量、服务期等和服务明显不能满足竞争性磋商文件要求。</w:t>
      </w:r>
      <w:r>
        <w:rPr>
          <w:rFonts w:hint="eastAsia" w:asciiTheme="minorEastAsia" w:hAnsiTheme="minorEastAsia" w:eastAsiaTheme="minorEastAsia" w:cstheme="minorEastAsia"/>
          <w:sz w:val="24"/>
          <w:szCs w:val="24"/>
          <w:u w:val="single"/>
        </w:rPr>
        <w:t>磋商小组成员对需要共同认定的事项存在争议的，应当按照少数服从多数的原则作出结论。持不同意见的磋商小组成员应当在评标报告上签署不同意见及理由，否则视为同意评标报告。</w:t>
      </w:r>
    </w:p>
    <w:p w14:paraId="40487ED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27.7 磋商小组判断“磋商响应文件”的响应性，仅基于“磋商响应文件”本身而不靠外部证据。对非实质性响应的磋商响应文件，供应商不能通过修正或撤销不符之处，而使其成为实质性响应。</w:t>
      </w:r>
    </w:p>
    <w:p w14:paraId="3BF46456">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27.8 磋商小组根据竞争性磋商文件要求，讨论、通过磋商工作流程和磋商要点。</w:t>
      </w:r>
    </w:p>
    <w:p w14:paraId="2F29AC01">
      <w:pPr>
        <w:pStyle w:val="18"/>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27.9 采购人按照供应商签到时间顺序通知有效供应商磋商。</w:t>
      </w:r>
    </w:p>
    <w:p w14:paraId="2DF540E5">
      <w:pPr>
        <w:pStyle w:val="18"/>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参与二次及多次报价及服务承诺的人员须是供应商法定代表人或其授权代表人。供应商未及时参与磋商或多次报价的，视为自动放弃参与磋商的资格。</w:t>
      </w:r>
    </w:p>
    <w:p w14:paraId="57E4ED6F">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27.10</w:t>
      </w:r>
      <w:r>
        <w:rPr>
          <w:rFonts w:hint="eastAsia" w:asciiTheme="minorEastAsia" w:hAnsiTheme="minorEastAsia" w:eastAsiaTheme="minorEastAsia" w:cstheme="minorEastAsia"/>
          <w:b/>
          <w:bCs/>
          <w:sz w:val="24"/>
          <w:szCs w:val="24"/>
        </w:rPr>
        <w:t>第一轮磋商：</w:t>
      </w:r>
      <w:r>
        <w:rPr>
          <w:rFonts w:hint="eastAsia" w:asciiTheme="minorEastAsia" w:hAnsiTheme="minorEastAsia" w:eastAsiaTheme="minorEastAsia" w:cstheme="minorEastAsia"/>
          <w:sz w:val="24"/>
          <w:szCs w:val="24"/>
        </w:rPr>
        <w:t>磋商小组所有成员集中按已确定的磋商顺序，与单一供应商分别就符合采购需求、质量、服务等进行磋商，并了解其报价组成情况。</w:t>
      </w:r>
    </w:p>
    <w:p w14:paraId="31332793">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27.11</w:t>
      </w:r>
      <w:r>
        <w:rPr>
          <w:rFonts w:hint="eastAsia" w:asciiTheme="minorEastAsia" w:hAnsiTheme="minorEastAsia" w:eastAsiaTheme="minorEastAsia" w:cstheme="minorEastAsia"/>
          <w:b/>
          <w:bCs/>
          <w:sz w:val="24"/>
          <w:szCs w:val="24"/>
        </w:rPr>
        <w:t>磋商文件修正：</w:t>
      </w:r>
      <w:r>
        <w:rPr>
          <w:rFonts w:hint="eastAsia" w:asciiTheme="minorEastAsia" w:hAnsiTheme="minorEastAsia" w:eastAsiaTheme="minorEastAsia" w:cstheme="minorEastAsia"/>
          <w:sz w:val="24"/>
          <w:szCs w:val="24"/>
        </w:rPr>
        <w:t>根据磋商掌握的情况，磋商小组可以根据磋商文件和磋商情况实质性变动采购需求中的技术、服务要求以及合同草案条款，但不得变动磋商文件中的其他内容。实质性变动的内容，须经磋商小组及采购人代表签字确认。采购代理机构通知磋商响应供应商集中，磋商小组强调调整后的采购要求，将磋商文件的修改结果以书面形式通知磋商响应供应商。</w:t>
      </w:r>
    </w:p>
    <w:p w14:paraId="12B9CC6C">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根据磋商情况和磋商文件修改书面通知，对原磋商响应文件进行修正，并在规定时间内将修正文件由供应商或其授权委托人签字或盖章后上传至系统。逾时未交的，视同放弃磋商。修正文件与磋商响应文件同具法律效力。</w:t>
      </w:r>
    </w:p>
    <w:p w14:paraId="63BCE7FA">
      <w:pPr>
        <w:pStyle w:val="18"/>
        <w:tabs>
          <w:tab w:val="left" w:pos="1260"/>
        </w:tabs>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27.12第二轮磋商：</w:t>
      </w:r>
      <w:r>
        <w:rPr>
          <w:rFonts w:hint="eastAsia" w:asciiTheme="minorEastAsia" w:hAnsiTheme="minorEastAsia" w:eastAsiaTheme="minorEastAsia" w:cstheme="minorEastAsia"/>
          <w:sz w:val="24"/>
          <w:szCs w:val="24"/>
        </w:rPr>
        <w:t>磋商小组就修正后的磋商响应文件与磋商响应供应商分别进行磋商。如未实质性提高采购需求中的技术、服务要求以及合同草案条款情况下，供应商第二轮磋商总报价及分项报价均不得超过第一轮报价，否则其本次报价无效并以其前一轮的报价为有效报价。</w:t>
      </w:r>
    </w:p>
    <w:p w14:paraId="1AD4A563">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第二轮磋商后磋商小组未能确定成交候选人的，按27.11磋商文件修正的要求，对磋商文件修正后进行第三轮磋商。</w:t>
      </w:r>
    </w:p>
    <w:p w14:paraId="58D6B7CB">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27.13</w:t>
      </w:r>
      <w:r>
        <w:rPr>
          <w:rFonts w:hint="eastAsia" w:asciiTheme="minorEastAsia" w:hAnsiTheme="minorEastAsia" w:eastAsiaTheme="minorEastAsia" w:cstheme="minorEastAsia"/>
          <w:b/>
          <w:bCs/>
          <w:sz w:val="24"/>
          <w:szCs w:val="24"/>
        </w:rPr>
        <w:t>最终报价：</w:t>
      </w:r>
      <w:r>
        <w:rPr>
          <w:rFonts w:hint="eastAsia" w:asciiTheme="minorEastAsia" w:hAnsiTheme="minorEastAsia" w:eastAsiaTheme="minorEastAsia" w:cstheme="minorEastAsia"/>
          <w:sz w:val="24"/>
          <w:szCs w:val="24"/>
        </w:rPr>
        <w:t>最终的磋商结束后，所有磋商响应供应商</w:t>
      </w:r>
      <w:r>
        <w:rPr>
          <w:rFonts w:hint="eastAsia" w:asciiTheme="minorEastAsia" w:hAnsiTheme="minorEastAsia" w:eastAsiaTheme="minorEastAsia" w:cstheme="minorEastAsia"/>
          <w:sz w:val="24"/>
          <w:szCs w:val="24"/>
          <w:lang w:eastAsia="zh-CN"/>
        </w:rPr>
        <w:t>做</w:t>
      </w:r>
      <w:r>
        <w:rPr>
          <w:rFonts w:hint="eastAsia" w:asciiTheme="minorEastAsia" w:hAnsiTheme="minorEastAsia" w:eastAsiaTheme="minorEastAsia" w:cstheme="minorEastAsia"/>
          <w:sz w:val="24"/>
          <w:szCs w:val="24"/>
        </w:rPr>
        <w:t>最终报价，在规定时间内递交磋商小组，最终报价是供应商磋商响应文件的有效组成部分。由磋商小组采用综合评分法对提交最后报价的供应商的响应文件和最后报价进行综合评分。</w:t>
      </w:r>
    </w:p>
    <w:p w14:paraId="146428D1">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27.14磋商文件能够详细列明采购标的的技术、服务要求的，磋商结束后，磋商小组应当要求所有实质性响应的供应商在规定时间内提交最后报价，提交最后报价的供应商不得少于3家。</w:t>
      </w:r>
    </w:p>
    <w:p w14:paraId="22049A6A">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AB9892">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w:t>
      </w:r>
    </w:p>
    <w:p w14:paraId="27189472">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27.15已提交响应文件的供应商，在提交最后报价之前，可以根据磋商情况退出磋商。采购人、采购代理机构应当退还退出磋商的供应商的磋商保证金。   </w:t>
      </w:r>
    </w:p>
    <w:p w14:paraId="42A60AF6">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27.16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4336E28">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27.17 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70A8164F">
      <w:pPr>
        <w:pStyle w:val="18"/>
        <w:snapToGrid w:val="0"/>
        <w:spacing w:line="500" w:lineRule="exact"/>
        <w:ind w:firstLine="354" w:firstLineChars="147"/>
        <w:rPr>
          <w:rFonts w:hint="eastAsia" w:asciiTheme="minorEastAsia" w:hAnsiTheme="minorEastAsia" w:eastAsiaTheme="minorEastAsia" w:cstheme="minorEastAsia"/>
          <w:b/>
          <w:sz w:val="24"/>
          <w:szCs w:val="24"/>
        </w:rPr>
      </w:pPr>
      <w:bookmarkStart w:id="20" w:name="_Toc213839741"/>
      <w:r>
        <w:rPr>
          <w:rFonts w:hint="eastAsia" w:asciiTheme="minorEastAsia" w:hAnsiTheme="minorEastAsia" w:eastAsiaTheme="minorEastAsia" w:cstheme="minorEastAsia"/>
          <w:b/>
          <w:sz w:val="24"/>
          <w:szCs w:val="24"/>
        </w:rPr>
        <w:t>（二十八）最终报价</w:t>
      </w:r>
    </w:p>
    <w:p w14:paraId="40F066A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 磋商结束后，磋商小组将要求所有有效供应商在规定时间内提交最终报价及服务承诺。</w:t>
      </w:r>
    </w:p>
    <w:p w14:paraId="1DA1854B">
      <w:pPr>
        <w:snapToGrid w:val="0"/>
        <w:spacing w:line="500" w:lineRule="exact"/>
        <w:ind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（二十九）确定成交候选供应商</w:t>
      </w:r>
    </w:p>
    <w:p w14:paraId="3CD62694">
      <w:pPr>
        <w:snapToGrid w:val="0"/>
        <w:spacing w:line="500" w:lineRule="exact"/>
        <w:ind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 经磋商确定最终采购需求和提交最后报价的供应商后，由磋商小组采用综合评分法对提交最后报价的供应商的磋商响应文件和最后报价进行综合评分。</w:t>
      </w:r>
    </w:p>
    <w:p w14:paraId="3C28CDF6">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33CDE0C5">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（三十）磋商过程</w:t>
      </w:r>
      <w:bookmarkEnd w:id="20"/>
      <w:r>
        <w:rPr>
          <w:rFonts w:hint="eastAsia" w:asciiTheme="minorEastAsia" w:hAnsiTheme="minorEastAsia" w:eastAsiaTheme="minorEastAsia" w:cstheme="minorEastAsia"/>
          <w:b/>
          <w:sz w:val="24"/>
          <w:szCs w:val="24"/>
        </w:rPr>
        <w:t>保密</w:t>
      </w:r>
    </w:p>
    <w:p w14:paraId="0BC9234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 在宣布成交结果之前，凡属于审查、澄清、评价、比较竞争性磋商文件等有关信息，相关当事人均不得泄露给任何磋商供应商或与磋商工作无关的人员。</w:t>
      </w:r>
    </w:p>
    <w:p w14:paraId="67253EB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 供应商不得探听上述信息，不得以任何行为影响磋商过程，否则其磋商响应文件将被作为无效磋商响应文件。</w:t>
      </w:r>
    </w:p>
    <w:p w14:paraId="2C83BF7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 在磋商期间，代理机构有专门工作人员与供应商进行联络。</w:t>
      </w:r>
    </w:p>
    <w:p w14:paraId="33CE8C6B">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30.4 采购人和磋商小组不向未成交的供应商解释未成交原因，也不对磋商过程中的细节问题进行公布。</w:t>
      </w:r>
    </w:p>
    <w:p w14:paraId="18706F02">
      <w:pPr>
        <w:snapToGrid w:val="0"/>
        <w:spacing w:line="500" w:lineRule="exact"/>
        <w:ind w:firstLine="200"/>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21" w:name="_Toc28256"/>
      <w:r>
        <w:rPr>
          <w:rFonts w:hint="eastAsia" w:asciiTheme="minorEastAsia" w:hAnsiTheme="minorEastAsia" w:eastAsiaTheme="minorEastAsia" w:cstheme="minorEastAsia"/>
          <w:b/>
          <w:sz w:val="24"/>
          <w:szCs w:val="24"/>
        </w:rPr>
        <w:t>七、评标办法</w:t>
      </w:r>
      <w:bookmarkEnd w:id="21"/>
    </w:p>
    <w:p w14:paraId="30B9C2CD">
      <w:pPr>
        <w:snapToGrid w:val="0"/>
        <w:spacing w:line="4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（三十一）</w:t>
      </w:r>
      <w:r>
        <w:rPr>
          <w:rFonts w:hint="eastAsia" w:asciiTheme="minorEastAsia" w:hAnsiTheme="minorEastAsia" w:eastAsiaTheme="minorEastAsia" w:cstheme="minorEastAsia"/>
          <w:b/>
          <w:bCs/>
          <w:sz w:val="24"/>
          <w:szCs w:val="24"/>
        </w:rPr>
        <w:t>初步</w:t>
      </w:r>
      <w:r>
        <w:rPr>
          <w:rFonts w:hint="eastAsia" w:asciiTheme="minorEastAsia" w:hAnsiTheme="minorEastAsia" w:eastAsiaTheme="minorEastAsia" w:cstheme="minorEastAsia"/>
          <w:b/>
          <w:sz w:val="24"/>
          <w:szCs w:val="24"/>
        </w:rPr>
        <w:t>评审</w:t>
      </w:r>
    </w:p>
    <w:p w14:paraId="5796929C">
      <w:pPr>
        <w:snapToGrid w:val="0"/>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初步评审（资格审查标准）</w:t>
      </w:r>
    </w:p>
    <w:tbl>
      <w:tblPr>
        <w:tblStyle w:val="3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80"/>
        <w:gridCol w:w="854"/>
        <w:gridCol w:w="852"/>
        <w:gridCol w:w="851"/>
        <w:gridCol w:w="792"/>
      </w:tblGrid>
      <w:tr w14:paraId="2058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4BDB1BEF">
            <w:pPr>
              <w:spacing w:line="34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5780" w:type="dxa"/>
            <w:tcBorders>
              <w:bottom w:val="single" w:color="auto" w:sz="4" w:space="0"/>
            </w:tcBorders>
            <w:vAlign w:val="center"/>
          </w:tcPr>
          <w:p w14:paraId="270E0B45">
            <w:pPr>
              <w:spacing w:line="3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评审内容及标准</w:t>
            </w:r>
          </w:p>
        </w:tc>
        <w:tc>
          <w:tcPr>
            <w:tcW w:w="854" w:type="dxa"/>
            <w:tcBorders>
              <w:bottom w:val="single" w:color="auto" w:sz="4" w:space="0"/>
            </w:tcBorders>
            <w:vAlign w:val="center"/>
          </w:tcPr>
          <w:p w14:paraId="7C9C98E2">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852" w:type="dxa"/>
            <w:tcBorders>
              <w:bottom w:val="single" w:color="auto" w:sz="4" w:space="0"/>
            </w:tcBorders>
            <w:vAlign w:val="center"/>
          </w:tcPr>
          <w:p w14:paraId="4AA6C2F2">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51" w:type="dxa"/>
            <w:tcBorders>
              <w:bottom w:val="single" w:color="auto" w:sz="4" w:space="0"/>
            </w:tcBorders>
            <w:vAlign w:val="center"/>
          </w:tcPr>
          <w:p w14:paraId="7117B9EE">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792" w:type="dxa"/>
            <w:tcBorders>
              <w:bottom w:val="single" w:color="auto" w:sz="4" w:space="0"/>
            </w:tcBorders>
            <w:vAlign w:val="center"/>
          </w:tcPr>
          <w:p w14:paraId="431D8417">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供应商N</w:t>
            </w:r>
          </w:p>
        </w:tc>
      </w:tr>
      <w:tr w14:paraId="5C5F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vAlign w:val="center"/>
          </w:tcPr>
          <w:p w14:paraId="2606E31D">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780" w:type="dxa"/>
            <w:vAlign w:val="center"/>
          </w:tcPr>
          <w:p w14:paraId="606B85BF">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满足《中华人民共和国政府采购法》第二十二条规定；</w:t>
            </w:r>
          </w:p>
        </w:tc>
        <w:tc>
          <w:tcPr>
            <w:tcW w:w="854" w:type="dxa"/>
            <w:vAlign w:val="center"/>
          </w:tcPr>
          <w:p w14:paraId="770682BF">
            <w:pPr>
              <w:spacing w:line="340" w:lineRule="exact"/>
              <w:rPr>
                <w:rFonts w:hint="eastAsia" w:asciiTheme="minorEastAsia" w:hAnsiTheme="minorEastAsia" w:eastAsiaTheme="minorEastAsia" w:cstheme="minorEastAsia"/>
                <w:sz w:val="24"/>
                <w:szCs w:val="24"/>
              </w:rPr>
            </w:pPr>
          </w:p>
        </w:tc>
        <w:tc>
          <w:tcPr>
            <w:tcW w:w="852" w:type="dxa"/>
            <w:vAlign w:val="center"/>
          </w:tcPr>
          <w:p w14:paraId="4AE83C1D">
            <w:pPr>
              <w:spacing w:line="340" w:lineRule="exact"/>
              <w:rPr>
                <w:rFonts w:hint="eastAsia" w:asciiTheme="minorEastAsia" w:hAnsiTheme="minorEastAsia" w:eastAsiaTheme="minorEastAsia" w:cstheme="minorEastAsia"/>
                <w:sz w:val="24"/>
                <w:szCs w:val="24"/>
              </w:rPr>
            </w:pPr>
          </w:p>
        </w:tc>
        <w:tc>
          <w:tcPr>
            <w:tcW w:w="851" w:type="dxa"/>
            <w:vAlign w:val="center"/>
          </w:tcPr>
          <w:p w14:paraId="400C2A9A">
            <w:pPr>
              <w:spacing w:line="340" w:lineRule="exact"/>
              <w:rPr>
                <w:rFonts w:hint="eastAsia" w:asciiTheme="minorEastAsia" w:hAnsiTheme="minorEastAsia" w:eastAsiaTheme="minorEastAsia" w:cstheme="minorEastAsia"/>
                <w:sz w:val="24"/>
                <w:szCs w:val="24"/>
              </w:rPr>
            </w:pPr>
          </w:p>
        </w:tc>
        <w:tc>
          <w:tcPr>
            <w:tcW w:w="792" w:type="dxa"/>
            <w:vAlign w:val="center"/>
          </w:tcPr>
          <w:p w14:paraId="17A3082B">
            <w:pPr>
              <w:spacing w:line="340" w:lineRule="exact"/>
              <w:rPr>
                <w:rFonts w:hint="eastAsia" w:asciiTheme="minorEastAsia" w:hAnsiTheme="minorEastAsia" w:eastAsiaTheme="minorEastAsia" w:cstheme="minorEastAsia"/>
                <w:sz w:val="24"/>
                <w:szCs w:val="24"/>
              </w:rPr>
            </w:pPr>
          </w:p>
        </w:tc>
      </w:tr>
      <w:tr w14:paraId="798E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shd w:val="clear" w:color="auto" w:fill="auto"/>
            <w:vAlign w:val="center"/>
          </w:tcPr>
          <w:p w14:paraId="318C9A4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780" w:type="dxa"/>
            <w:vAlign w:val="center"/>
          </w:tcPr>
          <w:p w14:paraId="50F11EE6">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请根据要求单独上传《中小企业声明函》。格式以采购文件要求为准。</w:t>
            </w:r>
          </w:p>
        </w:tc>
        <w:tc>
          <w:tcPr>
            <w:tcW w:w="854" w:type="dxa"/>
            <w:vAlign w:val="center"/>
          </w:tcPr>
          <w:p w14:paraId="1CDAC6DA">
            <w:pPr>
              <w:spacing w:line="340" w:lineRule="exact"/>
              <w:rPr>
                <w:rFonts w:hint="eastAsia" w:asciiTheme="minorEastAsia" w:hAnsiTheme="minorEastAsia" w:eastAsiaTheme="minorEastAsia" w:cstheme="minorEastAsia"/>
                <w:sz w:val="24"/>
                <w:szCs w:val="24"/>
              </w:rPr>
            </w:pPr>
          </w:p>
        </w:tc>
        <w:tc>
          <w:tcPr>
            <w:tcW w:w="852" w:type="dxa"/>
            <w:vAlign w:val="center"/>
          </w:tcPr>
          <w:p w14:paraId="3BEFF497">
            <w:pPr>
              <w:spacing w:line="340" w:lineRule="exact"/>
              <w:rPr>
                <w:rFonts w:hint="eastAsia" w:asciiTheme="minorEastAsia" w:hAnsiTheme="minorEastAsia" w:eastAsiaTheme="minorEastAsia" w:cstheme="minorEastAsia"/>
                <w:sz w:val="24"/>
                <w:szCs w:val="24"/>
              </w:rPr>
            </w:pPr>
          </w:p>
        </w:tc>
        <w:tc>
          <w:tcPr>
            <w:tcW w:w="851" w:type="dxa"/>
            <w:vAlign w:val="center"/>
          </w:tcPr>
          <w:p w14:paraId="23BB9E61">
            <w:pPr>
              <w:spacing w:line="340" w:lineRule="exact"/>
              <w:rPr>
                <w:rFonts w:hint="eastAsia" w:asciiTheme="minorEastAsia" w:hAnsiTheme="minorEastAsia" w:eastAsiaTheme="minorEastAsia" w:cstheme="minorEastAsia"/>
                <w:sz w:val="24"/>
                <w:szCs w:val="24"/>
              </w:rPr>
            </w:pPr>
          </w:p>
        </w:tc>
        <w:tc>
          <w:tcPr>
            <w:tcW w:w="792" w:type="dxa"/>
            <w:vAlign w:val="center"/>
          </w:tcPr>
          <w:p w14:paraId="7E58AFED">
            <w:pPr>
              <w:spacing w:line="340" w:lineRule="exact"/>
              <w:rPr>
                <w:rFonts w:hint="eastAsia" w:asciiTheme="minorEastAsia" w:hAnsiTheme="minorEastAsia" w:eastAsiaTheme="minorEastAsia" w:cstheme="minorEastAsia"/>
                <w:sz w:val="24"/>
                <w:szCs w:val="24"/>
              </w:rPr>
            </w:pPr>
          </w:p>
        </w:tc>
      </w:tr>
      <w:tr w14:paraId="0CA7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shd w:val="clear" w:color="auto" w:fill="auto"/>
            <w:vAlign w:val="center"/>
          </w:tcPr>
          <w:p w14:paraId="0AF0EDFE">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780" w:type="dxa"/>
            <w:vAlign w:val="center"/>
          </w:tcPr>
          <w:p w14:paraId="6C2B4921">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供应商须是中华人民共和国境内注册的，具有有效的营业执照；</w:t>
            </w:r>
          </w:p>
        </w:tc>
        <w:tc>
          <w:tcPr>
            <w:tcW w:w="854" w:type="dxa"/>
            <w:vAlign w:val="center"/>
          </w:tcPr>
          <w:p w14:paraId="57415D73">
            <w:pPr>
              <w:spacing w:line="340" w:lineRule="exact"/>
              <w:rPr>
                <w:rFonts w:hint="eastAsia" w:asciiTheme="minorEastAsia" w:hAnsiTheme="minorEastAsia" w:eastAsiaTheme="minorEastAsia" w:cstheme="minorEastAsia"/>
                <w:sz w:val="24"/>
                <w:szCs w:val="24"/>
              </w:rPr>
            </w:pPr>
          </w:p>
        </w:tc>
        <w:tc>
          <w:tcPr>
            <w:tcW w:w="852" w:type="dxa"/>
            <w:vAlign w:val="center"/>
          </w:tcPr>
          <w:p w14:paraId="2A8C0049">
            <w:pPr>
              <w:spacing w:line="340" w:lineRule="exact"/>
              <w:rPr>
                <w:rFonts w:hint="eastAsia" w:asciiTheme="minorEastAsia" w:hAnsiTheme="minorEastAsia" w:eastAsiaTheme="minorEastAsia" w:cstheme="minorEastAsia"/>
                <w:sz w:val="24"/>
                <w:szCs w:val="24"/>
              </w:rPr>
            </w:pPr>
          </w:p>
        </w:tc>
        <w:tc>
          <w:tcPr>
            <w:tcW w:w="851" w:type="dxa"/>
            <w:vAlign w:val="center"/>
          </w:tcPr>
          <w:p w14:paraId="10243F1E">
            <w:pPr>
              <w:spacing w:line="340" w:lineRule="exact"/>
              <w:rPr>
                <w:rFonts w:hint="eastAsia" w:asciiTheme="minorEastAsia" w:hAnsiTheme="minorEastAsia" w:eastAsiaTheme="minorEastAsia" w:cstheme="minorEastAsia"/>
                <w:sz w:val="24"/>
                <w:szCs w:val="24"/>
              </w:rPr>
            </w:pPr>
          </w:p>
        </w:tc>
        <w:tc>
          <w:tcPr>
            <w:tcW w:w="792" w:type="dxa"/>
            <w:vAlign w:val="center"/>
          </w:tcPr>
          <w:p w14:paraId="727ECC4B">
            <w:pPr>
              <w:spacing w:line="340" w:lineRule="exact"/>
              <w:rPr>
                <w:rFonts w:hint="eastAsia" w:asciiTheme="minorEastAsia" w:hAnsiTheme="minorEastAsia" w:eastAsiaTheme="minorEastAsia" w:cstheme="minorEastAsia"/>
                <w:sz w:val="24"/>
                <w:szCs w:val="24"/>
              </w:rPr>
            </w:pPr>
          </w:p>
        </w:tc>
      </w:tr>
      <w:tr w14:paraId="7F63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10ED7AD1">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780" w:type="dxa"/>
            <w:vAlign w:val="center"/>
          </w:tcPr>
          <w:p w14:paraId="538458DD">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bCs/>
                <w:sz w:val="24"/>
                <w:szCs w:val="24"/>
              </w:rPr>
              <w:t>。</w:t>
            </w:r>
          </w:p>
        </w:tc>
        <w:tc>
          <w:tcPr>
            <w:tcW w:w="854" w:type="dxa"/>
            <w:vAlign w:val="center"/>
          </w:tcPr>
          <w:p w14:paraId="54E97DE5">
            <w:pPr>
              <w:spacing w:line="340" w:lineRule="exact"/>
              <w:rPr>
                <w:rFonts w:hint="eastAsia" w:asciiTheme="minorEastAsia" w:hAnsiTheme="minorEastAsia" w:eastAsiaTheme="minorEastAsia" w:cstheme="minorEastAsia"/>
                <w:sz w:val="24"/>
                <w:szCs w:val="24"/>
              </w:rPr>
            </w:pPr>
          </w:p>
        </w:tc>
        <w:tc>
          <w:tcPr>
            <w:tcW w:w="852" w:type="dxa"/>
            <w:vAlign w:val="center"/>
          </w:tcPr>
          <w:p w14:paraId="72089AD9">
            <w:pPr>
              <w:spacing w:line="340" w:lineRule="exact"/>
              <w:rPr>
                <w:rFonts w:hint="eastAsia" w:asciiTheme="minorEastAsia" w:hAnsiTheme="minorEastAsia" w:eastAsiaTheme="minorEastAsia" w:cstheme="minorEastAsia"/>
                <w:sz w:val="24"/>
                <w:szCs w:val="24"/>
              </w:rPr>
            </w:pPr>
          </w:p>
        </w:tc>
        <w:tc>
          <w:tcPr>
            <w:tcW w:w="851" w:type="dxa"/>
            <w:vAlign w:val="center"/>
          </w:tcPr>
          <w:p w14:paraId="106E0D89">
            <w:pPr>
              <w:spacing w:line="340" w:lineRule="exact"/>
              <w:rPr>
                <w:rFonts w:hint="eastAsia" w:asciiTheme="minorEastAsia" w:hAnsiTheme="minorEastAsia" w:eastAsiaTheme="minorEastAsia" w:cstheme="minorEastAsia"/>
                <w:sz w:val="24"/>
                <w:szCs w:val="24"/>
              </w:rPr>
            </w:pPr>
          </w:p>
        </w:tc>
        <w:tc>
          <w:tcPr>
            <w:tcW w:w="792" w:type="dxa"/>
            <w:vAlign w:val="center"/>
          </w:tcPr>
          <w:p w14:paraId="532BBBD4">
            <w:pPr>
              <w:spacing w:line="340" w:lineRule="exact"/>
              <w:rPr>
                <w:rFonts w:hint="eastAsia" w:asciiTheme="minorEastAsia" w:hAnsiTheme="minorEastAsia" w:eastAsiaTheme="minorEastAsia" w:cstheme="minorEastAsia"/>
                <w:sz w:val="24"/>
                <w:szCs w:val="24"/>
              </w:rPr>
            </w:pPr>
          </w:p>
        </w:tc>
      </w:tr>
      <w:tr w14:paraId="7E3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6482" w:type="dxa"/>
            <w:gridSpan w:val="2"/>
            <w:vAlign w:val="center"/>
          </w:tcPr>
          <w:p w14:paraId="661B4BA3">
            <w:pPr>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结论：是否通过</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Cs/>
                <w:sz w:val="24"/>
                <w:szCs w:val="24"/>
              </w:rPr>
              <w:t>资格审查</w:t>
            </w:r>
            <w:r>
              <w:rPr>
                <w:rFonts w:hint="eastAsia" w:asciiTheme="minorEastAsia" w:hAnsiTheme="minorEastAsia" w:eastAsiaTheme="minorEastAsia" w:cstheme="minorEastAsia"/>
                <w:sz w:val="24"/>
                <w:szCs w:val="24"/>
              </w:rPr>
              <w:t>合格后方可进入符合性审查阶段</w:t>
            </w:r>
            <w:r>
              <w:rPr>
                <w:rFonts w:hint="eastAsia" w:asciiTheme="minorEastAsia" w:hAnsiTheme="minorEastAsia" w:eastAsiaTheme="minorEastAsia" w:cstheme="minorEastAsia"/>
                <w:b/>
                <w:sz w:val="24"/>
                <w:szCs w:val="24"/>
              </w:rPr>
              <w:t>）</w:t>
            </w:r>
          </w:p>
        </w:tc>
        <w:tc>
          <w:tcPr>
            <w:tcW w:w="854" w:type="dxa"/>
            <w:vAlign w:val="center"/>
          </w:tcPr>
          <w:p w14:paraId="3A662698">
            <w:pPr>
              <w:spacing w:line="340" w:lineRule="exact"/>
              <w:rPr>
                <w:rFonts w:hint="eastAsia" w:asciiTheme="minorEastAsia" w:hAnsiTheme="minorEastAsia" w:eastAsiaTheme="minorEastAsia" w:cstheme="minorEastAsia"/>
                <w:sz w:val="24"/>
                <w:szCs w:val="24"/>
              </w:rPr>
            </w:pPr>
          </w:p>
        </w:tc>
        <w:tc>
          <w:tcPr>
            <w:tcW w:w="852" w:type="dxa"/>
            <w:vAlign w:val="center"/>
          </w:tcPr>
          <w:p w14:paraId="1B0CB9A4">
            <w:pPr>
              <w:spacing w:line="340" w:lineRule="exact"/>
              <w:rPr>
                <w:rFonts w:hint="eastAsia" w:asciiTheme="minorEastAsia" w:hAnsiTheme="minorEastAsia" w:eastAsiaTheme="minorEastAsia" w:cstheme="minorEastAsia"/>
                <w:sz w:val="24"/>
                <w:szCs w:val="24"/>
              </w:rPr>
            </w:pPr>
          </w:p>
        </w:tc>
        <w:tc>
          <w:tcPr>
            <w:tcW w:w="851" w:type="dxa"/>
            <w:vAlign w:val="center"/>
          </w:tcPr>
          <w:p w14:paraId="6FBDF5CC">
            <w:pPr>
              <w:spacing w:line="340" w:lineRule="exact"/>
              <w:rPr>
                <w:rFonts w:hint="eastAsia" w:asciiTheme="minorEastAsia" w:hAnsiTheme="minorEastAsia" w:eastAsiaTheme="minorEastAsia" w:cstheme="minorEastAsia"/>
                <w:sz w:val="24"/>
                <w:szCs w:val="24"/>
              </w:rPr>
            </w:pPr>
          </w:p>
        </w:tc>
        <w:tc>
          <w:tcPr>
            <w:tcW w:w="792" w:type="dxa"/>
            <w:vAlign w:val="center"/>
          </w:tcPr>
          <w:p w14:paraId="49A455F3">
            <w:pPr>
              <w:spacing w:line="340" w:lineRule="exact"/>
              <w:rPr>
                <w:rFonts w:hint="eastAsia" w:asciiTheme="minorEastAsia" w:hAnsiTheme="minorEastAsia" w:eastAsiaTheme="minorEastAsia" w:cstheme="minorEastAsia"/>
                <w:sz w:val="24"/>
                <w:szCs w:val="24"/>
              </w:rPr>
            </w:pPr>
          </w:p>
        </w:tc>
      </w:tr>
      <w:tr w14:paraId="51FA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6"/>
            <w:vAlign w:val="center"/>
          </w:tcPr>
          <w:p w14:paraId="52078C11">
            <w:pPr>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备注：如果投标文件中有一项未通过上述审查标准，评标委员会将认定整个投标文件不响应磋商文件而予以投标无效，并且不允许供应商通过修改或撤销其不符合要求的差异或保留，使之成为具有响应性的投标。通过审核的以“√”标记；未通过的以“×”标记，并予以说明。</w:t>
            </w:r>
          </w:p>
        </w:tc>
      </w:tr>
    </w:tbl>
    <w:p w14:paraId="16785E5C">
      <w:pPr>
        <w:pageBreakBefore/>
        <w:snapToGrid w:val="0"/>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初步评审（符合性审查）</w:t>
      </w:r>
    </w:p>
    <w:tbl>
      <w:tblPr>
        <w:tblStyle w:val="30"/>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45"/>
        <w:gridCol w:w="4163"/>
        <w:gridCol w:w="806"/>
        <w:gridCol w:w="806"/>
        <w:gridCol w:w="806"/>
        <w:gridCol w:w="807"/>
      </w:tblGrid>
      <w:tr w14:paraId="2B09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28" w:type="dxa"/>
            <w:tcBorders>
              <w:bottom w:val="single" w:color="auto" w:sz="4" w:space="0"/>
            </w:tcBorders>
            <w:vAlign w:val="center"/>
          </w:tcPr>
          <w:p w14:paraId="631CAC9B">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w:t>
            </w:r>
          </w:p>
        </w:tc>
        <w:tc>
          <w:tcPr>
            <w:tcW w:w="4708" w:type="dxa"/>
            <w:gridSpan w:val="2"/>
            <w:tcBorders>
              <w:bottom w:val="single" w:color="auto" w:sz="4" w:space="0"/>
            </w:tcBorders>
            <w:vAlign w:val="center"/>
          </w:tcPr>
          <w:p w14:paraId="643E2E39">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  审  内  容</w:t>
            </w:r>
          </w:p>
        </w:tc>
        <w:tc>
          <w:tcPr>
            <w:tcW w:w="806" w:type="dxa"/>
            <w:tcBorders>
              <w:bottom w:val="single" w:color="auto" w:sz="4" w:space="0"/>
            </w:tcBorders>
            <w:vAlign w:val="center"/>
          </w:tcPr>
          <w:p w14:paraId="060844A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806" w:type="dxa"/>
            <w:tcBorders>
              <w:bottom w:val="single" w:color="auto" w:sz="4" w:space="0"/>
            </w:tcBorders>
            <w:vAlign w:val="center"/>
          </w:tcPr>
          <w:p w14:paraId="1CC7FF8D">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06" w:type="dxa"/>
            <w:tcBorders>
              <w:bottom w:val="single" w:color="auto" w:sz="4" w:space="0"/>
            </w:tcBorders>
            <w:vAlign w:val="center"/>
          </w:tcPr>
          <w:p w14:paraId="0CF1F140">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807" w:type="dxa"/>
            <w:tcBorders>
              <w:bottom w:val="single" w:color="auto" w:sz="4" w:space="0"/>
            </w:tcBorders>
            <w:vAlign w:val="center"/>
          </w:tcPr>
          <w:p w14:paraId="2C41DD1B">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供应商N</w:t>
            </w:r>
          </w:p>
        </w:tc>
      </w:tr>
      <w:tr w14:paraId="04C9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28" w:type="dxa"/>
            <w:vMerge w:val="restart"/>
            <w:vAlign w:val="center"/>
          </w:tcPr>
          <w:p w14:paraId="2201872F">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初</w:t>
            </w:r>
          </w:p>
          <w:p w14:paraId="169681E4">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步</w:t>
            </w:r>
          </w:p>
          <w:p w14:paraId="4D19FE87">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w:t>
            </w:r>
          </w:p>
          <w:p w14:paraId="66B3E783">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w:t>
            </w:r>
          </w:p>
          <w:p w14:paraId="3550BA60">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p w14:paraId="5F1E91B1">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符合性审查</w:t>
            </w:r>
          </w:p>
          <w:p w14:paraId="3A45D79F">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w:t>
            </w:r>
          </w:p>
        </w:tc>
        <w:tc>
          <w:tcPr>
            <w:tcW w:w="545" w:type="dxa"/>
            <w:vAlign w:val="center"/>
          </w:tcPr>
          <w:p w14:paraId="475EDB3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163" w:type="dxa"/>
            <w:vAlign w:val="center"/>
          </w:tcPr>
          <w:p w14:paraId="5F30767F">
            <w:pPr>
              <w:rPr>
                <w:rFonts w:hint="eastAsia" w:asciiTheme="minorEastAsia" w:hAnsiTheme="minorEastAsia" w:eastAsiaTheme="minorEastAsia" w:cstheme="minorEastAsia"/>
                <w:sz w:val="24"/>
                <w:szCs w:val="24"/>
              </w:rPr>
            </w:pPr>
            <w:r>
              <w:rPr>
                <w:rFonts w:hint="eastAsia" w:ascii="宋体" w:hAnsi="宋体"/>
                <w:sz w:val="24"/>
                <w:szCs w:val="24"/>
              </w:rPr>
              <w:t>投标报价不得超过招标文件采购预算，是否按照招标文件格式填写；</w:t>
            </w:r>
          </w:p>
        </w:tc>
        <w:tc>
          <w:tcPr>
            <w:tcW w:w="806" w:type="dxa"/>
            <w:vAlign w:val="center"/>
          </w:tcPr>
          <w:p w14:paraId="18198486">
            <w:pPr>
              <w:spacing w:line="440" w:lineRule="exact"/>
              <w:rPr>
                <w:rFonts w:hint="eastAsia" w:asciiTheme="minorEastAsia" w:hAnsiTheme="minorEastAsia" w:eastAsiaTheme="minorEastAsia" w:cstheme="minorEastAsia"/>
                <w:sz w:val="24"/>
                <w:szCs w:val="24"/>
              </w:rPr>
            </w:pPr>
          </w:p>
        </w:tc>
        <w:tc>
          <w:tcPr>
            <w:tcW w:w="806" w:type="dxa"/>
            <w:vAlign w:val="center"/>
          </w:tcPr>
          <w:p w14:paraId="76C36327">
            <w:pPr>
              <w:spacing w:line="440" w:lineRule="exact"/>
              <w:rPr>
                <w:rFonts w:hint="eastAsia" w:asciiTheme="minorEastAsia" w:hAnsiTheme="minorEastAsia" w:eastAsiaTheme="minorEastAsia" w:cstheme="minorEastAsia"/>
                <w:sz w:val="24"/>
                <w:szCs w:val="24"/>
              </w:rPr>
            </w:pPr>
          </w:p>
        </w:tc>
        <w:tc>
          <w:tcPr>
            <w:tcW w:w="806" w:type="dxa"/>
            <w:vAlign w:val="center"/>
          </w:tcPr>
          <w:p w14:paraId="276AB0FB">
            <w:pPr>
              <w:spacing w:line="440" w:lineRule="exact"/>
              <w:rPr>
                <w:rFonts w:hint="eastAsia" w:asciiTheme="minorEastAsia" w:hAnsiTheme="minorEastAsia" w:eastAsiaTheme="minorEastAsia" w:cstheme="minorEastAsia"/>
                <w:sz w:val="24"/>
                <w:szCs w:val="24"/>
              </w:rPr>
            </w:pPr>
          </w:p>
        </w:tc>
        <w:tc>
          <w:tcPr>
            <w:tcW w:w="807" w:type="dxa"/>
            <w:vAlign w:val="center"/>
          </w:tcPr>
          <w:p w14:paraId="0AAC22F4">
            <w:pPr>
              <w:spacing w:line="440" w:lineRule="exact"/>
              <w:rPr>
                <w:rFonts w:hint="eastAsia" w:asciiTheme="minorEastAsia" w:hAnsiTheme="minorEastAsia" w:eastAsiaTheme="minorEastAsia" w:cstheme="minorEastAsia"/>
                <w:sz w:val="24"/>
                <w:szCs w:val="24"/>
              </w:rPr>
            </w:pPr>
          </w:p>
        </w:tc>
      </w:tr>
      <w:tr w14:paraId="0349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28" w:type="dxa"/>
            <w:vMerge w:val="continue"/>
            <w:vAlign w:val="center"/>
          </w:tcPr>
          <w:p w14:paraId="0A54609C">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20E0523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2</w:t>
            </w:r>
          </w:p>
        </w:tc>
        <w:tc>
          <w:tcPr>
            <w:tcW w:w="4163" w:type="dxa"/>
            <w:vAlign w:val="center"/>
          </w:tcPr>
          <w:p w14:paraId="645D398D">
            <w:pPr>
              <w:rPr>
                <w:rFonts w:hint="eastAsia" w:asciiTheme="minorEastAsia" w:hAnsiTheme="minorEastAsia" w:eastAsiaTheme="minorEastAsia" w:cstheme="minorEastAsia"/>
                <w:szCs w:val="21"/>
              </w:rPr>
            </w:pPr>
            <w:r>
              <w:rPr>
                <w:rFonts w:hint="eastAsia" w:ascii="宋体" w:hAnsi="宋体"/>
                <w:sz w:val="24"/>
                <w:szCs w:val="24"/>
              </w:rPr>
              <w:t>投标文件是否</w:t>
            </w:r>
            <w:r>
              <w:rPr>
                <w:rFonts w:hint="eastAsia" w:ascii="宋体" w:hAnsi="宋体"/>
                <w:sz w:val="24"/>
                <w:szCs w:val="24"/>
                <w:lang w:val="zh-CN"/>
              </w:rPr>
              <w:t>按照招标文件规定格式完整提供</w:t>
            </w:r>
            <w:r>
              <w:rPr>
                <w:rFonts w:hint="eastAsia" w:ascii="宋体" w:hAnsi="宋体"/>
                <w:sz w:val="24"/>
                <w:szCs w:val="24"/>
              </w:rPr>
              <w:t>；</w:t>
            </w:r>
          </w:p>
        </w:tc>
        <w:tc>
          <w:tcPr>
            <w:tcW w:w="806" w:type="dxa"/>
            <w:vAlign w:val="center"/>
          </w:tcPr>
          <w:p w14:paraId="10D798F1">
            <w:pPr>
              <w:spacing w:line="440" w:lineRule="exact"/>
              <w:rPr>
                <w:rFonts w:hint="eastAsia" w:asciiTheme="minorEastAsia" w:hAnsiTheme="minorEastAsia" w:eastAsiaTheme="minorEastAsia" w:cstheme="minorEastAsia"/>
                <w:sz w:val="24"/>
                <w:szCs w:val="24"/>
              </w:rPr>
            </w:pPr>
          </w:p>
        </w:tc>
        <w:tc>
          <w:tcPr>
            <w:tcW w:w="806" w:type="dxa"/>
            <w:vAlign w:val="center"/>
          </w:tcPr>
          <w:p w14:paraId="4DEB2915">
            <w:pPr>
              <w:spacing w:line="440" w:lineRule="exact"/>
              <w:rPr>
                <w:rFonts w:hint="eastAsia" w:asciiTheme="minorEastAsia" w:hAnsiTheme="minorEastAsia" w:eastAsiaTheme="minorEastAsia" w:cstheme="minorEastAsia"/>
                <w:sz w:val="24"/>
                <w:szCs w:val="24"/>
              </w:rPr>
            </w:pPr>
          </w:p>
        </w:tc>
        <w:tc>
          <w:tcPr>
            <w:tcW w:w="806" w:type="dxa"/>
            <w:vAlign w:val="center"/>
          </w:tcPr>
          <w:p w14:paraId="6C9E32AC">
            <w:pPr>
              <w:spacing w:line="440" w:lineRule="exact"/>
              <w:rPr>
                <w:rFonts w:hint="eastAsia" w:asciiTheme="minorEastAsia" w:hAnsiTheme="minorEastAsia" w:eastAsiaTheme="minorEastAsia" w:cstheme="minorEastAsia"/>
                <w:sz w:val="24"/>
                <w:szCs w:val="24"/>
              </w:rPr>
            </w:pPr>
          </w:p>
        </w:tc>
        <w:tc>
          <w:tcPr>
            <w:tcW w:w="807" w:type="dxa"/>
            <w:vAlign w:val="center"/>
          </w:tcPr>
          <w:p w14:paraId="3C5B7CB4">
            <w:pPr>
              <w:spacing w:line="440" w:lineRule="exact"/>
              <w:rPr>
                <w:rFonts w:hint="eastAsia" w:asciiTheme="minorEastAsia" w:hAnsiTheme="minorEastAsia" w:eastAsiaTheme="minorEastAsia" w:cstheme="minorEastAsia"/>
                <w:sz w:val="24"/>
                <w:szCs w:val="24"/>
              </w:rPr>
            </w:pPr>
          </w:p>
        </w:tc>
      </w:tr>
      <w:tr w14:paraId="4CB5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40D29CC7">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1DDEA6C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163" w:type="dxa"/>
            <w:vAlign w:val="center"/>
          </w:tcPr>
          <w:p w14:paraId="258B3039">
            <w:pPr>
              <w:rPr>
                <w:rFonts w:hint="eastAsia" w:asciiTheme="minorEastAsia" w:hAnsiTheme="minorEastAsia" w:eastAsiaTheme="minorEastAsia" w:cstheme="minorEastAsia"/>
                <w:szCs w:val="21"/>
              </w:rPr>
            </w:pPr>
            <w:r>
              <w:rPr>
                <w:rFonts w:hint="eastAsia" w:ascii="宋体" w:hAnsi="宋体"/>
                <w:sz w:val="24"/>
                <w:szCs w:val="24"/>
                <w:lang w:val="zh-CN"/>
              </w:rPr>
              <w:t>投标文件中法定代表人身份证明书是否按招标文件规定格式完整提供</w:t>
            </w:r>
            <w:r>
              <w:rPr>
                <w:rFonts w:hint="eastAsia" w:ascii="宋体" w:hAnsi="宋体"/>
                <w:sz w:val="24"/>
                <w:szCs w:val="24"/>
              </w:rPr>
              <w:t>；</w:t>
            </w:r>
          </w:p>
        </w:tc>
        <w:tc>
          <w:tcPr>
            <w:tcW w:w="806" w:type="dxa"/>
            <w:vAlign w:val="center"/>
          </w:tcPr>
          <w:p w14:paraId="61338938">
            <w:pPr>
              <w:spacing w:line="440" w:lineRule="exact"/>
              <w:rPr>
                <w:rFonts w:hint="eastAsia" w:asciiTheme="minorEastAsia" w:hAnsiTheme="minorEastAsia" w:eastAsiaTheme="minorEastAsia" w:cstheme="minorEastAsia"/>
                <w:sz w:val="24"/>
                <w:szCs w:val="24"/>
              </w:rPr>
            </w:pPr>
          </w:p>
        </w:tc>
        <w:tc>
          <w:tcPr>
            <w:tcW w:w="806" w:type="dxa"/>
            <w:vAlign w:val="center"/>
          </w:tcPr>
          <w:p w14:paraId="57FFF17B">
            <w:pPr>
              <w:spacing w:line="440" w:lineRule="exact"/>
              <w:rPr>
                <w:rFonts w:hint="eastAsia" w:asciiTheme="minorEastAsia" w:hAnsiTheme="minorEastAsia" w:eastAsiaTheme="minorEastAsia" w:cstheme="minorEastAsia"/>
                <w:sz w:val="24"/>
                <w:szCs w:val="24"/>
              </w:rPr>
            </w:pPr>
          </w:p>
        </w:tc>
        <w:tc>
          <w:tcPr>
            <w:tcW w:w="806" w:type="dxa"/>
            <w:vAlign w:val="center"/>
          </w:tcPr>
          <w:p w14:paraId="7D238D6B">
            <w:pPr>
              <w:spacing w:line="440" w:lineRule="exact"/>
              <w:rPr>
                <w:rFonts w:hint="eastAsia" w:asciiTheme="minorEastAsia" w:hAnsiTheme="minorEastAsia" w:eastAsiaTheme="minorEastAsia" w:cstheme="minorEastAsia"/>
                <w:sz w:val="24"/>
                <w:szCs w:val="24"/>
              </w:rPr>
            </w:pPr>
          </w:p>
        </w:tc>
        <w:tc>
          <w:tcPr>
            <w:tcW w:w="807" w:type="dxa"/>
            <w:vAlign w:val="center"/>
          </w:tcPr>
          <w:p w14:paraId="6876D332">
            <w:pPr>
              <w:spacing w:line="440" w:lineRule="exact"/>
              <w:rPr>
                <w:rFonts w:hint="eastAsia" w:asciiTheme="minorEastAsia" w:hAnsiTheme="minorEastAsia" w:eastAsiaTheme="minorEastAsia" w:cstheme="minorEastAsia"/>
                <w:sz w:val="24"/>
                <w:szCs w:val="24"/>
              </w:rPr>
            </w:pPr>
          </w:p>
        </w:tc>
      </w:tr>
      <w:tr w14:paraId="72A6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5C78B4D9">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5761D01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163" w:type="dxa"/>
            <w:vAlign w:val="center"/>
          </w:tcPr>
          <w:p w14:paraId="1D9E6F3B">
            <w:pPr>
              <w:rPr>
                <w:rFonts w:hint="eastAsia" w:asciiTheme="minorEastAsia" w:hAnsiTheme="minorEastAsia" w:eastAsiaTheme="minorEastAsia" w:cstheme="minorEastAsia"/>
                <w:szCs w:val="21"/>
              </w:rPr>
            </w:pPr>
            <w:r>
              <w:rPr>
                <w:rFonts w:hint="eastAsia" w:ascii="宋体" w:hAnsi="宋体"/>
                <w:sz w:val="24"/>
                <w:szCs w:val="24"/>
                <w:lang w:val="zh-CN"/>
              </w:rPr>
              <w:t>投标文件中法定代表人授权委托书是否按招标文件规定格式完整提供</w:t>
            </w:r>
            <w:r>
              <w:rPr>
                <w:rFonts w:hint="eastAsia" w:ascii="宋体" w:hAnsi="宋体"/>
                <w:sz w:val="24"/>
                <w:szCs w:val="24"/>
              </w:rPr>
              <w:t>；</w:t>
            </w:r>
          </w:p>
        </w:tc>
        <w:tc>
          <w:tcPr>
            <w:tcW w:w="806" w:type="dxa"/>
            <w:vAlign w:val="center"/>
          </w:tcPr>
          <w:p w14:paraId="1CB0DAE2">
            <w:pPr>
              <w:spacing w:line="440" w:lineRule="exact"/>
              <w:rPr>
                <w:rFonts w:hint="eastAsia" w:asciiTheme="minorEastAsia" w:hAnsiTheme="minorEastAsia" w:eastAsiaTheme="minorEastAsia" w:cstheme="minorEastAsia"/>
                <w:sz w:val="24"/>
                <w:szCs w:val="24"/>
              </w:rPr>
            </w:pPr>
          </w:p>
        </w:tc>
        <w:tc>
          <w:tcPr>
            <w:tcW w:w="806" w:type="dxa"/>
            <w:vAlign w:val="center"/>
          </w:tcPr>
          <w:p w14:paraId="1783A359">
            <w:pPr>
              <w:spacing w:line="440" w:lineRule="exact"/>
              <w:rPr>
                <w:rFonts w:hint="eastAsia" w:asciiTheme="minorEastAsia" w:hAnsiTheme="minorEastAsia" w:eastAsiaTheme="minorEastAsia" w:cstheme="minorEastAsia"/>
                <w:sz w:val="24"/>
                <w:szCs w:val="24"/>
              </w:rPr>
            </w:pPr>
          </w:p>
        </w:tc>
        <w:tc>
          <w:tcPr>
            <w:tcW w:w="806" w:type="dxa"/>
            <w:vAlign w:val="center"/>
          </w:tcPr>
          <w:p w14:paraId="5F4A4B4B">
            <w:pPr>
              <w:spacing w:line="440" w:lineRule="exact"/>
              <w:rPr>
                <w:rFonts w:hint="eastAsia" w:asciiTheme="minorEastAsia" w:hAnsiTheme="minorEastAsia" w:eastAsiaTheme="minorEastAsia" w:cstheme="minorEastAsia"/>
                <w:sz w:val="24"/>
                <w:szCs w:val="24"/>
              </w:rPr>
            </w:pPr>
          </w:p>
        </w:tc>
        <w:tc>
          <w:tcPr>
            <w:tcW w:w="807" w:type="dxa"/>
            <w:vAlign w:val="center"/>
          </w:tcPr>
          <w:p w14:paraId="79A84ECC">
            <w:pPr>
              <w:spacing w:line="440" w:lineRule="exact"/>
              <w:rPr>
                <w:rFonts w:hint="eastAsia" w:asciiTheme="minorEastAsia" w:hAnsiTheme="minorEastAsia" w:eastAsiaTheme="minorEastAsia" w:cstheme="minorEastAsia"/>
                <w:sz w:val="24"/>
                <w:szCs w:val="24"/>
              </w:rPr>
            </w:pPr>
          </w:p>
        </w:tc>
      </w:tr>
      <w:tr w14:paraId="4795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28" w:type="dxa"/>
            <w:vMerge w:val="continue"/>
            <w:vAlign w:val="center"/>
          </w:tcPr>
          <w:p w14:paraId="1171956F">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2E0B55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163" w:type="dxa"/>
            <w:vAlign w:val="center"/>
          </w:tcPr>
          <w:p w14:paraId="27AAE525">
            <w:pPr>
              <w:rPr>
                <w:rFonts w:hint="eastAsia" w:asciiTheme="minorEastAsia" w:hAnsiTheme="minorEastAsia" w:eastAsiaTheme="minorEastAsia" w:cstheme="minorEastAsia"/>
                <w:szCs w:val="21"/>
              </w:rPr>
            </w:pPr>
            <w:r>
              <w:rPr>
                <w:rFonts w:hint="eastAsia" w:ascii="宋体" w:hAnsi="宋体"/>
                <w:sz w:val="24"/>
                <w:szCs w:val="24"/>
              </w:rPr>
              <w:t>投标文件是否按招标文件要求签字或盖章；</w:t>
            </w:r>
          </w:p>
        </w:tc>
        <w:tc>
          <w:tcPr>
            <w:tcW w:w="806" w:type="dxa"/>
            <w:vAlign w:val="center"/>
          </w:tcPr>
          <w:p w14:paraId="42DB159F">
            <w:pPr>
              <w:spacing w:line="440" w:lineRule="exact"/>
              <w:rPr>
                <w:rFonts w:hint="eastAsia" w:asciiTheme="minorEastAsia" w:hAnsiTheme="minorEastAsia" w:eastAsiaTheme="minorEastAsia" w:cstheme="minorEastAsia"/>
                <w:sz w:val="24"/>
                <w:szCs w:val="24"/>
              </w:rPr>
            </w:pPr>
          </w:p>
        </w:tc>
        <w:tc>
          <w:tcPr>
            <w:tcW w:w="806" w:type="dxa"/>
            <w:vAlign w:val="center"/>
          </w:tcPr>
          <w:p w14:paraId="78D5DAF6">
            <w:pPr>
              <w:spacing w:line="440" w:lineRule="exact"/>
              <w:rPr>
                <w:rFonts w:hint="eastAsia" w:asciiTheme="minorEastAsia" w:hAnsiTheme="minorEastAsia" w:eastAsiaTheme="minorEastAsia" w:cstheme="minorEastAsia"/>
                <w:sz w:val="24"/>
                <w:szCs w:val="24"/>
              </w:rPr>
            </w:pPr>
          </w:p>
        </w:tc>
        <w:tc>
          <w:tcPr>
            <w:tcW w:w="806" w:type="dxa"/>
            <w:vAlign w:val="center"/>
          </w:tcPr>
          <w:p w14:paraId="78230FC4">
            <w:pPr>
              <w:spacing w:line="440" w:lineRule="exact"/>
              <w:rPr>
                <w:rFonts w:hint="eastAsia" w:asciiTheme="minorEastAsia" w:hAnsiTheme="minorEastAsia" w:eastAsiaTheme="minorEastAsia" w:cstheme="minorEastAsia"/>
                <w:sz w:val="24"/>
                <w:szCs w:val="24"/>
              </w:rPr>
            </w:pPr>
          </w:p>
        </w:tc>
        <w:tc>
          <w:tcPr>
            <w:tcW w:w="807" w:type="dxa"/>
            <w:vAlign w:val="center"/>
          </w:tcPr>
          <w:p w14:paraId="469D24D6">
            <w:pPr>
              <w:spacing w:line="440" w:lineRule="exact"/>
              <w:rPr>
                <w:rFonts w:hint="eastAsia" w:asciiTheme="minorEastAsia" w:hAnsiTheme="minorEastAsia" w:eastAsiaTheme="minorEastAsia" w:cstheme="minorEastAsia"/>
                <w:sz w:val="24"/>
                <w:szCs w:val="24"/>
              </w:rPr>
            </w:pPr>
          </w:p>
        </w:tc>
      </w:tr>
      <w:tr w14:paraId="021E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28" w:type="dxa"/>
            <w:vMerge w:val="continue"/>
            <w:vAlign w:val="center"/>
          </w:tcPr>
          <w:p w14:paraId="6B3E91A9">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5531EB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163" w:type="dxa"/>
            <w:vAlign w:val="center"/>
          </w:tcPr>
          <w:p w14:paraId="1AACCA3B">
            <w:pPr>
              <w:rPr>
                <w:rFonts w:hint="eastAsia" w:asciiTheme="minorEastAsia" w:hAnsiTheme="minorEastAsia" w:eastAsiaTheme="minorEastAsia" w:cstheme="minorEastAsia"/>
                <w:szCs w:val="21"/>
              </w:rPr>
            </w:pPr>
            <w:r>
              <w:rPr>
                <w:rFonts w:hint="eastAsia" w:ascii="宋体" w:hAnsi="宋体"/>
                <w:sz w:val="24"/>
                <w:szCs w:val="24"/>
              </w:rPr>
              <w:t>投标保证金的缴纳主体是否与供应商一致、提供投标担保符合招标文件要求；</w:t>
            </w:r>
          </w:p>
        </w:tc>
        <w:tc>
          <w:tcPr>
            <w:tcW w:w="806" w:type="dxa"/>
            <w:vAlign w:val="center"/>
          </w:tcPr>
          <w:p w14:paraId="02E09894">
            <w:pPr>
              <w:spacing w:line="440" w:lineRule="exact"/>
              <w:rPr>
                <w:rFonts w:hint="eastAsia" w:asciiTheme="minorEastAsia" w:hAnsiTheme="minorEastAsia" w:eastAsiaTheme="minorEastAsia" w:cstheme="minorEastAsia"/>
                <w:sz w:val="24"/>
                <w:szCs w:val="24"/>
              </w:rPr>
            </w:pPr>
          </w:p>
        </w:tc>
        <w:tc>
          <w:tcPr>
            <w:tcW w:w="806" w:type="dxa"/>
            <w:vAlign w:val="center"/>
          </w:tcPr>
          <w:p w14:paraId="63135622">
            <w:pPr>
              <w:spacing w:line="440" w:lineRule="exact"/>
              <w:rPr>
                <w:rFonts w:hint="eastAsia" w:asciiTheme="minorEastAsia" w:hAnsiTheme="minorEastAsia" w:eastAsiaTheme="minorEastAsia" w:cstheme="minorEastAsia"/>
                <w:sz w:val="24"/>
                <w:szCs w:val="24"/>
              </w:rPr>
            </w:pPr>
          </w:p>
        </w:tc>
        <w:tc>
          <w:tcPr>
            <w:tcW w:w="806" w:type="dxa"/>
            <w:vAlign w:val="center"/>
          </w:tcPr>
          <w:p w14:paraId="4EB28151">
            <w:pPr>
              <w:spacing w:line="440" w:lineRule="exact"/>
              <w:rPr>
                <w:rFonts w:hint="eastAsia" w:asciiTheme="minorEastAsia" w:hAnsiTheme="minorEastAsia" w:eastAsiaTheme="minorEastAsia" w:cstheme="minorEastAsia"/>
                <w:sz w:val="24"/>
                <w:szCs w:val="24"/>
              </w:rPr>
            </w:pPr>
          </w:p>
        </w:tc>
        <w:tc>
          <w:tcPr>
            <w:tcW w:w="807" w:type="dxa"/>
            <w:vAlign w:val="center"/>
          </w:tcPr>
          <w:p w14:paraId="3F7DAA78">
            <w:pPr>
              <w:spacing w:line="440" w:lineRule="exact"/>
              <w:rPr>
                <w:rFonts w:hint="eastAsia" w:asciiTheme="minorEastAsia" w:hAnsiTheme="minorEastAsia" w:eastAsiaTheme="minorEastAsia" w:cstheme="minorEastAsia"/>
                <w:sz w:val="24"/>
                <w:szCs w:val="24"/>
              </w:rPr>
            </w:pPr>
          </w:p>
        </w:tc>
      </w:tr>
      <w:tr w14:paraId="3C28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928" w:type="dxa"/>
            <w:vMerge w:val="continue"/>
            <w:vAlign w:val="center"/>
          </w:tcPr>
          <w:p w14:paraId="1AE5B2D1">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22789BC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163" w:type="dxa"/>
            <w:vAlign w:val="center"/>
          </w:tcPr>
          <w:p w14:paraId="49E1A30B">
            <w:pPr>
              <w:rPr>
                <w:rFonts w:hint="eastAsia" w:asciiTheme="minorEastAsia" w:hAnsiTheme="minorEastAsia" w:eastAsiaTheme="minorEastAsia" w:cstheme="minorEastAsia"/>
                <w:szCs w:val="21"/>
              </w:rPr>
            </w:pPr>
            <w:r>
              <w:rPr>
                <w:rFonts w:hint="eastAsia" w:ascii="宋体" w:hAnsi="宋体"/>
                <w:sz w:val="24"/>
                <w:szCs w:val="24"/>
              </w:rPr>
              <w:t>投标文件的供货期、</w:t>
            </w:r>
            <w:r>
              <w:rPr>
                <w:rFonts w:hint="eastAsia" w:ascii="宋体" w:hAnsi="宋体"/>
                <w:sz w:val="24"/>
                <w:szCs w:val="24"/>
                <w:lang w:eastAsia="zh-CN"/>
              </w:rPr>
              <w:t>服务期</w:t>
            </w:r>
            <w:r>
              <w:rPr>
                <w:rFonts w:hint="eastAsia" w:ascii="宋体" w:hAnsi="宋体"/>
                <w:sz w:val="24"/>
                <w:szCs w:val="24"/>
              </w:rPr>
              <w:t>是否满足招标文件规定期限；</w:t>
            </w:r>
          </w:p>
        </w:tc>
        <w:tc>
          <w:tcPr>
            <w:tcW w:w="806" w:type="dxa"/>
            <w:vAlign w:val="center"/>
          </w:tcPr>
          <w:p w14:paraId="15D239CB">
            <w:pPr>
              <w:spacing w:line="440" w:lineRule="exact"/>
              <w:rPr>
                <w:rFonts w:hint="eastAsia" w:asciiTheme="minorEastAsia" w:hAnsiTheme="minorEastAsia" w:eastAsiaTheme="minorEastAsia" w:cstheme="minorEastAsia"/>
                <w:sz w:val="24"/>
                <w:szCs w:val="24"/>
              </w:rPr>
            </w:pPr>
          </w:p>
        </w:tc>
        <w:tc>
          <w:tcPr>
            <w:tcW w:w="806" w:type="dxa"/>
            <w:vAlign w:val="center"/>
          </w:tcPr>
          <w:p w14:paraId="07B54F3E">
            <w:pPr>
              <w:spacing w:line="440" w:lineRule="exact"/>
              <w:rPr>
                <w:rFonts w:hint="eastAsia" w:asciiTheme="minorEastAsia" w:hAnsiTheme="minorEastAsia" w:eastAsiaTheme="minorEastAsia" w:cstheme="minorEastAsia"/>
                <w:sz w:val="24"/>
                <w:szCs w:val="24"/>
              </w:rPr>
            </w:pPr>
          </w:p>
        </w:tc>
        <w:tc>
          <w:tcPr>
            <w:tcW w:w="806" w:type="dxa"/>
            <w:vAlign w:val="center"/>
          </w:tcPr>
          <w:p w14:paraId="0A2FE489">
            <w:pPr>
              <w:spacing w:line="440" w:lineRule="exact"/>
              <w:rPr>
                <w:rFonts w:hint="eastAsia" w:asciiTheme="minorEastAsia" w:hAnsiTheme="minorEastAsia" w:eastAsiaTheme="minorEastAsia" w:cstheme="minorEastAsia"/>
                <w:sz w:val="24"/>
                <w:szCs w:val="24"/>
              </w:rPr>
            </w:pPr>
          </w:p>
        </w:tc>
        <w:tc>
          <w:tcPr>
            <w:tcW w:w="807" w:type="dxa"/>
            <w:vAlign w:val="center"/>
          </w:tcPr>
          <w:p w14:paraId="78ABD9C9">
            <w:pPr>
              <w:spacing w:line="440" w:lineRule="exact"/>
              <w:rPr>
                <w:rFonts w:hint="eastAsia" w:asciiTheme="minorEastAsia" w:hAnsiTheme="minorEastAsia" w:eastAsiaTheme="minorEastAsia" w:cstheme="minorEastAsia"/>
                <w:sz w:val="24"/>
                <w:szCs w:val="24"/>
              </w:rPr>
            </w:pPr>
          </w:p>
        </w:tc>
      </w:tr>
      <w:tr w14:paraId="1706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28" w:type="dxa"/>
            <w:vMerge w:val="continue"/>
            <w:vAlign w:val="center"/>
          </w:tcPr>
          <w:p w14:paraId="3DDD02CE">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651F3CB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163" w:type="dxa"/>
            <w:vAlign w:val="center"/>
          </w:tcPr>
          <w:p w14:paraId="6CF803A5">
            <w:pPr>
              <w:rPr>
                <w:rFonts w:hint="eastAsia" w:asciiTheme="minorEastAsia" w:hAnsiTheme="minorEastAsia" w:eastAsiaTheme="minorEastAsia" w:cstheme="minorEastAsia"/>
                <w:szCs w:val="21"/>
              </w:rPr>
            </w:pPr>
            <w:r>
              <w:rPr>
                <w:rFonts w:hint="eastAsia" w:ascii="宋体" w:hAnsi="宋体"/>
                <w:sz w:val="24"/>
                <w:szCs w:val="24"/>
              </w:rPr>
              <w:t>投标有效期是否满足招标文件要求的；</w:t>
            </w:r>
          </w:p>
        </w:tc>
        <w:tc>
          <w:tcPr>
            <w:tcW w:w="806" w:type="dxa"/>
            <w:vAlign w:val="center"/>
          </w:tcPr>
          <w:p w14:paraId="7E1971EA">
            <w:pPr>
              <w:spacing w:line="440" w:lineRule="exact"/>
              <w:rPr>
                <w:rFonts w:hint="eastAsia" w:asciiTheme="minorEastAsia" w:hAnsiTheme="minorEastAsia" w:eastAsiaTheme="minorEastAsia" w:cstheme="minorEastAsia"/>
                <w:sz w:val="24"/>
                <w:szCs w:val="24"/>
              </w:rPr>
            </w:pPr>
          </w:p>
        </w:tc>
        <w:tc>
          <w:tcPr>
            <w:tcW w:w="806" w:type="dxa"/>
            <w:vAlign w:val="center"/>
          </w:tcPr>
          <w:p w14:paraId="3A2989A9">
            <w:pPr>
              <w:spacing w:line="440" w:lineRule="exact"/>
              <w:rPr>
                <w:rFonts w:hint="eastAsia" w:asciiTheme="minorEastAsia" w:hAnsiTheme="minorEastAsia" w:eastAsiaTheme="minorEastAsia" w:cstheme="minorEastAsia"/>
                <w:sz w:val="24"/>
                <w:szCs w:val="24"/>
              </w:rPr>
            </w:pPr>
          </w:p>
        </w:tc>
        <w:tc>
          <w:tcPr>
            <w:tcW w:w="806" w:type="dxa"/>
            <w:vAlign w:val="center"/>
          </w:tcPr>
          <w:p w14:paraId="0DEFB9D0">
            <w:pPr>
              <w:spacing w:line="440" w:lineRule="exact"/>
              <w:rPr>
                <w:rFonts w:hint="eastAsia" w:asciiTheme="minorEastAsia" w:hAnsiTheme="minorEastAsia" w:eastAsiaTheme="minorEastAsia" w:cstheme="minorEastAsia"/>
                <w:sz w:val="24"/>
                <w:szCs w:val="24"/>
              </w:rPr>
            </w:pPr>
          </w:p>
        </w:tc>
        <w:tc>
          <w:tcPr>
            <w:tcW w:w="807" w:type="dxa"/>
            <w:vAlign w:val="center"/>
          </w:tcPr>
          <w:p w14:paraId="28E6956D">
            <w:pPr>
              <w:spacing w:line="440" w:lineRule="exact"/>
              <w:rPr>
                <w:rFonts w:hint="eastAsia" w:asciiTheme="minorEastAsia" w:hAnsiTheme="minorEastAsia" w:eastAsiaTheme="minorEastAsia" w:cstheme="minorEastAsia"/>
                <w:sz w:val="24"/>
                <w:szCs w:val="24"/>
              </w:rPr>
            </w:pPr>
          </w:p>
        </w:tc>
      </w:tr>
      <w:tr w14:paraId="66DA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8" w:type="dxa"/>
            <w:vMerge w:val="continue"/>
            <w:vAlign w:val="center"/>
          </w:tcPr>
          <w:p w14:paraId="4FCFDAF9">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547E7A2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163" w:type="dxa"/>
            <w:vAlign w:val="center"/>
          </w:tcPr>
          <w:p w14:paraId="26FF093A">
            <w:pPr>
              <w:rPr>
                <w:rFonts w:hint="eastAsia" w:asciiTheme="minorEastAsia" w:hAnsiTheme="minorEastAsia" w:eastAsiaTheme="minorEastAsia" w:cstheme="minorEastAsia"/>
                <w:szCs w:val="21"/>
              </w:rPr>
            </w:pPr>
            <w:r>
              <w:rPr>
                <w:rFonts w:hint="eastAsia" w:ascii="宋体" w:hAnsi="宋体"/>
                <w:sz w:val="24"/>
                <w:szCs w:val="24"/>
              </w:rPr>
              <w:t>投标文件是否附有采购人不能接受的条件；</w:t>
            </w:r>
          </w:p>
        </w:tc>
        <w:tc>
          <w:tcPr>
            <w:tcW w:w="806" w:type="dxa"/>
            <w:vAlign w:val="center"/>
          </w:tcPr>
          <w:p w14:paraId="614EAAF7">
            <w:pPr>
              <w:spacing w:line="440" w:lineRule="exact"/>
              <w:rPr>
                <w:rFonts w:hint="eastAsia" w:asciiTheme="minorEastAsia" w:hAnsiTheme="minorEastAsia" w:eastAsiaTheme="minorEastAsia" w:cstheme="minorEastAsia"/>
                <w:sz w:val="24"/>
                <w:szCs w:val="24"/>
              </w:rPr>
            </w:pPr>
          </w:p>
        </w:tc>
        <w:tc>
          <w:tcPr>
            <w:tcW w:w="806" w:type="dxa"/>
            <w:vAlign w:val="center"/>
          </w:tcPr>
          <w:p w14:paraId="5211C591">
            <w:pPr>
              <w:spacing w:line="440" w:lineRule="exact"/>
              <w:rPr>
                <w:rFonts w:hint="eastAsia" w:asciiTheme="minorEastAsia" w:hAnsiTheme="minorEastAsia" w:eastAsiaTheme="minorEastAsia" w:cstheme="minorEastAsia"/>
                <w:sz w:val="24"/>
                <w:szCs w:val="24"/>
              </w:rPr>
            </w:pPr>
          </w:p>
        </w:tc>
        <w:tc>
          <w:tcPr>
            <w:tcW w:w="806" w:type="dxa"/>
            <w:vAlign w:val="center"/>
          </w:tcPr>
          <w:p w14:paraId="756C0758">
            <w:pPr>
              <w:spacing w:line="440" w:lineRule="exact"/>
              <w:rPr>
                <w:rFonts w:hint="eastAsia" w:asciiTheme="minorEastAsia" w:hAnsiTheme="minorEastAsia" w:eastAsiaTheme="minorEastAsia" w:cstheme="minorEastAsia"/>
                <w:sz w:val="24"/>
                <w:szCs w:val="24"/>
              </w:rPr>
            </w:pPr>
          </w:p>
        </w:tc>
        <w:tc>
          <w:tcPr>
            <w:tcW w:w="807" w:type="dxa"/>
            <w:vAlign w:val="center"/>
          </w:tcPr>
          <w:p w14:paraId="12D88CF1">
            <w:pPr>
              <w:spacing w:line="440" w:lineRule="exact"/>
              <w:rPr>
                <w:rFonts w:hint="eastAsia" w:asciiTheme="minorEastAsia" w:hAnsiTheme="minorEastAsia" w:eastAsiaTheme="minorEastAsia" w:cstheme="minorEastAsia"/>
                <w:sz w:val="24"/>
                <w:szCs w:val="24"/>
              </w:rPr>
            </w:pPr>
          </w:p>
        </w:tc>
      </w:tr>
      <w:tr w14:paraId="76D5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28" w:type="dxa"/>
            <w:vMerge w:val="continue"/>
            <w:vAlign w:val="center"/>
          </w:tcPr>
          <w:p w14:paraId="6D8DAF47">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6FA8F5D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163" w:type="dxa"/>
            <w:vAlign w:val="center"/>
          </w:tcPr>
          <w:p w14:paraId="517CED0E">
            <w:pPr>
              <w:rPr>
                <w:rFonts w:hint="eastAsia" w:asciiTheme="minorEastAsia" w:hAnsiTheme="minorEastAsia" w:eastAsiaTheme="minorEastAsia" w:cstheme="minorEastAsia"/>
                <w:szCs w:val="21"/>
              </w:rPr>
            </w:pPr>
            <w:r>
              <w:rPr>
                <w:rFonts w:hint="eastAsia" w:ascii="宋体" w:hAnsi="宋体"/>
                <w:sz w:val="24"/>
                <w:szCs w:val="24"/>
              </w:rPr>
              <w:t>是否满足招标文件实质性要求的其他情形。</w:t>
            </w:r>
          </w:p>
        </w:tc>
        <w:tc>
          <w:tcPr>
            <w:tcW w:w="806" w:type="dxa"/>
            <w:vAlign w:val="center"/>
          </w:tcPr>
          <w:p w14:paraId="4CB76FE8">
            <w:pPr>
              <w:spacing w:line="440" w:lineRule="exact"/>
              <w:rPr>
                <w:rFonts w:hint="eastAsia" w:asciiTheme="minorEastAsia" w:hAnsiTheme="minorEastAsia" w:eastAsiaTheme="minorEastAsia" w:cstheme="minorEastAsia"/>
                <w:sz w:val="24"/>
                <w:szCs w:val="24"/>
              </w:rPr>
            </w:pPr>
          </w:p>
        </w:tc>
        <w:tc>
          <w:tcPr>
            <w:tcW w:w="806" w:type="dxa"/>
            <w:vAlign w:val="center"/>
          </w:tcPr>
          <w:p w14:paraId="70C3095B">
            <w:pPr>
              <w:spacing w:line="440" w:lineRule="exact"/>
              <w:rPr>
                <w:rFonts w:hint="eastAsia" w:asciiTheme="minorEastAsia" w:hAnsiTheme="minorEastAsia" w:eastAsiaTheme="minorEastAsia" w:cstheme="minorEastAsia"/>
                <w:sz w:val="24"/>
                <w:szCs w:val="24"/>
              </w:rPr>
            </w:pPr>
          </w:p>
        </w:tc>
        <w:tc>
          <w:tcPr>
            <w:tcW w:w="806" w:type="dxa"/>
            <w:vAlign w:val="center"/>
          </w:tcPr>
          <w:p w14:paraId="1C378D93">
            <w:pPr>
              <w:spacing w:line="440" w:lineRule="exact"/>
              <w:rPr>
                <w:rFonts w:hint="eastAsia" w:asciiTheme="minorEastAsia" w:hAnsiTheme="minorEastAsia" w:eastAsiaTheme="minorEastAsia" w:cstheme="minorEastAsia"/>
                <w:sz w:val="24"/>
                <w:szCs w:val="24"/>
              </w:rPr>
            </w:pPr>
          </w:p>
        </w:tc>
        <w:tc>
          <w:tcPr>
            <w:tcW w:w="807" w:type="dxa"/>
            <w:vAlign w:val="center"/>
          </w:tcPr>
          <w:p w14:paraId="54568E0A">
            <w:pPr>
              <w:spacing w:line="440" w:lineRule="exact"/>
              <w:rPr>
                <w:rFonts w:hint="eastAsia" w:asciiTheme="minorEastAsia" w:hAnsiTheme="minorEastAsia" w:eastAsiaTheme="minorEastAsia" w:cstheme="minorEastAsia"/>
                <w:sz w:val="24"/>
                <w:szCs w:val="24"/>
              </w:rPr>
            </w:pPr>
          </w:p>
        </w:tc>
      </w:tr>
      <w:tr w14:paraId="6544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861" w:type="dxa"/>
            <w:gridSpan w:val="7"/>
            <w:vAlign w:val="center"/>
          </w:tcPr>
          <w:p w14:paraId="57ECAF52">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结论：是否通过初步评审</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初步评审合格后方可进入详细评审阶段</w:t>
            </w:r>
            <w:r>
              <w:rPr>
                <w:rFonts w:hint="eastAsia" w:asciiTheme="minorEastAsia" w:hAnsiTheme="minorEastAsia" w:eastAsiaTheme="minorEastAsia" w:cstheme="minorEastAsia"/>
                <w:b/>
                <w:sz w:val="24"/>
                <w:szCs w:val="24"/>
              </w:rPr>
              <w:t>）</w:t>
            </w:r>
          </w:p>
        </w:tc>
      </w:tr>
      <w:tr w14:paraId="6CEF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8861" w:type="dxa"/>
            <w:gridSpan w:val="7"/>
            <w:vAlign w:val="center"/>
          </w:tcPr>
          <w:p w14:paraId="7C27D933">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备注：如果磋商响应文件中有一项未通过上述审查标准，磋商小组将认定整个磋商响应文件不响应竞磋文件而予以投标无效，并且不允许供应商通过修改或撤销其不符合要求的差异或保留，使之成为具有响应性的投标。通过审核的以“√”标记；未通过的以“×”标记，并予以说明。</w:t>
            </w:r>
          </w:p>
        </w:tc>
      </w:tr>
    </w:tbl>
    <w:p w14:paraId="73009374">
      <w:pPr>
        <w:pStyle w:val="97"/>
        <w:numPr>
          <w:ilvl w:val="0"/>
          <w:numId w:val="4"/>
        </w:num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br w:type="page"/>
      </w:r>
      <w:bookmarkStart w:id="22" w:name="_Hlk521877884"/>
      <w:r>
        <w:rPr>
          <w:rFonts w:hint="eastAsia" w:asciiTheme="minorEastAsia" w:hAnsiTheme="minorEastAsia" w:eastAsiaTheme="minorEastAsia" w:cstheme="minorEastAsia"/>
          <w:b/>
          <w:sz w:val="24"/>
          <w:szCs w:val="24"/>
        </w:rPr>
        <w:t>详细评审</w:t>
      </w:r>
      <w:bookmarkEnd w:id="22"/>
      <w:r>
        <w:rPr>
          <w:rFonts w:hint="eastAsia" w:asciiTheme="minorEastAsia" w:hAnsiTheme="minorEastAsia" w:eastAsiaTheme="minorEastAsia" w:cstheme="minorEastAsia"/>
          <w:b/>
          <w:sz w:val="24"/>
          <w:szCs w:val="24"/>
          <w:lang w:val="en-US" w:eastAsia="zh-CN"/>
        </w:rPr>
        <w:t>标准</w:t>
      </w:r>
    </w:p>
    <w:tbl>
      <w:tblPr>
        <w:tblStyle w:val="30"/>
        <w:tblW w:w="852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6"/>
        <w:gridCol w:w="1445"/>
        <w:gridCol w:w="5096"/>
        <w:gridCol w:w="733"/>
      </w:tblGrid>
      <w:tr w14:paraId="7C54EB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246" w:type="dxa"/>
            <w:vAlign w:val="center"/>
          </w:tcPr>
          <w:p w14:paraId="5EFEB36E">
            <w:pPr>
              <w:pStyle w:val="109"/>
              <w:spacing w:line="400" w:lineRule="exact"/>
              <w:rPr>
                <w:rFonts w:ascii="宋体" w:hAnsi="宋体" w:cs="宋体"/>
                <w:b/>
                <w:bCs/>
                <w:color w:val="auto"/>
                <w:sz w:val="24"/>
                <w:szCs w:val="24"/>
              </w:rPr>
            </w:pPr>
            <w:r>
              <w:rPr>
                <w:rFonts w:hint="eastAsia" w:ascii="宋体" w:hAnsi="宋体" w:cs="宋体"/>
                <w:b/>
                <w:bCs/>
                <w:color w:val="auto"/>
                <w:sz w:val="24"/>
                <w:szCs w:val="24"/>
              </w:rPr>
              <w:t>评标项目</w:t>
            </w:r>
          </w:p>
        </w:tc>
        <w:tc>
          <w:tcPr>
            <w:tcW w:w="1445" w:type="dxa"/>
            <w:vAlign w:val="center"/>
          </w:tcPr>
          <w:p w14:paraId="41A79517">
            <w:pPr>
              <w:pStyle w:val="109"/>
              <w:spacing w:line="400" w:lineRule="exact"/>
              <w:rPr>
                <w:rFonts w:ascii="宋体" w:hAnsi="宋体" w:cs="宋体"/>
                <w:b/>
                <w:bCs/>
                <w:color w:val="auto"/>
                <w:sz w:val="24"/>
                <w:szCs w:val="24"/>
              </w:rPr>
            </w:pPr>
            <w:r>
              <w:rPr>
                <w:rFonts w:hint="eastAsia" w:ascii="宋体" w:hAnsi="宋体" w:cs="宋体"/>
                <w:b/>
                <w:bCs/>
                <w:color w:val="auto"/>
                <w:sz w:val="24"/>
                <w:szCs w:val="24"/>
              </w:rPr>
              <w:t>评标分项</w:t>
            </w:r>
          </w:p>
        </w:tc>
        <w:tc>
          <w:tcPr>
            <w:tcW w:w="5096" w:type="dxa"/>
            <w:vAlign w:val="center"/>
          </w:tcPr>
          <w:p w14:paraId="3D7118AB">
            <w:pPr>
              <w:pStyle w:val="109"/>
              <w:spacing w:line="400" w:lineRule="exact"/>
              <w:rPr>
                <w:rFonts w:ascii="宋体" w:hAnsi="宋体" w:cs="宋体"/>
                <w:b/>
                <w:bCs/>
                <w:color w:val="auto"/>
                <w:sz w:val="24"/>
                <w:szCs w:val="24"/>
              </w:rPr>
            </w:pPr>
            <w:r>
              <w:rPr>
                <w:rFonts w:hint="eastAsia" w:ascii="宋体" w:hAnsi="宋体" w:cs="宋体"/>
                <w:b/>
                <w:bCs/>
                <w:color w:val="auto"/>
                <w:sz w:val="24"/>
                <w:szCs w:val="24"/>
              </w:rPr>
              <w:t>评标分项</w:t>
            </w:r>
          </w:p>
        </w:tc>
        <w:tc>
          <w:tcPr>
            <w:tcW w:w="733" w:type="dxa"/>
            <w:vAlign w:val="center"/>
          </w:tcPr>
          <w:p w14:paraId="1CBE02A6">
            <w:pPr>
              <w:pStyle w:val="109"/>
              <w:spacing w:line="400" w:lineRule="exact"/>
              <w:rPr>
                <w:rFonts w:ascii="宋体" w:hAnsi="宋体" w:cs="宋体"/>
                <w:b/>
                <w:bCs/>
                <w:color w:val="auto"/>
                <w:sz w:val="24"/>
                <w:szCs w:val="24"/>
              </w:rPr>
            </w:pPr>
            <w:r>
              <w:rPr>
                <w:rFonts w:hint="eastAsia" w:ascii="宋体" w:hAnsi="宋体" w:cs="宋体"/>
                <w:b/>
                <w:bCs/>
                <w:color w:val="auto"/>
                <w:sz w:val="24"/>
                <w:szCs w:val="24"/>
              </w:rPr>
              <w:t>分值</w:t>
            </w:r>
          </w:p>
        </w:tc>
      </w:tr>
      <w:tr w14:paraId="3664BA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0" w:hRule="atLeast"/>
          <w:jc w:val="center"/>
        </w:trPr>
        <w:tc>
          <w:tcPr>
            <w:tcW w:w="1246" w:type="dxa"/>
            <w:vAlign w:val="center"/>
          </w:tcPr>
          <w:p w14:paraId="2BD97EAE">
            <w:pPr>
              <w:pStyle w:val="109"/>
              <w:spacing w:line="400" w:lineRule="exact"/>
              <w:rPr>
                <w:rFonts w:ascii="宋体" w:hAnsi="宋体" w:cs="宋体"/>
                <w:color w:val="auto"/>
                <w:sz w:val="24"/>
                <w:szCs w:val="24"/>
              </w:rPr>
            </w:pPr>
            <w:r>
              <w:rPr>
                <w:rFonts w:hint="eastAsia" w:ascii="宋体" w:hAnsi="宋体" w:cs="宋体"/>
                <w:color w:val="auto"/>
                <w:sz w:val="24"/>
                <w:szCs w:val="24"/>
              </w:rPr>
              <w:t>价格部分（10分）</w:t>
            </w:r>
          </w:p>
        </w:tc>
        <w:tc>
          <w:tcPr>
            <w:tcW w:w="1445" w:type="dxa"/>
            <w:vAlign w:val="center"/>
          </w:tcPr>
          <w:p w14:paraId="5FD46F00">
            <w:pPr>
              <w:pStyle w:val="109"/>
              <w:spacing w:line="400" w:lineRule="exact"/>
              <w:rPr>
                <w:rFonts w:ascii="宋体" w:hAnsi="宋体" w:cs="宋体"/>
                <w:color w:val="auto"/>
                <w:sz w:val="24"/>
                <w:szCs w:val="24"/>
              </w:rPr>
            </w:pPr>
            <w:r>
              <w:rPr>
                <w:rFonts w:hint="eastAsia" w:ascii="宋体" w:hAnsi="宋体" w:cs="宋体"/>
                <w:color w:val="auto"/>
                <w:sz w:val="24"/>
                <w:szCs w:val="24"/>
              </w:rPr>
              <w:t>投标报价</w:t>
            </w:r>
          </w:p>
        </w:tc>
        <w:tc>
          <w:tcPr>
            <w:tcW w:w="5096" w:type="dxa"/>
            <w:vAlign w:val="center"/>
          </w:tcPr>
          <w:p w14:paraId="66EE6790">
            <w:pPr>
              <w:pStyle w:val="109"/>
              <w:spacing w:line="360" w:lineRule="auto"/>
              <w:jc w:val="left"/>
              <w:rPr>
                <w:rFonts w:ascii="宋体" w:hAnsi="宋体" w:cs="宋体"/>
                <w:color w:val="auto"/>
                <w:sz w:val="24"/>
                <w:szCs w:val="24"/>
              </w:rPr>
            </w:pPr>
            <w:r>
              <w:rPr>
                <w:rFonts w:hint="eastAsia" w:ascii="宋体" w:hAnsi="宋体" w:cs="宋体"/>
                <w:color w:val="auto"/>
                <w:sz w:val="24"/>
                <w:szCs w:val="24"/>
              </w:rPr>
              <w:t>采用低价优先法计算，即满足招标文件要求且投标报价最低的价格为评标基准价，其价格分为满分。其他供应商的价格分统一按照下列公式计算：</w:t>
            </w:r>
          </w:p>
          <w:p w14:paraId="146F1F57">
            <w:pPr>
              <w:pStyle w:val="109"/>
              <w:spacing w:line="360" w:lineRule="auto"/>
              <w:jc w:val="left"/>
              <w:rPr>
                <w:rFonts w:ascii="宋体" w:hAnsi="宋体" w:cs="宋体"/>
                <w:color w:val="auto"/>
                <w:sz w:val="24"/>
                <w:szCs w:val="24"/>
              </w:rPr>
            </w:pPr>
            <w:r>
              <w:rPr>
                <w:rFonts w:hint="eastAsia" w:ascii="宋体" w:hAnsi="宋体" w:cs="宋体"/>
                <w:color w:val="auto"/>
                <w:sz w:val="24"/>
                <w:szCs w:val="24"/>
              </w:rPr>
              <w:t>投标报价得分=（评标基准价／投标报价）×价格权值×100（小数点保留两位）。项目评审过程中，不得去掉投标报价中的最高报价和最低报价。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tc>
        <w:tc>
          <w:tcPr>
            <w:tcW w:w="733" w:type="dxa"/>
            <w:vAlign w:val="center"/>
          </w:tcPr>
          <w:p w14:paraId="1C1A8CBC">
            <w:pPr>
              <w:pStyle w:val="109"/>
              <w:spacing w:line="400" w:lineRule="exact"/>
              <w:rPr>
                <w:rFonts w:ascii="宋体" w:hAnsi="宋体" w:cs="宋体"/>
                <w:color w:val="auto"/>
                <w:sz w:val="24"/>
                <w:szCs w:val="24"/>
              </w:rPr>
            </w:pPr>
            <w:r>
              <w:rPr>
                <w:rFonts w:hint="eastAsia" w:ascii="宋体" w:hAnsi="宋体" w:cs="宋体"/>
                <w:color w:val="auto"/>
                <w:sz w:val="24"/>
                <w:szCs w:val="24"/>
              </w:rPr>
              <w:t>10</w:t>
            </w:r>
          </w:p>
        </w:tc>
      </w:tr>
      <w:tr w14:paraId="6A3B16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restart"/>
            <w:vAlign w:val="center"/>
          </w:tcPr>
          <w:p w14:paraId="059226F1">
            <w:pPr>
              <w:pStyle w:val="109"/>
              <w:spacing w:line="400" w:lineRule="exact"/>
              <w:rPr>
                <w:rFonts w:ascii="宋体" w:hAnsi="宋体" w:cs="宋体"/>
                <w:color w:val="auto"/>
                <w:sz w:val="24"/>
                <w:szCs w:val="24"/>
              </w:rPr>
            </w:pPr>
            <w:r>
              <w:rPr>
                <w:rFonts w:hint="eastAsia" w:ascii="宋体" w:hAnsi="宋体" w:cs="宋体"/>
                <w:color w:val="auto"/>
                <w:sz w:val="24"/>
                <w:szCs w:val="24"/>
              </w:rPr>
              <w:t>商务部分（50分）</w:t>
            </w:r>
          </w:p>
        </w:tc>
        <w:tc>
          <w:tcPr>
            <w:tcW w:w="1445" w:type="dxa"/>
            <w:vAlign w:val="center"/>
          </w:tcPr>
          <w:p w14:paraId="2C39FEFD">
            <w:pPr>
              <w:pStyle w:val="109"/>
              <w:spacing w:line="400" w:lineRule="exact"/>
              <w:rPr>
                <w:rFonts w:ascii="宋体" w:hAnsi="宋体" w:cs="宋体"/>
                <w:color w:val="auto"/>
                <w:sz w:val="24"/>
                <w:szCs w:val="24"/>
              </w:rPr>
            </w:pPr>
            <w:r>
              <w:rPr>
                <w:rFonts w:hint="eastAsia" w:ascii="宋体" w:hAnsi="宋体" w:cs="宋体"/>
                <w:color w:val="auto"/>
                <w:sz w:val="24"/>
                <w:szCs w:val="24"/>
              </w:rPr>
              <w:t>企业业绩</w:t>
            </w:r>
          </w:p>
        </w:tc>
        <w:tc>
          <w:tcPr>
            <w:tcW w:w="5096" w:type="dxa"/>
            <w:vAlign w:val="center"/>
          </w:tcPr>
          <w:p w14:paraId="08A60DF0">
            <w:pPr>
              <w:pStyle w:val="109"/>
              <w:spacing w:line="360" w:lineRule="auto"/>
              <w:jc w:val="left"/>
              <w:rPr>
                <w:rFonts w:ascii="宋体" w:hAnsi="宋体" w:cs="宋体"/>
                <w:color w:val="auto"/>
                <w:sz w:val="24"/>
                <w:szCs w:val="24"/>
              </w:rPr>
            </w:pPr>
            <w:r>
              <w:rPr>
                <w:rFonts w:hint="eastAsia" w:ascii="宋体" w:hAnsi="宋体" w:cs="宋体"/>
                <w:color w:val="auto"/>
                <w:sz w:val="24"/>
                <w:szCs w:val="24"/>
              </w:rPr>
              <w:t>供应商提供近三年，具有类似项目案例，每提供一个得2分，满分6分。（业绩证明至少包含合同复印件或中标通知书，须提供合同的首页、金额页、盖章页,同一项目不重复计算。）未提供业绩证明材料或经评标委员会认定为无效业绩的，本项不得分。</w:t>
            </w:r>
          </w:p>
        </w:tc>
        <w:tc>
          <w:tcPr>
            <w:tcW w:w="733" w:type="dxa"/>
            <w:vAlign w:val="center"/>
          </w:tcPr>
          <w:p w14:paraId="712D0EC6">
            <w:pPr>
              <w:pStyle w:val="109"/>
              <w:spacing w:line="400" w:lineRule="exact"/>
              <w:rPr>
                <w:rFonts w:ascii="宋体" w:hAnsi="宋体" w:cs="宋体"/>
                <w:color w:val="auto"/>
                <w:sz w:val="24"/>
                <w:szCs w:val="24"/>
              </w:rPr>
            </w:pPr>
            <w:r>
              <w:rPr>
                <w:rFonts w:hint="eastAsia" w:ascii="宋体" w:hAnsi="宋体" w:cs="宋体"/>
                <w:color w:val="auto"/>
                <w:sz w:val="24"/>
                <w:szCs w:val="24"/>
              </w:rPr>
              <w:t>6</w:t>
            </w:r>
          </w:p>
        </w:tc>
      </w:tr>
      <w:tr w14:paraId="6C6288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vAlign w:val="center"/>
          </w:tcPr>
          <w:p w14:paraId="22E38235">
            <w:pPr>
              <w:pStyle w:val="109"/>
              <w:spacing w:line="400" w:lineRule="exact"/>
              <w:rPr>
                <w:rFonts w:ascii="宋体" w:hAnsi="宋体" w:cs="宋体"/>
                <w:color w:val="auto"/>
                <w:sz w:val="24"/>
                <w:szCs w:val="24"/>
              </w:rPr>
            </w:pPr>
          </w:p>
        </w:tc>
        <w:tc>
          <w:tcPr>
            <w:tcW w:w="1445" w:type="dxa"/>
            <w:vAlign w:val="center"/>
          </w:tcPr>
          <w:p w14:paraId="20157D45">
            <w:pPr>
              <w:jc w:val="center"/>
              <w:rPr>
                <w:rFonts w:ascii="宋体" w:hAnsi="宋体" w:cs="宋体"/>
                <w:color w:val="auto"/>
                <w:sz w:val="24"/>
                <w:szCs w:val="24"/>
              </w:rPr>
            </w:pPr>
            <w:r>
              <w:rPr>
                <w:rFonts w:hint="eastAsia" w:ascii="仿宋" w:hAnsi="仿宋" w:cs="仿宋"/>
                <w:color w:val="auto"/>
                <w:sz w:val="24"/>
                <w:szCs w:val="24"/>
              </w:rPr>
              <w:t>企业实力</w:t>
            </w:r>
          </w:p>
        </w:tc>
        <w:tc>
          <w:tcPr>
            <w:tcW w:w="5096" w:type="dxa"/>
            <w:vAlign w:val="center"/>
          </w:tcPr>
          <w:p w14:paraId="514B6158">
            <w:pPr>
              <w:pStyle w:val="109"/>
              <w:spacing w:line="360" w:lineRule="auto"/>
              <w:jc w:val="left"/>
              <w:rPr>
                <w:rFonts w:ascii="宋体" w:hAnsi="宋体" w:cs="宋体"/>
                <w:color w:val="auto"/>
                <w:sz w:val="24"/>
                <w:szCs w:val="24"/>
              </w:rPr>
            </w:pPr>
            <w:r>
              <w:rPr>
                <w:rFonts w:hint="eastAsia" w:ascii="宋体" w:hAnsi="宋体" w:cs="宋体"/>
                <w:color w:val="auto"/>
                <w:sz w:val="24"/>
                <w:szCs w:val="24"/>
              </w:rPr>
              <w:t>1、提供信息安全服务资质-风险评估认证证书（三级）及以上证书得3分，否则不得分；</w:t>
            </w:r>
          </w:p>
          <w:p w14:paraId="3AB965E1">
            <w:pPr>
              <w:pStyle w:val="109"/>
              <w:spacing w:line="360" w:lineRule="auto"/>
              <w:jc w:val="left"/>
              <w:rPr>
                <w:rFonts w:ascii="宋体" w:hAnsi="宋体" w:cs="宋体"/>
                <w:color w:val="auto"/>
                <w:sz w:val="24"/>
                <w:szCs w:val="24"/>
              </w:rPr>
            </w:pPr>
            <w:r>
              <w:rPr>
                <w:rFonts w:hint="eastAsia" w:ascii="宋体" w:hAnsi="宋体" w:cs="宋体"/>
                <w:color w:val="auto"/>
                <w:sz w:val="24"/>
                <w:szCs w:val="24"/>
              </w:rPr>
              <w:t>2、提供信息技术服务管理体系认证ISO/IEC20000-1:2018(向外部顾客提供数据安全防护系统软件运维服务相关的信息技术服务管理活动)的得3分，否则不得分；</w:t>
            </w:r>
          </w:p>
          <w:p w14:paraId="27968C57">
            <w:pPr>
              <w:pStyle w:val="109"/>
              <w:spacing w:line="360" w:lineRule="auto"/>
              <w:jc w:val="left"/>
              <w:rPr>
                <w:rFonts w:ascii="宋体" w:hAnsi="宋体" w:cs="宋体"/>
                <w:color w:val="auto"/>
                <w:sz w:val="24"/>
                <w:szCs w:val="24"/>
              </w:rPr>
            </w:pPr>
            <w:r>
              <w:rPr>
                <w:rFonts w:hint="eastAsia" w:ascii="宋体" w:hAnsi="宋体" w:cs="宋体"/>
                <w:color w:val="auto"/>
                <w:sz w:val="24"/>
                <w:szCs w:val="24"/>
              </w:rPr>
              <w:t>3、提供ISO14001环境管理体系证书的得3分，否则不得分；</w:t>
            </w:r>
          </w:p>
          <w:p w14:paraId="5997EF52">
            <w:pPr>
              <w:pStyle w:val="109"/>
              <w:spacing w:line="360" w:lineRule="auto"/>
              <w:jc w:val="left"/>
              <w:rPr>
                <w:rFonts w:ascii="宋体" w:hAnsi="宋体" w:cs="宋体"/>
                <w:color w:val="auto"/>
                <w:sz w:val="24"/>
                <w:szCs w:val="24"/>
              </w:rPr>
            </w:pPr>
            <w:r>
              <w:rPr>
                <w:rFonts w:hint="eastAsia" w:ascii="宋体" w:hAnsi="宋体" w:cs="宋体"/>
                <w:color w:val="auto"/>
                <w:sz w:val="24"/>
                <w:szCs w:val="24"/>
              </w:rPr>
              <w:t>4、提供ISO27001信息安全管理体系认证证书得3分，否则不得分；</w:t>
            </w:r>
          </w:p>
          <w:p w14:paraId="5FCB5FFA">
            <w:pPr>
              <w:pStyle w:val="109"/>
              <w:spacing w:line="360" w:lineRule="auto"/>
              <w:jc w:val="left"/>
              <w:rPr>
                <w:rFonts w:ascii="宋体" w:hAnsi="宋体" w:cs="宋体"/>
                <w:color w:val="auto"/>
                <w:sz w:val="24"/>
                <w:szCs w:val="24"/>
              </w:rPr>
            </w:pPr>
            <w:r>
              <w:rPr>
                <w:rFonts w:hint="eastAsia" w:ascii="宋体" w:hAnsi="宋体" w:cs="宋体"/>
                <w:color w:val="auto"/>
                <w:sz w:val="24"/>
                <w:szCs w:val="24"/>
              </w:rPr>
              <w:t>5.提供知识产权管理体系认证证书-IPMS得5分，否则不得分；</w:t>
            </w:r>
          </w:p>
          <w:p w14:paraId="57F896EB">
            <w:pPr>
              <w:pStyle w:val="109"/>
              <w:spacing w:line="360" w:lineRule="auto"/>
              <w:jc w:val="left"/>
              <w:rPr>
                <w:rFonts w:ascii="宋体" w:hAnsi="宋体" w:cs="宋体"/>
                <w:color w:val="auto"/>
                <w:sz w:val="24"/>
                <w:szCs w:val="24"/>
                <w:highlight w:val="cyan"/>
              </w:rPr>
            </w:pPr>
            <w:r>
              <w:rPr>
                <w:rFonts w:hint="eastAsia" w:ascii="宋体" w:hAnsi="宋体" w:cs="宋体"/>
                <w:color w:val="auto"/>
                <w:sz w:val="24"/>
                <w:szCs w:val="24"/>
              </w:rPr>
              <w:t>6、供应商提供职业健康安全管理体系认证ISO45001，得3分否则不得分。</w:t>
            </w:r>
          </w:p>
        </w:tc>
        <w:tc>
          <w:tcPr>
            <w:tcW w:w="733" w:type="dxa"/>
            <w:vAlign w:val="center"/>
          </w:tcPr>
          <w:p w14:paraId="1B89F605">
            <w:pPr>
              <w:jc w:val="center"/>
              <w:rPr>
                <w:rFonts w:ascii="宋体" w:hAnsi="宋体" w:cs="宋体"/>
                <w:color w:val="auto"/>
                <w:sz w:val="24"/>
                <w:szCs w:val="24"/>
              </w:rPr>
            </w:pPr>
            <w:r>
              <w:rPr>
                <w:rFonts w:hint="eastAsia" w:ascii="宋体" w:hAnsi="宋体" w:cs="宋体"/>
                <w:color w:val="auto"/>
                <w:sz w:val="24"/>
                <w:szCs w:val="24"/>
              </w:rPr>
              <w:t>20</w:t>
            </w:r>
          </w:p>
        </w:tc>
      </w:tr>
      <w:tr w14:paraId="6C0E96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vAlign w:val="center"/>
          </w:tcPr>
          <w:p w14:paraId="7486683B">
            <w:pPr>
              <w:pStyle w:val="109"/>
              <w:spacing w:line="400" w:lineRule="exact"/>
              <w:rPr>
                <w:rFonts w:ascii="宋体" w:hAnsi="宋体" w:cs="宋体"/>
                <w:color w:val="auto"/>
                <w:sz w:val="24"/>
                <w:szCs w:val="24"/>
              </w:rPr>
            </w:pPr>
          </w:p>
        </w:tc>
        <w:tc>
          <w:tcPr>
            <w:tcW w:w="1445" w:type="dxa"/>
            <w:vAlign w:val="center"/>
          </w:tcPr>
          <w:p w14:paraId="623C6BC4">
            <w:pPr>
              <w:jc w:val="center"/>
              <w:rPr>
                <w:rFonts w:ascii="宋体" w:hAnsi="宋体" w:cs="宋体"/>
                <w:color w:val="auto"/>
                <w:sz w:val="24"/>
                <w:szCs w:val="24"/>
              </w:rPr>
            </w:pPr>
            <w:r>
              <w:rPr>
                <w:rFonts w:hint="eastAsia" w:ascii="宋体" w:hAnsi="宋体" w:cs="宋体"/>
                <w:color w:val="auto"/>
                <w:sz w:val="24"/>
              </w:rPr>
              <w:t>项目负责人情况</w:t>
            </w:r>
          </w:p>
        </w:tc>
        <w:tc>
          <w:tcPr>
            <w:tcW w:w="5096" w:type="dxa"/>
            <w:vAlign w:val="center"/>
          </w:tcPr>
          <w:p w14:paraId="1233F808">
            <w:pPr>
              <w:spacing w:line="360" w:lineRule="auto"/>
              <w:rPr>
                <w:rFonts w:ascii="宋体" w:hAnsi="宋体" w:cs="宋体"/>
                <w:color w:val="auto"/>
                <w:sz w:val="24"/>
              </w:rPr>
            </w:pPr>
            <w:r>
              <w:rPr>
                <w:rFonts w:hint="eastAsia" w:ascii="宋体" w:hAnsi="宋体" w:cs="宋体"/>
                <w:color w:val="auto"/>
                <w:sz w:val="24"/>
              </w:rPr>
              <w:t>1、项目经理获得软考信息系统项目管理师（高级）认证，得5分；</w:t>
            </w:r>
          </w:p>
          <w:p w14:paraId="7B5C1AA8">
            <w:pPr>
              <w:spacing w:line="360" w:lineRule="auto"/>
              <w:rPr>
                <w:rFonts w:ascii="宋体" w:hAnsi="宋体" w:cs="宋体"/>
                <w:color w:val="auto"/>
                <w:sz w:val="24"/>
              </w:rPr>
            </w:pPr>
            <w:r>
              <w:rPr>
                <w:rFonts w:hint="eastAsia" w:ascii="宋体" w:hAnsi="宋体" w:cs="宋体"/>
                <w:color w:val="auto"/>
                <w:sz w:val="24"/>
              </w:rPr>
              <w:t>2、项目经理获得软考信息安全工程师得2分；</w:t>
            </w:r>
          </w:p>
          <w:p w14:paraId="1F11053B">
            <w:pPr>
              <w:spacing w:line="360" w:lineRule="auto"/>
              <w:rPr>
                <w:rFonts w:ascii="宋体" w:hAnsi="宋体" w:cs="宋体"/>
                <w:color w:val="auto"/>
                <w:sz w:val="24"/>
              </w:rPr>
            </w:pPr>
            <w:r>
              <w:rPr>
                <w:rFonts w:hint="eastAsia" w:ascii="宋体" w:hAnsi="宋体" w:cs="宋体"/>
                <w:color w:val="auto"/>
                <w:sz w:val="24"/>
              </w:rPr>
              <w:t>3、项目经理获得软考网络工程师2分；</w:t>
            </w:r>
          </w:p>
          <w:p w14:paraId="5586CD5E">
            <w:pPr>
              <w:spacing w:line="360" w:lineRule="auto"/>
              <w:rPr>
                <w:rFonts w:ascii="宋体" w:hAnsi="宋体" w:cs="宋体"/>
                <w:color w:val="auto"/>
                <w:sz w:val="24"/>
              </w:rPr>
            </w:pPr>
            <w:r>
              <w:rPr>
                <w:rFonts w:hint="eastAsia" w:ascii="宋体" w:hAnsi="宋体" w:cs="宋体"/>
                <w:color w:val="auto"/>
                <w:sz w:val="24"/>
              </w:rPr>
              <w:t>4、项目经理具备CISSP信息安全专家认证得3分；</w:t>
            </w:r>
          </w:p>
          <w:p w14:paraId="3CC188C1">
            <w:pPr>
              <w:pStyle w:val="2"/>
              <w:ind w:left="0"/>
              <w:rPr>
                <w:rFonts w:ascii="宋体" w:hAnsi="宋体" w:cs="宋体"/>
                <w:color w:val="auto"/>
                <w:sz w:val="24"/>
              </w:rPr>
            </w:pPr>
            <w:r>
              <w:rPr>
                <w:rFonts w:hint="eastAsia" w:ascii="宋体" w:hAnsi="宋体" w:cs="宋体"/>
                <w:color w:val="auto"/>
                <w:sz w:val="24"/>
              </w:rPr>
              <w:t>注：项目经理须提供在本公司任职近三个月的社保证明文件</w:t>
            </w:r>
          </w:p>
        </w:tc>
        <w:tc>
          <w:tcPr>
            <w:tcW w:w="733" w:type="dxa"/>
            <w:vAlign w:val="center"/>
          </w:tcPr>
          <w:p w14:paraId="74F03A9B">
            <w:pPr>
              <w:jc w:val="center"/>
              <w:rPr>
                <w:rFonts w:ascii="宋体" w:hAnsi="宋体" w:cs="宋体"/>
                <w:color w:val="auto"/>
                <w:sz w:val="24"/>
                <w:szCs w:val="24"/>
              </w:rPr>
            </w:pPr>
            <w:r>
              <w:rPr>
                <w:rFonts w:hint="eastAsia" w:ascii="宋体" w:hAnsi="宋体" w:cs="宋体"/>
                <w:color w:val="auto"/>
                <w:kern w:val="0"/>
                <w:sz w:val="22"/>
              </w:rPr>
              <w:t>12</w:t>
            </w:r>
          </w:p>
        </w:tc>
      </w:tr>
      <w:tr w14:paraId="022855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72" w:hRule="atLeast"/>
          <w:jc w:val="center"/>
        </w:trPr>
        <w:tc>
          <w:tcPr>
            <w:tcW w:w="1246" w:type="dxa"/>
            <w:vMerge w:val="continue"/>
            <w:vAlign w:val="center"/>
          </w:tcPr>
          <w:p w14:paraId="2FA83498">
            <w:pPr>
              <w:pStyle w:val="109"/>
              <w:spacing w:line="400" w:lineRule="exact"/>
              <w:rPr>
                <w:rFonts w:ascii="宋体" w:hAnsi="宋体" w:cs="宋体"/>
                <w:color w:val="auto"/>
                <w:sz w:val="24"/>
                <w:szCs w:val="24"/>
              </w:rPr>
            </w:pPr>
          </w:p>
        </w:tc>
        <w:tc>
          <w:tcPr>
            <w:tcW w:w="1445" w:type="dxa"/>
            <w:vAlign w:val="center"/>
          </w:tcPr>
          <w:p w14:paraId="5A9048B7">
            <w:pPr>
              <w:widowControl/>
              <w:jc w:val="center"/>
              <w:rPr>
                <w:rFonts w:ascii="宋体" w:hAnsi="宋体" w:cs="宋体"/>
                <w:color w:val="auto"/>
                <w:sz w:val="24"/>
                <w:szCs w:val="24"/>
              </w:rPr>
            </w:pPr>
            <w:r>
              <w:rPr>
                <w:rFonts w:hint="eastAsia" w:ascii="宋体" w:hAnsi="宋体" w:cs="宋体"/>
                <w:color w:val="auto"/>
                <w:sz w:val="24"/>
              </w:rPr>
              <w:t>项目小组人员情况</w:t>
            </w:r>
          </w:p>
        </w:tc>
        <w:tc>
          <w:tcPr>
            <w:tcW w:w="5096" w:type="dxa"/>
            <w:vAlign w:val="center"/>
          </w:tcPr>
          <w:p w14:paraId="179CE3E3">
            <w:pPr>
              <w:spacing w:line="360" w:lineRule="auto"/>
              <w:rPr>
                <w:rFonts w:ascii="宋体" w:hAnsi="宋体" w:cs="宋体"/>
                <w:color w:val="auto"/>
                <w:sz w:val="24"/>
              </w:rPr>
            </w:pPr>
            <w:r>
              <w:rPr>
                <w:rFonts w:hint="eastAsia" w:ascii="宋体" w:hAnsi="宋体" w:cs="宋体"/>
                <w:color w:val="auto"/>
                <w:sz w:val="24"/>
              </w:rPr>
              <w:t>拟派本项目的现场实施人员资质（需提供名单）：</w:t>
            </w:r>
          </w:p>
          <w:p w14:paraId="40570452">
            <w:pPr>
              <w:spacing w:line="360" w:lineRule="auto"/>
              <w:rPr>
                <w:rFonts w:ascii="宋体" w:hAnsi="宋体" w:cs="宋体"/>
                <w:color w:val="auto"/>
                <w:sz w:val="24"/>
              </w:rPr>
            </w:pPr>
            <w:r>
              <w:rPr>
                <w:rFonts w:hint="eastAsia" w:ascii="宋体" w:hAnsi="宋体" w:cs="宋体"/>
                <w:color w:val="auto"/>
                <w:sz w:val="24"/>
              </w:rPr>
              <w:t>具有中国信息安全测评中心颁发的注册数据安全治理专业人员认证（即CISP-DSG证书），每增加1人得2分，最高6分；</w:t>
            </w:r>
          </w:p>
          <w:p w14:paraId="19CCC1B6">
            <w:pPr>
              <w:spacing w:line="360" w:lineRule="auto"/>
              <w:rPr>
                <w:rFonts w:ascii="宋体" w:hAnsi="宋体" w:cs="宋体"/>
                <w:color w:val="auto"/>
                <w:sz w:val="24"/>
              </w:rPr>
            </w:pPr>
            <w:r>
              <w:rPr>
                <w:rFonts w:hint="eastAsia" w:ascii="宋体" w:hAnsi="宋体" w:cs="宋体"/>
                <w:color w:val="auto"/>
                <w:sz w:val="24"/>
              </w:rPr>
              <w:t>2、具有数据安全官证书CCRC-DSO（数据安全管）1人得2分，最高2分；</w:t>
            </w:r>
          </w:p>
          <w:p w14:paraId="3B75AAD7">
            <w:pPr>
              <w:spacing w:line="360" w:lineRule="auto"/>
              <w:rPr>
                <w:rFonts w:hint="eastAsia" w:ascii="宋体" w:hAnsi="宋体" w:cs="宋体"/>
                <w:color w:val="auto"/>
                <w:sz w:val="24"/>
              </w:rPr>
            </w:pPr>
            <w:r>
              <w:rPr>
                <w:rFonts w:hint="eastAsia" w:ascii="宋体" w:hAnsi="宋体" w:cs="宋体"/>
                <w:color w:val="auto"/>
                <w:sz w:val="24"/>
              </w:rPr>
              <w:t>3、具有信息安全工程师资格证书1人得2分，最高2分；</w:t>
            </w:r>
          </w:p>
          <w:p w14:paraId="73315E53">
            <w:pPr>
              <w:spacing w:line="360" w:lineRule="auto"/>
              <w:rPr>
                <w:rFonts w:ascii="宋体" w:hAnsi="宋体" w:cs="宋体"/>
                <w:color w:val="auto"/>
                <w:sz w:val="24"/>
              </w:rPr>
            </w:pPr>
            <w:r>
              <w:rPr>
                <w:rFonts w:hint="eastAsia"/>
                <w:color w:val="auto"/>
              </w:rPr>
              <w:t>4、</w:t>
            </w:r>
            <w:r>
              <w:rPr>
                <w:rFonts w:hint="eastAsia" w:ascii="宋体" w:hAnsi="宋体" w:cs="宋体"/>
                <w:color w:val="auto"/>
                <w:sz w:val="24"/>
              </w:rPr>
              <w:t>具有注册信息安全管理人员</w:t>
            </w:r>
            <w:r>
              <w:rPr>
                <w:rFonts w:ascii="宋体" w:hAnsi="宋体" w:cs="宋体"/>
                <w:color w:val="auto"/>
                <w:sz w:val="24"/>
              </w:rPr>
              <w:t>CISP-CISO证书</w:t>
            </w:r>
            <w:r>
              <w:rPr>
                <w:rFonts w:hint="eastAsia" w:ascii="宋体" w:hAnsi="宋体" w:cs="宋体"/>
                <w:color w:val="auto"/>
                <w:sz w:val="24"/>
              </w:rPr>
              <w:t>1人得2分，最高2分；</w:t>
            </w:r>
          </w:p>
          <w:p w14:paraId="2B1AA6C7">
            <w:pPr>
              <w:pStyle w:val="2"/>
              <w:ind w:left="0"/>
              <w:rPr>
                <w:rFonts w:ascii="宋体" w:hAnsi="宋体" w:cs="宋体"/>
                <w:color w:val="auto"/>
                <w:sz w:val="24"/>
              </w:rPr>
            </w:pPr>
            <w:r>
              <w:rPr>
                <w:rFonts w:hint="eastAsia" w:ascii="宋体" w:hAnsi="宋体" w:cs="宋体"/>
                <w:color w:val="auto"/>
                <w:sz w:val="24"/>
              </w:rPr>
              <w:t>注：以上人员须提供在本公司任职近三个月的社保证明文件。</w:t>
            </w:r>
          </w:p>
        </w:tc>
        <w:tc>
          <w:tcPr>
            <w:tcW w:w="733" w:type="dxa"/>
            <w:vAlign w:val="center"/>
          </w:tcPr>
          <w:p w14:paraId="0FB3EF20">
            <w:pPr>
              <w:widowControl/>
              <w:jc w:val="center"/>
              <w:rPr>
                <w:rFonts w:ascii="宋体" w:hAnsi="宋体" w:cs="宋体"/>
                <w:color w:val="auto"/>
                <w:sz w:val="24"/>
                <w:szCs w:val="24"/>
              </w:rPr>
            </w:pPr>
            <w:r>
              <w:rPr>
                <w:rFonts w:hint="eastAsia" w:ascii="宋体" w:hAnsi="宋体" w:cs="宋体"/>
                <w:color w:val="auto"/>
                <w:kern w:val="0"/>
                <w:sz w:val="22"/>
              </w:rPr>
              <w:t>12</w:t>
            </w:r>
          </w:p>
        </w:tc>
      </w:tr>
      <w:tr w14:paraId="59608F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6" w:hRule="atLeast"/>
          <w:jc w:val="center"/>
        </w:trPr>
        <w:tc>
          <w:tcPr>
            <w:tcW w:w="1246" w:type="dxa"/>
            <w:vMerge w:val="restart"/>
            <w:vAlign w:val="center"/>
          </w:tcPr>
          <w:p w14:paraId="19128E5A">
            <w:pPr>
              <w:pStyle w:val="109"/>
              <w:spacing w:line="400" w:lineRule="exact"/>
              <w:rPr>
                <w:rFonts w:ascii="宋体" w:hAnsi="宋体" w:cs="宋体"/>
                <w:color w:val="auto"/>
                <w:sz w:val="24"/>
                <w:szCs w:val="24"/>
              </w:rPr>
            </w:pPr>
            <w:r>
              <w:rPr>
                <w:rFonts w:hint="eastAsia" w:ascii="宋体" w:hAnsi="宋体" w:cs="宋体"/>
                <w:color w:val="auto"/>
                <w:sz w:val="24"/>
                <w:szCs w:val="24"/>
              </w:rPr>
              <w:t>技术部分（40分）</w:t>
            </w:r>
          </w:p>
        </w:tc>
        <w:tc>
          <w:tcPr>
            <w:tcW w:w="1445" w:type="dxa"/>
            <w:vAlign w:val="center"/>
          </w:tcPr>
          <w:p w14:paraId="609485D7">
            <w:pPr>
              <w:pStyle w:val="109"/>
              <w:spacing w:line="400" w:lineRule="exact"/>
              <w:rPr>
                <w:rFonts w:ascii="宋体" w:hAnsi="宋体" w:cs="宋体"/>
                <w:color w:val="auto"/>
                <w:sz w:val="24"/>
                <w:szCs w:val="24"/>
              </w:rPr>
            </w:pPr>
            <w:r>
              <w:rPr>
                <w:rFonts w:hint="eastAsia" w:ascii="宋体" w:hAnsi="宋体" w:cs="宋体"/>
                <w:color w:val="auto"/>
                <w:sz w:val="24"/>
                <w:szCs w:val="24"/>
              </w:rPr>
              <w:t>技术响应</w:t>
            </w:r>
          </w:p>
        </w:tc>
        <w:tc>
          <w:tcPr>
            <w:tcW w:w="5096" w:type="dxa"/>
            <w:vAlign w:val="center"/>
          </w:tcPr>
          <w:p w14:paraId="61BCBEE5">
            <w:pPr>
              <w:pStyle w:val="109"/>
              <w:spacing w:line="360" w:lineRule="auto"/>
              <w:jc w:val="left"/>
              <w:rPr>
                <w:rFonts w:ascii="宋体" w:hAnsi="宋体" w:cs="宋体"/>
                <w:color w:val="auto"/>
                <w:sz w:val="24"/>
                <w:szCs w:val="24"/>
              </w:rPr>
            </w:pPr>
            <w:r>
              <w:rPr>
                <w:rFonts w:hint="eastAsia" w:ascii="宋体" w:hAnsi="宋体" w:cs="宋体"/>
                <w:color w:val="auto"/>
                <w:sz w:val="24"/>
                <w:szCs w:val="24"/>
              </w:rPr>
              <w:t>所投产品技术参数完全符合招标文件采购需求的要求，得10分。技术参数</w:t>
            </w:r>
            <w:r>
              <w:rPr>
                <w:rFonts w:hint="eastAsia" w:ascii="仿宋" w:hAnsi="仿宋" w:cs="仿宋"/>
                <w:color w:val="auto"/>
                <w:sz w:val="24"/>
                <w:szCs w:val="24"/>
              </w:rPr>
              <w:t>“</w:t>
            </w:r>
            <w:r>
              <w:rPr>
                <w:rFonts w:hint="eastAsia" w:ascii="宋体" w:hAnsi="宋体" w:cs="宋体"/>
                <w:color w:val="auto"/>
                <w:sz w:val="24"/>
                <w:szCs w:val="24"/>
              </w:rPr>
              <w:t>★</w:t>
            </w:r>
            <w:r>
              <w:rPr>
                <w:rFonts w:hint="eastAsia" w:ascii="仿宋" w:hAnsi="仿宋" w:cs="仿宋"/>
                <w:color w:val="auto"/>
                <w:sz w:val="24"/>
                <w:szCs w:val="24"/>
              </w:rPr>
              <w:t>”条款的</w:t>
            </w:r>
            <w:r>
              <w:rPr>
                <w:rFonts w:hint="eastAsia" w:ascii="宋体" w:hAnsi="宋体" w:cs="宋体"/>
                <w:color w:val="auto"/>
                <w:sz w:val="24"/>
                <w:szCs w:val="24"/>
              </w:rPr>
              <w:t>有一项不满足扣1分，扣完为止。其他条款不满足扣0.5分，扣完为止。</w:t>
            </w:r>
          </w:p>
          <w:p w14:paraId="6A978CE7">
            <w:pPr>
              <w:pStyle w:val="109"/>
              <w:spacing w:line="360" w:lineRule="auto"/>
              <w:jc w:val="left"/>
              <w:rPr>
                <w:rFonts w:ascii="宋体" w:hAnsi="宋体" w:cs="宋体"/>
                <w:color w:val="auto"/>
                <w:sz w:val="24"/>
                <w:szCs w:val="24"/>
              </w:rPr>
            </w:pPr>
            <w:r>
              <w:rPr>
                <w:rFonts w:hint="eastAsia" w:ascii="宋体" w:hAnsi="宋体" w:cs="宋体"/>
                <w:color w:val="auto"/>
                <w:sz w:val="24"/>
                <w:szCs w:val="24"/>
              </w:rPr>
              <w:t>注：投标人须对本招标文件</w:t>
            </w:r>
            <w:r>
              <w:rPr>
                <w:rFonts w:ascii="宋体" w:hAnsi="宋体" w:cs="宋体"/>
                <w:color w:val="auto"/>
                <w:sz w:val="24"/>
                <w:szCs w:val="24"/>
              </w:rPr>
              <w:t>技术要求进行点对点应答，必须在引用本招标文件的基础上</w:t>
            </w:r>
            <w:r>
              <w:rPr>
                <w:rFonts w:hint="eastAsia" w:ascii="宋体" w:hAnsi="宋体" w:cs="宋体"/>
                <w:color w:val="auto"/>
                <w:sz w:val="24"/>
                <w:szCs w:val="24"/>
              </w:rPr>
              <w:t>，</w:t>
            </w:r>
            <w:r>
              <w:rPr>
                <w:rFonts w:ascii="宋体" w:hAnsi="宋体" w:cs="宋体"/>
                <w:color w:val="auto"/>
                <w:sz w:val="24"/>
                <w:szCs w:val="24"/>
              </w:rPr>
              <w:t>进行逐条逐项答复、说明和解释</w:t>
            </w:r>
            <w:r>
              <w:rPr>
                <w:rFonts w:hint="eastAsia" w:ascii="宋体" w:hAnsi="宋体" w:cs="宋体"/>
                <w:color w:val="auto"/>
                <w:sz w:val="24"/>
                <w:szCs w:val="24"/>
              </w:rPr>
              <w:t>，</w:t>
            </w:r>
            <w:r>
              <w:rPr>
                <w:rFonts w:ascii="宋体" w:hAnsi="宋体" w:cs="宋体"/>
                <w:color w:val="auto"/>
                <w:sz w:val="24"/>
                <w:szCs w:val="24"/>
              </w:rPr>
              <w:t>特别对有具体参数要求的指标，投标人必须提供所投</w:t>
            </w:r>
            <w:r>
              <w:rPr>
                <w:rFonts w:hint="eastAsia" w:ascii="宋体" w:hAnsi="宋体" w:cs="宋体"/>
                <w:color w:val="auto"/>
                <w:sz w:val="24"/>
                <w:szCs w:val="24"/>
              </w:rPr>
              <w:t>产品对应的证明材料，若未提供有效证明材料则该参数将被视为负偏离。</w:t>
            </w:r>
          </w:p>
        </w:tc>
        <w:tc>
          <w:tcPr>
            <w:tcW w:w="733" w:type="dxa"/>
            <w:vAlign w:val="center"/>
          </w:tcPr>
          <w:p w14:paraId="1A0894D6">
            <w:pPr>
              <w:pStyle w:val="109"/>
              <w:spacing w:line="400" w:lineRule="exact"/>
              <w:rPr>
                <w:rFonts w:ascii="宋体" w:hAnsi="宋体" w:cs="宋体"/>
                <w:color w:val="auto"/>
                <w:sz w:val="24"/>
                <w:szCs w:val="24"/>
              </w:rPr>
            </w:pPr>
            <w:r>
              <w:rPr>
                <w:rFonts w:hint="eastAsia" w:ascii="宋体" w:hAnsi="宋体" w:cs="宋体"/>
                <w:color w:val="auto"/>
                <w:sz w:val="24"/>
                <w:szCs w:val="24"/>
              </w:rPr>
              <w:t>10</w:t>
            </w:r>
          </w:p>
        </w:tc>
      </w:tr>
      <w:tr w14:paraId="0D1DDD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continue"/>
            <w:vAlign w:val="center"/>
          </w:tcPr>
          <w:p w14:paraId="47FD7AB1">
            <w:pPr>
              <w:pStyle w:val="109"/>
              <w:spacing w:line="400" w:lineRule="exact"/>
              <w:rPr>
                <w:rFonts w:ascii="宋体" w:hAnsi="宋体" w:cs="宋体"/>
                <w:color w:val="auto"/>
                <w:sz w:val="24"/>
                <w:szCs w:val="24"/>
              </w:rPr>
            </w:pPr>
          </w:p>
        </w:tc>
        <w:tc>
          <w:tcPr>
            <w:tcW w:w="1445" w:type="dxa"/>
            <w:vAlign w:val="center"/>
          </w:tcPr>
          <w:p w14:paraId="0D7DB8F5">
            <w:pPr>
              <w:pStyle w:val="109"/>
              <w:spacing w:line="400" w:lineRule="exact"/>
              <w:rPr>
                <w:rFonts w:ascii="宋体" w:hAnsi="宋体" w:cs="宋体"/>
                <w:color w:val="auto"/>
                <w:sz w:val="24"/>
                <w:szCs w:val="24"/>
              </w:rPr>
            </w:pPr>
            <w:r>
              <w:rPr>
                <w:rFonts w:hint="eastAsia" w:ascii="宋体" w:hAnsi="宋体" w:cs="宋体"/>
                <w:color w:val="auto"/>
                <w:sz w:val="24"/>
                <w:szCs w:val="24"/>
              </w:rPr>
              <w:t>项目服务方案</w:t>
            </w:r>
          </w:p>
        </w:tc>
        <w:tc>
          <w:tcPr>
            <w:tcW w:w="5096" w:type="dxa"/>
            <w:vAlign w:val="center"/>
          </w:tcPr>
          <w:p w14:paraId="1C25031F">
            <w:pPr>
              <w:pStyle w:val="109"/>
              <w:spacing w:line="360" w:lineRule="auto"/>
              <w:jc w:val="left"/>
              <w:rPr>
                <w:rFonts w:ascii="宋体" w:hAnsi="宋体" w:cs="宋体"/>
                <w:color w:val="auto"/>
                <w:sz w:val="24"/>
                <w:szCs w:val="24"/>
              </w:rPr>
            </w:pPr>
            <w:r>
              <w:rPr>
                <w:rFonts w:hint="eastAsia" w:ascii="宋体" w:hAnsi="宋体" w:cs="宋体"/>
                <w:color w:val="auto"/>
                <w:sz w:val="24"/>
                <w:szCs w:val="24"/>
              </w:rPr>
              <w:t>根据供应商对本项目（1）项目重难点分析；（2）组织管理保障方案；（3）质量保障措施；（4）组织调研方案、时间进度计划；（5）进度保障控制和目标。</w:t>
            </w:r>
          </w:p>
          <w:p w14:paraId="53CEEB06">
            <w:pPr>
              <w:pStyle w:val="109"/>
              <w:spacing w:line="360" w:lineRule="auto"/>
              <w:jc w:val="left"/>
              <w:rPr>
                <w:rFonts w:ascii="宋体" w:hAnsi="宋体" w:cs="宋体"/>
                <w:color w:val="auto"/>
                <w:sz w:val="24"/>
                <w:szCs w:val="24"/>
              </w:rPr>
            </w:pPr>
            <w:r>
              <w:rPr>
                <w:rFonts w:hint="eastAsia" w:ascii="宋体" w:hAnsi="宋体" w:cs="宋体"/>
                <w:color w:val="auto"/>
                <w:sz w:val="24"/>
                <w:szCs w:val="24"/>
              </w:rPr>
              <w:t>以上方案全面、内容具体详尽、有针对性解释说明，无瑕疵，一项得</w:t>
            </w:r>
            <w:r>
              <w:rPr>
                <w:rFonts w:hint="eastAsia" w:ascii="宋体" w:hAnsi="宋体" w:cs="宋体"/>
                <w:color w:val="auto"/>
                <w:sz w:val="24"/>
                <w:szCs w:val="24"/>
                <w:lang w:val="en-US" w:eastAsia="zh-CN"/>
              </w:rPr>
              <w:t>3</w:t>
            </w:r>
            <w:r>
              <w:rPr>
                <w:rFonts w:hint="eastAsia" w:ascii="宋体" w:hAnsi="宋体" w:cs="宋体"/>
                <w:color w:val="auto"/>
                <w:sz w:val="24"/>
                <w:szCs w:val="24"/>
              </w:rPr>
              <w:t>分，每有一处瑕疵扣1分，每项内容最多扣</w:t>
            </w:r>
            <w:r>
              <w:rPr>
                <w:rFonts w:hint="eastAsia" w:ascii="宋体" w:hAnsi="宋体" w:cs="宋体"/>
                <w:color w:val="auto"/>
                <w:sz w:val="24"/>
                <w:szCs w:val="24"/>
                <w:lang w:val="en-US" w:eastAsia="zh-CN"/>
              </w:rPr>
              <w:t>2</w:t>
            </w:r>
            <w:r>
              <w:rPr>
                <w:rFonts w:hint="eastAsia" w:ascii="宋体" w:hAnsi="宋体" w:cs="宋体"/>
                <w:color w:val="auto"/>
                <w:sz w:val="24"/>
                <w:szCs w:val="24"/>
              </w:rPr>
              <w:t>分，不提供不得分。注：本项目称“瑕疵”是指内容缺项、不完整或缺少关键点；非专门针对本项目或不适用本项目特征、套用其他项目内容、同一问题前后前述不一致矛盾；存在逻辑漏洞、科学原理或常识错误；不利于本项目目标的实现、现有技术条件下不可能出现的情形等任意一种情形。</w:t>
            </w:r>
          </w:p>
        </w:tc>
        <w:tc>
          <w:tcPr>
            <w:tcW w:w="733" w:type="dxa"/>
            <w:vAlign w:val="center"/>
          </w:tcPr>
          <w:p w14:paraId="113BBA9A">
            <w:pPr>
              <w:pStyle w:val="109"/>
              <w:spacing w:line="400" w:lineRule="exact"/>
              <w:rPr>
                <w:rFonts w:ascii="宋体" w:hAnsi="宋体" w:cs="宋体"/>
                <w:color w:val="auto"/>
                <w:sz w:val="24"/>
                <w:szCs w:val="24"/>
              </w:rPr>
            </w:pPr>
            <w:r>
              <w:rPr>
                <w:rFonts w:hint="eastAsia" w:ascii="宋体" w:hAnsi="宋体" w:cs="宋体"/>
                <w:color w:val="auto"/>
                <w:sz w:val="24"/>
                <w:szCs w:val="24"/>
              </w:rPr>
              <w:t>15</w:t>
            </w:r>
          </w:p>
        </w:tc>
      </w:tr>
      <w:tr w14:paraId="25898C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1246" w:type="dxa"/>
            <w:vMerge w:val="continue"/>
            <w:vAlign w:val="center"/>
          </w:tcPr>
          <w:p w14:paraId="019D714B">
            <w:pPr>
              <w:pStyle w:val="109"/>
              <w:spacing w:line="400" w:lineRule="exact"/>
              <w:rPr>
                <w:rFonts w:ascii="宋体" w:hAnsi="宋体" w:cs="宋体"/>
                <w:color w:val="auto"/>
                <w:sz w:val="24"/>
                <w:szCs w:val="24"/>
              </w:rPr>
            </w:pPr>
          </w:p>
        </w:tc>
        <w:tc>
          <w:tcPr>
            <w:tcW w:w="1445" w:type="dxa"/>
            <w:vAlign w:val="center"/>
          </w:tcPr>
          <w:p w14:paraId="4BA7F676">
            <w:pPr>
              <w:pStyle w:val="109"/>
              <w:spacing w:line="400" w:lineRule="exact"/>
              <w:rPr>
                <w:rFonts w:ascii="宋体" w:hAnsi="宋体" w:cs="宋体"/>
                <w:color w:val="auto"/>
                <w:sz w:val="24"/>
                <w:szCs w:val="24"/>
              </w:rPr>
            </w:pPr>
            <w:r>
              <w:rPr>
                <w:rFonts w:hint="eastAsia" w:ascii="宋体" w:hAnsi="宋体" w:cs="宋体"/>
                <w:color w:val="auto"/>
                <w:sz w:val="24"/>
                <w:szCs w:val="24"/>
              </w:rPr>
              <w:t>售后服务</w:t>
            </w:r>
          </w:p>
        </w:tc>
        <w:tc>
          <w:tcPr>
            <w:tcW w:w="5096" w:type="dxa"/>
            <w:vAlign w:val="center"/>
          </w:tcPr>
          <w:p w14:paraId="7B28A832">
            <w:pPr>
              <w:pStyle w:val="109"/>
              <w:spacing w:line="360" w:lineRule="auto"/>
              <w:jc w:val="left"/>
              <w:rPr>
                <w:rFonts w:ascii="宋体" w:hAnsi="宋体" w:cs="宋体"/>
                <w:color w:val="auto"/>
                <w:sz w:val="24"/>
                <w:szCs w:val="24"/>
              </w:rPr>
            </w:pPr>
            <w:r>
              <w:rPr>
                <w:rFonts w:hint="eastAsia" w:ascii="宋体" w:hAnsi="宋体" w:cs="宋体"/>
                <w:color w:val="auto"/>
                <w:sz w:val="24"/>
                <w:szCs w:val="24"/>
              </w:rPr>
              <w:t>根据供应商的质保承诺、售后服务体系、售后服务响应时间、故障排除时间、上门维护升级、主动巡检等服务措施，根据本次项目实际需求提供售后服务方案，售后服务方案应能满足本项目的部署需求。根据售后服务方案的完整性、响应时间进行评分，优得9分，良得6分，差得3分，未提供不得分。</w:t>
            </w:r>
          </w:p>
        </w:tc>
        <w:tc>
          <w:tcPr>
            <w:tcW w:w="733" w:type="dxa"/>
            <w:vAlign w:val="center"/>
          </w:tcPr>
          <w:p w14:paraId="5E737A30">
            <w:pPr>
              <w:pStyle w:val="109"/>
              <w:spacing w:line="400" w:lineRule="exact"/>
              <w:rPr>
                <w:rFonts w:ascii="宋体" w:hAnsi="宋体" w:cs="宋体"/>
                <w:color w:val="auto"/>
                <w:sz w:val="24"/>
                <w:szCs w:val="24"/>
              </w:rPr>
            </w:pPr>
            <w:r>
              <w:rPr>
                <w:rFonts w:hint="eastAsia" w:ascii="宋体" w:hAnsi="宋体" w:cs="宋体"/>
                <w:color w:val="auto"/>
                <w:sz w:val="24"/>
                <w:szCs w:val="24"/>
              </w:rPr>
              <w:t>9</w:t>
            </w:r>
          </w:p>
        </w:tc>
      </w:tr>
      <w:tr w14:paraId="256EA9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41" w:hRule="atLeast"/>
          <w:jc w:val="center"/>
        </w:trPr>
        <w:tc>
          <w:tcPr>
            <w:tcW w:w="1246" w:type="dxa"/>
            <w:vMerge w:val="continue"/>
            <w:vAlign w:val="center"/>
          </w:tcPr>
          <w:p w14:paraId="5AA90F3B">
            <w:pPr>
              <w:pStyle w:val="109"/>
              <w:spacing w:line="400" w:lineRule="exact"/>
              <w:rPr>
                <w:rFonts w:ascii="宋体" w:hAnsi="宋体" w:cs="宋体"/>
                <w:color w:val="auto"/>
                <w:sz w:val="24"/>
                <w:szCs w:val="24"/>
              </w:rPr>
            </w:pPr>
          </w:p>
        </w:tc>
        <w:tc>
          <w:tcPr>
            <w:tcW w:w="1445" w:type="dxa"/>
            <w:vAlign w:val="center"/>
          </w:tcPr>
          <w:p w14:paraId="626BEC55">
            <w:pPr>
              <w:pStyle w:val="109"/>
              <w:rPr>
                <w:rFonts w:ascii="宋体" w:hAnsi="宋体" w:cs="宋体"/>
                <w:color w:val="auto"/>
                <w:sz w:val="24"/>
                <w:szCs w:val="24"/>
              </w:rPr>
            </w:pPr>
            <w:r>
              <w:rPr>
                <w:rFonts w:hint="eastAsia" w:ascii="宋体" w:hAnsi="宋体" w:cs="宋体"/>
                <w:color w:val="auto"/>
                <w:sz w:val="24"/>
                <w:szCs w:val="24"/>
              </w:rPr>
              <w:t>培训方案</w:t>
            </w:r>
          </w:p>
        </w:tc>
        <w:tc>
          <w:tcPr>
            <w:tcW w:w="5096" w:type="dxa"/>
            <w:vAlign w:val="center"/>
          </w:tcPr>
          <w:p w14:paraId="15DB215A">
            <w:pPr>
              <w:pStyle w:val="109"/>
              <w:spacing w:line="360" w:lineRule="auto"/>
              <w:jc w:val="left"/>
              <w:rPr>
                <w:rFonts w:ascii="宋体" w:hAnsi="宋体" w:cs="宋体"/>
                <w:color w:val="auto"/>
                <w:sz w:val="24"/>
                <w:szCs w:val="24"/>
              </w:rPr>
            </w:pPr>
            <w:r>
              <w:rPr>
                <w:rFonts w:hint="eastAsia" w:ascii="宋体" w:hAnsi="宋体" w:cs="宋体"/>
                <w:color w:val="auto"/>
                <w:sz w:val="24"/>
                <w:szCs w:val="24"/>
              </w:rPr>
              <w:t>根据产品使用周期内的培训方案（包括但不限于：培训方案、培训时间、培训计划及培训人员等）的完整性、可行性、科学性等方面进行综合评审；优得6分，良得4分，一般得2分，差不得分。</w:t>
            </w:r>
          </w:p>
        </w:tc>
        <w:tc>
          <w:tcPr>
            <w:tcW w:w="733" w:type="dxa"/>
            <w:vAlign w:val="center"/>
          </w:tcPr>
          <w:p w14:paraId="04436C53">
            <w:pPr>
              <w:pStyle w:val="109"/>
              <w:rPr>
                <w:rFonts w:ascii="宋体" w:hAnsi="宋体" w:cs="宋体"/>
                <w:color w:val="auto"/>
                <w:sz w:val="24"/>
                <w:szCs w:val="24"/>
              </w:rPr>
            </w:pPr>
            <w:r>
              <w:rPr>
                <w:rFonts w:hint="eastAsia" w:ascii="宋体" w:hAnsi="宋体" w:cs="宋体"/>
                <w:color w:val="auto"/>
                <w:sz w:val="24"/>
                <w:szCs w:val="24"/>
              </w:rPr>
              <w:t>6</w:t>
            </w:r>
          </w:p>
        </w:tc>
      </w:tr>
    </w:tbl>
    <w:p w14:paraId="6B3E2D46">
      <w:pPr>
        <w:pStyle w:val="97"/>
        <w:spacing w:line="440" w:lineRule="exact"/>
        <w:rPr>
          <w:rFonts w:hint="eastAsia" w:asciiTheme="minorEastAsia" w:hAnsiTheme="minorEastAsia" w:eastAsiaTheme="minorEastAsia" w:cstheme="minorEastAsia"/>
          <w:sz w:val="24"/>
          <w:szCs w:val="24"/>
        </w:rPr>
      </w:pPr>
    </w:p>
    <w:tbl>
      <w:tblPr>
        <w:tblStyle w:val="30"/>
        <w:tblpPr w:leftFromText="180" w:rightFromText="180" w:vertAnchor="text" w:horzAnchor="page" w:tblpX="1844" w:tblpY="440"/>
        <w:tblOverlap w:val="never"/>
        <w:tblW w:w="84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5"/>
      </w:tblGrid>
      <w:tr w14:paraId="5FE74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475" w:type="dxa"/>
            <w:tcBorders>
              <w:top w:val="single" w:color="auto" w:sz="4" w:space="0"/>
              <w:bottom w:val="single" w:color="auto" w:sz="4" w:space="0"/>
            </w:tcBorders>
            <w:vAlign w:val="center"/>
          </w:tcPr>
          <w:p w14:paraId="36761FD3">
            <w:pPr>
              <w:snapToGrid w:val="0"/>
              <w:spacing w:line="440" w:lineRule="exact"/>
              <w:ind w:firstLine="360" w:firstLineChars="150"/>
              <w:rPr>
                <w:rFonts w:hint="eastAsia" w:asciiTheme="minorEastAsia" w:hAnsiTheme="minorEastAsia" w:eastAsiaTheme="minorEastAsia" w:cstheme="minorEastAsia"/>
                <w:sz w:val="24"/>
                <w:szCs w:val="24"/>
              </w:rPr>
            </w:pPr>
            <w:bookmarkStart w:id="23" w:name="_Toc32023"/>
            <w:r>
              <w:rPr>
                <w:rFonts w:hint="eastAsia" w:asciiTheme="minorEastAsia" w:hAnsiTheme="minorEastAsia" w:eastAsiaTheme="minorEastAsia" w:cstheme="minorEastAsia"/>
                <w:sz w:val="24"/>
                <w:szCs w:val="24"/>
              </w:rPr>
              <w:t>根据中华人民共和国财政部、中华人民共和国工业和信息化部《政府采购促进中小企业发展暂行办法》（财库[2011]181号）文件的规定，</w:t>
            </w:r>
            <w:r>
              <w:rPr>
                <w:rFonts w:hint="eastAsia" w:asciiTheme="minorEastAsia" w:hAnsiTheme="minorEastAsia" w:eastAsiaTheme="minorEastAsia" w:cstheme="minorEastAsia"/>
                <w:bCs/>
                <w:sz w:val="24"/>
                <w:szCs w:val="24"/>
              </w:rPr>
              <w:t>属于中小企业</w:t>
            </w:r>
            <w:r>
              <w:rPr>
                <w:rFonts w:hint="eastAsia" w:asciiTheme="minorEastAsia" w:hAnsiTheme="minorEastAsia" w:eastAsiaTheme="minorEastAsia" w:cstheme="minorEastAsia"/>
                <w:sz w:val="24"/>
                <w:szCs w:val="24"/>
              </w:rPr>
              <w:t>评审优惠内容及幅度如下：</w:t>
            </w:r>
          </w:p>
          <w:p w14:paraId="268DF015">
            <w:pPr>
              <w:snapToGrid w:val="0"/>
              <w:spacing w:line="440" w:lineRule="exact"/>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w:t>
            </w:r>
            <w:r>
              <w:rPr>
                <w:rFonts w:hint="eastAsia" w:asciiTheme="minorEastAsia" w:hAnsiTheme="minorEastAsia" w:eastAsiaTheme="minorEastAsia" w:cstheme="minorEastAsia"/>
                <w:sz w:val="24"/>
                <w:szCs w:val="24"/>
              </w:rPr>
              <w:t>中小企业（含中型、小型、微型企业）应当</w:t>
            </w:r>
            <w:r>
              <w:rPr>
                <w:rFonts w:hint="eastAsia" w:asciiTheme="minorEastAsia" w:hAnsiTheme="minorEastAsia" w:eastAsiaTheme="minorEastAsia" w:cstheme="minorEastAsia"/>
                <w:b/>
                <w:sz w:val="24"/>
                <w:szCs w:val="24"/>
              </w:rPr>
              <w:t>同时符合</w:t>
            </w:r>
            <w:r>
              <w:rPr>
                <w:rFonts w:hint="eastAsia" w:asciiTheme="minorEastAsia" w:hAnsiTheme="minorEastAsia" w:eastAsiaTheme="minorEastAsia" w:cstheme="minorEastAsia"/>
                <w:sz w:val="24"/>
                <w:szCs w:val="24"/>
              </w:rPr>
              <w:t>以下条件：</w:t>
            </w:r>
          </w:p>
          <w:p w14:paraId="2F65002A">
            <w:pPr>
              <w:pStyle w:val="103"/>
              <w:spacing w:line="440" w:lineRule="exact"/>
              <w:ind w:left="846" w:leftChars="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①符合中小企业划分标准（按《关于印发中小企业划型标准规定的通知》（工信部联企业〔2011〕300号）执行）；</w:t>
            </w:r>
          </w:p>
          <w:p w14:paraId="4C4A702C">
            <w:pPr>
              <w:pStyle w:val="103"/>
              <w:spacing w:line="440" w:lineRule="exact"/>
              <w:ind w:left="846" w:leftChars="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②提供本企业制造的货物、承担的项目或者服务，或者提供其他中小企业制造的货物。本项所称货物不包括使用大型企业注册商标的货物；</w:t>
            </w:r>
          </w:p>
          <w:p w14:paraId="75FFD64A">
            <w:pPr>
              <w:pStyle w:val="103"/>
              <w:spacing w:line="440" w:lineRule="exact"/>
              <w:ind w:left="846" w:leftChars="40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③小型、微型企业提供中型企业制造的货物的，视同为中型企业。</w:t>
            </w:r>
          </w:p>
        </w:tc>
      </w:tr>
    </w:tbl>
    <w:p w14:paraId="1C45F549">
      <w:pPr>
        <w:snapToGrid w:val="0"/>
        <w:spacing w:line="500" w:lineRule="exact"/>
        <w:ind w:firstLine="200"/>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八、成交及合同签订</w:t>
      </w:r>
      <w:bookmarkEnd w:id="23"/>
    </w:p>
    <w:p w14:paraId="351A4F97">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（三十二）成交供应商</w:t>
      </w:r>
    </w:p>
    <w:p w14:paraId="5D85A29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根据磋商小组对各供应商满足竞争性磋商文件实质性响应（所谓实质性响应，是指文件应与竞争性磋商文件的所有实质性条款、条件和要求相符，无显著差异或保留（由磋商小组确定）；经磋商确定最终采购需求和提交最后报价的供应商中由磋商小组采用综合评分法对提交最后报价的供应商的磋商响应文件和最后报价进行综合评分，并以综合评分由高到低选取三名成交候选人推荐给采购人（评分相同时，按最后报价由低到高的顺序推荐；评审得分和最后报价相同的，按照技术指标优劣顺序推荐）。</w:t>
      </w:r>
    </w:p>
    <w:p w14:paraId="04D0A3EE">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（三十三）资格条件</w:t>
      </w:r>
    </w:p>
    <w:p w14:paraId="3C08A94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采购人将在签订合同前对成交候选供应商是否能圆满地履行合同进行审查。审查包括成交候选供应商磋商响应文件中提供的所有资格证明材料原件，成交候选供应商磋商响应文件及补充承诺中涉及的其他相关资料原件，以及对本项目实施可能存在风险的其他因素。</w:t>
      </w:r>
    </w:p>
    <w:p w14:paraId="33F760D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采购人若发现成交候选供应商在竞标过程中提供虚假证明文件，故意隐瞒公司不良信誉和财务状况，以及存在可能对合同圆满履行造成风险的其他因素等，则按规定取消其成交资格，监管部门依法进行处理。</w:t>
      </w:r>
    </w:p>
    <w:p w14:paraId="7155DD5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 如果成交候选供应商被确认为不具备执行合同的能力，采购人将考虑按同样的程序审查下一个成交候选供应商。</w:t>
      </w:r>
    </w:p>
    <w:p w14:paraId="388BFE8D">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（三十四）成交通知书</w:t>
      </w:r>
    </w:p>
    <w:p w14:paraId="49994BD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 成交结果在原磋商公告发布媒体上发布后，公示期1个工作日，采购人将同时向成交供应商发出成交通知书。</w:t>
      </w:r>
    </w:p>
    <w:p w14:paraId="5AFD621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 成交人应及时到政府采购人领取成交通知书，成交通知书是签订合同的依据和组成部分。</w:t>
      </w:r>
    </w:p>
    <w:p w14:paraId="37F85F43">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（三十五）签订合同</w:t>
      </w:r>
    </w:p>
    <w:p w14:paraId="1BF2DBC9">
      <w:pPr>
        <w:snapToGrid w:val="0"/>
        <w:spacing w:line="500" w:lineRule="exact"/>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35.1 成交供应商应在规定的时间、地点与采购人签订合同，竞争性磋商文件、成交人的磋商响应文件、分次报价及服务承诺文件以及评标过程中有关澄清文件均作为合同附件，</w:t>
      </w:r>
      <w:r>
        <w:rPr>
          <w:rFonts w:hint="eastAsia" w:asciiTheme="minorEastAsia" w:hAnsiTheme="minorEastAsia" w:eastAsiaTheme="minorEastAsia" w:cstheme="minorEastAsia"/>
          <w:bCs/>
          <w:sz w:val="24"/>
          <w:szCs w:val="24"/>
        </w:rPr>
        <w:t>合同经采购人、成交供应商双方审核盖章后实施。</w:t>
      </w:r>
    </w:p>
    <w:p w14:paraId="06BB6E8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 成交供应商无正当理由未在规定时间内与采购人签订合同的或未按磋商文件要求提交履约担保的，采购人有权建议取消其成交资格，并报请监管部门将对其依法处理。</w:t>
      </w:r>
    </w:p>
    <w:p w14:paraId="441293FE">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（三十六）政府采购代理服务费和履约保证金</w:t>
      </w:r>
    </w:p>
    <w:p w14:paraId="237CB53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36.1成交供应商应向政府采购代理机构缴纳代理服务费，</w:t>
      </w:r>
      <w:r>
        <w:rPr>
          <w:rFonts w:hint="eastAsia" w:asciiTheme="minorEastAsia" w:hAnsiTheme="minorEastAsia" w:eastAsiaTheme="minorEastAsia" w:cstheme="minorEastAsia"/>
          <w:bCs/>
          <w:sz w:val="24"/>
          <w:szCs w:val="24"/>
        </w:rPr>
        <w:t>政府采购代理服务费按</w:t>
      </w:r>
      <w:r>
        <w:rPr>
          <w:rFonts w:hint="eastAsia" w:asciiTheme="minorEastAsia" w:hAnsiTheme="minorEastAsia" w:eastAsiaTheme="minorEastAsia" w:cstheme="minorEastAsia"/>
          <w:sz w:val="24"/>
          <w:szCs w:val="24"/>
        </w:rPr>
        <w:t>国家发改委计价格[2002]1980号文、</w:t>
      </w:r>
      <w:r>
        <w:rPr>
          <w:rFonts w:hint="eastAsia" w:asciiTheme="minorEastAsia" w:hAnsiTheme="minorEastAsia" w:eastAsiaTheme="minorEastAsia" w:cstheme="minorEastAsia"/>
          <w:sz w:val="24"/>
        </w:rPr>
        <w:t>发改办价格[2003]857号文计取。</w:t>
      </w:r>
    </w:p>
    <w:p w14:paraId="563CA0E6">
      <w:pPr>
        <w:snapToGrid w:val="0"/>
        <w:spacing w:line="500" w:lineRule="exact"/>
        <w:ind w:left="359" w:leftChars="17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 成交供应商需在签订合同时需按磋商文件要求向采购人提交履约担保。</w:t>
      </w:r>
    </w:p>
    <w:p w14:paraId="74B22DE4">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24" w:name="_Toc6848"/>
      <w:r>
        <w:rPr>
          <w:rFonts w:hint="eastAsia" w:asciiTheme="minorEastAsia" w:hAnsiTheme="minorEastAsia" w:eastAsiaTheme="minorEastAsia" w:cstheme="minorEastAsia"/>
          <w:b/>
          <w:sz w:val="24"/>
          <w:szCs w:val="24"/>
        </w:rPr>
        <w:t>九、验收及付款</w:t>
      </w:r>
      <w:bookmarkEnd w:id="24"/>
    </w:p>
    <w:p w14:paraId="54E85BFC">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（三十七）验收</w:t>
      </w:r>
    </w:p>
    <w:p w14:paraId="6FF8D92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37.1 采购单位组建验收小组，验收小组由采购单位三人以上组成，按</w:t>
      </w:r>
      <w:r>
        <w:rPr>
          <w:rFonts w:hint="eastAsia" w:asciiTheme="minorEastAsia" w:hAnsiTheme="minorEastAsia" w:eastAsiaTheme="minorEastAsia" w:cstheme="minorEastAsia"/>
          <w:bCs/>
          <w:sz w:val="24"/>
          <w:szCs w:val="24"/>
        </w:rPr>
        <w:t>采购合同约定的时间组织验收。</w:t>
      </w:r>
    </w:p>
    <w:p w14:paraId="1C3FDEC7">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（三十八）项目办结及付款</w:t>
      </w:r>
    </w:p>
    <w:p w14:paraId="4F844FFB">
      <w:pPr>
        <w:snapToGrid w:val="0"/>
        <w:spacing w:line="50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38.1 采购人凭项目合同、验收报告和提供采购人要求的发票原件后，在合同约定的时间内办理采购款支付手续。</w:t>
      </w:r>
    </w:p>
    <w:p w14:paraId="277A9730">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25" w:name="_Toc17033"/>
      <w:r>
        <w:rPr>
          <w:rFonts w:hint="eastAsia" w:asciiTheme="minorEastAsia" w:hAnsiTheme="minorEastAsia" w:eastAsiaTheme="minorEastAsia" w:cstheme="minorEastAsia"/>
          <w:b/>
          <w:sz w:val="24"/>
          <w:szCs w:val="24"/>
        </w:rPr>
        <w:t>十、质疑与投诉</w:t>
      </w:r>
      <w:bookmarkEnd w:id="25"/>
    </w:p>
    <w:p w14:paraId="2F433857">
      <w:pPr>
        <w:snapToGrid w:val="0"/>
        <w:spacing w:line="500" w:lineRule="exact"/>
        <w:ind w:firstLine="472" w:firstLineChars="196"/>
        <w:outlineLvl w:val="0"/>
        <w:rPr>
          <w:rFonts w:hint="eastAsia" w:asciiTheme="minorEastAsia" w:hAnsiTheme="minorEastAsia" w:eastAsiaTheme="minorEastAsia" w:cstheme="minorEastAsia"/>
          <w:b/>
          <w:bCs/>
          <w:sz w:val="24"/>
          <w:szCs w:val="24"/>
        </w:rPr>
      </w:pPr>
      <w:bookmarkStart w:id="26" w:name="_Toc8717"/>
      <w:bookmarkStart w:id="27" w:name="_Toc19410"/>
      <w:r>
        <w:rPr>
          <w:rFonts w:hint="eastAsia" w:asciiTheme="minorEastAsia" w:hAnsiTheme="minorEastAsia" w:eastAsiaTheme="minorEastAsia" w:cstheme="minorEastAsia"/>
          <w:b/>
          <w:bCs/>
          <w:sz w:val="24"/>
          <w:szCs w:val="24"/>
        </w:rPr>
        <w:t>（三十九）质疑与投诉</w:t>
      </w:r>
      <w:bookmarkEnd w:id="26"/>
      <w:bookmarkEnd w:id="27"/>
    </w:p>
    <w:p w14:paraId="6A6DE4E1">
      <w:pPr>
        <w:snapToGrid w:val="0"/>
        <w:spacing w:line="500" w:lineRule="exact"/>
        <w:ind w:firstLine="482" w:firstLineChars="200"/>
        <w:outlineLvl w:val="0"/>
        <w:rPr>
          <w:rFonts w:hint="eastAsia" w:asciiTheme="minorEastAsia" w:hAnsiTheme="minorEastAsia" w:eastAsiaTheme="minorEastAsia" w:cstheme="minorEastAsia"/>
          <w:sz w:val="24"/>
          <w:szCs w:val="24"/>
        </w:rPr>
      </w:pPr>
      <w:bookmarkStart w:id="28" w:name="_Toc25914"/>
      <w:bookmarkStart w:id="29" w:name="_Toc30957"/>
      <w:r>
        <w:rPr>
          <w:rFonts w:hint="eastAsia" w:asciiTheme="minorEastAsia" w:hAnsiTheme="minorEastAsia" w:eastAsiaTheme="minorEastAsia" w:cstheme="minorEastAsia"/>
          <w:b/>
          <w:bCs/>
          <w:sz w:val="24"/>
          <w:szCs w:val="24"/>
        </w:rPr>
        <w:t>39.1 质疑的提出</w:t>
      </w:r>
      <w:bookmarkEnd w:id="28"/>
      <w:bookmarkEnd w:id="29"/>
    </w:p>
    <w:p w14:paraId="4960A04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1）供应商认为竞磋文件、招标过程和中标、成交结果使自己的权益受到损害的，可以在知道或者应知其权益受到损害之日起七个工作日内，以书面形式向采购人提出质疑。</w:t>
      </w:r>
    </w:p>
    <w:p w14:paraId="00C1D99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2）质疑函的必备内容</w:t>
      </w:r>
    </w:p>
    <w:p w14:paraId="209E1E4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①供应商提交的质疑函必须注明单位名称、详细地址、可供查询的单位和法定代表人的电话号码；</w:t>
      </w:r>
    </w:p>
    <w:p w14:paraId="00642FA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②所参加项目的具体质疑事项及事实依据；</w:t>
      </w:r>
    </w:p>
    <w:p w14:paraId="44E3FB2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③提起质疑的日期；</w:t>
      </w:r>
    </w:p>
    <w:p w14:paraId="236E86E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④质疑函须加盖单位公章和法定代表人签章。</w:t>
      </w:r>
    </w:p>
    <w:p w14:paraId="317797A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⑤委托代理人递交质疑函的，还须提交委托质疑事项的委托授权书（附法定代表人和被授权人身份证正反面），加盖单位公章和法定代表人签章和被授权人签字，并出示被授权人身份证。</w:t>
      </w:r>
    </w:p>
    <w:p w14:paraId="522C745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3）质疑应符合下列条件：</w:t>
      </w:r>
    </w:p>
    <w:p w14:paraId="7EB9BD6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①质疑人是参与所质疑项目的招标活动供应商；</w:t>
      </w:r>
    </w:p>
    <w:p w14:paraId="247F4A1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②质疑函内容符合相关的规定；</w:t>
      </w:r>
    </w:p>
    <w:p w14:paraId="277C4C8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③在规定的有效期限内提起质疑；</w:t>
      </w:r>
    </w:p>
    <w:p w14:paraId="3AC35B0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④招投标监管部门规定的其他条件。</w:t>
      </w:r>
    </w:p>
    <w:p w14:paraId="5876031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4）采购人在收到供应商的书面质疑后七个工作日内作出答复，并以书面形式通知质疑供应商和其他有关供应商，但答复的内容不涉及商业秘密。</w:t>
      </w:r>
    </w:p>
    <w:p w14:paraId="5FDFF0B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61B537BE">
      <w:pPr>
        <w:snapToGrid w:val="0"/>
        <w:spacing w:line="50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附表一</w:t>
      </w:r>
    </w:p>
    <w:p w14:paraId="3F8B0153">
      <w:pPr>
        <w:snapToGrid w:val="0"/>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质 疑 书</w:t>
      </w:r>
    </w:p>
    <w:p w14:paraId="26E384C3">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(政府采购代理机构名称)：</w:t>
      </w:r>
    </w:p>
    <w:p w14:paraId="534A368C">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依据《中华人民共和国政府采购法》第五十二条规定，认为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项目的采购活动中有</w:t>
      </w:r>
      <w:r>
        <w:rPr>
          <w:rFonts w:hint="eastAsia" w:asciiTheme="minorEastAsia" w:hAnsiTheme="minorEastAsia" w:eastAsiaTheme="minorEastAsia" w:cstheme="minorEastAsia"/>
          <w:bCs/>
          <w:sz w:val="24"/>
          <w:szCs w:val="24"/>
          <w:lang w:eastAsia="zh-CN"/>
        </w:rPr>
        <w:t>几项</w:t>
      </w:r>
      <w:r>
        <w:rPr>
          <w:rFonts w:hint="eastAsia" w:asciiTheme="minorEastAsia" w:hAnsiTheme="minorEastAsia" w:eastAsiaTheme="minorEastAsia" w:cstheme="minorEastAsia"/>
          <w:bCs/>
          <w:sz w:val="24"/>
          <w:szCs w:val="24"/>
        </w:rPr>
        <w:t>内容损害了我公司的权益，现以书面原件形式提出质疑。并根据《中华人民共和国政府采购法实施条例》第五十五条规定，提出以下请求和提供必要的证明材料。质疑的事实和理由：</w:t>
      </w:r>
    </w:p>
    <w:p w14:paraId="76194F6D">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u w:val="single"/>
        </w:rPr>
        <w:t xml:space="preserve">  (事宜经过)            </w:t>
      </w: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u w:val="single"/>
        </w:rPr>
        <w:t xml:space="preserve">  (事宜经过)            </w:t>
      </w:r>
      <w:r>
        <w:rPr>
          <w:rFonts w:hint="eastAsia" w:asciiTheme="minorEastAsia" w:hAnsiTheme="minorEastAsia" w:eastAsiaTheme="minorEastAsia" w:cstheme="minorEastAsia"/>
          <w:bCs/>
          <w:sz w:val="24"/>
          <w:szCs w:val="24"/>
        </w:rPr>
        <w:t>；……</w:t>
      </w:r>
    </w:p>
    <w:p w14:paraId="2E67F129">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我们认为，以上几项，违背了政府采购法规的有关规定，其中第1项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违背《</w:t>
      </w:r>
      <w:r>
        <w:rPr>
          <w:rFonts w:hint="eastAsia" w:asciiTheme="minorEastAsia" w:hAnsiTheme="minorEastAsia" w:eastAsiaTheme="minorEastAsia" w:cstheme="minorEastAsia"/>
          <w:bCs/>
          <w:sz w:val="24"/>
          <w:szCs w:val="24"/>
          <w:u w:val="single"/>
        </w:rPr>
        <w:t xml:space="preserve">           法</w:t>
      </w:r>
      <w:r>
        <w:rPr>
          <w:rFonts w:hint="eastAsia" w:asciiTheme="minorEastAsia" w:hAnsiTheme="minorEastAsia" w:eastAsiaTheme="minorEastAsia" w:cstheme="minorEastAsia"/>
          <w:bCs/>
          <w:sz w:val="24"/>
          <w:szCs w:val="24"/>
        </w:rPr>
        <w:t>》第</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条的“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”规定，第2项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违背《</w:t>
      </w:r>
      <w:r>
        <w:rPr>
          <w:rFonts w:hint="eastAsia" w:asciiTheme="minorEastAsia" w:hAnsiTheme="minorEastAsia" w:eastAsiaTheme="minorEastAsia" w:cstheme="minorEastAsia"/>
          <w:bCs/>
          <w:sz w:val="24"/>
          <w:szCs w:val="24"/>
          <w:u w:val="single"/>
        </w:rPr>
        <w:t xml:space="preserve">              法</w:t>
      </w:r>
      <w:r>
        <w:rPr>
          <w:rFonts w:hint="eastAsia" w:asciiTheme="minorEastAsia" w:hAnsiTheme="minorEastAsia" w:eastAsiaTheme="minorEastAsia" w:cstheme="minorEastAsia"/>
          <w:bCs/>
          <w:sz w:val="24"/>
          <w:szCs w:val="24"/>
        </w:rPr>
        <w:t>》第</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条的规定，请予审查纠正为盼。</w:t>
      </w:r>
    </w:p>
    <w:p w14:paraId="0056D2FC">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质疑人(全称并加</w:t>
      </w:r>
      <w:r>
        <w:rPr>
          <w:rFonts w:hint="eastAsia" w:asciiTheme="minorEastAsia" w:hAnsiTheme="minorEastAsia" w:eastAsiaTheme="minorEastAsia" w:cstheme="minorEastAsia"/>
          <w:bCs/>
          <w:sz w:val="24"/>
          <w:szCs w:val="24"/>
          <w:u w:val="single"/>
        </w:rPr>
        <w:t>盖</w:t>
      </w:r>
      <w:r>
        <w:rPr>
          <w:rFonts w:hint="eastAsia" w:asciiTheme="minorEastAsia" w:hAnsiTheme="minorEastAsia" w:eastAsiaTheme="minorEastAsia" w:cstheme="minorEastAsia"/>
          <w:bCs/>
          <w:sz w:val="24"/>
          <w:szCs w:val="24"/>
        </w:rPr>
        <w:t>公章)：</w:t>
      </w:r>
      <w:r>
        <w:rPr>
          <w:rFonts w:hint="eastAsia" w:asciiTheme="minorEastAsia" w:hAnsiTheme="minorEastAsia" w:eastAsiaTheme="minorEastAsia" w:cstheme="minorEastAsia"/>
          <w:bCs/>
          <w:sz w:val="24"/>
          <w:szCs w:val="24"/>
          <w:u w:val="single"/>
        </w:rPr>
        <w:t xml:space="preserve">          </w:t>
      </w:r>
    </w:p>
    <w:p w14:paraId="33D8268E">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法定代表人签字：</w:t>
      </w:r>
      <w:r>
        <w:rPr>
          <w:rFonts w:hint="eastAsia" w:asciiTheme="minorEastAsia" w:hAnsiTheme="minorEastAsia" w:eastAsiaTheme="minorEastAsia" w:cstheme="minorEastAsia"/>
          <w:bCs/>
          <w:sz w:val="24"/>
          <w:szCs w:val="24"/>
          <w:u w:val="single"/>
        </w:rPr>
        <w:t xml:space="preserve">          </w:t>
      </w:r>
    </w:p>
    <w:p w14:paraId="56D5EAC5">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委托人签字：</w:t>
      </w:r>
      <w:r>
        <w:rPr>
          <w:rFonts w:hint="eastAsia" w:asciiTheme="minorEastAsia" w:hAnsiTheme="minorEastAsia" w:eastAsiaTheme="minorEastAsia" w:cstheme="minorEastAsia"/>
          <w:bCs/>
          <w:sz w:val="24"/>
          <w:szCs w:val="24"/>
          <w:u w:val="single"/>
        </w:rPr>
        <w:t xml:space="preserve">          </w:t>
      </w:r>
    </w:p>
    <w:p w14:paraId="633B2256">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02815E28">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传真：</w:t>
      </w:r>
      <w:r>
        <w:rPr>
          <w:rFonts w:hint="eastAsia" w:asciiTheme="minorEastAsia" w:hAnsiTheme="minorEastAsia" w:eastAsiaTheme="minorEastAsia" w:cstheme="minorEastAsia"/>
          <w:bCs/>
          <w:sz w:val="24"/>
          <w:szCs w:val="24"/>
          <w:u w:val="single"/>
        </w:rPr>
        <w:t xml:space="preserve">         </w:t>
      </w:r>
    </w:p>
    <w:p w14:paraId="0332249E">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日期：</w:t>
      </w:r>
      <w:r>
        <w:rPr>
          <w:rFonts w:hint="eastAsia" w:asciiTheme="minorEastAsia" w:hAnsiTheme="minorEastAsia" w:eastAsiaTheme="minorEastAsia" w:cstheme="minorEastAsia"/>
          <w:bCs/>
          <w:sz w:val="24"/>
          <w:szCs w:val="24"/>
          <w:u w:val="single"/>
        </w:rPr>
        <w:t xml:space="preserve">                     </w:t>
      </w:r>
    </w:p>
    <w:p w14:paraId="63F3E311">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注：质疑人提供的资料应包括但不限于以下内容：</w:t>
      </w:r>
    </w:p>
    <w:p w14:paraId="4CAD3682">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1、加盖供应商单位公章法定代表人授权书；</w:t>
      </w:r>
    </w:p>
    <w:p w14:paraId="623C0B33">
      <w:pPr>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2、明确的请求和供应商单位加盖公章证明材料。</w:t>
      </w:r>
    </w:p>
    <w:p w14:paraId="0C2227C8">
      <w:pPr>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rPr>
        <w:t>附表二</w:t>
      </w:r>
    </w:p>
    <w:p w14:paraId="5255AAD1">
      <w:pPr>
        <w:snapToGrid w:val="0"/>
        <w:spacing w:line="440" w:lineRule="exact"/>
        <w:ind w:firstLine="482" w:firstLineChars="200"/>
        <w:jc w:val="center"/>
        <w:outlineLvl w:val="0"/>
        <w:rPr>
          <w:rFonts w:hint="eastAsia" w:asciiTheme="minorEastAsia" w:hAnsiTheme="minorEastAsia" w:eastAsiaTheme="minorEastAsia" w:cstheme="minorEastAsia"/>
          <w:sz w:val="24"/>
          <w:szCs w:val="24"/>
        </w:rPr>
      </w:pPr>
      <w:bookmarkStart w:id="30" w:name="_Toc16258"/>
      <w:bookmarkStart w:id="31" w:name="_Toc5031"/>
      <w:r>
        <w:rPr>
          <w:rFonts w:hint="eastAsia" w:asciiTheme="minorEastAsia" w:hAnsiTheme="minorEastAsia" w:eastAsiaTheme="minorEastAsia" w:cstheme="minorEastAsia"/>
          <w:b/>
          <w:bCs/>
          <w:sz w:val="24"/>
          <w:szCs w:val="24"/>
        </w:rPr>
        <w:t>质疑内容</w:t>
      </w:r>
      <w:bookmarkEnd w:id="30"/>
      <w:bookmarkEnd w:id="31"/>
    </w:p>
    <w:tbl>
      <w:tblPr>
        <w:tblStyle w:val="30"/>
        <w:tblW w:w="8647" w:type="dxa"/>
        <w:jc w:val="center"/>
        <w:tblLayout w:type="fixed"/>
        <w:tblCellMar>
          <w:top w:w="0" w:type="dxa"/>
          <w:left w:w="0" w:type="dxa"/>
          <w:bottom w:w="0" w:type="dxa"/>
          <w:right w:w="0" w:type="dxa"/>
        </w:tblCellMar>
      </w:tblPr>
      <w:tblGrid>
        <w:gridCol w:w="936"/>
        <w:gridCol w:w="905"/>
        <w:gridCol w:w="6806"/>
      </w:tblGrid>
      <w:tr w14:paraId="51B08F66">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EE90E1">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2" w:name="_Toc2338"/>
            <w:bookmarkStart w:id="33" w:name="_Toc21078"/>
            <w:r>
              <w:rPr>
                <w:rFonts w:hint="eastAsia" w:asciiTheme="minorEastAsia" w:hAnsiTheme="minorEastAsia" w:eastAsiaTheme="minorEastAsia" w:cstheme="minorEastAsia"/>
                <w:sz w:val="24"/>
                <w:szCs w:val="24"/>
              </w:rPr>
              <w:t>项目名称</w:t>
            </w:r>
            <w:bookmarkEnd w:id="32"/>
            <w:bookmarkEnd w:id="33"/>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1AB48DA">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7BF33185">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7F411A">
            <w:pPr>
              <w:snapToGrid w:val="0"/>
              <w:spacing w:line="440" w:lineRule="exact"/>
              <w:ind w:firstLine="480" w:firstLineChars="20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031A8">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6D192933">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7936B9">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4" w:name="_Toc9705"/>
            <w:bookmarkStart w:id="35" w:name="_Toc19055"/>
            <w:r>
              <w:rPr>
                <w:rFonts w:hint="eastAsia" w:asciiTheme="minorEastAsia" w:hAnsiTheme="minorEastAsia" w:eastAsiaTheme="minorEastAsia" w:cstheme="minorEastAsia"/>
                <w:sz w:val="24"/>
                <w:szCs w:val="24"/>
              </w:rPr>
              <w:t>具体的质疑事项及事实依据</w:t>
            </w:r>
            <w:bookmarkEnd w:id="34"/>
            <w:bookmarkEnd w:id="35"/>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75109160">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36" w:name="_Toc13573"/>
            <w:bookmarkStart w:id="37" w:name="_Toc11039"/>
            <w:r>
              <w:rPr>
                <w:rFonts w:hint="eastAsia" w:asciiTheme="minorEastAsia" w:hAnsiTheme="minorEastAsia" w:eastAsiaTheme="minorEastAsia" w:cstheme="minorEastAsia"/>
                <w:b/>
                <w:bCs/>
                <w:sz w:val="24"/>
                <w:szCs w:val="24"/>
              </w:rPr>
              <w:t>一、质疑事项1：</w:t>
            </w:r>
            <w:bookmarkEnd w:id="36"/>
            <w:bookmarkEnd w:id="37"/>
          </w:p>
          <w:p w14:paraId="02D2BFBD">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38" w:name="_Toc23129"/>
            <w:bookmarkStart w:id="39" w:name="_Toc25614"/>
            <w:r>
              <w:rPr>
                <w:rFonts w:hint="eastAsia" w:asciiTheme="minorEastAsia" w:hAnsiTheme="minorEastAsia" w:eastAsiaTheme="minorEastAsia" w:cstheme="minorEastAsia"/>
                <w:sz w:val="24"/>
                <w:szCs w:val="24"/>
              </w:rPr>
              <w:t>主要内容：</w:t>
            </w:r>
            <w:bookmarkEnd w:id="38"/>
            <w:bookmarkEnd w:id="39"/>
          </w:p>
          <w:p w14:paraId="03C9C038">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0" w:name="_Toc4921"/>
            <w:bookmarkStart w:id="41" w:name="_Toc2762"/>
            <w:r>
              <w:rPr>
                <w:rFonts w:hint="eastAsia" w:asciiTheme="minorEastAsia" w:hAnsiTheme="minorEastAsia" w:eastAsiaTheme="minorEastAsia" w:cstheme="minorEastAsia"/>
                <w:sz w:val="24"/>
                <w:szCs w:val="24"/>
              </w:rPr>
              <w:t>事实依据：</w:t>
            </w:r>
            <w:bookmarkEnd w:id="40"/>
            <w:bookmarkEnd w:id="41"/>
          </w:p>
          <w:p w14:paraId="28A05B2E">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2" w:name="_Toc24639"/>
            <w:bookmarkStart w:id="43" w:name="_Toc9636"/>
            <w:r>
              <w:rPr>
                <w:rFonts w:hint="eastAsia" w:asciiTheme="minorEastAsia" w:hAnsiTheme="minorEastAsia" w:eastAsiaTheme="minorEastAsia" w:cstheme="minorEastAsia"/>
                <w:sz w:val="24"/>
                <w:szCs w:val="24"/>
              </w:rPr>
              <w:t>适应法规条款：</w:t>
            </w:r>
            <w:bookmarkEnd w:id="42"/>
            <w:bookmarkEnd w:id="43"/>
          </w:p>
          <w:p w14:paraId="360979D3">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4" w:name="_Toc17715"/>
            <w:bookmarkStart w:id="45" w:name="_Toc4949"/>
            <w:r>
              <w:rPr>
                <w:rFonts w:hint="eastAsia" w:asciiTheme="minorEastAsia" w:hAnsiTheme="minorEastAsia" w:eastAsiaTheme="minorEastAsia" w:cstheme="minorEastAsia"/>
                <w:sz w:val="24"/>
                <w:szCs w:val="24"/>
              </w:rPr>
              <w:t>佐证材料：</w:t>
            </w:r>
            <w:bookmarkEnd w:id="44"/>
            <w:bookmarkEnd w:id="45"/>
          </w:p>
          <w:p w14:paraId="5BFD48C0">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46" w:name="_Toc28263"/>
            <w:bookmarkStart w:id="47" w:name="_Toc30791"/>
            <w:r>
              <w:rPr>
                <w:rFonts w:hint="eastAsia" w:asciiTheme="minorEastAsia" w:hAnsiTheme="minorEastAsia" w:eastAsiaTheme="minorEastAsia" w:cstheme="minorEastAsia"/>
                <w:b/>
                <w:bCs/>
                <w:sz w:val="24"/>
                <w:szCs w:val="24"/>
              </w:rPr>
              <w:t>二、质疑事项2：</w:t>
            </w:r>
            <w:bookmarkEnd w:id="46"/>
            <w:bookmarkEnd w:id="47"/>
          </w:p>
          <w:p w14:paraId="66C32A3D">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8" w:name="_Toc10041"/>
            <w:bookmarkStart w:id="49" w:name="_Toc5157"/>
            <w:r>
              <w:rPr>
                <w:rFonts w:hint="eastAsia" w:asciiTheme="minorEastAsia" w:hAnsiTheme="minorEastAsia" w:eastAsiaTheme="minorEastAsia" w:cstheme="minorEastAsia"/>
                <w:sz w:val="24"/>
                <w:szCs w:val="24"/>
              </w:rPr>
              <w:t>主要内容：</w:t>
            </w:r>
            <w:bookmarkEnd w:id="48"/>
            <w:bookmarkEnd w:id="49"/>
          </w:p>
          <w:p w14:paraId="0334CAEE">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0" w:name="_Toc576"/>
            <w:bookmarkStart w:id="51" w:name="_Toc2440"/>
            <w:r>
              <w:rPr>
                <w:rFonts w:hint="eastAsia" w:asciiTheme="minorEastAsia" w:hAnsiTheme="minorEastAsia" w:eastAsiaTheme="minorEastAsia" w:cstheme="minorEastAsia"/>
                <w:sz w:val="24"/>
                <w:szCs w:val="24"/>
              </w:rPr>
              <w:t>事实依据：</w:t>
            </w:r>
            <w:bookmarkEnd w:id="50"/>
            <w:bookmarkEnd w:id="51"/>
          </w:p>
          <w:p w14:paraId="6F77E6B1">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2" w:name="_Toc19804"/>
            <w:bookmarkStart w:id="53" w:name="_Toc32283"/>
            <w:r>
              <w:rPr>
                <w:rFonts w:hint="eastAsia" w:asciiTheme="minorEastAsia" w:hAnsiTheme="minorEastAsia" w:eastAsiaTheme="minorEastAsia" w:cstheme="minorEastAsia"/>
                <w:sz w:val="24"/>
                <w:szCs w:val="24"/>
              </w:rPr>
              <w:t>适应法规条款：</w:t>
            </w:r>
            <w:bookmarkEnd w:id="52"/>
            <w:bookmarkEnd w:id="53"/>
          </w:p>
          <w:p w14:paraId="09C88772">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4" w:name="_Toc20847"/>
            <w:bookmarkStart w:id="55" w:name="_Toc21267"/>
            <w:r>
              <w:rPr>
                <w:rFonts w:hint="eastAsia" w:asciiTheme="minorEastAsia" w:hAnsiTheme="minorEastAsia" w:eastAsiaTheme="minorEastAsia" w:cstheme="minorEastAsia"/>
                <w:sz w:val="24"/>
                <w:szCs w:val="24"/>
              </w:rPr>
              <w:t>佐证材料： </w:t>
            </w:r>
            <w:bookmarkEnd w:id="54"/>
            <w:bookmarkEnd w:id="55"/>
          </w:p>
          <w:p w14:paraId="555607D8">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56" w:name="_Toc25584"/>
            <w:bookmarkStart w:id="57" w:name="_Toc27781"/>
            <w:r>
              <w:rPr>
                <w:rFonts w:hint="eastAsia" w:asciiTheme="minorEastAsia" w:hAnsiTheme="minorEastAsia" w:eastAsiaTheme="minorEastAsia" w:cstheme="minorEastAsia"/>
                <w:b/>
                <w:bCs/>
                <w:sz w:val="24"/>
                <w:szCs w:val="24"/>
              </w:rPr>
              <w:t>三、同上</w:t>
            </w:r>
            <w:bookmarkEnd w:id="56"/>
            <w:bookmarkEnd w:id="57"/>
          </w:p>
        </w:tc>
      </w:tr>
    </w:tbl>
    <w:p w14:paraId="3FBC91B4">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58" w:name="_Toc1484"/>
      <w:bookmarkStart w:id="59" w:name="_Toc9069"/>
      <w:r>
        <w:rPr>
          <w:rFonts w:hint="eastAsia" w:asciiTheme="minorEastAsia" w:hAnsiTheme="minorEastAsia" w:eastAsiaTheme="minorEastAsia" w:cstheme="minorEastAsia"/>
          <w:b/>
          <w:bCs/>
          <w:sz w:val="24"/>
          <w:szCs w:val="24"/>
        </w:rPr>
        <w:t>质疑人（盖公章）：</w:t>
      </w:r>
      <w:bookmarkEnd w:id="58"/>
      <w:bookmarkEnd w:id="59"/>
    </w:p>
    <w:p w14:paraId="0E80ED5D">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0" w:name="_Toc15635"/>
      <w:bookmarkStart w:id="61" w:name="_Toc18025"/>
      <w:r>
        <w:rPr>
          <w:rFonts w:hint="eastAsia" w:asciiTheme="minorEastAsia" w:hAnsiTheme="minorEastAsia" w:eastAsiaTheme="minorEastAsia" w:cstheme="minorEastAsia"/>
          <w:b/>
          <w:bCs/>
          <w:sz w:val="24"/>
          <w:szCs w:val="24"/>
        </w:rPr>
        <w:t>法定</w:t>
      </w:r>
      <w:r>
        <w:rPr>
          <w:rFonts w:hint="eastAsia" w:asciiTheme="minorEastAsia" w:hAnsiTheme="minorEastAsia" w:eastAsiaTheme="minorEastAsia" w:cstheme="minorEastAsia"/>
          <w:b/>
          <w:bCs/>
          <w:sz w:val="24"/>
          <w:szCs w:val="24"/>
          <w:lang w:eastAsia="zh-CN"/>
        </w:rPr>
        <w:t>代表</w:t>
      </w:r>
      <w:r>
        <w:rPr>
          <w:rFonts w:hint="eastAsia" w:asciiTheme="minorEastAsia" w:hAnsiTheme="minorEastAsia" w:eastAsiaTheme="minorEastAsia" w:cstheme="minorEastAsia"/>
          <w:b/>
          <w:bCs/>
          <w:sz w:val="24"/>
          <w:szCs w:val="24"/>
        </w:rPr>
        <w:t>人（签字、盖章）：</w:t>
      </w:r>
      <w:bookmarkEnd w:id="60"/>
      <w:bookmarkEnd w:id="61"/>
    </w:p>
    <w:p w14:paraId="7E1EDE9E">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2" w:name="_Toc9674"/>
      <w:bookmarkStart w:id="63" w:name="_Toc12827"/>
      <w:r>
        <w:rPr>
          <w:rFonts w:hint="eastAsia" w:asciiTheme="minorEastAsia" w:hAnsiTheme="minorEastAsia" w:eastAsiaTheme="minorEastAsia" w:cstheme="minorEastAsia"/>
          <w:b/>
          <w:bCs/>
          <w:sz w:val="24"/>
          <w:szCs w:val="24"/>
        </w:rPr>
        <w:t>授权代理人（签字）：</w:t>
      </w:r>
      <w:bookmarkEnd w:id="62"/>
      <w:bookmarkEnd w:id="63"/>
    </w:p>
    <w:p w14:paraId="10E6FEA8">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4" w:name="_Toc21978"/>
      <w:bookmarkStart w:id="65" w:name="_Toc10390"/>
      <w:r>
        <w:rPr>
          <w:rFonts w:hint="eastAsia" w:asciiTheme="minorEastAsia" w:hAnsiTheme="minorEastAsia" w:eastAsiaTheme="minorEastAsia" w:cstheme="minorEastAsia"/>
          <w:b/>
          <w:bCs/>
          <w:sz w:val="24"/>
          <w:szCs w:val="24"/>
        </w:rPr>
        <w:t xml:space="preserve">日期：年  月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日</w:t>
      </w:r>
      <w:bookmarkEnd w:id="64"/>
      <w:bookmarkEnd w:id="65"/>
    </w:p>
    <w:p w14:paraId="6460EF5E">
      <w:pPr>
        <w:snapToGrid w:val="0"/>
        <w:spacing w:line="440" w:lineRule="exact"/>
        <w:ind w:firstLine="482" w:firstLineChars="200"/>
        <w:outlineLvl w:val="0"/>
        <w:rPr>
          <w:rFonts w:hint="eastAsia" w:asciiTheme="minorEastAsia" w:hAnsiTheme="minorEastAsia" w:eastAsiaTheme="minorEastAsia" w:cstheme="minorEastAsia"/>
          <w:sz w:val="24"/>
          <w:szCs w:val="24"/>
        </w:rPr>
      </w:pPr>
      <w:bookmarkStart w:id="66" w:name="_Toc10187"/>
      <w:bookmarkStart w:id="67" w:name="_Toc3990"/>
      <w:r>
        <w:rPr>
          <w:rFonts w:hint="eastAsia" w:asciiTheme="minorEastAsia" w:hAnsiTheme="minorEastAsia" w:eastAsiaTheme="minorEastAsia" w:cstheme="minorEastAsia"/>
          <w:b/>
          <w:bCs/>
          <w:sz w:val="24"/>
          <w:szCs w:val="24"/>
        </w:rPr>
        <w:t>备注：</w:t>
      </w:r>
      <w:bookmarkEnd w:id="66"/>
      <w:bookmarkEnd w:id="67"/>
    </w:p>
    <w:p w14:paraId="578AF0BD">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68" w:name="_Toc21980"/>
      <w:bookmarkStart w:id="69" w:name="_Toc26970"/>
      <w:r>
        <w:rPr>
          <w:rFonts w:hint="eastAsia" w:asciiTheme="minorEastAsia" w:hAnsiTheme="minorEastAsia" w:eastAsiaTheme="minorEastAsia" w:cstheme="minorEastAsia"/>
          <w:sz w:val="24"/>
          <w:szCs w:val="24"/>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68"/>
      <w:bookmarkEnd w:id="69"/>
    </w:p>
    <w:p w14:paraId="064AA78E">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0" w:name="_Toc29109"/>
      <w:bookmarkStart w:id="71" w:name="_Toc29931"/>
      <w:r>
        <w:rPr>
          <w:rFonts w:hint="eastAsia" w:asciiTheme="minorEastAsia" w:hAnsiTheme="minorEastAsia" w:eastAsiaTheme="minorEastAsia" w:cstheme="minorEastAsia"/>
          <w:sz w:val="24"/>
          <w:szCs w:val="24"/>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0"/>
      <w:bookmarkEnd w:id="71"/>
    </w:p>
    <w:p w14:paraId="5B288C4A">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2" w:name="_Toc22283"/>
      <w:bookmarkStart w:id="73" w:name="_Toc22526"/>
      <w:r>
        <w:rPr>
          <w:rFonts w:hint="eastAsia" w:asciiTheme="minorEastAsia" w:hAnsiTheme="minorEastAsia" w:eastAsiaTheme="minorEastAsia" w:cstheme="minorEastAsia"/>
          <w:sz w:val="24"/>
          <w:szCs w:val="24"/>
        </w:rPr>
        <w:t>3、“具体的质疑事项及事实依据”一栏填写不下时，质疑人可另附页（A4），但附纸要求加盖质疑人公章。</w:t>
      </w:r>
      <w:bookmarkEnd w:id="72"/>
      <w:bookmarkEnd w:id="73"/>
    </w:p>
    <w:p w14:paraId="61628C51">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4" w:name="_Toc13249"/>
      <w:bookmarkStart w:id="75" w:name="_Toc29680"/>
      <w:r>
        <w:rPr>
          <w:rFonts w:hint="eastAsia" w:asciiTheme="minorEastAsia" w:hAnsiTheme="minorEastAsia" w:eastAsiaTheme="minorEastAsia" w:cstheme="minorEastAsia"/>
          <w:sz w:val="24"/>
          <w:szCs w:val="24"/>
        </w:rPr>
        <w:t>4、与质疑事项有关的材料应与质疑函合并装订。</w:t>
      </w:r>
      <w:bookmarkEnd w:id="74"/>
      <w:bookmarkEnd w:id="75"/>
    </w:p>
    <w:p w14:paraId="384BC748">
      <w:pPr>
        <w:snapToGrid w:val="0"/>
        <w:spacing w:line="44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
          <w:bCs/>
          <w:sz w:val="24"/>
          <w:szCs w:val="24"/>
        </w:rPr>
        <w:t>质疑函一式三份。</w:t>
      </w:r>
    </w:p>
    <w:p w14:paraId="1DCEFDDE">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4"/>
          <w:szCs w:val="24"/>
        </w:rPr>
        <w:br w:type="page"/>
      </w:r>
      <w:bookmarkStart w:id="76" w:name="_Toc4069"/>
      <w:bookmarkStart w:id="77" w:name="_Toc3729"/>
      <w:r>
        <w:rPr>
          <w:rFonts w:hint="eastAsia" w:asciiTheme="minorEastAsia" w:hAnsiTheme="minorEastAsia" w:eastAsiaTheme="minorEastAsia" w:cstheme="minorEastAsia"/>
          <w:sz w:val="28"/>
          <w:szCs w:val="28"/>
        </w:rPr>
        <w:t>第三部分 采购合同</w:t>
      </w:r>
    </w:p>
    <w:bookmarkEnd w:id="76"/>
    <w:bookmarkEnd w:id="77"/>
    <w:p w14:paraId="0E86CC33">
      <w:pPr>
        <w:pStyle w:val="15"/>
        <w:jc w:val="center"/>
        <w:rPr>
          <w:rFonts w:hint="eastAsia" w:ascii="宋体" w:hAnsi="宋体" w:cs="宋体"/>
          <w:b/>
          <w:bCs/>
          <w:spacing w:val="-20"/>
          <w:kern w:val="44"/>
          <w:sz w:val="48"/>
          <w:szCs w:val="48"/>
        </w:rPr>
      </w:pPr>
      <w:bookmarkStart w:id="78" w:name="_Toc3995"/>
    </w:p>
    <w:bookmarkEnd w:id="78"/>
    <w:p w14:paraId="0946C8F4">
      <w:pPr>
        <w:spacing w:line="480" w:lineRule="exact"/>
        <w:ind w:firstLine="480" w:firstLineChars="200"/>
        <w:rPr>
          <w:rFonts w:hint="eastAsia" w:asciiTheme="minorEastAsia" w:hAnsiTheme="minorEastAsia" w:eastAsiaTheme="minorEastAsia" w:cstheme="minorEastAsia"/>
          <w:bCs/>
          <w:color w:val="auto"/>
          <w:sz w:val="24"/>
          <w:szCs w:val="24"/>
        </w:rPr>
      </w:pPr>
      <w:bookmarkStart w:id="79" w:name="_Toc16938559"/>
      <w:bookmarkStart w:id="80" w:name="_Toc513029243"/>
      <w:bookmarkStart w:id="81" w:name="_Toc20823315"/>
      <w:r>
        <w:rPr>
          <w:rFonts w:hint="eastAsia" w:asciiTheme="minorEastAsia" w:hAnsiTheme="minorEastAsia" w:eastAsiaTheme="minorEastAsia" w:cstheme="minorEastAsia"/>
          <w:bCs/>
          <w:color w:val="auto"/>
          <w:sz w:val="24"/>
          <w:szCs w:val="24"/>
        </w:rPr>
        <w:t>以下为中标后签定本项目合同的通用条款，中标人不得提出实质性的修改，关于专用条款将由采购人与中标人结合本项目具体情况协商后签订。</w:t>
      </w:r>
    </w:p>
    <w:p w14:paraId="27542529">
      <w:pPr>
        <w:spacing w:line="480" w:lineRule="exact"/>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新疆维吾尔自治区政府采购合同（合同编号）</w:t>
      </w:r>
    </w:p>
    <w:p w14:paraId="1C57900D">
      <w:pPr>
        <w:pStyle w:val="18"/>
        <w:snapToGrid w:val="0"/>
        <w:spacing w:before="120" w:after="120" w:line="48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kern w:val="21"/>
          <w:sz w:val="24"/>
          <w:szCs w:val="24"/>
          <w:u w:val="single"/>
        </w:rPr>
        <w:t>新疆维吾尔自治区粮食和物资储备局</w:t>
      </w:r>
      <w:r>
        <w:rPr>
          <w:rFonts w:hint="eastAsia" w:asciiTheme="minorEastAsia" w:hAnsiTheme="minorEastAsia" w:eastAsiaTheme="minorEastAsia" w:cstheme="minorEastAsia"/>
          <w:color w:val="auto"/>
          <w:kern w:val="21"/>
          <w:sz w:val="24"/>
          <w:szCs w:val="24"/>
          <w:u w:val="single"/>
          <w:lang w:val="en-US" w:eastAsia="zh-CN"/>
        </w:rPr>
        <w:t>数据安全分类分级及数据安全风险评估</w:t>
      </w:r>
      <w:r>
        <w:rPr>
          <w:rFonts w:hint="eastAsia" w:asciiTheme="minorEastAsia" w:hAnsiTheme="minorEastAsia" w:eastAsiaTheme="minorEastAsia" w:cstheme="minorEastAsia"/>
          <w:color w:val="auto"/>
          <w:kern w:val="21"/>
          <w:sz w:val="24"/>
          <w:szCs w:val="24"/>
          <w:u w:val="single"/>
        </w:rPr>
        <w:t>项目</w:t>
      </w:r>
    </w:p>
    <w:p w14:paraId="4C2C07DC">
      <w:pPr>
        <w:pStyle w:val="18"/>
        <w:snapToGrid w:val="0"/>
        <w:spacing w:before="120" w:after="120" w:line="48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2C450358">
      <w:pPr>
        <w:pStyle w:val="18"/>
        <w:snapToGrid w:val="0"/>
        <w:spacing w:before="120" w:after="120"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甲方：（买方）</w:t>
      </w:r>
      <w:r>
        <w:rPr>
          <w:rFonts w:hint="eastAsia" w:asciiTheme="minorEastAsia" w:hAnsiTheme="minorEastAsia" w:eastAsiaTheme="minorEastAsia" w:cstheme="minorEastAsia"/>
          <w:color w:val="auto"/>
          <w:kern w:val="21"/>
          <w:sz w:val="24"/>
          <w:szCs w:val="24"/>
          <w:u w:val="single"/>
        </w:rPr>
        <w:t>新疆维吾尔自治区</w:t>
      </w:r>
      <w:r>
        <w:rPr>
          <w:rFonts w:hint="eastAsia" w:asciiTheme="minorEastAsia" w:hAnsiTheme="minorEastAsia" w:eastAsiaTheme="minorEastAsia" w:cstheme="minorEastAsia"/>
          <w:color w:val="auto"/>
          <w:kern w:val="21"/>
          <w:sz w:val="24"/>
          <w:szCs w:val="24"/>
          <w:u w:val="single"/>
          <w:lang w:eastAsia="zh-CN"/>
        </w:rPr>
        <w:t>粮食和物资储备局信息中心</w:t>
      </w:r>
    </w:p>
    <w:p w14:paraId="4325EAA8">
      <w:pPr>
        <w:pStyle w:val="18"/>
        <w:snapToGrid w:val="0"/>
        <w:spacing w:before="120" w:after="120"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乙方：（卖方）_________</w:t>
      </w:r>
    </w:p>
    <w:p w14:paraId="32AC5637">
      <w:pPr>
        <w:pStyle w:val="18"/>
        <w:snapToGrid w:val="0"/>
        <w:spacing w:before="120" w:after="120" w:line="48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kern w:val="21"/>
          <w:sz w:val="24"/>
          <w:szCs w:val="24"/>
          <w:u w:val="single"/>
        </w:rPr>
        <w:t>新疆维吾尔自治区粮食和物资储备局</w:t>
      </w:r>
      <w:r>
        <w:rPr>
          <w:rFonts w:hint="eastAsia" w:asciiTheme="minorEastAsia" w:hAnsiTheme="minorEastAsia" w:eastAsiaTheme="minorEastAsia" w:cstheme="minorEastAsia"/>
          <w:color w:val="auto"/>
          <w:kern w:val="21"/>
          <w:sz w:val="24"/>
          <w:szCs w:val="24"/>
          <w:u w:val="single"/>
          <w:lang w:val="en-US" w:eastAsia="zh-CN"/>
        </w:rPr>
        <w:t>数据安全分类分级及数据安全风险评估</w:t>
      </w:r>
      <w:r>
        <w:rPr>
          <w:rFonts w:hint="eastAsia" w:asciiTheme="minorEastAsia" w:hAnsiTheme="minorEastAsia" w:eastAsiaTheme="minorEastAsia" w:cstheme="minorEastAsia"/>
          <w:color w:val="auto"/>
          <w:sz w:val="24"/>
          <w:szCs w:val="24"/>
        </w:rPr>
        <w:t>项目磋商的结果，签署本合同。</w:t>
      </w:r>
    </w:p>
    <w:p w14:paraId="5E89AE00">
      <w:pPr>
        <w:pStyle w:val="18"/>
        <w:snapToGrid w:val="0"/>
        <w:spacing w:before="120" w:after="120"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一、服务内容</w:t>
      </w:r>
    </w:p>
    <w:p w14:paraId="0BCB3E31">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对自治区粮食和物资储备局开展数据安全分类分级与数据安全风险评估工作。</w:t>
      </w:r>
    </w:p>
    <w:p w14:paraId="13D74DCB">
      <w:pPr>
        <w:pStyle w:val="2"/>
        <w:spacing w:line="360" w:lineRule="auto"/>
        <w:ind w:left="0" w:firstLine="48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二、服务期限</w:t>
      </w:r>
    </w:p>
    <w:p w14:paraId="68C8F699">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1"/>
          <w:sz w:val="24"/>
          <w:szCs w:val="24"/>
        </w:rPr>
        <w:t>本合同服务期限为</w:t>
      </w:r>
      <w:r>
        <w:rPr>
          <w:rFonts w:hint="eastAsia" w:asciiTheme="minorEastAsia" w:hAnsiTheme="minorEastAsia" w:eastAsiaTheme="minorEastAsia" w:cstheme="minorEastAsia"/>
          <w:color w:val="auto"/>
          <w:kern w:val="21"/>
          <w:sz w:val="24"/>
          <w:szCs w:val="24"/>
          <w:u w:val="single"/>
          <w:lang w:val="en-US" w:eastAsia="zh-CN"/>
        </w:rPr>
        <w:t>自合同签订之日起30日内</w:t>
      </w:r>
      <w:r>
        <w:rPr>
          <w:rFonts w:hint="eastAsia" w:asciiTheme="minorEastAsia" w:hAnsiTheme="minorEastAsia" w:eastAsiaTheme="minorEastAsia" w:cstheme="minorEastAsia"/>
          <w:color w:val="auto"/>
          <w:kern w:val="21"/>
          <w:sz w:val="24"/>
          <w:szCs w:val="24"/>
        </w:rPr>
        <w:t>。</w:t>
      </w:r>
    </w:p>
    <w:p w14:paraId="3B5C65D0">
      <w:pPr>
        <w:pStyle w:val="18"/>
        <w:snapToGrid w:val="0"/>
        <w:spacing w:before="120" w:after="120"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三、合同金额</w:t>
      </w:r>
    </w:p>
    <w:p w14:paraId="2B11582E">
      <w:pPr>
        <w:spacing w:line="560" w:lineRule="exact"/>
        <w:ind w:firstLine="480" w:firstLineChars="200"/>
        <w:rPr>
          <w:rFonts w:hint="eastAsia" w:asciiTheme="minorEastAsia" w:hAnsiTheme="minorEastAsia" w:eastAsiaTheme="minorEastAsia" w:cstheme="minorEastAsia"/>
          <w:color w:val="auto"/>
          <w:kern w:val="21"/>
          <w:sz w:val="24"/>
          <w:szCs w:val="24"/>
          <w:u w:val="single"/>
        </w:rPr>
      </w:pPr>
      <w:r>
        <w:rPr>
          <w:rFonts w:hint="eastAsia" w:asciiTheme="minorEastAsia" w:hAnsiTheme="minorEastAsia" w:eastAsiaTheme="minorEastAsia" w:cstheme="minorEastAsia"/>
          <w:color w:val="auto"/>
          <w:kern w:val="21"/>
          <w:sz w:val="24"/>
          <w:szCs w:val="24"/>
          <w:u w:val="single"/>
        </w:rPr>
        <w:t>1.合同总金额</w:t>
      </w:r>
    </w:p>
    <w:p w14:paraId="2D467C96">
      <w:pPr>
        <w:spacing w:line="560" w:lineRule="exact"/>
        <w:ind w:firstLine="480" w:firstLineChars="200"/>
        <w:rPr>
          <w:rFonts w:hint="eastAsia" w:asciiTheme="minorEastAsia" w:hAnsiTheme="minorEastAsia" w:eastAsiaTheme="minorEastAsia" w:cstheme="minorEastAsia"/>
          <w:color w:val="auto"/>
          <w:kern w:val="21"/>
          <w:sz w:val="24"/>
          <w:szCs w:val="24"/>
          <w:u w:val="single"/>
        </w:rPr>
      </w:pPr>
      <w:r>
        <w:rPr>
          <w:rFonts w:hint="eastAsia" w:asciiTheme="minorEastAsia" w:hAnsiTheme="minorEastAsia" w:eastAsiaTheme="minorEastAsia" w:cstheme="minorEastAsia"/>
          <w:color w:val="auto"/>
          <w:kern w:val="21"/>
          <w:sz w:val="24"/>
          <w:szCs w:val="24"/>
          <w:u w:val="single"/>
        </w:rPr>
        <w:t>本合同总金额为：人民币         元整（RMB：￥     元）。其中，不含税价款：         元（大写：          ）、税额（税率6%）：     （大写：         ）。</w:t>
      </w:r>
    </w:p>
    <w:p w14:paraId="3BD7C057">
      <w:pPr>
        <w:spacing w:line="560" w:lineRule="exact"/>
        <w:ind w:firstLine="480"/>
        <w:rPr>
          <w:rFonts w:hint="eastAsia" w:asciiTheme="minorEastAsia" w:hAnsiTheme="minorEastAsia" w:eastAsiaTheme="minorEastAsia" w:cstheme="minorEastAsia"/>
          <w:color w:val="auto"/>
          <w:kern w:val="21"/>
          <w:sz w:val="24"/>
          <w:szCs w:val="24"/>
          <w:u w:val="single"/>
        </w:rPr>
      </w:pPr>
      <w:r>
        <w:rPr>
          <w:rFonts w:hint="eastAsia" w:asciiTheme="minorEastAsia" w:hAnsiTheme="minorEastAsia" w:eastAsiaTheme="minorEastAsia" w:cstheme="minorEastAsia"/>
          <w:color w:val="auto"/>
          <w:kern w:val="21"/>
          <w:sz w:val="24"/>
          <w:szCs w:val="24"/>
          <w:u w:val="single"/>
        </w:rPr>
        <w:t>2.支付方式</w:t>
      </w:r>
    </w:p>
    <w:p w14:paraId="1ACC027C">
      <w:pPr>
        <w:spacing w:line="560" w:lineRule="exact"/>
        <w:ind w:firstLine="480" w:firstLineChars="200"/>
        <w:rPr>
          <w:rFonts w:hint="eastAsia" w:asciiTheme="minorEastAsia" w:hAnsiTheme="minorEastAsia" w:eastAsiaTheme="minorEastAsia" w:cstheme="minorEastAsia"/>
          <w:color w:val="auto"/>
          <w:kern w:val="21"/>
          <w:sz w:val="24"/>
          <w:szCs w:val="24"/>
          <w:lang w:val="en-US" w:eastAsia="zh-CN"/>
        </w:rPr>
      </w:pPr>
      <w:r>
        <w:rPr>
          <w:rFonts w:hint="eastAsia" w:asciiTheme="minorEastAsia" w:hAnsiTheme="minorEastAsia" w:eastAsiaTheme="minorEastAsia" w:cstheme="minorEastAsia"/>
          <w:color w:val="auto"/>
          <w:kern w:val="21"/>
          <w:sz w:val="24"/>
          <w:szCs w:val="24"/>
          <w:lang w:val="en-US" w:eastAsia="zh-CN"/>
        </w:rPr>
        <w:t>甲乙双方商定</w:t>
      </w:r>
    </w:p>
    <w:p w14:paraId="17B13EC3">
      <w:pPr>
        <w:spacing w:line="560" w:lineRule="exact"/>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乙方账户信息：</w:t>
      </w:r>
    </w:p>
    <w:p w14:paraId="1C76A684">
      <w:pPr>
        <w:spacing w:line="560" w:lineRule="exact"/>
        <w:ind w:firstLine="480" w:firstLineChars="200"/>
        <w:jc w:val="left"/>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公司名称：</w:t>
      </w:r>
    </w:p>
    <w:p w14:paraId="78A3C9E8">
      <w:pPr>
        <w:spacing w:line="560" w:lineRule="exact"/>
        <w:ind w:left="-2" w:firstLine="480" w:firstLineChars="200"/>
        <w:jc w:val="left"/>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税 号:</w:t>
      </w:r>
    </w:p>
    <w:p w14:paraId="782DBB44">
      <w:pPr>
        <w:spacing w:line="560" w:lineRule="exact"/>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开户银行：</w:t>
      </w:r>
    </w:p>
    <w:p w14:paraId="267D9B44">
      <w:pPr>
        <w:spacing w:line="560" w:lineRule="exact"/>
        <w:ind w:firstLine="480" w:firstLineChars="200"/>
        <w:jc w:val="left"/>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账 号：</w:t>
      </w:r>
    </w:p>
    <w:p w14:paraId="3487E704">
      <w:pPr>
        <w:outlineLvl w:val="1"/>
        <w:rPr>
          <w:rFonts w:hint="eastAsia" w:asciiTheme="minorEastAsia" w:hAnsiTheme="minorEastAsia" w:eastAsiaTheme="minorEastAsia" w:cstheme="minorEastAsia"/>
          <w:b/>
          <w:color w:val="auto"/>
          <w:kern w:val="21"/>
          <w:sz w:val="24"/>
          <w:szCs w:val="24"/>
        </w:rPr>
      </w:pPr>
      <w:r>
        <w:rPr>
          <w:rFonts w:hint="eastAsia" w:asciiTheme="minorEastAsia" w:hAnsiTheme="minorEastAsia" w:eastAsiaTheme="minorEastAsia" w:cstheme="minorEastAsia"/>
          <w:b/>
          <w:color w:val="auto"/>
          <w:kern w:val="21"/>
          <w:sz w:val="24"/>
          <w:szCs w:val="24"/>
        </w:rPr>
        <w:t xml:space="preserve">        </w:t>
      </w:r>
    </w:p>
    <w:p w14:paraId="0BAA0CA1">
      <w:pPr>
        <w:spacing w:line="360" w:lineRule="auto"/>
        <w:outlineLvl w:val="1"/>
        <w:rPr>
          <w:rFonts w:hint="eastAsia" w:asciiTheme="minorEastAsia" w:hAnsiTheme="minorEastAsia" w:eastAsiaTheme="minorEastAsia" w:cstheme="minorEastAsia"/>
          <w:b/>
          <w:color w:val="auto"/>
          <w:kern w:val="21"/>
          <w:sz w:val="24"/>
          <w:szCs w:val="24"/>
        </w:rPr>
      </w:pPr>
      <w:r>
        <w:rPr>
          <w:rFonts w:hint="eastAsia" w:asciiTheme="minorEastAsia" w:hAnsiTheme="minorEastAsia" w:eastAsiaTheme="minorEastAsia" w:cstheme="minorEastAsia"/>
          <w:b/>
          <w:color w:val="auto"/>
          <w:kern w:val="21"/>
          <w:sz w:val="24"/>
          <w:szCs w:val="24"/>
        </w:rPr>
        <w:t xml:space="preserve">    </w:t>
      </w:r>
      <w:r>
        <w:rPr>
          <w:rFonts w:hint="eastAsia" w:asciiTheme="minorEastAsia" w:hAnsiTheme="minorEastAsia" w:eastAsiaTheme="minorEastAsia" w:cstheme="minorEastAsia"/>
          <w:b/>
          <w:color w:val="auto"/>
          <w:kern w:val="21"/>
          <w:sz w:val="24"/>
          <w:szCs w:val="24"/>
          <w:lang w:val="en-US" w:eastAsia="zh-CN"/>
        </w:rPr>
        <w:t>四</w:t>
      </w:r>
      <w:r>
        <w:rPr>
          <w:rFonts w:hint="eastAsia" w:asciiTheme="minorEastAsia" w:hAnsiTheme="minorEastAsia" w:eastAsiaTheme="minorEastAsia" w:cstheme="minorEastAsia"/>
          <w:b/>
          <w:color w:val="auto"/>
          <w:kern w:val="21"/>
          <w:sz w:val="24"/>
          <w:szCs w:val="24"/>
        </w:rPr>
        <w:t>、双方权利义务</w:t>
      </w:r>
    </w:p>
    <w:p w14:paraId="1FAFB55B">
      <w:pPr>
        <w:pStyle w:val="13"/>
        <w:spacing w:line="360" w:lineRule="auto"/>
        <w:ind w:left="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21"/>
          <w:sz w:val="24"/>
          <w:szCs w:val="24"/>
          <w:lang w:val="en-US" w:eastAsia="zh-CN"/>
        </w:rPr>
        <w:t xml:space="preserve">    </w:t>
      </w:r>
      <w:r>
        <w:rPr>
          <w:rFonts w:hint="eastAsia" w:asciiTheme="minorEastAsia" w:hAnsiTheme="minorEastAsia" w:eastAsiaTheme="minorEastAsia" w:cstheme="minorEastAsia"/>
          <w:color w:val="auto"/>
          <w:kern w:val="0"/>
          <w:sz w:val="24"/>
          <w:szCs w:val="24"/>
          <w:lang w:val="en-US" w:eastAsia="zh-CN" w:bidi="ar-SA"/>
        </w:rPr>
        <w:t xml:space="preserve"> 甲乙双方按照招投标结果确定  </w:t>
      </w:r>
      <w:bookmarkStart w:id="82" w:name="_Toc5007752"/>
    </w:p>
    <w:p w14:paraId="0EB75A95">
      <w:pPr>
        <w:spacing w:line="360" w:lineRule="auto"/>
        <w:outlineLvl w:val="1"/>
        <w:rPr>
          <w:rFonts w:hint="eastAsia" w:asciiTheme="minorEastAsia" w:hAnsiTheme="minorEastAsia" w:eastAsiaTheme="minorEastAsia" w:cstheme="minorEastAsia"/>
          <w:b/>
          <w:color w:val="auto"/>
          <w:kern w:val="21"/>
          <w:sz w:val="24"/>
          <w:szCs w:val="24"/>
        </w:rPr>
      </w:pPr>
      <w:r>
        <w:rPr>
          <w:rFonts w:hint="eastAsia" w:asciiTheme="minorEastAsia" w:hAnsiTheme="minorEastAsia" w:eastAsiaTheme="minorEastAsia" w:cstheme="minorEastAsia"/>
          <w:b/>
          <w:color w:val="auto"/>
          <w:kern w:val="21"/>
          <w:sz w:val="24"/>
          <w:szCs w:val="24"/>
        </w:rPr>
        <w:t xml:space="preserve">    </w:t>
      </w:r>
      <w:r>
        <w:rPr>
          <w:rFonts w:hint="eastAsia" w:asciiTheme="minorEastAsia" w:hAnsiTheme="minorEastAsia" w:eastAsiaTheme="minorEastAsia" w:cstheme="minorEastAsia"/>
          <w:b/>
          <w:color w:val="auto"/>
          <w:kern w:val="21"/>
          <w:sz w:val="24"/>
          <w:szCs w:val="24"/>
          <w:lang w:val="en-US" w:eastAsia="zh-CN"/>
        </w:rPr>
        <w:t>五</w:t>
      </w:r>
      <w:r>
        <w:rPr>
          <w:rFonts w:hint="eastAsia" w:asciiTheme="minorEastAsia" w:hAnsiTheme="minorEastAsia" w:eastAsiaTheme="minorEastAsia" w:cstheme="minorEastAsia"/>
          <w:b/>
          <w:color w:val="auto"/>
          <w:kern w:val="21"/>
          <w:sz w:val="24"/>
          <w:szCs w:val="24"/>
        </w:rPr>
        <w:t>、保密义务</w:t>
      </w:r>
      <w:bookmarkEnd w:id="82"/>
    </w:p>
    <w:p w14:paraId="089A03C3">
      <w:pPr>
        <w:spacing w:line="360" w:lineRule="auto"/>
        <w:ind w:firstLine="48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双方确定因履行本合同应遵守的保密义务如下：</w:t>
      </w:r>
    </w:p>
    <w:p w14:paraId="12610D03">
      <w:pPr>
        <w:spacing w:line="360" w:lineRule="auto"/>
        <w:ind w:firstLine="48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甲方：</w:t>
      </w:r>
    </w:p>
    <w:p w14:paraId="455E48BB">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1、保密内容（包括技术信息和经营信息）：无</w:t>
      </w:r>
    </w:p>
    <w:p w14:paraId="6C5E9A47">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2、涉密人员范围：无</w:t>
      </w:r>
    </w:p>
    <w:p w14:paraId="730995EB">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3、保密期限：无</w:t>
      </w:r>
    </w:p>
    <w:p w14:paraId="4EF9B9C2">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4、涉密责任：无</w:t>
      </w:r>
    </w:p>
    <w:p w14:paraId="5C8F4F51">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乙方：</w:t>
      </w:r>
    </w:p>
    <w:p w14:paraId="75F43076">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1、保密内容（包括技术信息和经营信息）：</w:t>
      </w:r>
      <w:r>
        <w:rPr>
          <w:rFonts w:hint="eastAsia" w:asciiTheme="minorEastAsia" w:hAnsiTheme="minorEastAsia" w:eastAsiaTheme="minorEastAsia" w:cstheme="minorEastAsia"/>
          <w:color w:val="auto"/>
          <w:kern w:val="21"/>
          <w:sz w:val="24"/>
          <w:szCs w:val="24"/>
          <w:u w:val="single"/>
        </w:rPr>
        <w:t>设备、网络、信息系统</w:t>
      </w:r>
      <w:r>
        <w:rPr>
          <w:rFonts w:hint="eastAsia" w:asciiTheme="minorEastAsia" w:hAnsiTheme="minorEastAsia" w:eastAsiaTheme="minorEastAsia" w:cstheme="minorEastAsia"/>
          <w:color w:val="auto"/>
          <w:kern w:val="21"/>
          <w:sz w:val="24"/>
          <w:szCs w:val="24"/>
          <w:u w:val="single"/>
          <w:lang w:eastAsia="zh-CN"/>
        </w:rPr>
        <w:t>、</w:t>
      </w:r>
      <w:r>
        <w:rPr>
          <w:rFonts w:hint="eastAsia" w:asciiTheme="minorEastAsia" w:hAnsiTheme="minorEastAsia" w:eastAsiaTheme="minorEastAsia" w:cstheme="minorEastAsia"/>
          <w:color w:val="auto"/>
          <w:kern w:val="21"/>
          <w:sz w:val="24"/>
          <w:szCs w:val="24"/>
          <w:u w:val="single"/>
          <w:lang w:val="en-US" w:eastAsia="zh-CN"/>
        </w:rPr>
        <w:t>数据</w:t>
      </w:r>
      <w:r>
        <w:rPr>
          <w:rFonts w:hint="eastAsia" w:asciiTheme="minorEastAsia" w:hAnsiTheme="minorEastAsia" w:eastAsiaTheme="minorEastAsia" w:cstheme="minorEastAsia"/>
          <w:color w:val="auto"/>
          <w:kern w:val="21"/>
          <w:sz w:val="24"/>
          <w:szCs w:val="24"/>
          <w:u w:val="single"/>
        </w:rPr>
        <w:t>相关信息</w:t>
      </w:r>
    </w:p>
    <w:p w14:paraId="03E19E14">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2、涉密人员范围：</w:t>
      </w:r>
      <w:r>
        <w:rPr>
          <w:rFonts w:hint="eastAsia" w:asciiTheme="minorEastAsia" w:hAnsiTheme="minorEastAsia" w:eastAsiaTheme="minorEastAsia" w:cstheme="minorEastAsia"/>
          <w:color w:val="auto"/>
          <w:kern w:val="21"/>
          <w:sz w:val="24"/>
          <w:szCs w:val="24"/>
          <w:u w:val="single"/>
        </w:rPr>
        <w:t>实施人员、技术支持人员</w:t>
      </w:r>
    </w:p>
    <w:p w14:paraId="021AC3A5">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3、保密期限：</w:t>
      </w:r>
      <w:r>
        <w:rPr>
          <w:rFonts w:hint="eastAsia" w:asciiTheme="minorEastAsia" w:hAnsiTheme="minorEastAsia" w:eastAsiaTheme="minorEastAsia" w:cstheme="minorEastAsia"/>
          <w:color w:val="auto"/>
          <w:kern w:val="21"/>
          <w:sz w:val="24"/>
          <w:szCs w:val="24"/>
          <w:u w:val="single"/>
        </w:rPr>
        <w:t>自本合同签订之日起至合同终止后一年</w:t>
      </w:r>
    </w:p>
    <w:p w14:paraId="32515744">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4、泄密责任：</w:t>
      </w:r>
      <w:r>
        <w:rPr>
          <w:rFonts w:hint="eastAsia" w:asciiTheme="minorEastAsia" w:hAnsiTheme="minorEastAsia" w:eastAsiaTheme="minorEastAsia" w:cstheme="minorEastAsia"/>
          <w:color w:val="auto"/>
          <w:kern w:val="21"/>
          <w:sz w:val="24"/>
          <w:szCs w:val="24"/>
          <w:u w:val="single"/>
        </w:rPr>
        <w:t>因乙方原因造成的泄密损失，乙方承担合同总额3%的违约金外，还应赔偿由此给甲方造成的一切经济损失</w:t>
      </w:r>
    </w:p>
    <w:p w14:paraId="7908E691">
      <w:pPr>
        <w:spacing w:line="360" w:lineRule="auto"/>
        <w:outlineLvl w:val="1"/>
        <w:rPr>
          <w:rFonts w:hint="eastAsia" w:asciiTheme="minorEastAsia" w:hAnsiTheme="minorEastAsia" w:eastAsiaTheme="minorEastAsia" w:cstheme="minorEastAsia"/>
          <w:b/>
          <w:color w:val="auto"/>
          <w:kern w:val="21"/>
          <w:sz w:val="24"/>
          <w:szCs w:val="24"/>
        </w:rPr>
      </w:pPr>
      <w:bookmarkStart w:id="83" w:name="_Toc5007753"/>
    </w:p>
    <w:p w14:paraId="02D2B2DB">
      <w:pPr>
        <w:spacing w:line="360" w:lineRule="auto"/>
        <w:outlineLvl w:val="1"/>
        <w:rPr>
          <w:rFonts w:hint="eastAsia" w:asciiTheme="minorEastAsia" w:hAnsiTheme="minorEastAsia" w:eastAsiaTheme="minorEastAsia" w:cstheme="minorEastAsia"/>
          <w:b/>
          <w:color w:val="auto"/>
          <w:kern w:val="21"/>
          <w:sz w:val="24"/>
          <w:szCs w:val="24"/>
        </w:rPr>
      </w:pPr>
      <w:r>
        <w:rPr>
          <w:rFonts w:hint="eastAsia" w:asciiTheme="minorEastAsia" w:hAnsiTheme="minorEastAsia" w:eastAsiaTheme="minorEastAsia" w:cstheme="minorEastAsia"/>
          <w:b/>
          <w:color w:val="auto"/>
          <w:kern w:val="21"/>
          <w:sz w:val="24"/>
          <w:szCs w:val="24"/>
        </w:rPr>
        <w:t xml:space="preserve">    </w:t>
      </w:r>
      <w:r>
        <w:rPr>
          <w:rFonts w:hint="eastAsia" w:asciiTheme="minorEastAsia" w:hAnsiTheme="minorEastAsia" w:eastAsiaTheme="minorEastAsia" w:cstheme="minorEastAsia"/>
          <w:b/>
          <w:color w:val="auto"/>
          <w:kern w:val="21"/>
          <w:sz w:val="24"/>
          <w:szCs w:val="24"/>
          <w:lang w:val="en-US" w:eastAsia="zh-CN"/>
        </w:rPr>
        <w:t>六</w:t>
      </w:r>
      <w:r>
        <w:rPr>
          <w:rFonts w:hint="eastAsia" w:asciiTheme="minorEastAsia" w:hAnsiTheme="minorEastAsia" w:eastAsiaTheme="minorEastAsia" w:cstheme="minorEastAsia"/>
          <w:b/>
          <w:color w:val="auto"/>
          <w:kern w:val="21"/>
          <w:sz w:val="24"/>
          <w:szCs w:val="24"/>
        </w:rPr>
        <w:t>、违约责任</w:t>
      </w:r>
      <w:bookmarkEnd w:id="83"/>
    </w:p>
    <w:p w14:paraId="574C5406">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8.1 甲、乙双方应共同遵守本协议的各项条款。</w:t>
      </w:r>
    </w:p>
    <w:p w14:paraId="51A696D3">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8.2 由于一方违约，导致本协议不能履行或不能完全履行，由违约方向守约方支付合同总金额3%的违约金；如双方违约，根据实际情况由双方分别承担责任。</w:t>
      </w:r>
    </w:p>
    <w:p w14:paraId="2159D32A">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8.3 由于不可抗力（例如瘟疫、水灾、火灾、地震或战争等）造成不能履行本协议，经相关部门查实证明，免于承担经济责任。</w:t>
      </w:r>
    </w:p>
    <w:p w14:paraId="10691A47">
      <w:pPr>
        <w:spacing w:line="360" w:lineRule="auto"/>
        <w:outlineLvl w:val="1"/>
        <w:rPr>
          <w:rFonts w:hint="eastAsia" w:asciiTheme="minorEastAsia" w:hAnsiTheme="minorEastAsia" w:eastAsiaTheme="minorEastAsia" w:cstheme="minorEastAsia"/>
          <w:b/>
          <w:color w:val="auto"/>
          <w:kern w:val="21"/>
          <w:sz w:val="24"/>
          <w:szCs w:val="24"/>
        </w:rPr>
      </w:pPr>
      <w:bookmarkStart w:id="84" w:name="_Toc5007754"/>
      <w:r>
        <w:rPr>
          <w:rFonts w:hint="eastAsia" w:asciiTheme="minorEastAsia" w:hAnsiTheme="minorEastAsia" w:eastAsiaTheme="minorEastAsia" w:cstheme="minorEastAsia"/>
          <w:b/>
          <w:color w:val="auto"/>
          <w:kern w:val="21"/>
          <w:sz w:val="24"/>
          <w:szCs w:val="24"/>
        </w:rPr>
        <w:t xml:space="preserve">    </w:t>
      </w:r>
      <w:r>
        <w:rPr>
          <w:rFonts w:hint="eastAsia" w:asciiTheme="minorEastAsia" w:hAnsiTheme="minorEastAsia" w:eastAsiaTheme="minorEastAsia" w:cstheme="minorEastAsia"/>
          <w:b/>
          <w:color w:val="auto"/>
          <w:kern w:val="21"/>
          <w:sz w:val="24"/>
          <w:szCs w:val="24"/>
          <w:lang w:val="en-US" w:eastAsia="zh-CN"/>
        </w:rPr>
        <w:t>七</w:t>
      </w:r>
      <w:r>
        <w:rPr>
          <w:rFonts w:hint="eastAsia" w:asciiTheme="minorEastAsia" w:hAnsiTheme="minorEastAsia" w:eastAsiaTheme="minorEastAsia" w:cstheme="minorEastAsia"/>
          <w:b/>
          <w:color w:val="auto"/>
          <w:kern w:val="21"/>
          <w:sz w:val="24"/>
          <w:szCs w:val="24"/>
        </w:rPr>
        <w:t>、</w:t>
      </w:r>
      <w:bookmarkEnd w:id="84"/>
      <w:r>
        <w:rPr>
          <w:rFonts w:hint="eastAsia" w:asciiTheme="minorEastAsia" w:hAnsiTheme="minorEastAsia" w:eastAsiaTheme="minorEastAsia" w:cstheme="minorEastAsia"/>
          <w:b/>
          <w:color w:val="auto"/>
          <w:kern w:val="21"/>
          <w:sz w:val="24"/>
          <w:szCs w:val="24"/>
        </w:rPr>
        <w:t>诉讼</w:t>
      </w:r>
    </w:p>
    <w:p w14:paraId="467825BF">
      <w:pPr>
        <w:spacing w:line="360" w:lineRule="auto"/>
        <w:ind w:firstLine="480" w:firstLineChars="200"/>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sz w:val="24"/>
          <w:szCs w:val="24"/>
        </w:rPr>
        <w:t>双方在执行合同中所发生的一切争议，应通过协商解决。如协商不成，可向合同签订地法院起诉，合同签订地在此约定为</w:t>
      </w:r>
      <w:r>
        <w:rPr>
          <w:rFonts w:hint="eastAsia" w:asciiTheme="minorEastAsia" w:hAnsiTheme="minorEastAsia" w:eastAsiaTheme="minorEastAsia" w:cstheme="minorEastAsia"/>
          <w:color w:val="auto"/>
          <w:sz w:val="24"/>
          <w:szCs w:val="24"/>
          <w:u w:val="single"/>
        </w:rPr>
        <w:t>乌鲁木齐市</w:t>
      </w:r>
      <w:r>
        <w:rPr>
          <w:rFonts w:hint="eastAsia" w:asciiTheme="minorEastAsia" w:hAnsiTheme="minorEastAsia" w:eastAsiaTheme="minorEastAsia" w:cstheme="minorEastAsia"/>
          <w:color w:val="auto"/>
          <w:sz w:val="24"/>
          <w:szCs w:val="24"/>
        </w:rPr>
        <w:t>。</w:t>
      </w:r>
    </w:p>
    <w:p w14:paraId="2165EA05">
      <w:pPr>
        <w:snapToGrid w:val="0"/>
        <w:spacing w:before="145" w:beforeLines="50" w:after="145" w:afterLines="50"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、税费</w:t>
      </w:r>
    </w:p>
    <w:p w14:paraId="1A20F307">
      <w:pPr>
        <w:snapToGrid w:val="0"/>
        <w:spacing w:before="145" w:beforeLines="50" w:after="145" w:afterLines="5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 本合同执行中相关的一切税费均由乙方负担。</w:t>
      </w:r>
    </w:p>
    <w:p w14:paraId="2B484F77">
      <w:pPr>
        <w:pStyle w:val="18"/>
        <w:snapToGrid w:val="0"/>
        <w:spacing w:before="120" w:after="120"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九</w:t>
      </w:r>
      <w:r>
        <w:rPr>
          <w:rFonts w:hint="eastAsia" w:asciiTheme="minorEastAsia" w:hAnsiTheme="minorEastAsia" w:eastAsiaTheme="minorEastAsia" w:cstheme="minorEastAsia"/>
          <w:b/>
          <w:color w:val="auto"/>
          <w:sz w:val="24"/>
          <w:szCs w:val="24"/>
        </w:rPr>
        <w:t>、合同生效及其它</w:t>
      </w:r>
    </w:p>
    <w:p w14:paraId="29026697">
      <w:pPr>
        <w:pStyle w:val="18"/>
        <w:snapToGrid w:val="0"/>
        <w:spacing w:before="120" w:after="12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11.1合同经双方法定代表人或授权委托代表人签字并加盖单位公章后生效。</w:t>
      </w:r>
    </w:p>
    <w:p w14:paraId="12FF4041">
      <w:pPr>
        <w:pStyle w:val="18"/>
        <w:snapToGrid w:val="0"/>
        <w:spacing w:before="120" w:after="12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11.2本合同未尽事宜，遵照《合同法》有关条文执行。</w:t>
      </w:r>
    </w:p>
    <w:p w14:paraId="22E6C061">
      <w:pPr>
        <w:pStyle w:val="18"/>
        <w:snapToGrid w:val="0"/>
        <w:spacing w:before="120" w:after="120"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11.3本合同正本一式三份，具有同等法律效力，甲方、乙方及财政监管部门各执一份。</w:t>
      </w:r>
    </w:p>
    <w:p w14:paraId="11C8ECDF">
      <w:pPr>
        <w:pStyle w:val="18"/>
        <w:snapToGrid w:val="0"/>
        <w:spacing w:before="120" w:after="120" w:line="480" w:lineRule="exact"/>
        <w:ind w:left="480" w:hanging="480" w:hangingChars="200"/>
        <w:rPr>
          <w:rFonts w:hint="eastAsia" w:asciiTheme="minorEastAsia" w:hAnsiTheme="minorEastAsia" w:eastAsiaTheme="minorEastAsia" w:cstheme="minorEastAsia"/>
          <w:color w:val="auto"/>
          <w:sz w:val="24"/>
          <w:szCs w:val="24"/>
        </w:rPr>
      </w:pPr>
    </w:p>
    <w:p w14:paraId="3D44963B">
      <w:pPr>
        <w:pStyle w:val="18"/>
        <w:snapToGrid w:val="0"/>
        <w:spacing w:before="120" w:after="120" w:line="480" w:lineRule="exact"/>
        <w:ind w:left="48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甲方：                                  乙方： </w:t>
      </w:r>
    </w:p>
    <w:p w14:paraId="3B577897">
      <w:pPr>
        <w:pStyle w:val="18"/>
        <w:snapToGrid w:val="0"/>
        <w:spacing w:before="120" w:after="120"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地址：                                  地址： </w:t>
      </w:r>
    </w:p>
    <w:p w14:paraId="0FC6B8B3">
      <w:pPr>
        <w:pStyle w:val="18"/>
        <w:snapToGrid w:val="0"/>
        <w:spacing w:before="120" w:after="120"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法定代表人或授权代表：                  法定代表人或授权代表：</w:t>
      </w:r>
    </w:p>
    <w:p w14:paraId="772E72EA">
      <w:pPr>
        <w:pStyle w:val="18"/>
        <w:snapToGrid w:val="0"/>
        <w:spacing w:before="120" w:after="120" w:line="48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联系电话：                              联系电话：           </w:t>
      </w:r>
    </w:p>
    <w:p w14:paraId="7B1C9DB0">
      <w:pPr>
        <w:pStyle w:val="18"/>
        <w:snapToGrid w:val="0"/>
        <w:spacing w:before="120" w:after="120"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签订日期：     年  月  日</w:t>
      </w:r>
      <w:bookmarkEnd w:id="79"/>
      <w:bookmarkEnd w:id="80"/>
      <w:bookmarkEnd w:id="81"/>
      <w:bookmarkStart w:id="85" w:name="_Hlt16619369"/>
      <w:bookmarkEnd w:id="85"/>
      <w:r>
        <w:rPr>
          <w:rFonts w:hint="eastAsia" w:asciiTheme="minorEastAsia" w:hAnsiTheme="minorEastAsia" w:eastAsiaTheme="minorEastAsia" w:cstheme="minorEastAsia"/>
          <w:color w:val="auto"/>
          <w:sz w:val="24"/>
          <w:szCs w:val="24"/>
        </w:rPr>
        <w:t xml:space="preserve">               签订日期：     年  月  日</w:t>
      </w:r>
    </w:p>
    <w:p w14:paraId="765AA660">
      <w:pPr>
        <w:pStyle w:val="7"/>
        <w:rPr>
          <w:rFonts w:hint="eastAsia" w:ascii="宋体" w:hAnsi="宋体" w:cs="宋体"/>
          <w:color w:val="auto"/>
          <w:sz w:val="24"/>
          <w:szCs w:val="24"/>
          <w:lang w:val="zh-CN"/>
        </w:rPr>
      </w:pPr>
    </w:p>
    <w:p w14:paraId="171B1FD6">
      <w:pPr>
        <w:spacing w:line="360" w:lineRule="auto"/>
        <w:ind w:firstLine="482" w:firstLineChars="200"/>
        <w:jc w:val="center"/>
        <w:rPr>
          <w:rFonts w:hint="eastAsia" w:ascii="宋体" w:hAnsi="宋体" w:cs="宋体"/>
          <w:b/>
          <w:bCs/>
          <w:sz w:val="24"/>
          <w:szCs w:val="24"/>
        </w:rPr>
      </w:pPr>
    </w:p>
    <w:p w14:paraId="478DA5C0">
      <w:pPr>
        <w:spacing w:line="360" w:lineRule="auto"/>
        <w:ind w:firstLine="482" w:firstLineChars="200"/>
        <w:jc w:val="center"/>
        <w:rPr>
          <w:rFonts w:hint="eastAsia" w:ascii="宋体" w:hAnsi="宋体" w:cs="宋体"/>
          <w:b/>
          <w:bCs/>
          <w:sz w:val="24"/>
        </w:rPr>
      </w:pPr>
      <w:r>
        <w:rPr>
          <w:rFonts w:hint="eastAsia" w:ascii="宋体" w:hAnsi="宋体" w:cs="宋体"/>
          <w:b/>
          <w:bCs/>
          <w:sz w:val="24"/>
          <w:szCs w:val="24"/>
        </w:rPr>
        <w:t>合同以甲乙双方实际签订为准</w:t>
      </w:r>
    </w:p>
    <w:p w14:paraId="73BA7329">
      <w:pPr>
        <w:pStyle w:val="7"/>
        <w:rPr>
          <w:rFonts w:hint="eastAsia" w:asciiTheme="minorEastAsia" w:hAnsiTheme="minorEastAsia" w:eastAsiaTheme="minorEastAsia" w:cstheme="minorEastAsia"/>
          <w:color w:val="auto"/>
          <w:kern w:val="0"/>
          <w:sz w:val="24"/>
          <w:lang w:val="zh-CN"/>
        </w:rPr>
      </w:pPr>
    </w:p>
    <w:p w14:paraId="15062412">
      <w:pPr>
        <w:numPr>
          <w:ilvl w:val="0"/>
          <w:numId w:val="5"/>
        </w:num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kern w:val="0"/>
          <w:sz w:val="24"/>
          <w:lang w:val="zh-CN"/>
        </w:rPr>
        <w:br w:type="page"/>
      </w:r>
      <w:bookmarkStart w:id="86" w:name="_Toc9739"/>
      <w:bookmarkStart w:id="87" w:name="_Toc28365"/>
      <w:r>
        <w:rPr>
          <w:rFonts w:hint="eastAsia" w:asciiTheme="minorEastAsia" w:hAnsiTheme="minorEastAsia" w:eastAsiaTheme="minorEastAsia" w:cstheme="minorEastAsia"/>
          <w:b/>
          <w:sz w:val="32"/>
          <w:szCs w:val="32"/>
        </w:rPr>
        <w:t>采购需求</w:t>
      </w:r>
      <w:bookmarkEnd w:id="86"/>
      <w:bookmarkEnd w:id="87"/>
    </w:p>
    <w:p w14:paraId="726E29D7">
      <w:pPr>
        <w:jc w:val="center"/>
        <w:rPr>
          <w:rFonts w:hint="eastAsia" w:asciiTheme="minorEastAsia" w:hAnsiTheme="minorEastAsia" w:eastAsiaTheme="minorEastAsia" w:cstheme="minorEastAsia"/>
          <w:b/>
          <w:bCs/>
          <w:sz w:val="24"/>
          <w:szCs w:val="24"/>
        </w:rPr>
      </w:pPr>
    </w:p>
    <w:p w14:paraId="3ECCBC71">
      <w:pPr>
        <w:spacing w:line="360" w:lineRule="auto"/>
        <w:outlineLvl w:val="0"/>
        <w:rPr>
          <w:rFonts w:asciiTheme="minorEastAsia" w:hAnsiTheme="minorEastAsia" w:eastAsiaTheme="minorEastAsia" w:cstheme="minorEastAsia"/>
          <w:b/>
          <w:color w:val="000000"/>
          <w:sz w:val="24"/>
          <w:szCs w:val="24"/>
        </w:rPr>
      </w:pPr>
      <w:bookmarkStart w:id="88" w:name="_Toc534725609"/>
      <w:bookmarkStart w:id="89" w:name="_Toc534816638"/>
      <w:bookmarkStart w:id="90" w:name="_Toc20810"/>
      <w:bookmarkStart w:id="91" w:name="_Toc18940"/>
      <w:r>
        <w:rPr>
          <w:rFonts w:hint="eastAsia" w:asciiTheme="minorEastAsia" w:hAnsiTheme="minorEastAsia" w:eastAsiaTheme="minorEastAsia" w:cstheme="minorEastAsia"/>
          <w:b/>
          <w:color w:val="000000"/>
          <w:sz w:val="24"/>
          <w:szCs w:val="24"/>
        </w:rPr>
        <w:t>一、数据安全风险评估要需求</w:t>
      </w:r>
    </w:p>
    <w:p w14:paraId="7F07CAF8">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1.基本要求 </w:t>
      </w:r>
    </w:p>
    <w:p w14:paraId="569BA532">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1.1采购标的需实现的功能或者目标 </w:t>
      </w:r>
    </w:p>
    <w:p w14:paraId="47D2D782">
      <w:pPr>
        <w:pStyle w:val="26"/>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数据安全风险评估，主要围绕数据和数据处理活动，聚焦可能影响数据的保密性、完整性、可用性和数据处理合理性的安全风险，掌握数据安全总体状况，发现数据安全隐患，提出数据安全管理和技术防护措施建议，提升数据安全防攻击、防破坏、防窃取、防泄露、防滥用能力。首先通过信息调研识别数据处理者，业务和信息系统、数据资产、数据处理活动、安全措施等相关要素，然后从数据安全管理、数据处理活动、数据安全技术、个人信息保护等方面识别风险隐患，最后梳理风险源清单，分析数据安全风险、视情评价风险，并给出整改建议。</w:t>
      </w:r>
    </w:p>
    <w:p w14:paraId="0B428740">
      <w:pPr>
        <w:pStyle w:val="26"/>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1.2需执行的国家相关标准、行业标准、地方标准或者其他标准、规范在实施本项目期间应遵循未列出的项目相关的相关国家、地方、行业标准及规范。 </w:t>
      </w:r>
    </w:p>
    <w:p w14:paraId="0AB2FFA0">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2.服务内容及要求 </w:t>
      </w:r>
    </w:p>
    <w:p w14:paraId="7E1FA63E">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2.1采购标的需满足的服务标准、期限、效率等要求 </w:t>
      </w:r>
    </w:p>
    <w:p w14:paraId="39A61356">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2.1.1项目内容 </w:t>
      </w:r>
    </w:p>
    <w:p w14:paraId="07E4A78D">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数据安全风险评估，主要围绕数据处理者的数据和数据处理活动，对可能影响数据保密性、完整性、可用性和数据处理合理性的安全风险进行分析和评价。主要包括信息调研、风险识别、风险分析与评价、评估总结等，数据安全风险评估的主要内容包括： </w:t>
      </w:r>
    </w:p>
    <w:p w14:paraId="682E8170">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2.1.1.1信息调研：对可能影响数据安全风险的要素的情况调研，包括数据处理者、业务和信息系统、数据资产、数据处理活动、数据安全防护措施。掌握数据处理者、业务和信息系统基本情况，梳理涉及的数据资产和数据处理活动，了解采取的数据安全防护措施情况，掌握被评估对象或同行业相关数据安全事件历史发生情况。 </w:t>
      </w:r>
    </w:p>
    <w:p w14:paraId="255B433A">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2.1.1.2风险识别：基于信息调研情况，从数据安全管理、数据处理活动安全、数据安全技术、个人信息保护等方面进行数据安全风险识别，识别评估对象现有安全措施完备性并对其有效性进行验证，识别可能存在的风险源。 </w:t>
      </w:r>
    </w:p>
    <w:p w14:paraId="3D2F512F">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2.1.1.3风险分析与评价：通过分析风险类型、风险危害程度和可能性，评价风险等级。 </w:t>
      </w:r>
    </w:p>
    <w:p w14:paraId="0150B437">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（1）数据安全风险分析，包括数据安全风险归类、风险危害程度分析、风险发生可能性分析。 </w:t>
      </w:r>
    </w:p>
    <w:p w14:paraId="2966F90F">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（2）风险归类分析，结合风险源可能引发的风险类型，对风险源进行归类。 </w:t>
      </w:r>
    </w:p>
    <w:p w14:paraId="32833C54">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（3）风险危害程度分析，从数据价值、数据重要性、风险源危害程度等方面，综合评价风险可能对国家安全、公共利益或者个人、组织合法权益造成的危害程度。 </w:t>
      </w:r>
    </w:p>
    <w:p w14:paraId="7C60693B">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（4）风险发生可能性，从风险源发生频率、安全措施有效性和完备性、风险源关联性等方面，综合评价风险发生的可能量。 </w:t>
      </w:r>
    </w:p>
    <w:p w14:paraId="5B0D093E">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（5）风险评价过程，一般根据风险危害程度和风险发生可能性评价数据安全风险，得到数据安全风险级别，梳理形成数据安全风险清单。 </w:t>
      </w:r>
    </w:p>
    <w:p w14:paraId="44867833">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在数据安全分析和评价中，数据安全风险危害程度分析、风险发生可能性分析、数据安全风险评价等步骤可选，如不执行上述步骤，可结合风险源清单和风险归类分析结果得到数据安全风险清单。 </w:t>
      </w:r>
    </w:p>
    <w:p w14:paraId="5E01A1EE">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2.1.1.4评估总结 </w:t>
      </w:r>
    </w:p>
    <w:p w14:paraId="719422CC">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（1）编制评估报告 </w:t>
      </w:r>
    </w:p>
    <w:p w14:paraId="17F4FC2C">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根据评估情况，评估团队编制数据安全风险评估报告应准确、清晰地描述评估活动的主要内容（并附必要的证据或记录），提出可操作性的整改措施对策建议。 </w:t>
      </w:r>
    </w:p>
    <w:p w14:paraId="4789E60C">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（2）风险处置建议 </w:t>
      </w:r>
    </w:p>
    <w:p w14:paraId="7988821E">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评估人员结合实际情况，对发现的数据安全风险提出处置建议，酌情指导数据处理者整改。被评估方应制定数据安全风险处置方案，限期完成整改，无法及时完成整改的，应采取临时安全措施，防止数据安全事件发生。 </w:t>
      </w:r>
    </w:p>
    <w:p w14:paraId="60B67FE5">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2.1.2服务要求 </w:t>
      </w:r>
    </w:p>
    <w:p w14:paraId="295BBFCF">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2.1.2.1项目过程管理 </w:t>
      </w:r>
    </w:p>
    <w:p w14:paraId="426392C6">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为保证项目质量，在项目实施过程中须进行严格的项目管理。项目管理主要包括计划管理、流程管理、质量管理、工作日志管理、文档管理、会议管理、对服务过程中的各种情况进行处理和跟踪、沟通交流等。 </w:t>
      </w:r>
    </w:p>
    <w:p w14:paraId="603A1D60">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2.1.2.2服务质量管理 </w:t>
      </w:r>
    </w:p>
    <w:p w14:paraId="7613A772">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投标人需制定必要的质量控制手段，规范研究调研、文档输出和评估验证等流程及与其相关的支持性文件。 </w:t>
      </w:r>
    </w:p>
    <w:p w14:paraId="0FEAABA6">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投标人需确定质量经理，负责监管和控制项目实施质量。 </w:t>
      </w:r>
    </w:p>
    <w:p w14:paraId="33348811">
      <w:pPr>
        <w:pStyle w:val="26"/>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按照周报和日报的方式，不定期进行沟通，汇报当前的工作成果和问题，确保质量要求符合采购人的要求 </w:t>
      </w:r>
    </w:p>
    <w:p w14:paraId="0B358C1F">
      <w:pPr>
        <w:autoSpaceDE w:val="0"/>
        <w:autoSpaceDN w:val="0"/>
        <w:adjustRightInd w:val="0"/>
        <w:spacing w:line="36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color w:val="000000"/>
          <w:sz w:val="24"/>
          <w:szCs w:val="24"/>
        </w:rPr>
        <w:t xml:space="preserve">    3</w:t>
      </w:r>
      <w:r>
        <w:rPr>
          <w:rFonts w:hint="eastAsia" w:asciiTheme="minorEastAsia" w:hAnsiTheme="minorEastAsia" w:eastAsiaTheme="minorEastAsia" w:cstheme="minorEastAsia"/>
          <w:kern w:val="0"/>
          <w:sz w:val="24"/>
          <w:szCs w:val="24"/>
        </w:rPr>
        <w:t>.输出产物</w:t>
      </w:r>
    </w:p>
    <w:p w14:paraId="5B4048E4">
      <w:pPr>
        <w:autoSpaceDE w:val="0"/>
        <w:autoSpaceDN w:val="0"/>
        <w:adjustRightInd w:val="0"/>
        <w:spacing w:line="360" w:lineRule="auto"/>
        <w:jc w:val="lef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kern w:val="0"/>
          <w:sz w:val="24"/>
          <w:szCs w:val="24"/>
        </w:rPr>
        <w:t xml:space="preserve">    《数据安全风险评估报告》</w:t>
      </w:r>
    </w:p>
    <w:p w14:paraId="64D29C06">
      <w:pPr>
        <w:spacing w:line="440" w:lineRule="exact"/>
        <w:outlineLvl w:val="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二、数据安全分类分级需求</w:t>
      </w:r>
    </w:p>
    <w:p w14:paraId="6D11FC75">
      <w:pPr>
        <w:autoSpaceDE w:val="0"/>
        <w:autoSpaceDN w:val="0"/>
        <w:adjustRightInd w:val="0"/>
        <w:spacing w:line="360" w:lineRule="auto"/>
        <w:jc w:val="lef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 xml:space="preserve">    1.平台要求</w:t>
      </w:r>
    </w:p>
    <w:p w14:paraId="5E03ABCA">
      <w:pPr>
        <w:autoSpaceDE w:val="0"/>
        <w:autoSpaceDN w:val="0"/>
        <w:adjustRightInd w:val="0"/>
        <w:spacing w:line="360" w:lineRule="auto"/>
        <w:jc w:val="lef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 xml:space="preserve">    数据安全分类分级依托平台开展，供应商应按照以下基本需求部署平台开展分类分级相关工作。</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15"/>
        <w:gridCol w:w="735"/>
        <w:gridCol w:w="850"/>
        <w:gridCol w:w="4313"/>
        <w:gridCol w:w="1235"/>
      </w:tblGrid>
      <w:tr w14:paraId="0B75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31849B"/>
            <w:vAlign w:val="center"/>
          </w:tcPr>
          <w:p w14:paraId="18020413">
            <w:pPr>
              <w:jc w:val="center"/>
              <w:rPr>
                <w:rFonts w:asciiTheme="minorEastAsia" w:hAnsiTheme="minorEastAsia" w:eastAsiaTheme="minorEastAsia" w:cstheme="minorEastAsia"/>
                <w:b/>
                <w:bCs/>
                <w:color w:val="FFFFFF"/>
                <w:sz w:val="24"/>
                <w:szCs w:val="24"/>
                <w:lang w:eastAsia="zh-Hans"/>
              </w:rPr>
            </w:pPr>
            <w:r>
              <w:rPr>
                <w:rFonts w:hint="eastAsia" w:asciiTheme="minorEastAsia" w:hAnsiTheme="minorEastAsia" w:eastAsiaTheme="minorEastAsia" w:cstheme="minorEastAsia"/>
                <w:b/>
                <w:bCs/>
                <w:color w:val="FFFFFF"/>
                <w:sz w:val="24"/>
                <w:szCs w:val="24"/>
                <w:lang w:eastAsia="zh-Hans"/>
              </w:rPr>
              <w:t>分类</w:t>
            </w:r>
          </w:p>
        </w:tc>
        <w:tc>
          <w:tcPr>
            <w:tcW w:w="715" w:type="dxa"/>
            <w:shd w:val="clear" w:color="auto" w:fill="31849B"/>
            <w:vAlign w:val="center"/>
          </w:tcPr>
          <w:p w14:paraId="1F0474B9">
            <w:pPr>
              <w:jc w:val="center"/>
              <w:rPr>
                <w:rFonts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sz w:val="24"/>
                <w:szCs w:val="24"/>
                <w:lang w:eastAsia="zh-Hans"/>
              </w:rPr>
              <w:t>一</w:t>
            </w:r>
            <w:r>
              <w:rPr>
                <w:rFonts w:hint="eastAsia" w:asciiTheme="minorEastAsia" w:hAnsiTheme="minorEastAsia" w:eastAsiaTheme="minorEastAsia" w:cstheme="minorEastAsia"/>
                <w:b/>
                <w:bCs/>
                <w:color w:val="FFFFFF"/>
                <w:sz w:val="24"/>
                <w:szCs w:val="24"/>
              </w:rPr>
              <w:t>级</w:t>
            </w:r>
          </w:p>
        </w:tc>
        <w:tc>
          <w:tcPr>
            <w:tcW w:w="735" w:type="dxa"/>
            <w:shd w:val="clear" w:color="auto" w:fill="31849B"/>
            <w:vAlign w:val="center"/>
          </w:tcPr>
          <w:p w14:paraId="22E35427">
            <w:pPr>
              <w:jc w:val="center"/>
              <w:rPr>
                <w:rFonts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sz w:val="24"/>
                <w:szCs w:val="24"/>
                <w:lang w:eastAsia="zh-Hans"/>
              </w:rPr>
              <w:t>二</w:t>
            </w:r>
            <w:r>
              <w:rPr>
                <w:rFonts w:hint="eastAsia" w:asciiTheme="minorEastAsia" w:hAnsiTheme="minorEastAsia" w:eastAsiaTheme="minorEastAsia" w:cstheme="minorEastAsia"/>
                <w:b/>
                <w:bCs/>
                <w:color w:val="FFFFFF"/>
                <w:sz w:val="24"/>
                <w:szCs w:val="24"/>
              </w:rPr>
              <w:t>级</w:t>
            </w:r>
          </w:p>
        </w:tc>
        <w:tc>
          <w:tcPr>
            <w:tcW w:w="850" w:type="dxa"/>
            <w:shd w:val="clear" w:color="auto" w:fill="31849B"/>
            <w:vAlign w:val="center"/>
          </w:tcPr>
          <w:p w14:paraId="573BA2E6">
            <w:pPr>
              <w:jc w:val="center"/>
              <w:rPr>
                <w:rFonts w:asciiTheme="minorEastAsia" w:hAnsiTheme="minorEastAsia" w:eastAsiaTheme="minorEastAsia" w:cstheme="minorEastAsia"/>
                <w:b/>
                <w:bCs/>
                <w:color w:val="FFFFFF"/>
                <w:sz w:val="24"/>
                <w:szCs w:val="24"/>
                <w:lang w:eastAsia="zh-Hans"/>
              </w:rPr>
            </w:pPr>
            <w:r>
              <w:rPr>
                <w:rFonts w:hint="eastAsia" w:asciiTheme="minorEastAsia" w:hAnsiTheme="minorEastAsia" w:eastAsiaTheme="minorEastAsia" w:cstheme="minorEastAsia"/>
                <w:b/>
                <w:bCs/>
                <w:color w:val="FFFFFF"/>
                <w:sz w:val="24"/>
                <w:szCs w:val="24"/>
                <w:lang w:eastAsia="zh-Hans"/>
              </w:rPr>
              <w:t>符号</w:t>
            </w:r>
          </w:p>
        </w:tc>
        <w:tc>
          <w:tcPr>
            <w:tcW w:w="4313" w:type="dxa"/>
            <w:shd w:val="clear" w:color="auto" w:fill="31849B"/>
            <w:vAlign w:val="center"/>
          </w:tcPr>
          <w:p w14:paraId="4B4D30C8">
            <w:pPr>
              <w:jc w:val="center"/>
              <w:rPr>
                <w:rFonts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sz w:val="24"/>
                <w:szCs w:val="24"/>
              </w:rPr>
              <w:t>指标要求</w:t>
            </w:r>
          </w:p>
        </w:tc>
        <w:tc>
          <w:tcPr>
            <w:tcW w:w="1235" w:type="dxa"/>
            <w:shd w:val="clear" w:color="auto" w:fill="31849B"/>
            <w:vAlign w:val="center"/>
          </w:tcPr>
          <w:p w14:paraId="46F1425D">
            <w:pPr>
              <w:jc w:val="center"/>
              <w:rPr>
                <w:rFonts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sz w:val="24"/>
                <w:szCs w:val="24"/>
              </w:rPr>
              <w:t>备注说明</w:t>
            </w:r>
          </w:p>
        </w:tc>
      </w:tr>
      <w:tr w14:paraId="73B6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restart"/>
            <w:vAlign w:val="center"/>
          </w:tcPr>
          <w:p w14:paraId="5C88195D">
            <w:pPr>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b/>
                <w:bCs/>
                <w:sz w:val="24"/>
                <w:szCs w:val="24"/>
                <w:lang w:eastAsia="zh-Hans"/>
              </w:rPr>
              <w:t>环境要求</w:t>
            </w:r>
          </w:p>
        </w:tc>
        <w:tc>
          <w:tcPr>
            <w:tcW w:w="715" w:type="dxa"/>
            <w:vMerge w:val="restart"/>
            <w:vAlign w:val="center"/>
          </w:tcPr>
          <w:p w14:paraId="19001911">
            <w:pPr>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b/>
                <w:bCs/>
                <w:sz w:val="24"/>
                <w:szCs w:val="24"/>
                <w:lang w:eastAsia="zh-Hans"/>
              </w:rPr>
              <w:t>系统架构要求</w:t>
            </w:r>
          </w:p>
        </w:tc>
        <w:tc>
          <w:tcPr>
            <w:tcW w:w="735" w:type="dxa"/>
            <w:vAlign w:val="center"/>
          </w:tcPr>
          <w:p w14:paraId="00BD735D">
            <w:pPr>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b/>
                <w:bCs/>
                <w:sz w:val="24"/>
                <w:szCs w:val="24"/>
                <w:lang w:eastAsia="zh-Hans"/>
              </w:rPr>
              <w:t>部署架构要求</w:t>
            </w:r>
          </w:p>
        </w:tc>
        <w:tc>
          <w:tcPr>
            <w:tcW w:w="850" w:type="dxa"/>
            <w:vAlign w:val="center"/>
          </w:tcPr>
          <w:p w14:paraId="201E1AD8">
            <w:pPr>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color w:val="000000"/>
                <w:sz w:val="24"/>
                <w:szCs w:val="24"/>
              </w:rPr>
              <w:t>★</w:t>
            </w:r>
          </w:p>
        </w:tc>
        <w:tc>
          <w:tcPr>
            <w:tcW w:w="4313" w:type="dxa"/>
            <w:vAlign w:val="center"/>
          </w:tcPr>
          <w:p w14:paraId="7916E371">
            <w:pPr>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支持单机部署、高可用部署、分布式部署；</w:t>
            </w:r>
          </w:p>
        </w:tc>
        <w:tc>
          <w:tcPr>
            <w:tcW w:w="1235" w:type="dxa"/>
          </w:tcPr>
          <w:p w14:paraId="59F4F90E">
            <w:pPr>
              <w:rPr>
                <w:rFonts w:asciiTheme="minorEastAsia" w:hAnsiTheme="minorEastAsia" w:eastAsiaTheme="minorEastAsia" w:cstheme="minorEastAsia"/>
                <w:color w:val="000000"/>
                <w:sz w:val="24"/>
                <w:szCs w:val="24"/>
              </w:rPr>
            </w:pPr>
          </w:p>
        </w:tc>
      </w:tr>
      <w:tr w14:paraId="5524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14:paraId="4113C238">
            <w:pPr>
              <w:jc w:val="center"/>
              <w:rPr>
                <w:rFonts w:asciiTheme="minorEastAsia" w:hAnsiTheme="minorEastAsia" w:eastAsiaTheme="minorEastAsia" w:cstheme="minorEastAsia"/>
                <w:b/>
                <w:bCs/>
                <w:sz w:val="24"/>
                <w:szCs w:val="24"/>
              </w:rPr>
            </w:pPr>
          </w:p>
        </w:tc>
        <w:tc>
          <w:tcPr>
            <w:tcW w:w="715" w:type="dxa"/>
            <w:vMerge w:val="continue"/>
            <w:vAlign w:val="center"/>
          </w:tcPr>
          <w:p w14:paraId="30306BB7">
            <w:pPr>
              <w:jc w:val="center"/>
              <w:rPr>
                <w:rFonts w:asciiTheme="minorEastAsia" w:hAnsiTheme="minorEastAsia" w:eastAsiaTheme="minorEastAsia" w:cstheme="minorEastAsia"/>
                <w:b/>
                <w:bCs/>
                <w:sz w:val="24"/>
                <w:szCs w:val="24"/>
              </w:rPr>
            </w:pPr>
          </w:p>
        </w:tc>
        <w:tc>
          <w:tcPr>
            <w:tcW w:w="735" w:type="dxa"/>
            <w:vAlign w:val="center"/>
          </w:tcPr>
          <w:p w14:paraId="19307E18">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兼容性</w:t>
            </w:r>
          </w:p>
        </w:tc>
        <w:tc>
          <w:tcPr>
            <w:tcW w:w="850" w:type="dxa"/>
            <w:vAlign w:val="center"/>
          </w:tcPr>
          <w:p w14:paraId="65D8CAB2">
            <w:pPr>
              <w:jc w:val="center"/>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color w:val="000000"/>
                <w:sz w:val="24"/>
                <w:szCs w:val="24"/>
              </w:rPr>
              <w:t>★</w:t>
            </w:r>
          </w:p>
        </w:tc>
        <w:tc>
          <w:tcPr>
            <w:tcW w:w="4313" w:type="dxa"/>
          </w:tcPr>
          <w:p w14:paraId="25ED4141">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支持x86、arm架构</w:t>
            </w:r>
          </w:p>
          <w:p w14:paraId="3BCA0B89">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支持欧拉、麒麟V10操</w:t>
            </w:r>
            <w:r>
              <w:rPr>
                <w:rFonts w:hint="eastAsia" w:asciiTheme="minorEastAsia" w:hAnsiTheme="minorEastAsia" w:eastAsiaTheme="minorEastAsia" w:cstheme="minorEastAsia"/>
                <w:sz w:val="24"/>
                <w:szCs w:val="24"/>
              </w:rPr>
              <w:t>作系统</w:t>
            </w:r>
          </w:p>
        </w:tc>
        <w:tc>
          <w:tcPr>
            <w:tcW w:w="1235" w:type="dxa"/>
          </w:tcPr>
          <w:p w14:paraId="20221AE0">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需要选择对应型号。</w:t>
            </w:r>
          </w:p>
        </w:tc>
      </w:tr>
      <w:tr w14:paraId="6E96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72" w:type="dxa"/>
            <w:vMerge w:val="restart"/>
            <w:vAlign w:val="center"/>
          </w:tcPr>
          <w:p w14:paraId="0F0489ED">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产品功能</w:t>
            </w:r>
          </w:p>
        </w:tc>
        <w:tc>
          <w:tcPr>
            <w:tcW w:w="715" w:type="dxa"/>
            <w:vMerge w:val="restart"/>
            <w:vAlign w:val="center"/>
          </w:tcPr>
          <w:p w14:paraId="61F94C04">
            <w:pPr>
              <w:spacing w:line="276"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zh-CN"/>
              </w:rPr>
              <w:t>数据源管理</w:t>
            </w:r>
          </w:p>
        </w:tc>
        <w:tc>
          <w:tcPr>
            <w:tcW w:w="735" w:type="dxa"/>
            <w:vAlign w:val="center"/>
          </w:tcPr>
          <w:p w14:paraId="12F23258">
            <w:pPr>
              <w:spacing w:line="276"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数据源发现</w:t>
            </w:r>
          </w:p>
        </w:tc>
        <w:tc>
          <w:tcPr>
            <w:tcW w:w="850" w:type="dxa"/>
            <w:vAlign w:val="center"/>
          </w:tcPr>
          <w:p w14:paraId="14C158E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w:t>
            </w:r>
          </w:p>
        </w:tc>
        <w:tc>
          <w:tcPr>
            <w:tcW w:w="4313" w:type="dxa"/>
            <w:vAlign w:val="center"/>
          </w:tcPr>
          <w:p w14:paraId="609E97F4">
            <w:pPr>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产品支持</w:t>
            </w:r>
            <w:r>
              <w:rPr>
                <w:rFonts w:hint="eastAsia" w:asciiTheme="minorEastAsia" w:hAnsiTheme="minorEastAsia" w:eastAsiaTheme="minorEastAsia" w:cstheme="minorEastAsia"/>
                <w:sz w:val="24"/>
                <w:szCs w:val="24"/>
                <w:lang w:eastAsia="zh-Hans"/>
              </w:rPr>
              <w:t>多种类型数据库的自动发现。通过</w:t>
            </w:r>
            <w:r>
              <w:rPr>
                <w:rFonts w:hint="eastAsia" w:asciiTheme="minorEastAsia" w:hAnsiTheme="minorEastAsia" w:eastAsiaTheme="minorEastAsia" w:cstheme="minorEastAsia"/>
                <w:sz w:val="24"/>
                <w:szCs w:val="24"/>
              </w:rPr>
              <w:t>扫描解析</w:t>
            </w:r>
            <w:r>
              <w:rPr>
                <w:rFonts w:hint="eastAsia" w:asciiTheme="minorEastAsia" w:hAnsiTheme="minorEastAsia" w:eastAsiaTheme="minorEastAsia" w:cstheme="minorEastAsia"/>
                <w:sz w:val="24"/>
                <w:szCs w:val="24"/>
                <w:lang w:eastAsia="zh-Hans"/>
              </w:rPr>
              <w:t>方式，定期在</w:t>
            </w:r>
            <w:r>
              <w:rPr>
                <w:rFonts w:hint="eastAsia" w:asciiTheme="minorEastAsia" w:hAnsiTheme="minorEastAsia" w:eastAsiaTheme="minorEastAsia" w:cstheme="minorEastAsia"/>
                <w:sz w:val="24"/>
                <w:szCs w:val="24"/>
              </w:rPr>
              <w:t>指定IP地址和端口范围进行</w:t>
            </w:r>
            <w:r>
              <w:rPr>
                <w:rFonts w:hint="eastAsia" w:asciiTheme="minorEastAsia" w:hAnsiTheme="minorEastAsia" w:eastAsiaTheme="minorEastAsia" w:cstheme="minorEastAsia"/>
                <w:sz w:val="24"/>
                <w:szCs w:val="24"/>
                <w:lang w:eastAsia="zh-Hans"/>
              </w:rPr>
              <w:t>探测和扫描，发现未知数据源，并</w:t>
            </w:r>
            <w:r>
              <w:rPr>
                <w:rFonts w:hint="eastAsia" w:asciiTheme="minorEastAsia" w:hAnsiTheme="minorEastAsia" w:eastAsiaTheme="minorEastAsia" w:cstheme="minorEastAsia"/>
                <w:sz w:val="24"/>
                <w:szCs w:val="24"/>
              </w:rPr>
              <w:t>梳理数据源类型、数量、分布等。</w:t>
            </w:r>
          </w:p>
        </w:tc>
        <w:tc>
          <w:tcPr>
            <w:tcW w:w="1235" w:type="dxa"/>
          </w:tcPr>
          <w:p w14:paraId="347EFC76">
            <w:pPr>
              <w:rPr>
                <w:rFonts w:asciiTheme="minorEastAsia" w:hAnsiTheme="minorEastAsia" w:eastAsiaTheme="minorEastAsia" w:cstheme="minorEastAsia"/>
                <w:sz w:val="24"/>
                <w:szCs w:val="24"/>
                <w:lang w:eastAsia="zh-Hans"/>
              </w:rPr>
            </w:pPr>
          </w:p>
        </w:tc>
      </w:tr>
      <w:tr w14:paraId="18F0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72" w:type="dxa"/>
            <w:vMerge w:val="continue"/>
            <w:vAlign w:val="center"/>
          </w:tcPr>
          <w:p w14:paraId="2250B338">
            <w:pPr>
              <w:jc w:val="center"/>
              <w:rPr>
                <w:rFonts w:asciiTheme="minorEastAsia" w:hAnsiTheme="minorEastAsia" w:eastAsiaTheme="minorEastAsia" w:cstheme="minorEastAsia"/>
                <w:b/>
                <w:bCs/>
                <w:sz w:val="24"/>
                <w:szCs w:val="24"/>
              </w:rPr>
            </w:pPr>
          </w:p>
        </w:tc>
        <w:tc>
          <w:tcPr>
            <w:tcW w:w="715" w:type="dxa"/>
            <w:vMerge w:val="continue"/>
            <w:vAlign w:val="center"/>
          </w:tcPr>
          <w:p w14:paraId="4CFE36F6">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5A610F67">
            <w:pPr>
              <w:spacing w:line="276"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eastAsia="zh-Hans"/>
              </w:rPr>
              <w:t>数据库扫描</w:t>
            </w:r>
          </w:p>
        </w:tc>
        <w:tc>
          <w:tcPr>
            <w:tcW w:w="850" w:type="dxa"/>
            <w:vAlign w:val="center"/>
          </w:tcPr>
          <w:p w14:paraId="3A73BE9D">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4313" w:type="dxa"/>
            <w:vAlign w:val="center"/>
          </w:tcPr>
          <w:p w14:paraId="2F6DA05E">
            <w:pPr>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产品支持扫描数据库、数据表、字段粒度的资产信息；支持扫描库表结构、样例数据、数据量、存储量、建表语句、视图等信息；支持自定义按需设置扫描任务、内容和周期；支持批量数据库扫描。</w:t>
            </w:r>
          </w:p>
          <w:p w14:paraId="348CAEA1">
            <w:pPr>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支持指定数据源、实例、数据表进行全量/增量策略扫描。</w:t>
            </w:r>
          </w:p>
          <w:p w14:paraId="773A55F1">
            <w:pPr>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支持数据抽样，用户可自定义抽样方式、采样数量、命中率等配置。</w:t>
            </w:r>
          </w:p>
          <w:p w14:paraId="37A131EE">
            <w:pPr>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支持统计两次扫描的资产变化情况及明细。</w:t>
            </w:r>
          </w:p>
        </w:tc>
        <w:tc>
          <w:tcPr>
            <w:tcW w:w="1235" w:type="dxa"/>
          </w:tcPr>
          <w:p w14:paraId="51FCD160">
            <w:pPr>
              <w:rPr>
                <w:rFonts w:asciiTheme="minorEastAsia" w:hAnsiTheme="minorEastAsia" w:eastAsiaTheme="minorEastAsia" w:cstheme="minorEastAsia"/>
                <w:sz w:val="24"/>
                <w:szCs w:val="24"/>
                <w:lang w:eastAsia="zh-Hans"/>
              </w:rPr>
            </w:pPr>
          </w:p>
        </w:tc>
      </w:tr>
      <w:tr w14:paraId="6B7B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2" w:type="dxa"/>
            <w:vMerge w:val="continue"/>
            <w:vAlign w:val="center"/>
          </w:tcPr>
          <w:p w14:paraId="33237FF2">
            <w:pPr>
              <w:jc w:val="center"/>
              <w:rPr>
                <w:rFonts w:asciiTheme="minorEastAsia" w:hAnsiTheme="minorEastAsia" w:eastAsiaTheme="minorEastAsia" w:cstheme="minorEastAsia"/>
                <w:b/>
                <w:bCs/>
                <w:sz w:val="24"/>
                <w:szCs w:val="24"/>
              </w:rPr>
            </w:pPr>
          </w:p>
        </w:tc>
        <w:tc>
          <w:tcPr>
            <w:tcW w:w="715" w:type="dxa"/>
            <w:vMerge w:val="continue"/>
            <w:vAlign w:val="center"/>
          </w:tcPr>
          <w:p w14:paraId="23A9928C">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13D59EDC">
            <w:pPr>
              <w:widowControl/>
              <w:spacing w:line="276"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数据源类型支持</w:t>
            </w:r>
          </w:p>
        </w:tc>
        <w:tc>
          <w:tcPr>
            <w:tcW w:w="850" w:type="dxa"/>
            <w:vAlign w:val="center"/>
          </w:tcPr>
          <w:p w14:paraId="5AB5477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5992B5F0">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产品支持</w:t>
            </w:r>
            <w:r>
              <w:rPr>
                <w:rFonts w:hint="eastAsia" w:asciiTheme="minorEastAsia" w:hAnsiTheme="minorEastAsia" w:eastAsiaTheme="minorEastAsia" w:cstheme="minorEastAsia"/>
                <w:sz w:val="24"/>
                <w:szCs w:val="24"/>
                <w:lang w:eastAsia="zh-Hans"/>
              </w:rPr>
              <w:t>丰富的数据源类型。</w:t>
            </w:r>
          </w:p>
          <w:p w14:paraId="383C9C70">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关系型数据库：</w:t>
            </w:r>
            <w:r>
              <w:rPr>
                <w:rFonts w:hint="eastAsia" w:asciiTheme="minorEastAsia" w:hAnsiTheme="minorEastAsia" w:eastAsiaTheme="minorEastAsia" w:cstheme="minorEastAsia"/>
                <w:sz w:val="24"/>
                <w:szCs w:val="24"/>
              </w:rPr>
              <w:t>Oracle、SQL Server、MySQL、Sybase、DB2</w:t>
            </w:r>
            <w:r>
              <w:rPr>
                <w:rFonts w:hint="eastAsia" w:asciiTheme="minorEastAsia" w:hAnsiTheme="minorEastAsia" w:eastAsiaTheme="minorEastAsia" w:cstheme="minorEastAsia"/>
                <w:sz w:val="24"/>
                <w:szCs w:val="24"/>
                <w:lang w:eastAsia="zh-Hans"/>
              </w:rPr>
              <w:t>、TiDB、greenplum、vertica等；</w:t>
            </w:r>
          </w:p>
          <w:p w14:paraId="33599E84">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非关系型数据库：MongoDB等</w:t>
            </w:r>
          </w:p>
          <w:p w14:paraId="4E5C8641">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国产数据库：</w:t>
            </w:r>
            <w:r>
              <w:rPr>
                <w:rFonts w:hint="eastAsia" w:asciiTheme="minorEastAsia" w:hAnsiTheme="minorEastAsia" w:eastAsiaTheme="minorEastAsia" w:cstheme="minorEastAsia"/>
                <w:sz w:val="24"/>
                <w:szCs w:val="24"/>
              </w:rPr>
              <w:t>高斯、达梦、神通、金仓</w:t>
            </w:r>
            <w:r>
              <w:rPr>
                <w:rFonts w:hint="eastAsia" w:asciiTheme="minorEastAsia" w:hAnsiTheme="minorEastAsia" w:eastAsiaTheme="minorEastAsia" w:cstheme="minorEastAsia"/>
                <w:sz w:val="24"/>
                <w:szCs w:val="24"/>
                <w:lang w:eastAsia="zh-Hans"/>
              </w:rPr>
              <w:t>等；</w:t>
            </w:r>
          </w:p>
          <w:p w14:paraId="083511AA">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大数据关键组件：</w:t>
            </w:r>
            <w:r>
              <w:rPr>
                <w:rFonts w:hint="eastAsia" w:asciiTheme="minorEastAsia" w:hAnsiTheme="minorEastAsia" w:eastAsiaTheme="minorEastAsia" w:cstheme="minorEastAsia"/>
                <w:sz w:val="24"/>
                <w:szCs w:val="24"/>
              </w:rPr>
              <w:t>Hive、HBase、HDFS、</w:t>
            </w:r>
            <w:r>
              <w:rPr>
                <w:rFonts w:hint="eastAsia" w:asciiTheme="minorEastAsia" w:hAnsiTheme="minorEastAsia" w:eastAsiaTheme="minorEastAsia" w:cstheme="minorEastAsia"/>
                <w:sz w:val="24"/>
                <w:szCs w:val="24"/>
                <w:lang w:eastAsia="zh-Hans"/>
              </w:rPr>
              <w:t>kafka、</w:t>
            </w:r>
            <w:r>
              <w:rPr>
                <w:rFonts w:hint="eastAsia" w:asciiTheme="minorEastAsia" w:hAnsiTheme="minorEastAsia" w:eastAsiaTheme="minorEastAsia" w:cstheme="minorEastAsia"/>
                <w:sz w:val="24"/>
                <w:szCs w:val="24"/>
              </w:rPr>
              <w:t>Teradata、kudu</w:t>
            </w:r>
            <w:r>
              <w:rPr>
                <w:rFonts w:hint="eastAsia" w:asciiTheme="minorEastAsia" w:hAnsiTheme="minorEastAsia" w:eastAsiaTheme="minorEastAsia" w:cstheme="minorEastAsia"/>
                <w:sz w:val="24"/>
                <w:szCs w:val="24"/>
                <w:lang w:eastAsia="zh-Hans"/>
              </w:rPr>
              <w:t>等；</w:t>
            </w:r>
          </w:p>
          <w:p w14:paraId="26160EEC">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云数据库：阿里云ODPS、腾讯云TDSQL、TBASE、TDATA</w:t>
            </w:r>
          </w:p>
        </w:tc>
        <w:tc>
          <w:tcPr>
            <w:tcW w:w="1235" w:type="dxa"/>
          </w:tcPr>
          <w:p w14:paraId="01B7AEB7">
            <w:pPr>
              <w:rPr>
                <w:rFonts w:asciiTheme="minorEastAsia" w:hAnsiTheme="minorEastAsia" w:eastAsiaTheme="minorEastAsia" w:cstheme="minorEastAsia"/>
                <w:sz w:val="24"/>
                <w:szCs w:val="24"/>
              </w:rPr>
            </w:pPr>
          </w:p>
        </w:tc>
      </w:tr>
      <w:tr w14:paraId="5CD9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2" w:type="dxa"/>
            <w:vMerge w:val="continue"/>
            <w:vAlign w:val="center"/>
          </w:tcPr>
          <w:p w14:paraId="090ADDDA">
            <w:pPr>
              <w:jc w:val="center"/>
              <w:rPr>
                <w:rFonts w:asciiTheme="minorEastAsia" w:hAnsiTheme="minorEastAsia" w:eastAsiaTheme="minorEastAsia" w:cstheme="minorEastAsia"/>
                <w:b/>
                <w:bCs/>
                <w:sz w:val="24"/>
                <w:szCs w:val="24"/>
              </w:rPr>
            </w:pPr>
          </w:p>
        </w:tc>
        <w:tc>
          <w:tcPr>
            <w:tcW w:w="715" w:type="dxa"/>
            <w:vMerge w:val="continue"/>
            <w:vAlign w:val="center"/>
          </w:tcPr>
          <w:p w14:paraId="341124C9">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20B2F774">
            <w:pPr>
              <w:widowControl/>
              <w:spacing w:line="276"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文件支持</w:t>
            </w:r>
          </w:p>
        </w:tc>
        <w:tc>
          <w:tcPr>
            <w:tcW w:w="850" w:type="dxa"/>
            <w:vAlign w:val="center"/>
          </w:tcPr>
          <w:p w14:paraId="1C7A8E0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31365B93">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windows系统支持</w:t>
            </w:r>
            <w:r>
              <w:rPr>
                <w:rFonts w:hint="eastAsia" w:asciiTheme="minorEastAsia" w:hAnsiTheme="minorEastAsia" w:eastAsiaTheme="minorEastAsia" w:cstheme="minorEastAsia"/>
                <w:sz w:val="24"/>
                <w:szCs w:val="24"/>
                <w:lang w:eastAsia="zh-Hans"/>
              </w:rPr>
              <w:t>丰富的文档类型，包括办公文档（</w:t>
            </w:r>
            <w:r>
              <w:rPr>
                <w:rFonts w:hint="eastAsia" w:asciiTheme="minorEastAsia" w:hAnsiTheme="minorEastAsia" w:eastAsiaTheme="minorEastAsia" w:cstheme="minorEastAsia"/>
                <w:sz w:val="24"/>
                <w:szCs w:val="24"/>
              </w:rPr>
              <w:t>doc/docx、xls/xlsx、ppt/pptx、pdf、</w:t>
            </w:r>
            <w:r>
              <w:rPr>
                <w:rFonts w:hint="eastAsia" w:asciiTheme="minorEastAsia" w:hAnsiTheme="minorEastAsia" w:eastAsiaTheme="minorEastAsia" w:cstheme="minorEastAsia"/>
                <w:sz w:val="24"/>
                <w:szCs w:val="24"/>
                <w:lang w:eastAsia="zh-Hans"/>
              </w:rPr>
              <w:t>txt等）、压缩包（rar、</w:t>
            </w:r>
            <w:r>
              <w:rPr>
                <w:rFonts w:hint="eastAsia" w:asciiTheme="minorEastAsia" w:hAnsiTheme="minorEastAsia" w:eastAsiaTheme="minorEastAsia" w:cstheme="minorEastAsia"/>
                <w:sz w:val="24"/>
                <w:szCs w:val="24"/>
              </w:rPr>
              <w:t>zip、7z</w:t>
            </w:r>
            <w:r>
              <w:rPr>
                <w:rFonts w:hint="eastAsia" w:asciiTheme="minorEastAsia" w:hAnsiTheme="minorEastAsia" w:eastAsiaTheme="minorEastAsia" w:cstheme="minorEastAsia"/>
                <w:sz w:val="24"/>
                <w:szCs w:val="24"/>
                <w:lang w:eastAsia="zh-Hans"/>
              </w:rPr>
              <w:t>等）、图片（bmp、png、jpg、gif等）、源代码（xml、sh、c等）</w:t>
            </w:r>
          </w:p>
          <w:p w14:paraId="10B8E6A1">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支持识别</w:t>
            </w:r>
            <w:r>
              <w:rPr>
                <w:rFonts w:hint="eastAsia" w:asciiTheme="minorEastAsia" w:hAnsiTheme="minorEastAsia" w:eastAsiaTheme="minorEastAsia" w:cstheme="minorEastAsia"/>
                <w:sz w:val="24"/>
                <w:szCs w:val="24"/>
              </w:rPr>
              <w:t>多层嵌套压缩文件中文档内容</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rPr>
              <w:t>需安装插件进行扫描。</w:t>
            </w:r>
          </w:p>
        </w:tc>
        <w:tc>
          <w:tcPr>
            <w:tcW w:w="1235" w:type="dxa"/>
          </w:tcPr>
          <w:p w14:paraId="7EB7F398">
            <w:pPr>
              <w:rPr>
                <w:rFonts w:asciiTheme="minorEastAsia" w:hAnsiTheme="minorEastAsia" w:eastAsiaTheme="minorEastAsia" w:cstheme="minorEastAsia"/>
                <w:sz w:val="24"/>
                <w:szCs w:val="24"/>
              </w:rPr>
            </w:pPr>
          </w:p>
        </w:tc>
      </w:tr>
      <w:tr w14:paraId="23FE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2" w:type="dxa"/>
            <w:vMerge w:val="continue"/>
            <w:vAlign w:val="center"/>
          </w:tcPr>
          <w:p w14:paraId="65087118">
            <w:pPr>
              <w:jc w:val="center"/>
              <w:rPr>
                <w:rFonts w:asciiTheme="minorEastAsia" w:hAnsiTheme="minorEastAsia" w:eastAsiaTheme="minorEastAsia" w:cstheme="minorEastAsia"/>
                <w:b/>
                <w:bCs/>
                <w:sz w:val="24"/>
                <w:szCs w:val="24"/>
              </w:rPr>
            </w:pPr>
          </w:p>
        </w:tc>
        <w:tc>
          <w:tcPr>
            <w:tcW w:w="715" w:type="dxa"/>
            <w:vMerge w:val="restart"/>
            <w:vAlign w:val="center"/>
          </w:tcPr>
          <w:p w14:paraId="6F994FE5">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敏感数据发现</w:t>
            </w:r>
          </w:p>
        </w:tc>
        <w:tc>
          <w:tcPr>
            <w:tcW w:w="735" w:type="dxa"/>
            <w:vMerge w:val="restart"/>
            <w:vAlign w:val="center"/>
          </w:tcPr>
          <w:p w14:paraId="45BFED45">
            <w:pPr>
              <w:widowControl/>
              <w:spacing w:line="276" w:lineRule="auto"/>
              <w:jc w:val="center"/>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敏感数据</w:t>
            </w:r>
            <w:r>
              <w:rPr>
                <w:rFonts w:hint="eastAsia" w:asciiTheme="minorEastAsia" w:hAnsiTheme="minorEastAsia" w:eastAsiaTheme="minorEastAsia" w:cstheme="minorEastAsia"/>
                <w:sz w:val="24"/>
                <w:szCs w:val="24"/>
              </w:rPr>
              <w:t>特征</w:t>
            </w:r>
          </w:p>
        </w:tc>
        <w:tc>
          <w:tcPr>
            <w:tcW w:w="850" w:type="dxa"/>
            <w:vAlign w:val="center"/>
          </w:tcPr>
          <w:p w14:paraId="51793E1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3F7EF7E4">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产品</w:t>
            </w:r>
            <w:r>
              <w:rPr>
                <w:rFonts w:hint="eastAsia" w:asciiTheme="minorEastAsia" w:hAnsiTheme="minorEastAsia" w:eastAsiaTheme="minorEastAsia" w:cstheme="minorEastAsia"/>
                <w:sz w:val="24"/>
                <w:szCs w:val="24"/>
                <w:lang w:eastAsia="zh-Hans"/>
              </w:rPr>
              <w:t>内置</w:t>
            </w:r>
            <w:r>
              <w:rPr>
                <w:rFonts w:hint="eastAsia" w:asciiTheme="minorEastAsia" w:hAnsiTheme="minorEastAsia" w:eastAsiaTheme="minorEastAsia" w:cstheme="minorEastAsia"/>
                <w:sz w:val="24"/>
                <w:szCs w:val="24"/>
              </w:rPr>
              <w:t>敏感数据特征库功能，包含80+类关键个人隐私的</w:t>
            </w:r>
            <w:r>
              <w:rPr>
                <w:rFonts w:hint="eastAsia" w:asciiTheme="minorEastAsia" w:hAnsiTheme="minorEastAsia" w:eastAsiaTheme="minorEastAsia" w:cstheme="minorEastAsia"/>
                <w:sz w:val="24"/>
                <w:szCs w:val="24"/>
                <w:lang w:eastAsia="zh-Hans"/>
              </w:rPr>
              <w:t>数据</w:t>
            </w:r>
            <w:r>
              <w:rPr>
                <w:rFonts w:hint="eastAsia" w:asciiTheme="minorEastAsia" w:hAnsiTheme="minorEastAsia" w:eastAsiaTheme="minorEastAsia" w:cstheme="minorEastAsia"/>
                <w:sz w:val="24"/>
                <w:szCs w:val="24"/>
              </w:rPr>
              <w:t>特征</w:t>
            </w:r>
            <w:r>
              <w:rPr>
                <w:rFonts w:hint="eastAsia" w:asciiTheme="minorEastAsia" w:hAnsiTheme="minorEastAsia" w:eastAsiaTheme="minorEastAsia" w:cstheme="minorEastAsia"/>
                <w:sz w:val="24"/>
                <w:szCs w:val="24"/>
                <w:lang w:eastAsia="zh-Hans"/>
              </w:rPr>
              <w:t>。</w:t>
            </w:r>
          </w:p>
        </w:tc>
        <w:tc>
          <w:tcPr>
            <w:tcW w:w="1235" w:type="dxa"/>
          </w:tcPr>
          <w:p w14:paraId="2F738D3C">
            <w:pPr>
              <w:rPr>
                <w:rFonts w:asciiTheme="minorEastAsia" w:hAnsiTheme="minorEastAsia" w:eastAsiaTheme="minorEastAsia" w:cstheme="minorEastAsia"/>
                <w:sz w:val="24"/>
                <w:szCs w:val="24"/>
              </w:rPr>
            </w:pPr>
          </w:p>
        </w:tc>
      </w:tr>
      <w:tr w14:paraId="222C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2" w:type="dxa"/>
            <w:vMerge w:val="continue"/>
            <w:vAlign w:val="center"/>
          </w:tcPr>
          <w:p w14:paraId="01C046D1">
            <w:pPr>
              <w:jc w:val="center"/>
              <w:rPr>
                <w:rFonts w:asciiTheme="minorEastAsia" w:hAnsiTheme="minorEastAsia" w:eastAsiaTheme="minorEastAsia" w:cstheme="minorEastAsia"/>
                <w:b/>
                <w:bCs/>
                <w:sz w:val="24"/>
                <w:szCs w:val="24"/>
              </w:rPr>
            </w:pPr>
          </w:p>
        </w:tc>
        <w:tc>
          <w:tcPr>
            <w:tcW w:w="715" w:type="dxa"/>
            <w:vMerge w:val="continue"/>
            <w:vAlign w:val="center"/>
          </w:tcPr>
          <w:p w14:paraId="745E1343">
            <w:pPr>
              <w:jc w:val="center"/>
              <w:rPr>
                <w:rFonts w:asciiTheme="minorEastAsia" w:hAnsiTheme="minorEastAsia" w:eastAsiaTheme="minorEastAsia" w:cstheme="minorEastAsia"/>
                <w:b/>
                <w:bCs/>
                <w:sz w:val="24"/>
                <w:szCs w:val="24"/>
              </w:rPr>
            </w:pPr>
          </w:p>
        </w:tc>
        <w:tc>
          <w:tcPr>
            <w:tcW w:w="735" w:type="dxa"/>
            <w:vMerge w:val="continue"/>
            <w:vAlign w:val="center"/>
          </w:tcPr>
          <w:p w14:paraId="00BC4CED">
            <w:pPr>
              <w:widowControl/>
              <w:spacing w:line="276" w:lineRule="auto"/>
              <w:jc w:val="center"/>
              <w:rPr>
                <w:rFonts w:asciiTheme="minorEastAsia" w:hAnsiTheme="minorEastAsia" w:eastAsiaTheme="minorEastAsia" w:cstheme="minorEastAsia"/>
                <w:sz w:val="24"/>
                <w:szCs w:val="24"/>
                <w:lang w:eastAsia="zh-Hans"/>
              </w:rPr>
            </w:pPr>
          </w:p>
        </w:tc>
        <w:tc>
          <w:tcPr>
            <w:tcW w:w="850" w:type="dxa"/>
            <w:vAlign w:val="center"/>
          </w:tcPr>
          <w:p w14:paraId="1D9BE96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070F9F51">
            <w:pPr>
              <w:widowControl/>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w:t>
            </w:r>
            <w:r>
              <w:rPr>
                <w:rFonts w:hint="eastAsia" w:asciiTheme="minorEastAsia" w:hAnsiTheme="minorEastAsia" w:eastAsiaTheme="minorEastAsia" w:cstheme="minorEastAsia"/>
                <w:sz w:val="24"/>
                <w:szCs w:val="24"/>
                <w:lang w:eastAsia="zh-Hans"/>
              </w:rPr>
              <w:t>自定义添加</w:t>
            </w:r>
            <w:r>
              <w:rPr>
                <w:rFonts w:hint="eastAsia" w:asciiTheme="minorEastAsia" w:hAnsiTheme="minorEastAsia" w:eastAsiaTheme="minorEastAsia" w:cstheme="minorEastAsia"/>
                <w:sz w:val="24"/>
                <w:szCs w:val="24"/>
              </w:rPr>
              <w:t>正则表达式、</w:t>
            </w:r>
            <w:r>
              <w:rPr>
                <w:rFonts w:hint="eastAsia" w:asciiTheme="minorEastAsia" w:hAnsiTheme="minorEastAsia" w:eastAsiaTheme="minorEastAsia" w:cstheme="minorEastAsia"/>
                <w:sz w:val="24"/>
                <w:szCs w:val="24"/>
                <w:lang w:eastAsia="zh-Hans"/>
              </w:rPr>
              <w:t>关键词、数据字典</w:t>
            </w:r>
            <w:r>
              <w:rPr>
                <w:rFonts w:hint="eastAsia" w:asciiTheme="minorEastAsia" w:hAnsiTheme="minorEastAsia" w:eastAsiaTheme="minorEastAsia" w:cstheme="minorEastAsia"/>
                <w:sz w:val="24"/>
                <w:szCs w:val="24"/>
              </w:rPr>
              <w:t>等通用敏感数据特征。</w:t>
            </w:r>
          </w:p>
        </w:tc>
        <w:tc>
          <w:tcPr>
            <w:tcW w:w="1235" w:type="dxa"/>
          </w:tcPr>
          <w:p w14:paraId="68DF584D">
            <w:pPr>
              <w:rPr>
                <w:rFonts w:asciiTheme="minorEastAsia" w:hAnsiTheme="minorEastAsia" w:eastAsiaTheme="minorEastAsia" w:cstheme="minorEastAsia"/>
                <w:sz w:val="24"/>
                <w:szCs w:val="24"/>
              </w:rPr>
            </w:pPr>
          </w:p>
        </w:tc>
      </w:tr>
      <w:tr w14:paraId="2A9C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2" w:type="dxa"/>
            <w:vMerge w:val="continue"/>
            <w:vAlign w:val="center"/>
          </w:tcPr>
          <w:p w14:paraId="7322257A">
            <w:pPr>
              <w:jc w:val="center"/>
              <w:rPr>
                <w:rFonts w:asciiTheme="minorEastAsia" w:hAnsiTheme="minorEastAsia" w:eastAsiaTheme="minorEastAsia" w:cstheme="minorEastAsia"/>
                <w:b/>
                <w:bCs/>
                <w:sz w:val="24"/>
                <w:szCs w:val="24"/>
              </w:rPr>
            </w:pPr>
          </w:p>
        </w:tc>
        <w:tc>
          <w:tcPr>
            <w:tcW w:w="715" w:type="dxa"/>
            <w:vMerge w:val="continue"/>
            <w:vAlign w:val="center"/>
          </w:tcPr>
          <w:p w14:paraId="1A752ACE">
            <w:pPr>
              <w:jc w:val="center"/>
              <w:rPr>
                <w:rFonts w:asciiTheme="minorEastAsia" w:hAnsiTheme="minorEastAsia" w:eastAsiaTheme="minorEastAsia" w:cstheme="minorEastAsia"/>
                <w:b/>
                <w:bCs/>
                <w:sz w:val="24"/>
                <w:szCs w:val="24"/>
              </w:rPr>
            </w:pPr>
          </w:p>
        </w:tc>
        <w:tc>
          <w:tcPr>
            <w:tcW w:w="735" w:type="dxa"/>
            <w:vMerge w:val="continue"/>
            <w:vAlign w:val="center"/>
          </w:tcPr>
          <w:p w14:paraId="4AEC1740">
            <w:pPr>
              <w:widowControl/>
              <w:spacing w:line="276" w:lineRule="auto"/>
              <w:jc w:val="center"/>
              <w:rPr>
                <w:rFonts w:asciiTheme="minorEastAsia" w:hAnsiTheme="minorEastAsia" w:eastAsiaTheme="minorEastAsia" w:cstheme="minorEastAsia"/>
                <w:sz w:val="24"/>
                <w:szCs w:val="24"/>
                <w:lang w:eastAsia="zh-Hans"/>
              </w:rPr>
            </w:pPr>
          </w:p>
        </w:tc>
        <w:tc>
          <w:tcPr>
            <w:tcW w:w="850" w:type="dxa"/>
            <w:vAlign w:val="center"/>
          </w:tcPr>
          <w:p w14:paraId="0978F35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51A21137">
            <w:pPr>
              <w:widowControl/>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Hans"/>
              </w:rPr>
              <w:t>支持</w:t>
            </w:r>
            <w:r>
              <w:rPr>
                <w:rFonts w:hint="eastAsia" w:asciiTheme="minorEastAsia" w:hAnsiTheme="minorEastAsia" w:eastAsiaTheme="minorEastAsia" w:cstheme="minorEastAsia"/>
                <w:color w:val="000000"/>
                <w:sz w:val="24"/>
                <w:szCs w:val="24"/>
              </w:rPr>
              <w:t>自定义</w:t>
            </w:r>
            <w:r>
              <w:rPr>
                <w:rFonts w:hint="eastAsia" w:asciiTheme="minorEastAsia" w:hAnsiTheme="minorEastAsia" w:eastAsiaTheme="minorEastAsia" w:cstheme="minorEastAsia"/>
                <w:color w:val="000000"/>
                <w:sz w:val="24"/>
                <w:szCs w:val="24"/>
                <w:lang w:eastAsia="zh-Hans"/>
              </w:rPr>
              <w:t>添加组合特征（一列多类、一格多段），发现复合字段中的敏感信息。</w:t>
            </w:r>
          </w:p>
        </w:tc>
        <w:tc>
          <w:tcPr>
            <w:tcW w:w="1235" w:type="dxa"/>
          </w:tcPr>
          <w:p w14:paraId="636D2347">
            <w:pPr>
              <w:rPr>
                <w:rFonts w:asciiTheme="minorEastAsia" w:hAnsiTheme="minorEastAsia" w:eastAsiaTheme="minorEastAsia" w:cstheme="minorEastAsia"/>
                <w:sz w:val="24"/>
                <w:szCs w:val="24"/>
              </w:rPr>
            </w:pPr>
          </w:p>
        </w:tc>
      </w:tr>
      <w:tr w14:paraId="6033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2" w:type="dxa"/>
            <w:vMerge w:val="continue"/>
            <w:vAlign w:val="center"/>
          </w:tcPr>
          <w:p w14:paraId="72607F7A">
            <w:pPr>
              <w:jc w:val="center"/>
              <w:rPr>
                <w:rFonts w:asciiTheme="minorEastAsia" w:hAnsiTheme="minorEastAsia" w:eastAsiaTheme="minorEastAsia" w:cstheme="minorEastAsia"/>
                <w:b/>
                <w:bCs/>
                <w:sz w:val="24"/>
                <w:szCs w:val="24"/>
              </w:rPr>
            </w:pPr>
          </w:p>
        </w:tc>
        <w:tc>
          <w:tcPr>
            <w:tcW w:w="715" w:type="dxa"/>
            <w:vMerge w:val="continue"/>
            <w:vAlign w:val="center"/>
          </w:tcPr>
          <w:p w14:paraId="3203AB25">
            <w:pPr>
              <w:jc w:val="center"/>
              <w:rPr>
                <w:rFonts w:asciiTheme="minorEastAsia" w:hAnsiTheme="minorEastAsia" w:eastAsiaTheme="minorEastAsia" w:cstheme="minorEastAsia"/>
                <w:b/>
                <w:bCs/>
                <w:sz w:val="24"/>
                <w:szCs w:val="24"/>
              </w:rPr>
            </w:pPr>
          </w:p>
        </w:tc>
        <w:tc>
          <w:tcPr>
            <w:tcW w:w="735" w:type="dxa"/>
            <w:vMerge w:val="continue"/>
            <w:vAlign w:val="center"/>
          </w:tcPr>
          <w:p w14:paraId="6A2AE2CE">
            <w:pPr>
              <w:widowControl/>
              <w:spacing w:line="276" w:lineRule="auto"/>
              <w:jc w:val="center"/>
              <w:rPr>
                <w:rFonts w:asciiTheme="minorEastAsia" w:hAnsiTheme="minorEastAsia" w:eastAsiaTheme="minorEastAsia" w:cstheme="minorEastAsia"/>
                <w:sz w:val="24"/>
                <w:szCs w:val="24"/>
                <w:lang w:eastAsia="zh-Hans"/>
              </w:rPr>
            </w:pPr>
          </w:p>
        </w:tc>
        <w:tc>
          <w:tcPr>
            <w:tcW w:w="850" w:type="dxa"/>
            <w:vAlign w:val="center"/>
          </w:tcPr>
          <w:p w14:paraId="345E8A2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5937D01D">
            <w:pPr>
              <w:widowControl/>
              <w:spacing w:line="276"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支持通过</w:t>
            </w:r>
            <w:r>
              <w:rPr>
                <w:rFonts w:hint="eastAsia" w:asciiTheme="minorEastAsia" w:hAnsiTheme="minorEastAsia" w:eastAsiaTheme="minorEastAsia" w:cstheme="minorEastAsia"/>
                <w:sz w:val="24"/>
                <w:szCs w:val="24"/>
              </w:rPr>
              <w:t>算法、正则表达式、</w:t>
            </w:r>
            <w:r>
              <w:rPr>
                <w:rFonts w:hint="eastAsia" w:asciiTheme="minorEastAsia" w:hAnsiTheme="minorEastAsia" w:eastAsiaTheme="minorEastAsia" w:cstheme="minorEastAsia"/>
                <w:sz w:val="24"/>
                <w:szCs w:val="24"/>
                <w:lang w:eastAsia="zh-Hans"/>
              </w:rPr>
              <w:t>关键词、数据字典、</w:t>
            </w:r>
            <w:r>
              <w:rPr>
                <w:rFonts w:hint="eastAsia" w:asciiTheme="minorEastAsia" w:hAnsiTheme="minorEastAsia" w:eastAsiaTheme="minorEastAsia" w:cstheme="minorEastAsia"/>
                <w:sz w:val="24"/>
                <w:szCs w:val="24"/>
              </w:rPr>
              <w:t>文档指纹、</w:t>
            </w:r>
            <w:r>
              <w:rPr>
                <w:rFonts w:hint="eastAsia" w:asciiTheme="minorEastAsia" w:hAnsiTheme="minorEastAsia" w:eastAsiaTheme="minorEastAsia" w:cstheme="minorEastAsia"/>
                <w:sz w:val="24"/>
                <w:szCs w:val="24"/>
                <w:lang w:eastAsia="zh-Hans"/>
              </w:rPr>
              <w:t>表格指纹</w:t>
            </w:r>
            <w:r>
              <w:rPr>
                <w:rFonts w:hint="eastAsia" w:asciiTheme="minorEastAsia" w:hAnsiTheme="minorEastAsia" w:eastAsiaTheme="minorEastAsia" w:cstheme="minorEastAsia"/>
                <w:sz w:val="24"/>
                <w:szCs w:val="24"/>
              </w:rPr>
              <w:t>等技术，</w:t>
            </w:r>
            <w:r>
              <w:rPr>
                <w:rFonts w:hint="eastAsia" w:asciiTheme="minorEastAsia" w:hAnsiTheme="minorEastAsia" w:eastAsiaTheme="minorEastAsia" w:cstheme="minorEastAsia"/>
                <w:sz w:val="24"/>
                <w:szCs w:val="24"/>
                <w:lang w:eastAsia="zh-Hans"/>
              </w:rPr>
              <w:t>识别数据</w:t>
            </w:r>
            <w:r>
              <w:rPr>
                <w:rFonts w:hint="eastAsia" w:asciiTheme="minorEastAsia" w:hAnsiTheme="minorEastAsia" w:eastAsiaTheme="minorEastAsia" w:cstheme="minorEastAsia"/>
                <w:sz w:val="24"/>
                <w:szCs w:val="24"/>
              </w:rPr>
              <w:t>内容的</w:t>
            </w:r>
            <w:r>
              <w:rPr>
                <w:rFonts w:hint="eastAsia" w:asciiTheme="minorEastAsia" w:hAnsiTheme="minorEastAsia" w:eastAsiaTheme="minorEastAsia" w:cstheme="minorEastAsia"/>
                <w:sz w:val="24"/>
                <w:szCs w:val="24"/>
                <w:lang w:eastAsia="zh-Hans"/>
              </w:rPr>
              <w:t>特征。</w:t>
            </w:r>
          </w:p>
        </w:tc>
        <w:tc>
          <w:tcPr>
            <w:tcW w:w="1235" w:type="dxa"/>
          </w:tcPr>
          <w:p w14:paraId="0080F430">
            <w:pPr>
              <w:rPr>
                <w:rFonts w:asciiTheme="minorEastAsia" w:hAnsiTheme="minorEastAsia" w:eastAsiaTheme="minorEastAsia" w:cstheme="minorEastAsia"/>
                <w:sz w:val="24"/>
                <w:szCs w:val="24"/>
              </w:rPr>
            </w:pPr>
          </w:p>
        </w:tc>
      </w:tr>
      <w:tr w14:paraId="68D1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14:paraId="100026B3">
            <w:pPr>
              <w:jc w:val="center"/>
              <w:rPr>
                <w:rFonts w:asciiTheme="minorEastAsia" w:hAnsiTheme="minorEastAsia" w:eastAsiaTheme="minorEastAsia" w:cstheme="minorEastAsia"/>
                <w:b/>
                <w:bCs/>
                <w:sz w:val="24"/>
                <w:szCs w:val="24"/>
              </w:rPr>
            </w:pPr>
          </w:p>
        </w:tc>
        <w:tc>
          <w:tcPr>
            <w:tcW w:w="715" w:type="dxa"/>
            <w:vMerge w:val="continue"/>
            <w:vAlign w:val="center"/>
          </w:tcPr>
          <w:p w14:paraId="1F3691AE">
            <w:pPr>
              <w:jc w:val="center"/>
              <w:rPr>
                <w:rFonts w:asciiTheme="minorEastAsia" w:hAnsiTheme="minorEastAsia" w:eastAsiaTheme="minorEastAsia" w:cstheme="minorEastAsia"/>
                <w:b/>
                <w:bCs/>
                <w:sz w:val="24"/>
                <w:szCs w:val="24"/>
              </w:rPr>
            </w:pPr>
          </w:p>
        </w:tc>
        <w:tc>
          <w:tcPr>
            <w:tcW w:w="735" w:type="dxa"/>
            <w:vMerge w:val="restart"/>
            <w:vAlign w:val="center"/>
          </w:tcPr>
          <w:p w14:paraId="45F883DE">
            <w:pPr>
              <w:widowControl/>
              <w:spacing w:line="276" w:lineRule="auto"/>
              <w:jc w:val="center"/>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敏感数据识别</w:t>
            </w:r>
          </w:p>
        </w:tc>
        <w:tc>
          <w:tcPr>
            <w:tcW w:w="850" w:type="dxa"/>
            <w:vAlign w:val="center"/>
          </w:tcPr>
          <w:p w14:paraId="0A7264F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65AED0A4">
            <w:pPr>
              <w:pStyle w:val="93"/>
              <w:widowControl/>
              <w:spacing w:line="276" w:lineRule="auto"/>
              <w:ind w:firstLine="0" w:firstLineChars="0"/>
              <w:jc w:val="left"/>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szCs w:val="24"/>
                <w:lang w:eastAsia="zh-Hans"/>
              </w:rPr>
              <w:t>内置个人敏感数据的识别规则，包括姓名、身份证号、电话号码等关键个人隐私数据。</w:t>
            </w:r>
          </w:p>
        </w:tc>
        <w:tc>
          <w:tcPr>
            <w:tcW w:w="1235" w:type="dxa"/>
          </w:tcPr>
          <w:p w14:paraId="17ADF04B">
            <w:pPr>
              <w:rPr>
                <w:rFonts w:asciiTheme="minorEastAsia" w:hAnsiTheme="minorEastAsia" w:eastAsiaTheme="minorEastAsia" w:cstheme="minorEastAsia"/>
                <w:sz w:val="24"/>
                <w:szCs w:val="24"/>
                <w:lang w:eastAsia="zh-Hans"/>
              </w:rPr>
            </w:pPr>
          </w:p>
        </w:tc>
      </w:tr>
      <w:tr w14:paraId="7FDB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14:paraId="56A3DB5C">
            <w:pPr>
              <w:jc w:val="center"/>
              <w:rPr>
                <w:rFonts w:asciiTheme="minorEastAsia" w:hAnsiTheme="minorEastAsia" w:eastAsiaTheme="minorEastAsia" w:cstheme="minorEastAsia"/>
                <w:b/>
                <w:bCs/>
                <w:sz w:val="24"/>
                <w:szCs w:val="24"/>
              </w:rPr>
            </w:pPr>
          </w:p>
        </w:tc>
        <w:tc>
          <w:tcPr>
            <w:tcW w:w="715" w:type="dxa"/>
            <w:vMerge w:val="continue"/>
            <w:vAlign w:val="center"/>
          </w:tcPr>
          <w:p w14:paraId="61673554">
            <w:pPr>
              <w:jc w:val="center"/>
              <w:rPr>
                <w:rFonts w:asciiTheme="minorEastAsia" w:hAnsiTheme="minorEastAsia" w:eastAsiaTheme="minorEastAsia" w:cstheme="minorEastAsia"/>
                <w:b/>
                <w:bCs/>
                <w:sz w:val="24"/>
                <w:szCs w:val="24"/>
              </w:rPr>
            </w:pPr>
          </w:p>
        </w:tc>
        <w:tc>
          <w:tcPr>
            <w:tcW w:w="735" w:type="dxa"/>
            <w:vMerge w:val="continue"/>
            <w:vAlign w:val="center"/>
          </w:tcPr>
          <w:p w14:paraId="10F2B223">
            <w:pPr>
              <w:widowControl/>
              <w:spacing w:line="276" w:lineRule="auto"/>
              <w:jc w:val="center"/>
              <w:rPr>
                <w:rFonts w:asciiTheme="minorEastAsia" w:hAnsiTheme="minorEastAsia" w:eastAsiaTheme="minorEastAsia" w:cstheme="minorEastAsia"/>
                <w:sz w:val="24"/>
                <w:szCs w:val="24"/>
                <w:lang w:eastAsia="zh-Hans"/>
              </w:rPr>
            </w:pPr>
          </w:p>
        </w:tc>
        <w:tc>
          <w:tcPr>
            <w:tcW w:w="850" w:type="dxa"/>
            <w:vAlign w:val="center"/>
          </w:tcPr>
          <w:p w14:paraId="3005639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1B70D3A6">
            <w:pPr>
              <w:pStyle w:val="93"/>
              <w:widowControl/>
              <w:spacing w:line="276" w:lineRule="auto"/>
              <w:ind w:firstLine="0" w:firstLineChars="0"/>
              <w:jc w:val="left"/>
              <w:rPr>
                <w:rFonts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支持用户自定义构建识别规则，发现和定位敏感数据；</w:t>
            </w:r>
          </w:p>
          <w:p w14:paraId="46D72558">
            <w:pPr>
              <w:pStyle w:val="93"/>
              <w:widowControl/>
              <w:spacing w:line="276" w:lineRule="auto"/>
              <w:ind w:firstLine="0" w:firstLineChars="0"/>
              <w:jc w:val="left"/>
              <w:rPr>
                <w:rFonts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支持通过</w:t>
            </w:r>
            <w:r>
              <w:rPr>
                <w:rFonts w:hint="eastAsia" w:asciiTheme="minorEastAsia" w:hAnsiTheme="minorEastAsia" w:eastAsiaTheme="minorEastAsia" w:cstheme="minorEastAsia"/>
                <w:szCs w:val="24"/>
                <w:lang w:eastAsia="zh-Hans"/>
              </w:rPr>
              <w:t>数据特征、资产属性（</w:t>
            </w:r>
            <w:r>
              <w:rPr>
                <w:rFonts w:hint="eastAsia" w:asciiTheme="minorEastAsia" w:hAnsiTheme="minorEastAsia" w:eastAsiaTheme="minorEastAsia" w:cstheme="minorEastAsia"/>
                <w:szCs w:val="24"/>
              </w:rPr>
              <w:t>表名、表注释、</w:t>
            </w:r>
            <w:r>
              <w:rPr>
                <w:rFonts w:hint="eastAsia" w:asciiTheme="minorEastAsia" w:hAnsiTheme="minorEastAsia" w:eastAsiaTheme="minorEastAsia" w:cstheme="minorEastAsia"/>
                <w:szCs w:val="24"/>
                <w:lang w:eastAsia="zh-Hans"/>
              </w:rPr>
              <w:t>字段名、</w:t>
            </w:r>
            <w:r>
              <w:rPr>
                <w:rFonts w:hint="eastAsia" w:asciiTheme="minorEastAsia" w:hAnsiTheme="minorEastAsia" w:eastAsiaTheme="minorEastAsia" w:cstheme="minorEastAsia"/>
                <w:szCs w:val="24"/>
              </w:rPr>
              <w:t>字段</w:t>
            </w:r>
            <w:r>
              <w:rPr>
                <w:rFonts w:hint="eastAsia" w:asciiTheme="minorEastAsia" w:hAnsiTheme="minorEastAsia" w:eastAsiaTheme="minorEastAsia" w:cstheme="minorEastAsia"/>
                <w:szCs w:val="24"/>
                <w:lang w:eastAsia="zh-Hans"/>
              </w:rPr>
              <w:t>注释等）等多条件</w:t>
            </w:r>
            <w:r>
              <w:rPr>
                <w:rFonts w:hint="eastAsia" w:asciiTheme="minorEastAsia" w:hAnsiTheme="minorEastAsia" w:eastAsiaTheme="minorEastAsia" w:cstheme="minorEastAsia"/>
                <w:color w:val="auto"/>
                <w:szCs w:val="24"/>
                <w:lang w:eastAsia="zh-Hans"/>
              </w:rPr>
              <w:t>，以及条件间“与”“或”等逻辑关系进行组合，构建识别规则。</w:t>
            </w:r>
          </w:p>
        </w:tc>
        <w:tc>
          <w:tcPr>
            <w:tcW w:w="1235" w:type="dxa"/>
          </w:tcPr>
          <w:p w14:paraId="24D262B3">
            <w:pPr>
              <w:rPr>
                <w:rFonts w:asciiTheme="minorEastAsia" w:hAnsiTheme="minorEastAsia" w:eastAsiaTheme="minorEastAsia" w:cstheme="minorEastAsia"/>
                <w:sz w:val="24"/>
                <w:szCs w:val="24"/>
                <w:lang w:eastAsia="zh-Hans"/>
              </w:rPr>
            </w:pPr>
          </w:p>
        </w:tc>
      </w:tr>
      <w:tr w14:paraId="6D88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169AE240">
            <w:pPr>
              <w:jc w:val="center"/>
              <w:rPr>
                <w:rFonts w:asciiTheme="minorEastAsia" w:hAnsiTheme="minorEastAsia" w:eastAsiaTheme="minorEastAsia" w:cstheme="minorEastAsia"/>
                <w:b/>
                <w:bCs/>
                <w:sz w:val="24"/>
                <w:szCs w:val="24"/>
              </w:rPr>
            </w:pPr>
          </w:p>
        </w:tc>
        <w:tc>
          <w:tcPr>
            <w:tcW w:w="715" w:type="dxa"/>
            <w:vMerge w:val="restart"/>
            <w:vAlign w:val="center"/>
          </w:tcPr>
          <w:p w14:paraId="6D4A1577">
            <w:pPr>
              <w:spacing w:line="276"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zh-CN"/>
              </w:rPr>
              <w:t>数据分级分类</w:t>
            </w:r>
          </w:p>
        </w:tc>
        <w:tc>
          <w:tcPr>
            <w:tcW w:w="735" w:type="dxa"/>
            <w:vAlign w:val="center"/>
          </w:tcPr>
          <w:p w14:paraId="44FCA0EF">
            <w:pPr>
              <w:widowControl/>
              <w:spacing w:line="276" w:lineRule="auto"/>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lang w:eastAsia="zh-Hans"/>
              </w:rPr>
              <w:t>分级分类维护</w:t>
            </w:r>
          </w:p>
        </w:tc>
        <w:tc>
          <w:tcPr>
            <w:tcW w:w="850" w:type="dxa"/>
            <w:vAlign w:val="center"/>
          </w:tcPr>
          <w:p w14:paraId="1E8E356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44ADFB2A">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内置《GB/T35273信息安全技术个人信息安全规范》数据分类标准模板。</w:t>
            </w:r>
          </w:p>
          <w:p w14:paraId="00A5F266">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支持</w:t>
            </w:r>
            <w:r>
              <w:rPr>
                <w:rFonts w:hint="eastAsia" w:asciiTheme="minorEastAsia" w:hAnsiTheme="minorEastAsia" w:eastAsiaTheme="minorEastAsia" w:cstheme="minorEastAsia"/>
                <w:sz w:val="24"/>
                <w:szCs w:val="24"/>
                <w:lang w:eastAsia="zh-Hans"/>
              </w:rPr>
              <w:t>通过页面添加、导入方式创建</w:t>
            </w:r>
            <w:r>
              <w:rPr>
                <w:rFonts w:hint="eastAsia" w:asciiTheme="minorEastAsia" w:hAnsiTheme="minorEastAsia" w:eastAsiaTheme="minorEastAsia" w:cstheme="minorEastAsia"/>
                <w:sz w:val="24"/>
                <w:szCs w:val="24"/>
              </w:rPr>
              <w:t>数据</w:t>
            </w:r>
            <w:r>
              <w:rPr>
                <w:rFonts w:hint="eastAsia" w:asciiTheme="minorEastAsia" w:hAnsiTheme="minorEastAsia" w:eastAsiaTheme="minorEastAsia" w:cstheme="minorEastAsia"/>
                <w:sz w:val="24"/>
                <w:szCs w:val="24"/>
                <w:lang w:eastAsia="zh-Hans"/>
              </w:rPr>
              <w:t>分类</w:t>
            </w:r>
            <w:r>
              <w:rPr>
                <w:rFonts w:hint="eastAsia" w:asciiTheme="minorEastAsia" w:hAnsiTheme="minorEastAsia" w:eastAsiaTheme="minorEastAsia" w:cstheme="minorEastAsia"/>
                <w:sz w:val="24"/>
                <w:szCs w:val="24"/>
              </w:rPr>
              <w:t>标签</w:t>
            </w:r>
            <w:r>
              <w:rPr>
                <w:rFonts w:hint="eastAsia" w:asciiTheme="minorEastAsia" w:hAnsiTheme="minorEastAsia" w:eastAsiaTheme="minorEastAsia" w:cstheme="minorEastAsia"/>
                <w:sz w:val="24"/>
                <w:szCs w:val="24"/>
                <w:lang w:eastAsia="zh-Hans"/>
              </w:rPr>
              <w:t>库</w:t>
            </w:r>
          </w:p>
          <w:p w14:paraId="7E3143AE">
            <w:pPr>
              <w:widowControl/>
              <w:spacing w:line="276" w:lineRule="auto"/>
              <w:jc w:val="left"/>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sz w:val="24"/>
                <w:szCs w:val="24"/>
                <w:lang w:eastAsia="zh-Hans"/>
              </w:rPr>
              <w:t>支持创建</w:t>
            </w:r>
            <w:r>
              <w:rPr>
                <w:rFonts w:hint="eastAsia" w:asciiTheme="minorEastAsia" w:hAnsiTheme="minorEastAsia" w:eastAsiaTheme="minorEastAsia" w:cstheme="minorEastAsia"/>
                <w:sz w:val="24"/>
                <w:szCs w:val="24"/>
              </w:rPr>
              <w:t>数据</w:t>
            </w:r>
            <w:r>
              <w:rPr>
                <w:rFonts w:hint="eastAsia" w:asciiTheme="minorEastAsia" w:hAnsiTheme="minorEastAsia" w:eastAsiaTheme="minorEastAsia" w:cstheme="minorEastAsia"/>
                <w:sz w:val="24"/>
                <w:szCs w:val="24"/>
                <w:lang w:eastAsia="zh-Hans"/>
              </w:rPr>
              <w:t>分级</w:t>
            </w:r>
            <w:r>
              <w:rPr>
                <w:rFonts w:hint="eastAsia" w:asciiTheme="minorEastAsia" w:hAnsiTheme="minorEastAsia" w:eastAsiaTheme="minorEastAsia" w:cstheme="minorEastAsia"/>
                <w:sz w:val="24"/>
                <w:szCs w:val="24"/>
              </w:rPr>
              <w:t>标签，</w:t>
            </w:r>
            <w:r>
              <w:rPr>
                <w:rFonts w:hint="eastAsia" w:asciiTheme="minorEastAsia" w:hAnsiTheme="minorEastAsia" w:eastAsiaTheme="minorEastAsia" w:cstheme="minorEastAsia"/>
                <w:sz w:val="24"/>
                <w:szCs w:val="24"/>
                <w:lang w:eastAsia="zh-Hans"/>
              </w:rPr>
              <w:t>用户</w:t>
            </w:r>
            <w:r>
              <w:rPr>
                <w:rFonts w:hint="eastAsia" w:asciiTheme="minorEastAsia" w:hAnsiTheme="minorEastAsia" w:eastAsiaTheme="minorEastAsia" w:cstheme="minorEastAsia"/>
                <w:sz w:val="24"/>
                <w:szCs w:val="24"/>
              </w:rPr>
              <w:t>可自定义标签分级名称、标签颜色、标签权重自定义功能。</w:t>
            </w:r>
          </w:p>
        </w:tc>
        <w:tc>
          <w:tcPr>
            <w:tcW w:w="1235" w:type="dxa"/>
          </w:tcPr>
          <w:p w14:paraId="66CA5AEF">
            <w:pPr>
              <w:rPr>
                <w:rFonts w:asciiTheme="minorEastAsia" w:hAnsiTheme="minorEastAsia" w:eastAsiaTheme="minorEastAsia" w:cstheme="minorEastAsia"/>
                <w:sz w:val="24"/>
                <w:szCs w:val="24"/>
              </w:rPr>
            </w:pPr>
          </w:p>
        </w:tc>
      </w:tr>
      <w:tr w14:paraId="4A54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2" w:type="dxa"/>
            <w:vMerge w:val="continue"/>
            <w:vAlign w:val="center"/>
          </w:tcPr>
          <w:p w14:paraId="14400195">
            <w:pPr>
              <w:jc w:val="center"/>
              <w:rPr>
                <w:rFonts w:asciiTheme="minorEastAsia" w:hAnsiTheme="minorEastAsia" w:eastAsiaTheme="minorEastAsia" w:cstheme="minorEastAsia"/>
                <w:b/>
                <w:bCs/>
                <w:sz w:val="24"/>
                <w:szCs w:val="24"/>
              </w:rPr>
            </w:pPr>
          </w:p>
        </w:tc>
        <w:tc>
          <w:tcPr>
            <w:tcW w:w="715" w:type="dxa"/>
            <w:vMerge w:val="continue"/>
            <w:vAlign w:val="center"/>
          </w:tcPr>
          <w:p w14:paraId="6ECD5623">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04D16382">
            <w:pPr>
              <w:widowControl/>
              <w:spacing w:line="276" w:lineRule="auto"/>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lang w:eastAsia="zh-Hans"/>
              </w:rPr>
              <w:t>分级分类打标</w:t>
            </w:r>
          </w:p>
        </w:tc>
        <w:tc>
          <w:tcPr>
            <w:tcW w:w="850" w:type="dxa"/>
            <w:vAlign w:val="center"/>
          </w:tcPr>
          <w:p w14:paraId="773CDFF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1678956A">
            <w:pPr>
              <w:pStyle w:val="93"/>
              <w:widowControl/>
              <w:spacing w:line="276" w:lineRule="auto"/>
              <w:ind w:firstLine="0" w:firstLineChars="0"/>
              <w:jc w:val="left"/>
              <w:rPr>
                <w:rFonts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rPr>
              <w:t>支持</w:t>
            </w:r>
            <w:r>
              <w:rPr>
                <w:rFonts w:hint="eastAsia" w:asciiTheme="minorEastAsia" w:hAnsiTheme="minorEastAsia" w:eastAsiaTheme="minorEastAsia" w:cstheme="minorEastAsia"/>
                <w:color w:val="auto"/>
                <w:szCs w:val="24"/>
                <w:lang w:eastAsia="zh-Hans"/>
              </w:rPr>
              <w:t>自动化、周期性进行分类分级打标。</w:t>
            </w:r>
          </w:p>
          <w:p w14:paraId="0EC8F51A">
            <w:pPr>
              <w:pStyle w:val="93"/>
              <w:widowControl/>
              <w:spacing w:line="276" w:lineRule="auto"/>
              <w:ind w:firstLine="0" w:firstLineChars="0"/>
              <w:jc w:val="left"/>
              <w:rPr>
                <w:rFonts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rPr>
              <w:t>支持通过数据识别规则对数据资产（表、簇、目录、字段、文件等）进行分类分级打标</w:t>
            </w:r>
            <w:r>
              <w:rPr>
                <w:rFonts w:hint="eastAsia" w:asciiTheme="minorEastAsia" w:hAnsiTheme="minorEastAsia" w:eastAsiaTheme="minorEastAsia" w:cstheme="minorEastAsia"/>
                <w:color w:val="auto"/>
                <w:szCs w:val="24"/>
                <w:lang w:eastAsia="zh-Hans"/>
              </w:rPr>
              <w:t>，并查看打标结果。</w:t>
            </w:r>
          </w:p>
          <w:p w14:paraId="5920E045">
            <w:pPr>
              <w:pStyle w:val="93"/>
              <w:widowControl/>
              <w:spacing w:line="276" w:lineRule="auto"/>
              <w:ind w:firstLine="0" w:firstLineChars="0"/>
              <w:jc w:val="left"/>
              <w:rPr>
                <w:rFonts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支持通过数据特征和资产属性构建识别规则。</w:t>
            </w:r>
          </w:p>
          <w:p w14:paraId="050AF6A7">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支持识别规则的批量导入和导出。</w:t>
            </w:r>
          </w:p>
          <w:p w14:paraId="1DD7B76D">
            <w:pPr>
              <w:widowControl/>
              <w:spacing w:line="276" w:lineRule="auto"/>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Hans"/>
              </w:rPr>
              <w:t>支持通过智能算法，结合资产元数据信息，推荐出识别规则</w:t>
            </w:r>
            <w:r>
              <w:rPr>
                <w:rFonts w:hint="eastAsia" w:asciiTheme="minorEastAsia" w:hAnsiTheme="minorEastAsia" w:eastAsiaTheme="minorEastAsia" w:cstheme="minorEastAsia"/>
                <w:sz w:val="24"/>
                <w:szCs w:val="24"/>
              </w:rPr>
              <w:t>。</w:t>
            </w:r>
          </w:p>
        </w:tc>
        <w:tc>
          <w:tcPr>
            <w:tcW w:w="1235" w:type="dxa"/>
          </w:tcPr>
          <w:p w14:paraId="1D6B1E95">
            <w:pPr>
              <w:rPr>
                <w:rFonts w:asciiTheme="minorEastAsia" w:hAnsiTheme="minorEastAsia" w:eastAsiaTheme="minorEastAsia" w:cstheme="minorEastAsia"/>
                <w:sz w:val="24"/>
                <w:szCs w:val="24"/>
              </w:rPr>
            </w:pPr>
          </w:p>
        </w:tc>
      </w:tr>
      <w:tr w14:paraId="1EEF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74B21758">
            <w:pPr>
              <w:jc w:val="center"/>
              <w:rPr>
                <w:rFonts w:asciiTheme="minorEastAsia" w:hAnsiTheme="minorEastAsia" w:eastAsiaTheme="minorEastAsia" w:cstheme="minorEastAsia"/>
                <w:b/>
                <w:bCs/>
                <w:sz w:val="24"/>
                <w:szCs w:val="24"/>
              </w:rPr>
            </w:pPr>
          </w:p>
        </w:tc>
        <w:tc>
          <w:tcPr>
            <w:tcW w:w="715" w:type="dxa"/>
            <w:vMerge w:val="continue"/>
            <w:vAlign w:val="center"/>
          </w:tcPr>
          <w:p w14:paraId="03191070">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3AD96C05">
            <w:pPr>
              <w:widowControl/>
              <w:spacing w:line="276" w:lineRule="auto"/>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lang w:eastAsia="zh-Hans"/>
              </w:rPr>
              <w:t>标签核验</w:t>
            </w:r>
          </w:p>
        </w:tc>
        <w:tc>
          <w:tcPr>
            <w:tcW w:w="850" w:type="dxa"/>
            <w:vAlign w:val="center"/>
          </w:tcPr>
          <w:p w14:paraId="7B8FC47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00EA2F24">
            <w:pPr>
              <w:widowControl/>
              <w:spacing w:line="276" w:lineRule="auto"/>
              <w:jc w:val="left"/>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支持自动化+核验的方式，对打标结果进行校验，修正打标结果。</w:t>
            </w:r>
          </w:p>
          <w:p w14:paraId="13EB683A">
            <w:pPr>
              <w:widowControl/>
              <w:spacing w:line="276" w:lineRule="auto"/>
              <w:jc w:val="left"/>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sz w:val="24"/>
                <w:szCs w:val="24"/>
                <w:lang w:eastAsia="zh-Hans"/>
              </w:rPr>
              <w:t>支持手动对打标结果进行调整。</w:t>
            </w:r>
          </w:p>
        </w:tc>
        <w:tc>
          <w:tcPr>
            <w:tcW w:w="1235" w:type="dxa"/>
          </w:tcPr>
          <w:p w14:paraId="1252C74A">
            <w:pPr>
              <w:rPr>
                <w:rFonts w:asciiTheme="minorEastAsia" w:hAnsiTheme="minorEastAsia" w:eastAsiaTheme="minorEastAsia" w:cstheme="minorEastAsia"/>
                <w:sz w:val="24"/>
                <w:szCs w:val="24"/>
              </w:rPr>
            </w:pPr>
          </w:p>
        </w:tc>
      </w:tr>
      <w:tr w14:paraId="2CAB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55D0BA0E">
            <w:pPr>
              <w:jc w:val="center"/>
              <w:rPr>
                <w:rFonts w:asciiTheme="minorEastAsia" w:hAnsiTheme="minorEastAsia" w:eastAsiaTheme="minorEastAsia" w:cstheme="minorEastAsia"/>
                <w:b/>
                <w:bCs/>
                <w:sz w:val="24"/>
                <w:szCs w:val="24"/>
              </w:rPr>
            </w:pPr>
          </w:p>
        </w:tc>
        <w:tc>
          <w:tcPr>
            <w:tcW w:w="715" w:type="dxa"/>
            <w:vMerge w:val="restart"/>
            <w:vAlign w:val="center"/>
          </w:tcPr>
          <w:p w14:paraId="16717256">
            <w:pPr>
              <w:spacing w:line="276"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eastAsia="zh-Hans"/>
              </w:rPr>
              <w:t>数据资产梳理</w:t>
            </w:r>
          </w:p>
        </w:tc>
        <w:tc>
          <w:tcPr>
            <w:tcW w:w="735" w:type="dxa"/>
            <w:vAlign w:val="center"/>
          </w:tcPr>
          <w:p w14:paraId="2937B305">
            <w:pPr>
              <w:spacing w:line="276" w:lineRule="auto"/>
              <w:jc w:val="center"/>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数据资产地图</w:t>
            </w:r>
          </w:p>
        </w:tc>
        <w:tc>
          <w:tcPr>
            <w:tcW w:w="850" w:type="dxa"/>
            <w:vAlign w:val="center"/>
          </w:tcPr>
          <w:p w14:paraId="3D926AF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4313" w:type="dxa"/>
            <w:vAlign w:val="center"/>
          </w:tcPr>
          <w:p w14:paraId="59D4E564">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需</w:t>
            </w:r>
            <w:r>
              <w:rPr>
                <w:rFonts w:hint="eastAsia" w:asciiTheme="minorEastAsia" w:hAnsiTheme="minorEastAsia" w:eastAsiaTheme="minorEastAsia" w:cstheme="minorEastAsia"/>
                <w:sz w:val="24"/>
                <w:szCs w:val="24"/>
                <w:lang w:val="zh-CN"/>
              </w:rPr>
              <w:t>支持以资产目录及资产索引方式直观展现</w:t>
            </w:r>
            <w:r>
              <w:rPr>
                <w:rFonts w:hint="eastAsia" w:asciiTheme="minorEastAsia" w:hAnsiTheme="minorEastAsia" w:eastAsiaTheme="minorEastAsia" w:cstheme="minorEastAsia"/>
                <w:sz w:val="24"/>
                <w:szCs w:val="24"/>
              </w:rPr>
              <w:t>数据资产的类别、分布、数量、归属，</w:t>
            </w:r>
            <w:r>
              <w:rPr>
                <w:rFonts w:hint="eastAsia" w:asciiTheme="minorEastAsia" w:hAnsiTheme="minorEastAsia" w:eastAsiaTheme="minorEastAsia" w:cstheme="minorEastAsia"/>
                <w:color w:val="000000"/>
                <w:sz w:val="24"/>
                <w:szCs w:val="24"/>
                <w:lang w:val="zh-CN"/>
              </w:rPr>
              <w:t>描绘各数据源、数据库、数据表、字段、文件之间的关系和脉络</w:t>
            </w:r>
            <w:r>
              <w:rPr>
                <w:rFonts w:hint="eastAsia" w:asciiTheme="minorEastAsia" w:hAnsiTheme="minorEastAsia" w:eastAsiaTheme="minorEastAsia" w:cstheme="minorEastAsia"/>
                <w:sz w:val="24"/>
                <w:szCs w:val="24"/>
                <w:lang w:val="zh-CN"/>
              </w:rPr>
              <w:t>，为用户提供翔实、直观的数据资产台账。</w:t>
            </w:r>
          </w:p>
        </w:tc>
        <w:tc>
          <w:tcPr>
            <w:tcW w:w="1235" w:type="dxa"/>
          </w:tcPr>
          <w:p w14:paraId="577D7CB9">
            <w:pPr>
              <w:rPr>
                <w:rFonts w:asciiTheme="minorEastAsia" w:hAnsiTheme="minorEastAsia" w:eastAsiaTheme="minorEastAsia" w:cstheme="minorEastAsia"/>
                <w:sz w:val="24"/>
                <w:szCs w:val="24"/>
              </w:rPr>
            </w:pPr>
          </w:p>
        </w:tc>
      </w:tr>
      <w:tr w14:paraId="2C7D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4D4FA2DA">
            <w:pPr>
              <w:jc w:val="center"/>
              <w:rPr>
                <w:rFonts w:asciiTheme="minorEastAsia" w:hAnsiTheme="minorEastAsia" w:eastAsiaTheme="minorEastAsia" w:cstheme="minorEastAsia"/>
                <w:b/>
                <w:bCs/>
                <w:sz w:val="24"/>
                <w:szCs w:val="24"/>
              </w:rPr>
            </w:pPr>
          </w:p>
        </w:tc>
        <w:tc>
          <w:tcPr>
            <w:tcW w:w="715" w:type="dxa"/>
            <w:vMerge w:val="continue"/>
            <w:vAlign w:val="center"/>
          </w:tcPr>
          <w:p w14:paraId="69B9F723">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472A8F79">
            <w:pPr>
              <w:spacing w:line="276" w:lineRule="auto"/>
              <w:jc w:val="center"/>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账号梳理</w:t>
            </w:r>
          </w:p>
        </w:tc>
        <w:tc>
          <w:tcPr>
            <w:tcW w:w="850" w:type="dxa"/>
            <w:vAlign w:val="center"/>
          </w:tcPr>
          <w:p w14:paraId="11ECFD4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4313" w:type="dxa"/>
            <w:vAlign w:val="center"/>
          </w:tcPr>
          <w:p w14:paraId="79C2789D">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支持数据库账号权限梳理、监测，用于数据资产关联及风险分析</w:t>
            </w:r>
            <w:r>
              <w:rPr>
                <w:rFonts w:hint="eastAsia" w:asciiTheme="minorEastAsia" w:hAnsiTheme="minorEastAsia" w:eastAsiaTheme="minorEastAsia" w:cstheme="minorEastAsia"/>
                <w:sz w:val="24"/>
                <w:szCs w:val="24"/>
                <w:lang w:eastAsia="zh-Hans"/>
              </w:rPr>
              <w:t>。</w:t>
            </w:r>
          </w:p>
        </w:tc>
        <w:tc>
          <w:tcPr>
            <w:tcW w:w="1235" w:type="dxa"/>
          </w:tcPr>
          <w:p w14:paraId="60BCF0F8">
            <w:pPr>
              <w:rPr>
                <w:rFonts w:asciiTheme="minorEastAsia" w:hAnsiTheme="minorEastAsia" w:eastAsiaTheme="minorEastAsia" w:cstheme="minorEastAsia"/>
                <w:sz w:val="24"/>
                <w:szCs w:val="24"/>
              </w:rPr>
            </w:pPr>
          </w:p>
        </w:tc>
      </w:tr>
      <w:tr w14:paraId="28AE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0D877F86">
            <w:pPr>
              <w:jc w:val="center"/>
              <w:rPr>
                <w:rFonts w:asciiTheme="minorEastAsia" w:hAnsiTheme="minorEastAsia" w:eastAsiaTheme="minorEastAsia" w:cstheme="minorEastAsia"/>
                <w:b/>
                <w:bCs/>
                <w:sz w:val="24"/>
                <w:szCs w:val="24"/>
              </w:rPr>
            </w:pPr>
          </w:p>
        </w:tc>
        <w:tc>
          <w:tcPr>
            <w:tcW w:w="715" w:type="dxa"/>
            <w:vMerge w:val="continue"/>
            <w:vAlign w:val="center"/>
          </w:tcPr>
          <w:p w14:paraId="4629677A">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02C33B03">
            <w:pPr>
              <w:spacing w:line="276" w:lineRule="auto"/>
              <w:jc w:val="center"/>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自定义标注</w:t>
            </w:r>
          </w:p>
        </w:tc>
        <w:tc>
          <w:tcPr>
            <w:tcW w:w="850" w:type="dxa"/>
            <w:vAlign w:val="center"/>
          </w:tcPr>
          <w:p w14:paraId="221ECFD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4313" w:type="dxa"/>
            <w:vAlign w:val="center"/>
          </w:tcPr>
          <w:p w14:paraId="2636FB1D">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支持用户对资产进行自定义标注，完善业务信息。</w:t>
            </w:r>
          </w:p>
          <w:p w14:paraId="795FCC20">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支持通过标注词典，自动化批量标注。</w:t>
            </w:r>
          </w:p>
        </w:tc>
        <w:tc>
          <w:tcPr>
            <w:tcW w:w="1235" w:type="dxa"/>
          </w:tcPr>
          <w:p w14:paraId="60776738">
            <w:pPr>
              <w:rPr>
                <w:rFonts w:asciiTheme="minorEastAsia" w:hAnsiTheme="minorEastAsia" w:eastAsiaTheme="minorEastAsia" w:cstheme="minorEastAsia"/>
                <w:sz w:val="24"/>
                <w:szCs w:val="24"/>
              </w:rPr>
            </w:pPr>
          </w:p>
        </w:tc>
      </w:tr>
      <w:tr w14:paraId="362C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450BE24A">
            <w:pPr>
              <w:jc w:val="center"/>
              <w:rPr>
                <w:rFonts w:asciiTheme="minorEastAsia" w:hAnsiTheme="minorEastAsia" w:eastAsiaTheme="minorEastAsia" w:cstheme="minorEastAsia"/>
                <w:b/>
                <w:bCs/>
                <w:sz w:val="24"/>
                <w:szCs w:val="24"/>
              </w:rPr>
            </w:pPr>
          </w:p>
        </w:tc>
        <w:tc>
          <w:tcPr>
            <w:tcW w:w="715" w:type="dxa"/>
            <w:vMerge w:val="continue"/>
            <w:vAlign w:val="center"/>
          </w:tcPr>
          <w:p w14:paraId="6EB87F97">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623EB88B">
            <w:pPr>
              <w:spacing w:line="276" w:lineRule="auto"/>
              <w:jc w:val="center"/>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数据图谱</w:t>
            </w:r>
          </w:p>
        </w:tc>
        <w:tc>
          <w:tcPr>
            <w:tcW w:w="850" w:type="dxa"/>
            <w:vAlign w:val="center"/>
          </w:tcPr>
          <w:p w14:paraId="234CB2C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4313" w:type="dxa"/>
            <w:vAlign w:val="center"/>
          </w:tcPr>
          <w:p w14:paraId="763FB57B">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产品支持日志流量的动态梳理和监测，</w:t>
            </w:r>
            <w:r>
              <w:rPr>
                <w:rFonts w:hint="eastAsia" w:asciiTheme="minorEastAsia" w:hAnsiTheme="minorEastAsia" w:eastAsiaTheme="minorEastAsia" w:cstheme="minorEastAsia"/>
                <w:sz w:val="24"/>
                <w:szCs w:val="24"/>
              </w:rPr>
              <w:t>分析</w:t>
            </w:r>
            <w:r>
              <w:rPr>
                <w:rFonts w:hint="eastAsia" w:asciiTheme="minorEastAsia" w:hAnsiTheme="minorEastAsia" w:eastAsiaTheme="minorEastAsia" w:cstheme="minorEastAsia"/>
                <w:sz w:val="24"/>
                <w:szCs w:val="24"/>
                <w:lang w:eastAsia="zh-Hans"/>
              </w:rPr>
              <w:t>数据资产、访问用户、分类标签</w:t>
            </w:r>
            <w:r>
              <w:rPr>
                <w:rFonts w:hint="eastAsia" w:asciiTheme="minorEastAsia" w:hAnsiTheme="minorEastAsia" w:eastAsiaTheme="minorEastAsia" w:cstheme="minorEastAsia"/>
                <w:sz w:val="24"/>
                <w:szCs w:val="24"/>
              </w:rPr>
              <w:t>之间的访问关系</w:t>
            </w:r>
            <w:r>
              <w:rPr>
                <w:rFonts w:hint="eastAsia" w:asciiTheme="minorEastAsia" w:hAnsiTheme="minorEastAsia" w:eastAsiaTheme="minorEastAsia" w:cstheme="minorEastAsia"/>
                <w:sz w:val="24"/>
                <w:szCs w:val="24"/>
                <w:lang w:eastAsia="zh-Hans"/>
              </w:rPr>
              <w:t>；</w:t>
            </w:r>
          </w:p>
          <w:p w14:paraId="2D619F83">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支持查看在特定时间区间内，某个数据源下的被访问的数据资产、来源用户、访问的数据标签及其统计信息。</w:t>
            </w:r>
          </w:p>
          <w:p w14:paraId="48D96BD7">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支持查看</w:t>
            </w:r>
            <w:r>
              <w:rPr>
                <w:rFonts w:hint="eastAsia" w:asciiTheme="minorEastAsia" w:hAnsiTheme="minorEastAsia" w:eastAsiaTheme="minorEastAsia" w:cstheme="minorEastAsia"/>
                <w:sz w:val="24"/>
                <w:szCs w:val="24"/>
                <w:lang w:eastAsia="zh-Hans"/>
              </w:rPr>
              <w:t>和搜索</w:t>
            </w:r>
            <w:r>
              <w:rPr>
                <w:rFonts w:hint="eastAsia" w:asciiTheme="minorEastAsia" w:hAnsiTheme="minorEastAsia" w:eastAsiaTheme="minorEastAsia" w:cstheme="minorEastAsia"/>
                <w:sz w:val="24"/>
                <w:szCs w:val="24"/>
              </w:rPr>
              <w:t>数据访问日志明细；支持根据操作对象、时间、资产等维度查询操作日志</w:t>
            </w:r>
            <w:r>
              <w:rPr>
                <w:rFonts w:hint="eastAsia" w:asciiTheme="minorEastAsia" w:hAnsiTheme="minorEastAsia" w:eastAsiaTheme="minorEastAsia" w:cstheme="minorEastAsia"/>
                <w:sz w:val="24"/>
                <w:szCs w:val="24"/>
                <w:lang w:eastAsia="zh-Hans"/>
              </w:rPr>
              <w:t>。</w:t>
            </w:r>
          </w:p>
        </w:tc>
        <w:tc>
          <w:tcPr>
            <w:tcW w:w="1235" w:type="dxa"/>
          </w:tcPr>
          <w:p w14:paraId="714F3DD3">
            <w:pPr>
              <w:rPr>
                <w:rFonts w:asciiTheme="minorEastAsia" w:hAnsiTheme="minorEastAsia" w:eastAsiaTheme="minorEastAsia" w:cstheme="minorEastAsia"/>
                <w:sz w:val="24"/>
                <w:szCs w:val="24"/>
              </w:rPr>
            </w:pPr>
          </w:p>
        </w:tc>
      </w:tr>
      <w:tr w14:paraId="0725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45FF6C35">
            <w:pPr>
              <w:jc w:val="center"/>
              <w:rPr>
                <w:rFonts w:asciiTheme="minorEastAsia" w:hAnsiTheme="minorEastAsia" w:eastAsiaTheme="minorEastAsia" w:cstheme="minorEastAsia"/>
                <w:b/>
                <w:bCs/>
                <w:sz w:val="24"/>
                <w:szCs w:val="24"/>
              </w:rPr>
            </w:pPr>
          </w:p>
        </w:tc>
        <w:tc>
          <w:tcPr>
            <w:tcW w:w="715" w:type="dxa"/>
            <w:vAlign w:val="center"/>
          </w:tcPr>
          <w:p w14:paraId="18E13B66">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150B7BC4">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资料清单</w:t>
            </w:r>
          </w:p>
        </w:tc>
        <w:tc>
          <w:tcPr>
            <w:tcW w:w="850" w:type="dxa"/>
            <w:vAlign w:val="center"/>
          </w:tcPr>
          <w:p w14:paraId="4822204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4313" w:type="dxa"/>
            <w:vAlign w:val="center"/>
          </w:tcPr>
          <w:p w14:paraId="00E05AA2">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支持输出</w:t>
            </w:r>
            <w:r>
              <w:rPr>
                <w:rFonts w:hint="eastAsia" w:asciiTheme="minorEastAsia" w:hAnsiTheme="minorEastAsia" w:eastAsiaTheme="minorEastAsia" w:cstheme="minorEastAsia"/>
                <w:sz w:val="24"/>
                <w:szCs w:val="24"/>
                <w:lang w:eastAsia="zh-Hans"/>
              </w:rPr>
              <w:t>《数据资产清单》、《数据安全分类分级方案》、《数据安全应用场景列表》、《基于数据应用场景的数据安全策略矩阵》</w:t>
            </w:r>
            <w:r>
              <w:rPr>
                <w:rFonts w:hint="eastAsia" w:asciiTheme="minorEastAsia" w:hAnsiTheme="minorEastAsia" w:eastAsiaTheme="minorEastAsia" w:cstheme="minorEastAsia"/>
                <w:sz w:val="24"/>
                <w:szCs w:val="24"/>
              </w:rPr>
              <w:t>；</w:t>
            </w:r>
          </w:p>
          <w:p w14:paraId="561914EA">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支持输出</w:t>
            </w:r>
            <w:r>
              <w:rPr>
                <w:rFonts w:hint="eastAsia" w:asciiTheme="minorEastAsia" w:hAnsiTheme="minorEastAsia" w:eastAsiaTheme="minorEastAsia" w:cstheme="minorEastAsia"/>
                <w:sz w:val="24"/>
                <w:szCs w:val="24"/>
                <w:lang w:eastAsia="zh-Hans"/>
              </w:rPr>
              <w:t>《敏感数据清单》、《数据分类分级清单》</w:t>
            </w:r>
          </w:p>
          <w:p w14:paraId="17019C09">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支持输出</w:t>
            </w:r>
            <w:r>
              <w:rPr>
                <w:rFonts w:hint="eastAsia" w:asciiTheme="minorEastAsia" w:hAnsiTheme="minorEastAsia" w:eastAsiaTheme="minorEastAsia" w:cstheme="minorEastAsia"/>
                <w:sz w:val="24"/>
                <w:szCs w:val="24"/>
                <w:lang w:eastAsia="zh-Hans"/>
              </w:rPr>
              <w:t>《个人敏感数据清单》、《个人敏感数据处理活动列表》、《个人敏感数据梳理报告》</w:t>
            </w:r>
          </w:p>
          <w:p w14:paraId="26093033">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支持输出</w:t>
            </w:r>
            <w:r>
              <w:rPr>
                <w:rFonts w:hint="eastAsia" w:asciiTheme="minorEastAsia" w:hAnsiTheme="minorEastAsia" w:eastAsiaTheme="minorEastAsia" w:cstheme="minorEastAsia"/>
                <w:sz w:val="24"/>
                <w:szCs w:val="24"/>
                <w:lang w:eastAsia="zh-Hans"/>
              </w:rPr>
              <w:t>《数据资产梳理报告》、《数据库用户权限清单》、《数据应用场景和角色列表》</w:t>
            </w:r>
          </w:p>
        </w:tc>
        <w:tc>
          <w:tcPr>
            <w:tcW w:w="1235" w:type="dxa"/>
          </w:tcPr>
          <w:p w14:paraId="08961CEE">
            <w:pPr>
              <w:rPr>
                <w:rFonts w:asciiTheme="minorEastAsia" w:hAnsiTheme="minorEastAsia" w:eastAsiaTheme="minorEastAsia" w:cstheme="minorEastAsia"/>
                <w:sz w:val="24"/>
                <w:szCs w:val="24"/>
              </w:rPr>
            </w:pPr>
          </w:p>
        </w:tc>
      </w:tr>
      <w:tr w14:paraId="5FA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11826296">
            <w:pPr>
              <w:jc w:val="center"/>
              <w:rPr>
                <w:rFonts w:asciiTheme="minorEastAsia" w:hAnsiTheme="minorEastAsia" w:eastAsiaTheme="minorEastAsia" w:cstheme="minorEastAsia"/>
                <w:b/>
                <w:bCs/>
                <w:sz w:val="24"/>
                <w:szCs w:val="24"/>
              </w:rPr>
            </w:pPr>
          </w:p>
        </w:tc>
        <w:tc>
          <w:tcPr>
            <w:tcW w:w="715" w:type="dxa"/>
            <w:vMerge w:val="restart"/>
            <w:vAlign w:val="center"/>
          </w:tcPr>
          <w:p w14:paraId="0A17D34C">
            <w:pPr>
              <w:spacing w:line="276" w:lineRule="auto"/>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lang w:eastAsia="zh-Hans"/>
              </w:rPr>
              <w:t>资产分析</w:t>
            </w:r>
          </w:p>
        </w:tc>
        <w:tc>
          <w:tcPr>
            <w:tcW w:w="735" w:type="dxa"/>
            <w:vAlign w:val="center"/>
          </w:tcPr>
          <w:p w14:paraId="538C4F75">
            <w:pPr>
              <w:spacing w:line="276"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eastAsia="zh-Hans"/>
              </w:rPr>
              <w:t>资产大屏</w:t>
            </w:r>
          </w:p>
        </w:tc>
        <w:tc>
          <w:tcPr>
            <w:tcW w:w="850" w:type="dxa"/>
            <w:vAlign w:val="center"/>
          </w:tcPr>
          <w:p w14:paraId="35BF1F9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6B63B0C7">
            <w:pPr>
              <w:spacing w:line="276" w:lineRule="auto"/>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sz w:val="24"/>
                <w:szCs w:val="24"/>
                <w:lang w:eastAsia="zh-Hans"/>
              </w:rPr>
              <w:t>提供资产大屏，可视化展示系统内的统计信息，例如资产数、敏感资产数、数据库类型分布图、数据分类分布情况、数据分级分布情况、分类分级覆盖率等。</w:t>
            </w:r>
          </w:p>
        </w:tc>
        <w:tc>
          <w:tcPr>
            <w:tcW w:w="1235" w:type="dxa"/>
          </w:tcPr>
          <w:p w14:paraId="78964759">
            <w:pPr>
              <w:rPr>
                <w:rFonts w:asciiTheme="minorEastAsia" w:hAnsiTheme="minorEastAsia" w:eastAsiaTheme="minorEastAsia" w:cstheme="minorEastAsia"/>
                <w:sz w:val="24"/>
                <w:szCs w:val="24"/>
              </w:rPr>
            </w:pPr>
          </w:p>
        </w:tc>
      </w:tr>
      <w:tr w14:paraId="0D5C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72" w:type="dxa"/>
            <w:vMerge w:val="continue"/>
            <w:vAlign w:val="center"/>
          </w:tcPr>
          <w:p w14:paraId="49292472">
            <w:pPr>
              <w:jc w:val="center"/>
              <w:rPr>
                <w:rFonts w:asciiTheme="minorEastAsia" w:hAnsiTheme="minorEastAsia" w:eastAsiaTheme="minorEastAsia" w:cstheme="minorEastAsia"/>
                <w:b/>
                <w:bCs/>
                <w:sz w:val="24"/>
                <w:szCs w:val="24"/>
              </w:rPr>
            </w:pPr>
          </w:p>
        </w:tc>
        <w:tc>
          <w:tcPr>
            <w:tcW w:w="715" w:type="dxa"/>
            <w:vMerge w:val="continue"/>
            <w:vAlign w:val="center"/>
          </w:tcPr>
          <w:p w14:paraId="59B2A040">
            <w:pPr>
              <w:spacing w:line="276" w:lineRule="auto"/>
              <w:jc w:val="center"/>
              <w:rPr>
                <w:rFonts w:asciiTheme="minorEastAsia" w:hAnsiTheme="minorEastAsia" w:eastAsiaTheme="minorEastAsia" w:cstheme="minorEastAsia"/>
                <w:b/>
                <w:bCs/>
                <w:sz w:val="24"/>
                <w:szCs w:val="24"/>
                <w:lang w:eastAsia="zh-Hans"/>
              </w:rPr>
            </w:pPr>
          </w:p>
        </w:tc>
        <w:tc>
          <w:tcPr>
            <w:tcW w:w="735" w:type="dxa"/>
            <w:vAlign w:val="center"/>
          </w:tcPr>
          <w:p w14:paraId="58DE1F13">
            <w:pPr>
              <w:spacing w:line="276" w:lineRule="auto"/>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rPr>
              <w:t>数据资产报表</w:t>
            </w:r>
          </w:p>
        </w:tc>
        <w:tc>
          <w:tcPr>
            <w:tcW w:w="850" w:type="dxa"/>
            <w:vAlign w:val="center"/>
          </w:tcPr>
          <w:p w14:paraId="6E80680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5CD96FE3">
            <w:pPr>
              <w:spacing w:line="276" w:lineRule="auto"/>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sz w:val="24"/>
                <w:szCs w:val="24"/>
                <w:lang w:eastAsia="zh-Hans"/>
              </w:rPr>
              <w:t>支持</w:t>
            </w:r>
            <w:r>
              <w:rPr>
                <w:rFonts w:hint="eastAsia" w:asciiTheme="minorEastAsia" w:hAnsiTheme="minorEastAsia" w:eastAsiaTheme="minorEastAsia" w:cstheme="minorEastAsia"/>
                <w:sz w:val="24"/>
                <w:szCs w:val="24"/>
              </w:rPr>
              <w:t>通过数据源或时间区间生成数据资产统计报表、数据资产趋势报表、敏感数据统计报表等专项数据报表，并支持报表以PDF格式导出下载。</w:t>
            </w:r>
          </w:p>
        </w:tc>
        <w:tc>
          <w:tcPr>
            <w:tcW w:w="1235" w:type="dxa"/>
          </w:tcPr>
          <w:p w14:paraId="1C3A9F05">
            <w:pPr>
              <w:rPr>
                <w:rFonts w:asciiTheme="minorEastAsia" w:hAnsiTheme="minorEastAsia" w:eastAsiaTheme="minorEastAsia" w:cstheme="minorEastAsia"/>
                <w:sz w:val="24"/>
                <w:szCs w:val="24"/>
              </w:rPr>
            </w:pPr>
          </w:p>
        </w:tc>
      </w:tr>
      <w:tr w14:paraId="16E8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293A8448">
            <w:pPr>
              <w:jc w:val="center"/>
              <w:rPr>
                <w:rFonts w:asciiTheme="minorEastAsia" w:hAnsiTheme="minorEastAsia" w:eastAsiaTheme="minorEastAsia" w:cstheme="minorEastAsia"/>
                <w:b/>
                <w:bCs/>
                <w:sz w:val="24"/>
                <w:szCs w:val="24"/>
              </w:rPr>
            </w:pPr>
          </w:p>
        </w:tc>
        <w:tc>
          <w:tcPr>
            <w:tcW w:w="715" w:type="dxa"/>
            <w:vMerge w:val="continue"/>
            <w:vAlign w:val="center"/>
          </w:tcPr>
          <w:p w14:paraId="48FADBD0">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7A202E37">
            <w:pPr>
              <w:spacing w:line="276" w:lineRule="auto"/>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lang w:eastAsia="zh-Hans"/>
              </w:rPr>
              <w:t>敏感资产分析</w:t>
            </w:r>
          </w:p>
        </w:tc>
        <w:tc>
          <w:tcPr>
            <w:tcW w:w="850" w:type="dxa"/>
            <w:vAlign w:val="center"/>
          </w:tcPr>
          <w:p w14:paraId="213DA59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4C32FB27">
            <w:p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支持从敏感数据标签、敏感等级、敏感资产数量排行等维度，查看数据表/字段/文件粒度的统计信息，定位敏感资产在不同数据资产中的分布情况。</w:t>
            </w:r>
          </w:p>
        </w:tc>
        <w:tc>
          <w:tcPr>
            <w:tcW w:w="1235" w:type="dxa"/>
          </w:tcPr>
          <w:p w14:paraId="5A020D2E">
            <w:pPr>
              <w:rPr>
                <w:rFonts w:asciiTheme="minorEastAsia" w:hAnsiTheme="minorEastAsia" w:eastAsiaTheme="minorEastAsia" w:cstheme="minorEastAsia"/>
                <w:sz w:val="24"/>
                <w:szCs w:val="24"/>
              </w:rPr>
            </w:pPr>
          </w:p>
        </w:tc>
      </w:tr>
      <w:tr w14:paraId="47DD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672E51A4">
            <w:pPr>
              <w:jc w:val="center"/>
              <w:rPr>
                <w:rFonts w:asciiTheme="minorEastAsia" w:hAnsiTheme="minorEastAsia" w:eastAsiaTheme="minorEastAsia" w:cstheme="minorEastAsia"/>
                <w:b/>
                <w:bCs/>
                <w:sz w:val="24"/>
                <w:szCs w:val="24"/>
              </w:rPr>
            </w:pPr>
          </w:p>
        </w:tc>
        <w:tc>
          <w:tcPr>
            <w:tcW w:w="715" w:type="dxa"/>
            <w:vMerge w:val="continue"/>
            <w:vAlign w:val="center"/>
          </w:tcPr>
          <w:p w14:paraId="3A84B268">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74C87FC3">
            <w:pPr>
              <w:spacing w:line="276" w:lineRule="auto"/>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lang w:eastAsia="zh-Hans"/>
              </w:rPr>
              <w:t>热度分析</w:t>
            </w:r>
          </w:p>
        </w:tc>
        <w:tc>
          <w:tcPr>
            <w:tcW w:w="850" w:type="dxa"/>
            <w:vAlign w:val="center"/>
          </w:tcPr>
          <w:p w14:paraId="1A0BAEB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11105251">
            <w:pPr>
              <w:pStyle w:val="93"/>
              <w:spacing w:line="276" w:lineRule="auto"/>
              <w:ind w:firstLine="0" w:firstLineChars="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1、支持利用数据库访问数据，统计数据源、数据表的访问频次。</w:t>
            </w:r>
          </w:p>
          <w:p w14:paraId="12E42F17">
            <w:pPr>
              <w:pStyle w:val="93"/>
              <w:spacing w:line="276" w:lineRule="auto"/>
              <w:ind w:firstLine="0" w:firstLineChars="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2、支持对数据库的访问数据进行访问趋势统计。</w:t>
            </w:r>
          </w:p>
          <w:p w14:paraId="6BE8F2C0">
            <w:pPr>
              <w:pStyle w:val="93"/>
              <w:spacing w:line="276" w:lineRule="auto"/>
              <w:ind w:firstLine="0" w:firstLineChars="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3、支持对访问账号进行统计和分析。</w:t>
            </w:r>
          </w:p>
          <w:p w14:paraId="51B7442E">
            <w:pPr>
              <w:spacing w:line="276" w:lineRule="auto"/>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sz w:val="24"/>
                <w:szCs w:val="24"/>
                <w:lang w:eastAsia="zh-Hans"/>
              </w:rPr>
              <w:t>4、支持</w:t>
            </w:r>
            <w:r>
              <w:rPr>
                <w:rFonts w:hint="eastAsia" w:asciiTheme="minorEastAsia" w:hAnsiTheme="minorEastAsia" w:eastAsiaTheme="minorEastAsia" w:cstheme="minorEastAsia"/>
                <w:sz w:val="24"/>
                <w:szCs w:val="24"/>
              </w:rPr>
              <w:t>对数据库中</w:t>
            </w:r>
            <w:r>
              <w:rPr>
                <w:rFonts w:hint="eastAsia" w:asciiTheme="minorEastAsia" w:hAnsiTheme="minorEastAsia" w:eastAsiaTheme="minorEastAsia" w:cstheme="minorEastAsia"/>
                <w:sz w:val="24"/>
                <w:szCs w:val="24"/>
                <w:lang w:eastAsia="zh-Hans"/>
              </w:rPr>
              <w:t>高频</w:t>
            </w:r>
            <w:r>
              <w:rPr>
                <w:rFonts w:hint="eastAsia" w:asciiTheme="minorEastAsia" w:hAnsiTheme="minorEastAsia" w:eastAsiaTheme="minorEastAsia" w:cstheme="minorEastAsia"/>
                <w:sz w:val="24"/>
                <w:szCs w:val="24"/>
              </w:rPr>
              <w:t>数据表、</w:t>
            </w:r>
            <w:r>
              <w:rPr>
                <w:rFonts w:hint="eastAsia" w:asciiTheme="minorEastAsia" w:hAnsiTheme="minorEastAsia" w:eastAsiaTheme="minorEastAsia" w:cstheme="minorEastAsia"/>
                <w:sz w:val="24"/>
                <w:szCs w:val="24"/>
                <w:lang w:eastAsia="zh-Hans"/>
              </w:rPr>
              <w:t>低频/静默</w:t>
            </w:r>
            <w:r>
              <w:rPr>
                <w:rFonts w:hint="eastAsia" w:asciiTheme="minorEastAsia" w:hAnsiTheme="minorEastAsia" w:eastAsiaTheme="minorEastAsia" w:cstheme="minorEastAsia"/>
                <w:sz w:val="24"/>
                <w:szCs w:val="24"/>
              </w:rPr>
              <w:t>数据表进行发现和统计</w:t>
            </w:r>
          </w:p>
        </w:tc>
        <w:tc>
          <w:tcPr>
            <w:tcW w:w="1235" w:type="dxa"/>
          </w:tcPr>
          <w:p w14:paraId="5B380FBE">
            <w:pPr>
              <w:rPr>
                <w:rFonts w:asciiTheme="minorEastAsia" w:hAnsiTheme="minorEastAsia" w:eastAsiaTheme="minorEastAsia" w:cstheme="minorEastAsia"/>
                <w:sz w:val="24"/>
                <w:szCs w:val="24"/>
              </w:rPr>
            </w:pPr>
          </w:p>
        </w:tc>
      </w:tr>
      <w:tr w14:paraId="7093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546F868E">
            <w:pPr>
              <w:jc w:val="center"/>
              <w:rPr>
                <w:rFonts w:asciiTheme="minorEastAsia" w:hAnsiTheme="minorEastAsia" w:eastAsiaTheme="minorEastAsia" w:cstheme="minorEastAsia"/>
                <w:b/>
                <w:bCs/>
                <w:sz w:val="24"/>
                <w:szCs w:val="24"/>
              </w:rPr>
            </w:pPr>
          </w:p>
        </w:tc>
        <w:tc>
          <w:tcPr>
            <w:tcW w:w="715" w:type="dxa"/>
            <w:vMerge w:val="continue"/>
            <w:vAlign w:val="center"/>
          </w:tcPr>
          <w:p w14:paraId="25795344">
            <w:pPr>
              <w:spacing w:line="276" w:lineRule="auto"/>
              <w:jc w:val="center"/>
              <w:rPr>
                <w:rFonts w:asciiTheme="minorEastAsia" w:hAnsiTheme="minorEastAsia" w:eastAsiaTheme="minorEastAsia" w:cstheme="minorEastAsia"/>
                <w:b/>
                <w:bCs/>
                <w:sz w:val="24"/>
                <w:szCs w:val="24"/>
              </w:rPr>
            </w:pPr>
          </w:p>
        </w:tc>
        <w:tc>
          <w:tcPr>
            <w:tcW w:w="735" w:type="dxa"/>
            <w:vAlign w:val="center"/>
          </w:tcPr>
          <w:p w14:paraId="1BFB2CF8">
            <w:pPr>
              <w:spacing w:line="276" w:lineRule="auto"/>
              <w:jc w:val="center"/>
              <w:rPr>
                <w:rFonts w:asciiTheme="minorEastAsia" w:hAnsiTheme="minorEastAsia" w:eastAsiaTheme="minorEastAsia" w:cstheme="minorEastAsia"/>
                <w:b/>
                <w:bCs/>
                <w:sz w:val="24"/>
                <w:szCs w:val="24"/>
                <w:lang w:eastAsia="zh-Hans"/>
              </w:rPr>
            </w:pPr>
            <w:r>
              <w:rPr>
                <w:rFonts w:hint="eastAsia" w:asciiTheme="minorEastAsia" w:hAnsiTheme="minorEastAsia" w:eastAsiaTheme="minorEastAsia" w:cstheme="minorEastAsia"/>
                <w:sz w:val="24"/>
                <w:szCs w:val="24"/>
                <w:lang w:eastAsia="zh-Hans"/>
              </w:rPr>
              <w:t>风险分析</w:t>
            </w:r>
          </w:p>
        </w:tc>
        <w:tc>
          <w:tcPr>
            <w:tcW w:w="850" w:type="dxa"/>
            <w:vAlign w:val="center"/>
          </w:tcPr>
          <w:p w14:paraId="593F3F2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28E6C464">
            <w:pPr>
              <w:numPr>
                <w:ilvl w:val="0"/>
                <w:numId w:val="6"/>
              </w:num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提供智能化的数据风险识别模型库，能够有效识别用户异常访问、数据异常流转、数据异常操作等高危风险</w:t>
            </w:r>
            <w:r>
              <w:rPr>
                <w:rFonts w:hint="eastAsia" w:asciiTheme="minorEastAsia" w:hAnsiTheme="minorEastAsia" w:eastAsiaTheme="minorEastAsia" w:cstheme="minorEastAsia"/>
                <w:sz w:val="24"/>
                <w:szCs w:val="24"/>
                <w:lang w:eastAsia="zh-Hans"/>
              </w:rPr>
              <w:t>。</w:t>
            </w:r>
          </w:p>
          <w:p w14:paraId="0F9DDD75">
            <w:pPr>
              <w:numPr>
                <w:ilvl w:val="0"/>
                <w:numId w:val="6"/>
              </w:numPr>
              <w:spacing w:line="276" w:lineRule="auto"/>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支持自定义风险规则，监测敏感数据异常访问风险。</w:t>
            </w:r>
          </w:p>
          <w:p w14:paraId="01ED94C1">
            <w:pPr>
              <w:numPr>
                <w:ilvl w:val="0"/>
                <w:numId w:val="6"/>
              </w:numPr>
              <w:spacing w:line="276" w:lineRule="auto"/>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sz w:val="24"/>
                <w:szCs w:val="24"/>
              </w:rPr>
              <w:t>提供数据安全事件和数据风险分析的可视化展现，可以全局、直观、生动地为用户实时呈现数据资产当前风险状态。</w:t>
            </w:r>
          </w:p>
        </w:tc>
        <w:tc>
          <w:tcPr>
            <w:tcW w:w="1235" w:type="dxa"/>
          </w:tcPr>
          <w:p w14:paraId="74A879BE">
            <w:pPr>
              <w:rPr>
                <w:rFonts w:asciiTheme="minorEastAsia" w:hAnsiTheme="minorEastAsia" w:eastAsiaTheme="minorEastAsia" w:cstheme="minorEastAsia"/>
                <w:sz w:val="24"/>
                <w:szCs w:val="24"/>
              </w:rPr>
            </w:pPr>
          </w:p>
        </w:tc>
      </w:tr>
      <w:tr w14:paraId="1127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restart"/>
            <w:vAlign w:val="center"/>
          </w:tcPr>
          <w:p w14:paraId="607BA359">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产品安全性</w:t>
            </w:r>
          </w:p>
        </w:tc>
        <w:tc>
          <w:tcPr>
            <w:tcW w:w="715" w:type="dxa"/>
            <w:vAlign w:val="center"/>
          </w:tcPr>
          <w:p w14:paraId="37765052">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产品安全架构</w:t>
            </w:r>
          </w:p>
        </w:tc>
        <w:tc>
          <w:tcPr>
            <w:tcW w:w="735" w:type="dxa"/>
            <w:vAlign w:val="center"/>
          </w:tcPr>
          <w:p w14:paraId="4C0368B4">
            <w:pPr>
              <w:spacing w:line="276" w:lineRule="auto"/>
              <w:jc w:val="center"/>
              <w:rPr>
                <w:rFonts w:asciiTheme="minorEastAsia" w:hAnsiTheme="minorEastAsia" w:eastAsiaTheme="minorEastAsia" w:cstheme="minorEastAsia"/>
                <w:sz w:val="24"/>
                <w:szCs w:val="24"/>
                <w:lang w:eastAsia="zh-Hans"/>
              </w:rPr>
            </w:pPr>
          </w:p>
        </w:tc>
        <w:tc>
          <w:tcPr>
            <w:tcW w:w="850" w:type="dxa"/>
            <w:vAlign w:val="center"/>
          </w:tcPr>
          <w:p w14:paraId="0A52A31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48971C9D">
            <w:pPr>
              <w:spacing w:line="276" w:lineRule="auto"/>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数据资产必须以数据目录索引或数据映像等方式展现，产品不存储用户真实业务数据，敏感数据样例展现需采用遮蔽脱敏方式以防止泄露。</w:t>
            </w:r>
          </w:p>
        </w:tc>
        <w:tc>
          <w:tcPr>
            <w:tcW w:w="1235" w:type="dxa"/>
          </w:tcPr>
          <w:p w14:paraId="11A2760E">
            <w:pPr>
              <w:rPr>
                <w:rFonts w:asciiTheme="minorEastAsia" w:hAnsiTheme="minorEastAsia" w:eastAsiaTheme="minorEastAsia" w:cstheme="minorEastAsia"/>
                <w:sz w:val="24"/>
                <w:szCs w:val="24"/>
              </w:rPr>
            </w:pPr>
          </w:p>
        </w:tc>
      </w:tr>
      <w:tr w14:paraId="4F38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5A98920F">
            <w:pPr>
              <w:jc w:val="center"/>
              <w:rPr>
                <w:rFonts w:asciiTheme="minorEastAsia" w:hAnsiTheme="minorEastAsia" w:eastAsiaTheme="minorEastAsia" w:cstheme="minorEastAsia"/>
                <w:b/>
                <w:bCs/>
                <w:sz w:val="24"/>
                <w:szCs w:val="24"/>
              </w:rPr>
            </w:pPr>
          </w:p>
        </w:tc>
        <w:tc>
          <w:tcPr>
            <w:tcW w:w="715" w:type="dxa"/>
            <w:vAlign w:val="center"/>
          </w:tcPr>
          <w:p w14:paraId="6C4A82BB">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产品账号分权</w:t>
            </w:r>
          </w:p>
        </w:tc>
        <w:tc>
          <w:tcPr>
            <w:tcW w:w="735" w:type="dxa"/>
            <w:vAlign w:val="center"/>
          </w:tcPr>
          <w:p w14:paraId="3730A530">
            <w:pPr>
              <w:spacing w:line="276" w:lineRule="auto"/>
              <w:jc w:val="center"/>
              <w:rPr>
                <w:rFonts w:asciiTheme="minorEastAsia" w:hAnsiTheme="minorEastAsia" w:eastAsiaTheme="minorEastAsia" w:cstheme="minorEastAsia"/>
                <w:sz w:val="24"/>
                <w:szCs w:val="24"/>
                <w:lang w:eastAsia="zh-Hans"/>
              </w:rPr>
            </w:pPr>
          </w:p>
        </w:tc>
        <w:tc>
          <w:tcPr>
            <w:tcW w:w="850" w:type="dxa"/>
            <w:vAlign w:val="center"/>
          </w:tcPr>
          <w:p w14:paraId="2247F05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02F270C7">
            <w:pPr>
              <w:pStyle w:val="93"/>
              <w:spacing w:line="276" w:lineRule="auto"/>
              <w:ind w:firstLine="0" w:firstLineChars="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产品支持分部门多级管理模式。</w:t>
            </w:r>
          </w:p>
          <w:p w14:paraId="3310C9BD">
            <w:pPr>
              <w:pStyle w:val="93"/>
              <w:spacing w:line="276" w:lineRule="auto"/>
              <w:ind w:firstLine="0" w:firstLineChars="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szCs w:val="24"/>
              </w:rPr>
              <w:t>应支持通过角色为账号赋权，安全角色之间权限相互制约，重要功能(如用户/权限管理、审计记录管理)应由对应赋权角色用户才能执行。</w:t>
            </w:r>
          </w:p>
        </w:tc>
        <w:tc>
          <w:tcPr>
            <w:tcW w:w="1235" w:type="dxa"/>
          </w:tcPr>
          <w:p w14:paraId="344576A9">
            <w:pPr>
              <w:rPr>
                <w:rFonts w:asciiTheme="minorEastAsia" w:hAnsiTheme="minorEastAsia" w:eastAsiaTheme="minorEastAsia" w:cstheme="minorEastAsia"/>
                <w:sz w:val="24"/>
                <w:szCs w:val="24"/>
              </w:rPr>
            </w:pPr>
          </w:p>
        </w:tc>
      </w:tr>
      <w:tr w14:paraId="6FA0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41FB0137">
            <w:pPr>
              <w:jc w:val="center"/>
              <w:rPr>
                <w:rFonts w:asciiTheme="minorEastAsia" w:hAnsiTheme="minorEastAsia" w:eastAsiaTheme="minorEastAsia" w:cstheme="minorEastAsia"/>
                <w:b/>
                <w:bCs/>
                <w:sz w:val="24"/>
                <w:szCs w:val="24"/>
              </w:rPr>
            </w:pPr>
          </w:p>
        </w:tc>
        <w:tc>
          <w:tcPr>
            <w:tcW w:w="715" w:type="dxa"/>
            <w:vAlign w:val="center"/>
          </w:tcPr>
          <w:p w14:paraId="0FB135EA">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产品登录安全</w:t>
            </w:r>
          </w:p>
        </w:tc>
        <w:tc>
          <w:tcPr>
            <w:tcW w:w="735" w:type="dxa"/>
            <w:vAlign w:val="center"/>
          </w:tcPr>
          <w:p w14:paraId="65BFCF14">
            <w:pPr>
              <w:spacing w:line="276" w:lineRule="auto"/>
              <w:jc w:val="center"/>
              <w:rPr>
                <w:rFonts w:asciiTheme="minorEastAsia" w:hAnsiTheme="minorEastAsia" w:eastAsiaTheme="minorEastAsia" w:cstheme="minorEastAsia"/>
                <w:sz w:val="24"/>
                <w:szCs w:val="24"/>
                <w:lang w:eastAsia="zh-Hans"/>
              </w:rPr>
            </w:pPr>
          </w:p>
        </w:tc>
        <w:tc>
          <w:tcPr>
            <w:tcW w:w="850" w:type="dxa"/>
            <w:vAlign w:val="center"/>
          </w:tcPr>
          <w:p w14:paraId="41C4C2C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313" w:type="dxa"/>
            <w:vAlign w:val="center"/>
          </w:tcPr>
          <w:p w14:paraId="16956028">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产品具备Web安全访问（https）、密码长度复杂度校验、密码错误尝试锁定、动态验证码验证、账号超时登出以及IP限制管理等安全性自定义配置功能。</w:t>
            </w:r>
          </w:p>
        </w:tc>
        <w:tc>
          <w:tcPr>
            <w:tcW w:w="1235" w:type="dxa"/>
          </w:tcPr>
          <w:p w14:paraId="4FC706C5">
            <w:pPr>
              <w:rPr>
                <w:rFonts w:asciiTheme="minorEastAsia" w:hAnsiTheme="minorEastAsia" w:eastAsiaTheme="minorEastAsia" w:cstheme="minorEastAsia"/>
                <w:sz w:val="24"/>
                <w:szCs w:val="24"/>
              </w:rPr>
            </w:pPr>
          </w:p>
        </w:tc>
      </w:tr>
      <w:tr w14:paraId="6DED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72" w:type="dxa"/>
            <w:vMerge w:val="continue"/>
            <w:vAlign w:val="center"/>
          </w:tcPr>
          <w:p w14:paraId="53A1A9B8">
            <w:pPr>
              <w:jc w:val="center"/>
              <w:rPr>
                <w:rFonts w:asciiTheme="minorEastAsia" w:hAnsiTheme="minorEastAsia" w:eastAsiaTheme="minorEastAsia" w:cstheme="minorEastAsia"/>
                <w:b/>
                <w:bCs/>
                <w:sz w:val="24"/>
                <w:szCs w:val="24"/>
              </w:rPr>
            </w:pPr>
          </w:p>
        </w:tc>
        <w:tc>
          <w:tcPr>
            <w:tcW w:w="715" w:type="dxa"/>
            <w:vAlign w:val="center"/>
          </w:tcPr>
          <w:p w14:paraId="2058C282">
            <w:pPr>
              <w:spacing w:line="276" w:lineRule="auto"/>
              <w:jc w:val="center"/>
              <w:rPr>
                <w:rFonts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数据分权</w:t>
            </w:r>
          </w:p>
        </w:tc>
        <w:tc>
          <w:tcPr>
            <w:tcW w:w="735" w:type="dxa"/>
            <w:vAlign w:val="center"/>
          </w:tcPr>
          <w:p w14:paraId="56E46342">
            <w:pPr>
              <w:spacing w:line="276" w:lineRule="auto"/>
              <w:jc w:val="center"/>
              <w:rPr>
                <w:rFonts w:asciiTheme="minorEastAsia" w:hAnsiTheme="minorEastAsia" w:eastAsiaTheme="minorEastAsia" w:cstheme="minorEastAsia"/>
                <w:sz w:val="24"/>
                <w:szCs w:val="24"/>
                <w:lang w:eastAsia="zh-Hans"/>
              </w:rPr>
            </w:pPr>
          </w:p>
        </w:tc>
        <w:tc>
          <w:tcPr>
            <w:tcW w:w="850" w:type="dxa"/>
            <w:vAlign w:val="center"/>
          </w:tcPr>
          <w:p w14:paraId="0DBACB42">
            <w:pPr>
              <w:jc w:val="center"/>
              <w:rPr>
                <w:rFonts w:asciiTheme="minorEastAsia" w:hAnsiTheme="minorEastAsia" w:eastAsiaTheme="minorEastAsia" w:cstheme="minorEastAsia"/>
                <w:sz w:val="24"/>
                <w:szCs w:val="24"/>
              </w:rPr>
            </w:pPr>
          </w:p>
        </w:tc>
        <w:tc>
          <w:tcPr>
            <w:tcW w:w="4313" w:type="dxa"/>
            <w:vAlign w:val="center"/>
          </w:tcPr>
          <w:p w14:paraId="0BDD14D5">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支持从</w:t>
            </w:r>
            <w:r>
              <w:rPr>
                <w:rFonts w:hint="eastAsia" w:asciiTheme="minorEastAsia" w:hAnsiTheme="minorEastAsia" w:eastAsiaTheme="minorEastAsia" w:cstheme="minorEastAsia"/>
                <w:sz w:val="24"/>
                <w:szCs w:val="24"/>
              </w:rPr>
              <w:t>数据</w:t>
            </w:r>
            <w:r>
              <w:rPr>
                <w:rFonts w:hint="eastAsia" w:asciiTheme="minorEastAsia" w:hAnsiTheme="minorEastAsia" w:eastAsiaTheme="minorEastAsia" w:cstheme="minorEastAsia"/>
                <w:sz w:val="24"/>
                <w:szCs w:val="24"/>
                <w:lang w:eastAsia="zh-Hans"/>
              </w:rPr>
              <w:t>源和数据分级完成</w:t>
            </w:r>
            <w:r>
              <w:rPr>
                <w:rFonts w:hint="eastAsia" w:asciiTheme="minorEastAsia" w:hAnsiTheme="minorEastAsia" w:eastAsiaTheme="minorEastAsia" w:cstheme="minorEastAsia"/>
                <w:sz w:val="24"/>
                <w:szCs w:val="24"/>
              </w:rPr>
              <w:t>数据权限控制，</w:t>
            </w:r>
          </w:p>
        </w:tc>
        <w:tc>
          <w:tcPr>
            <w:tcW w:w="1235" w:type="dxa"/>
          </w:tcPr>
          <w:p w14:paraId="3A5B5712">
            <w:pPr>
              <w:rPr>
                <w:rFonts w:asciiTheme="minorEastAsia" w:hAnsiTheme="minorEastAsia" w:eastAsiaTheme="minorEastAsia" w:cstheme="minorEastAsia"/>
                <w:sz w:val="24"/>
                <w:szCs w:val="24"/>
              </w:rPr>
            </w:pPr>
          </w:p>
        </w:tc>
      </w:tr>
    </w:tbl>
    <w:p w14:paraId="7EC73BCB"/>
    <w:p w14:paraId="58C241DB">
      <w:pPr>
        <w:pStyle w:val="5"/>
        <w:numPr>
          <w:ilvl w:val="0"/>
          <w:numId w:val="0"/>
        </w:numPr>
        <w:tabs>
          <w:tab w:val="left" w:pos="432"/>
          <w:tab w:val="clear" w:pos="540"/>
        </w:tabs>
        <w:rPr>
          <w:rFonts w:hint="eastAsia" w:asciiTheme="minorEastAsia" w:hAnsiTheme="minorEastAsia" w:eastAsiaTheme="minorEastAsia" w:cstheme="minorEastAsia"/>
          <w:b w:val="0"/>
          <w:bCs w:val="0"/>
          <w:i w:val="0"/>
          <w:iCs w:val="0"/>
          <w:color w:val="auto"/>
          <w:kern w:val="21"/>
          <w:sz w:val="24"/>
          <w:szCs w:val="24"/>
        </w:rPr>
      </w:pPr>
      <w:r>
        <w:rPr>
          <w:rFonts w:hint="eastAsia" w:asciiTheme="minorEastAsia" w:hAnsiTheme="minorEastAsia" w:eastAsiaTheme="minorEastAsia" w:cstheme="minorEastAsia"/>
          <w:b w:val="0"/>
          <w:bCs w:val="0"/>
          <w:color w:val="auto"/>
          <w:kern w:val="21"/>
          <w:sz w:val="24"/>
          <w:szCs w:val="24"/>
          <w:lang w:val="en-US" w:eastAsia="zh-CN"/>
        </w:rPr>
        <w:t>三</w:t>
      </w:r>
      <w:r>
        <w:rPr>
          <w:rFonts w:hint="eastAsia" w:asciiTheme="minorEastAsia" w:hAnsiTheme="minorEastAsia" w:eastAsiaTheme="minorEastAsia" w:cstheme="minorEastAsia"/>
          <w:b w:val="0"/>
          <w:bCs w:val="0"/>
          <w:i w:val="0"/>
          <w:iCs w:val="0"/>
          <w:color w:val="auto"/>
          <w:kern w:val="21"/>
          <w:sz w:val="24"/>
          <w:szCs w:val="24"/>
          <w:lang w:val="en-US" w:eastAsia="zh-CN"/>
        </w:rPr>
        <w:t>、</w:t>
      </w:r>
      <w:r>
        <w:rPr>
          <w:rFonts w:hint="eastAsia" w:asciiTheme="minorEastAsia" w:hAnsiTheme="minorEastAsia" w:eastAsiaTheme="minorEastAsia" w:cstheme="minorEastAsia"/>
          <w:b w:val="0"/>
          <w:bCs w:val="0"/>
          <w:i w:val="0"/>
          <w:iCs w:val="0"/>
          <w:color w:val="auto"/>
          <w:kern w:val="21"/>
          <w:sz w:val="24"/>
          <w:szCs w:val="24"/>
        </w:rPr>
        <w:t>商务条款</w:t>
      </w:r>
      <w:bookmarkEnd w:id="88"/>
      <w:bookmarkEnd w:id="89"/>
    </w:p>
    <w:p w14:paraId="484BE31A">
      <w:pPr>
        <w:pStyle w:val="5"/>
        <w:tabs>
          <w:tab w:val="left" w:pos="432"/>
          <w:tab w:val="clear" w:pos="540"/>
        </w:tabs>
        <w:rPr>
          <w:rFonts w:hint="eastAsia" w:asciiTheme="minorEastAsia" w:hAnsiTheme="minorEastAsia" w:eastAsiaTheme="minorEastAsia" w:cstheme="minorEastAsia"/>
          <w:b w:val="0"/>
          <w:bCs w:val="0"/>
          <w:i w:val="0"/>
          <w:iCs w:val="0"/>
          <w:color w:val="auto"/>
          <w:kern w:val="21"/>
          <w:sz w:val="24"/>
          <w:szCs w:val="24"/>
        </w:rPr>
      </w:pPr>
      <w:r>
        <w:rPr>
          <w:rFonts w:hint="eastAsia" w:asciiTheme="minorEastAsia" w:hAnsiTheme="minorEastAsia" w:eastAsiaTheme="minorEastAsia" w:cstheme="minorEastAsia"/>
          <w:b w:val="0"/>
          <w:bCs w:val="0"/>
          <w:i w:val="0"/>
          <w:iCs w:val="0"/>
          <w:color w:val="auto"/>
          <w:kern w:val="21"/>
          <w:sz w:val="24"/>
          <w:szCs w:val="24"/>
        </w:rPr>
        <w:t>1.服务期</w:t>
      </w:r>
    </w:p>
    <w:p w14:paraId="76A7EEDB">
      <w:pPr>
        <w:pStyle w:val="18"/>
        <w:snapToGrid w:val="0"/>
        <w:spacing w:before="120" w:after="120" w:line="360" w:lineRule="auto"/>
        <w:rPr>
          <w:rFonts w:hint="eastAsia" w:asciiTheme="minorEastAsia" w:hAnsiTheme="minorEastAsia" w:eastAsiaTheme="minorEastAsia" w:cstheme="minorEastAsia"/>
          <w:i w:val="0"/>
          <w:iCs w:val="0"/>
          <w:color w:val="auto"/>
          <w:kern w:val="21"/>
          <w:sz w:val="24"/>
          <w:szCs w:val="24"/>
          <w:u w:val="single"/>
        </w:rPr>
      </w:pPr>
      <w:r>
        <w:rPr>
          <w:rFonts w:hint="eastAsia" w:asciiTheme="minorEastAsia" w:hAnsiTheme="minorEastAsia" w:eastAsiaTheme="minorEastAsia" w:cstheme="minorEastAsia"/>
          <w:i w:val="0"/>
          <w:iCs w:val="0"/>
          <w:color w:val="auto"/>
          <w:kern w:val="21"/>
          <w:sz w:val="24"/>
          <w:szCs w:val="24"/>
          <w:u w:val="single"/>
          <w:lang w:val="en-US" w:eastAsia="zh-CN"/>
        </w:rPr>
        <w:t>自合同签订后30日内</w:t>
      </w:r>
      <w:r>
        <w:rPr>
          <w:rFonts w:hint="eastAsia" w:asciiTheme="minorEastAsia" w:hAnsiTheme="minorEastAsia" w:eastAsiaTheme="minorEastAsia" w:cstheme="minorEastAsia"/>
          <w:i w:val="0"/>
          <w:iCs w:val="0"/>
          <w:color w:val="auto"/>
          <w:kern w:val="21"/>
          <w:sz w:val="24"/>
          <w:szCs w:val="24"/>
          <w:u w:val="single"/>
        </w:rPr>
        <w:t>。</w:t>
      </w:r>
    </w:p>
    <w:p w14:paraId="32A259CF">
      <w:pPr>
        <w:pStyle w:val="6"/>
        <w:numPr>
          <w:ilvl w:val="3"/>
          <w:numId w:val="0"/>
        </w:numPr>
        <w:spacing w:line="360" w:lineRule="auto"/>
        <w:rPr>
          <w:rFonts w:hint="eastAsia" w:asciiTheme="minorEastAsia" w:hAnsiTheme="minorEastAsia" w:eastAsiaTheme="minorEastAsia" w:cstheme="minorEastAsia"/>
          <w:b w:val="0"/>
          <w:bCs w:val="0"/>
          <w:i w:val="0"/>
          <w:iCs w:val="0"/>
          <w:color w:val="auto"/>
          <w:kern w:val="21"/>
          <w:sz w:val="24"/>
          <w:szCs w:val="24"/>
        </w:rPr>
      </w:pPr>
      <w:r>
        <w:rPr>
          <w:rFonts w:hint="eastAsia" w:asciiTheme="minorEastAsia" w:hAnsiTheme="minorEastAsia" w:eastAsiaTheme="minorEastAsia" w:cstheme="minorEastAsia"/>
          <w:b w:val="0"/>
          <w:bCs w:val="0"/>
          <w:i w:val="0"/>
          <w:iCs w:val="0"/>
          <w:color w:val="auto"/>
          <w:kern w:val="21"/>
          <w:sz w:val="24"/>
          <w:szCs w:val="24"/>
        </w:rPr>
        <w:t>2．交付期、交付方式及交付地点</w:t>
      </w:r>
    </w:p>
    <w:p w14:paraId="7AE81C9B">
      <w:pPr>
        <w:pStyle w:val="7"/>
        <w:spacing w:line="360" w:lineRule="auto"/>
        <w:ind w:left="0" w:leftChars="0" w:firstLine="0" w:firstLineChars="0"/>
        <w:rPr>
          <w:rFonts w:hint="eastAsia" w:asciiTheme="minorEastAsia" w:hAnsiTheme="minorEastAsia" w:eastAsiaTheme="minorEastAsia" w:cstheme="minorEastAsia"/>
          <w:i w:val="0"/>
          <w:iCs w:val="0"/>
          <w:color w:val="auto"/>
          <w:kern w:val="21"/>
          <w:sz w:val="24"/>
          <w:szCs w:val="24"/>
          <w:u w:val="single"/>
        </w:rPr>
      </w:pPr>
      <w:r>
        <w:rPr>
          <w:rFonts w:hint="eastAsia" w:asciiTheme="minorEastAsia" w:hAnsiTheme="minorEastAsia" w:eastAsiaTheme="minorEastAsia" w:cstheme="minorEastAsia"/>
          <w:i w:val="0"/>
          <w:iCs w:val="0"/>
          <w:color w:val="auto"/>
          <w:kern w:val="21"/>
          <w:sz w:val="24"/>
          <w:szCs w:val="24"/>
          <w:u w:val="single"/>
        </w:rPr>
        <w:t>2.1交付期：自合同签订后3</w:t>
      </w:r>
      <w:r>
        <w:rPr>
          <w:rFonts w:hint="eastAsia" w:asciiTheme="minorEastAsia" w:hAnsiTheme="minorEastAsia" w:eastAsiaTheme="minorEastAsia" w:cstheme="minorEastAsia"/>
          <w:i w:val="0"/>
          <w:iCs w:val="0"/>
          <w:color w:val="auto"/>
          <w:kern w:val="21"/>
          <w:sz w:val="24"/>
          <w:szCs w:val="24"/>
          <w:u w:val="single"/>
          <w:lang w:val="en-US" w:eastAsia="zh-CN"/>
        </w:rPr>
        <w:t>0</w:t>
      </w:r>
      <w:r>
        <w:rPr>
          <w:rFonts w:hint="eastAsia" w:asciiTheme="minorEastAsia" w:hAnsiTheme="minorEastAsia" w:eastAsiaTheme="minorEastAsia" w:cstheme="minorEastAsia"/>
          <w:i w:val="0"/>
          <w:iCs w:val="0"/>
          <w:color w:val="auto"/>
          <w:kern w:val="21"/>
          <w:sz w:val="24"/>
          <w:szCs w:val="24"/>
          <w:u w:val="single"/>
        </w:rPr>
        <w:t>日内</w:t>
      </w:r>
    </w:p>
    <w:p w14:paraId="6552D553">
      <w:pPr>
        <w:pStyle w:val="18"/>
        <w:snapToGrid w:val="0"/>
        <w:spacing w:before="120" w:after="120" w:line="360" w:lineRule="auto"/>
        <w:rPr>
          <w:rFonts w:hint="eastAsia" w:asciiTheme="minorEastAsia" w:hAnsiTheme="minorEastAsia" w:eastAsiaTheme="minorEastAsia" w:cstheme="minorEastAsia"/>
          <w:i w:val="0"/>
          <w:iCs w:val="0"/>
          <w:color w:val="auto"/>
          <w:kern w:val="21"/>
          <w:sz w:val="24"/>
          <w:szCs w:val="24"/>
          <w:u w:val="single"/>
        </w:rPr>
      </w:pPr>
      <w:r>
        <w:rPr>
          <w:rFonts w:hint="eastAsia" w:asciiTheme="minorEastAsia" w:hAnsiTheme="minorEastAsia" w:eastAsiaTheme="minorEastAsia" w:cstheme="minorEastAsia"/>
          <w:i w:val="0"/>
          <w:iCs w:val="0"/>
          <w:color w:val="auto"/>
          <w:kern w:val="21"/>
          <w:sz w:val="24"/>
          <w:szCs w:val="24"/>
          <w:u w:val="single"/>
        </w:rPr>
        <w:t>2.2 交付方式：采购人指定。</w:t>
      </w:r>
    </w:p>
    <w:p w14:paraId="3A02E2E9">
      <w:pPr>
        <w:pStyle w:val="18"/>
        <w:snapToGrid w:val="0"/>
        <w:spacing w:before="120" w:after="120" w:line="360" w:lineRule="auto"/>
        <w:rPr>
          <w:rFonts w:hint="eastAsia" w:asciiTheme="minorEastAsia" w:hAnsiTheme="minorEastAsia" w:eastAsiaTheme="minorEastAsia" w:cstheme="minorEastAsia"/>
          <w:i w:val="0"/>
          <w:iCs w:val="0"/>
          <w:color w:val="auto"/>
          <w:kern w:val="21"/>
          <w:sz w:val="24"/>
          <w:szCs w:val="24"/>
          <w:u w:val="single"/>
        </w:rPr>
      </w:pPr>
      <w:r>
        <w:rPr>
          <w:rFonts w:hint="eastAsia" w:asciiTheme="minorEastAsia" w:hAnsiTheme="minorEastAsia" w:eastAsiaTheme="minorEastAsia" w:cstheme="minorEastAsia"/>
          <w:i w:val="0"/>
          <w:iCs w:val="0"/>
          <w:color w:val="auto"/>
          <w:kern w:val="21"/>
          <w:sz w:val="24"/>
          <w:szCs w:val="24"/>
          <w:u w:val="single"/>
        </w:rPr>
        <w:t>2.3 交付地点：采购人指定。</w:t>
      </w:r>
    </w:p>
    <w:p w14:paraId="500DBC84">
      <w:pPr>
        <w:pStyle w:val="18"/>
        <w:snapToGrid w:val="0"/>
        <w:spacing w:before="120" w:after="120" w:line="360" w:lineRule="auto"/>
        <w:ind w:firstLine="480" w:firstLineChars="200"/>
        <w:rPr>
          <w:rFonts w:hint="eastAsia" w:asciiTheme="minorEastAsia" w:hAnsiTheme="minorEastAsia" w:eastAsiaTheme="minorEastAsia" w:cstheme="minorEastAsia"/>
          <w:i w:val="0"/>
          <w:iCs w:val="0"/>
          <w:color w:val="auto"/>
          <w:kern w:val="21"/>
          <w:sz w:val="24"/>
          <w:szCs w:val="24"/>
          <w:u w:val="single"/>
        </w:rPr>
      </w:pPr>
    </w:p>
    <w:p w14:paraId="092C6337">
      <w:pPr>
        <w:pStyle w:val="6"/>
        <w:numPr>
          <w:ilvl w:val="3"/>
          <w:numId w:val="0"/>
        </w:numPr>
        <w:spacing w:line="360" w:lineRule="auto"/>
        <w:rPr>
          <w:rFonts w:hint="eastAsia" w:asciiTheme="minorEastAsia" w:hAnsiTheme="minorEastAsia" w:eastAsiaTheme="minorEastAsia" w:cstheme="minorEastAsia"/>
          <w:b w:val="0"/>
          <w:bCs w:val="0"/>
          <w:i w:val="0"/>
          <w:iCs w:val="0"/>
          <w:color w:val="auto"/>
          <w:kern w:val="21"/>
          <w:sz w:val="24"/>
          <w:szCs w:val="24"/>
        </w:rPr>
      </w:pPr>
      <w:r>
        <w:rPr>
          <w:rFonts w:hint="eastAsia" w:asciiTheme="minorEastAsia" w:hAnsiTheme="minorEastAsia" w:eastAsiaTheme="minorEastAsia" w:cstheme="minorEastAsia"/>
          <w:b w:val="0"/>
          <w:bCs w:val="0"/>
          <w:i w:val="0"/>
          <w:iCs w:val="0"/>
          <w:color w:val="auto"/>
          <w:kern w:val="21"/>
          <w:sz w:val="24"/>
          <w:szCs w:val="24"/>
        </w:rPr>
        <w:t>3．货款支付</w:t>
      </w:r>
    </w:p>
    <w:p w14:paraId="48290C78">
      <w:pPr>
        <w:pStyle w:val="18"/>
        <w:snapToGrid w:val="0"/>
        <w:spacing w:before="120" w:after="120" w:line="360" w:lineRule="auto"/>
        <w:rPr>
          <w:rFonts w:hint="eastAsia" w:asciiTheme="minorEastAsia" w:hAnsiTheme="minorEastAsia" w:eastAsiaTheme="minorEastAsia" w:cstheme="minorEastAsia"/>
          <w:i w:val="0"/>
          <w:iCs w:val="0"/>
          <w:color w:val="auto"/>
          <w:kern w:val="21"/>
          <w:sz w:val="24"/>
          <w:szCs w:val="24"/>
          <w:u w:val="single"/>
        </w:rPr>
      </w:pPr>
      <w:r>
        <w:rPr>
          <w:rFonts w:hint="eastAsia" w:asciiTheme="minorEastAsia" w:hAnsiTheme="minorEastAsia" w:eastAsiaTheme="minorEastAsia" w:cstheme="minorEastAsia"/>
          <w:i w:val="0"/>
          <w:iCs w:val="0"/>
          <w:color w:val="auto"/>
          <w:kern w:val="21"/>
          <w:sz w:val="24"/>
          <w:szCs w:val="24"/>
          <w:u w:val="single"/>
        </w:rPr>
        <w:t>3.1 预付款：待</w:t>
      </w:r>
      <w:r>
        <w:rPr>
          <w:rFonts w:hint="eastAsia" w:asciiTheme="minorEastAsia" w:hAnsiTheme="minorEastAsia" w:eastAsiaTheme="minorEastAsia" w:cstheme="minorEastAsia"/>
          <w:i w:val="0"/>
          <w:iCs w:val="0"/>
          <w:color w:val="auto"/>
          <w:kern w:val="21"/>
          <w:sz w:val="24"/>
          <w:szCs w:val="24"/>
          <w:u w:val="single"/>
          <w:lang w:val="en-US" w:eastAsia="zh-CN"/>
        </w:rPr>
        <w:t>合同签订</w:t>
      </w:r>
      <w:r>
        <w:rPr>
          <w:rFonts w:hint="eastAsia" w:asciiTheme="minorEastAsia" w:hAnsiTheme="minorEastAsia" w:eastAsiaTheme="minorEastAsia" w:cstheme="minorEastAsia"/>
          <w:i w:val="0"/>
          <w:iCs w:val="0"/>
          <w:color w:val="auto"/>
          <w:kern w:val="21"/>
          <w:sz w:val="24"/>
          <w:szCs w:val="24"/>
          <w:u w:val="single"/>
        </w:rPr>
        <w:t>后10个工作日内预付合同金额的（40%）</w:t>
      </w:r>
    </w:p>
    <w:p w14:paraId="6E8FB0B0">
      <w:pPr>
        <w:pStyle w:val="15"/>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auto"/>
          <w:kern w:val="21"/>
          <w:sz w:val="24"/>
          <w:szCs w:val="24"/>
          <w:u w:val="single"/>
        </w:rPr>
        <w:t>3.2 进度款：依据项目进度及</w:t>
      </w:r>
      <w:r>
        <w:rPr>
          <w:rFonts w:hint="eastAsia" w:asciiTheme="minorEastAsia" w:hAnsiTheme="minorEastAsia" w:eastAsiaTheme="minorEastAsia" w:cstheme="minorEastAsia"/>
          <w:i w:val="0"/>
          <w:iCs w:val="0"/>
          <w:color w:val="auto"/>
          <w:kern w:val="21"/>
          <w:sz w:val="24"/>
          <w:szCs w:val="24"/>
          <w:u w:val="single"/>
          <w:lang w:val="en-US" w:eastAsia="zh-CN"/>
        </w:rPr>
        <w:t>交付</w:t>
      </w:r>
      <w:r>
        <w:rPr>
          <w:rFonts w:hint="eastAsia" w:asciiTheme="minorEastAsia" w:hAnsiTheme="minorEastAsia" w:eastAsiaTheme="minorEastAsia" w:cstheme="minorEastAsia"/>
          <w:i w:val="0"/>
          <w:iCs w:val="0"/>
          <w:color w:val="auto"/>
          <w:kern w:val="21"/>
          <w:sz w:val="24"/>
          <w:szCs w:val="24"/>
          <w:u w:val="single"/>
        </w:rPr>
        <w:t>结果，乙方提交相关交付资料，通过甲方组织的评估后，按合同约定支付款项。</w:t>
      </w:r>
      <w:r>
        <w:rPr>
          <w:rFonts w:hint="eastAsia" w:asciiTheme="minorEastAsia" w:hAnsiTheme="minorEastAsia" w:eastAsiaTheme="minorEastAsia" w:cstheme="minorEastAsia"/>
          <w:iCs/>
          <w:color w:val="auto"/>
          <w:kern w:val="21"/>
          <w:sz w:val="24"/>
          <w:szCs w:val="24"/>
          <w:u w:val="single"/>
        </w:rPr>
        <w:t xml:space="preserve"> </w:t>
      </w:r>
    </w:p>
    <w:p w14:paraId="389FF775">
      <w:pPr>
        <w:rPr>
          <w:rFonts w:hint="eastAsia"/>
          <w:b/>
          <w:bCs/>
          <w:sz w:val="28"/>
          <w:szCs w:val="36"/>
          <w:lang w:val="en-US" w:eastAsia="zh-CN"/>
        </w:rPr>
      </w:pPr>
      <w:r>
        <w:rPr>
          <w:rFonts w:hint="eastAsia"/>
          <w:b/>
          <w:bCs/>
          <w:sz w:val="28"/>
          <w:szCs w:val="36"/>
          <w:lang w:val="en-US" w:eastAsia="zh-CN"/>
        </w:rPr>
        <w:br w:type="page"/>
      </w:r>
    </w:p>
    <w:p w14:paraId="0D493BDB">
      <w:pPr>
        <w:ind w:firstLine="560"/>
        <w:rPr>
          <w:rFonts w:hint="eastAsia" w:asciiTheme="minorEastAsia" w:hAnsiTheme="minorEastAsia" w:eastAsiaTheme="minorEastAsia" w:cstheme="minorEastAsia"/>
          <w:sz w:val="24"/>
          <w:szCs w:val="24"/>
        </w:rPr>
      </w:pPr>
    </w:p>
    <w:p w14:paraId="557FDFCA">
      <w:pPr>
        <w:spacing w:line="440" w:lineRule="exact"/>
        <w:jc w:val="center"/>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第五部分  磋商响应文件格式</w:t>
      </w:r>
      <w:bookmarkEnd w:id="90"/>
      <w:bookmarkEnd w:id="91"/>
    </w:p>
    <w:p w14:paraId="1609801E">
      <w:pPr>
        <w:spacing w:line="500" w:lineRule="exact"/>
        <w:jc w:val="center"/>
        <w:rPr>
          <w:rFonts w:hint="eastAsia" w:asciiTheme="minorEastAsia" w:hAnsiTheme="minorEastAsia" w:eastAsiaTheme="minorEastAsia" w:cstheme="minorEastAsia"/>
          <w:b/>
          <w:bCs/>
          <w:sz w:val="24"/>
          <w:szCs w:val="24"/>
        </w:rPr>
      </w:pPr>
    </w:p>
    <w:p w14:paraId="496344A5">
      <w:pPr>
        <w:widowControl/>
        <w:jc w:val="left"/>
        <w:rPr>
          <w:rFonts w:hint="eastAsia" w:asciiTheme="minorEastAsia" w:hAnsiTheme="minorEastAsia" w:eastAsiaTheme="minorEastAsia" w:cstheme="minorEastAsia"/>
          <w:b/>
          <w:bCs/>
          <w:sz w:val="18"/>
          <w:szCs w:val="18"/>
        </w:rPr>
      </w:pPr>
    </w:p>
    <w:p w14:paraId="38A2B927">
      <w:pPr>
        <w:spacing w:line="500" w:lineRule="exact"/>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（封面示例）</w:t>
      </w:r>
    </w:p>
    <w:p w14:paraId="65E8AEF6">
      <w:pPr>
        <w:spacing w:line="360" w:lineRule="exact"/>
        <w:rPr>
          <w:rFonts w:hint="eastAsia" w:asciiTheme="minorEastAsia" w:hAnsiTheme="minorEastAsia" w:eastAsiaTheme="minorEastAsia" w:cstheme="minorEastAsia"/>
          <w:sz w:val="24"/>
          <w:szCs w:val="24"/>
          <w:u w:val="single"/>
        </w:rPr>
      </w:pPr>
    </w:p>
    <w:p w14:paraId="382242B5">
      <w:pPr>
        <w:spacing w:line="360" w:lineRule="exact"/>
        <w:jc w:val="center"/>
        <w:rPr>
          <w:rFonts w:hint="eastAsia" w:asciiTheme="minorEastAsia" w:hAnsiTheme="minorEastAsia" w:eastAsiaTheme="minorEastAsia" w:cstheme="minorEastAsia"/>
          <w:b/>
          <w:bCs/>
          <w:sz w:val="24"/>
          <w:szCs w:val="24"/>
        </w:rPr>
      </w:pPr>
    </w:p>
    <w:p w14:paraId="32961705">
      <w:pPr>
        <w:spacing w:line="500" w:lineRule="exact"/>
        <w:jc w:val="center"/>
        <w:rPr>
          <w:rFonts w:hint="eastAsia" w:asciiTheme="minorEastAsia" w:hAnsiTheme="minorEastAsia" w:eastAsiaTheme="minorEastAsia" w:cstheme="minorEastAsia"/>
          <w:b/>
          <w:bCs/>
          <w:sz w:val="24"/>
          <w:szCs w:val="24"/>
        </w:rPr>
      </w:pPr>
    </w:p>
    <w:p w14:paraId="7922A7C9">
      <w:pPr>
        <w:spacing w:line="500" w:lineRule="exact"/>
        <w:jc w:val="center"/>
        <w:outlineLvl w:val="0"/>
        <w:rPr>
          <w:rFonts w:hint="eastAsia" w:asciiTheme="minorEastAsia" w:hAnsiTheme="minorEastAsia" w:eastAsiaTheme="minorEastAsia" w:cstheme="minorEastAsia"/>
          <w:b/>
          <w:bCs/>
          <w:sz w:val="24"/>
          <w:szCs w:val="24"/>
        </w:rPr>
      </w:pPr>
      <w:bookmarkStart w:id="92" w:name="_Toc32311"/>
      <w:bookmarkStart w:id="93" w:name="_Toc29521"/>
      <w:r>
        <w:rPr>
          <w:rFonts w:hint="eastAsia" w:asciiTheme="minorEastAsia" w:hAnsiTheme="minorEastAsia" w:eastAsiaTheme="minorEastAsia" w:cstheme="minorEastAsia"/>
          <w:b/>
          <w:bCs/>
          <w:sz w:val="24"/>
          <w:szCs w:val="24"/>
        </w:rPr>
        <w:t>磋商响应文件</w:t>
      </w:r>
      <w:bookmarkEnd w:id="92"/>
      <w:bookmarkEnd w:id="93"/>
    </w:p>
    <w:p w14:paraId="274F4CF5">
      <w:pPr>
        <w:spacing w:line="500" w:lineRule="exact"/>
        <w:rPr>
          <w:rFonts w:hint="eastAsia" w:asciiTheme="minorEastAsia" w:hAnsiTheme="minorEastAsia" w:eastAsiaTheme="minorEastAsia" w:cstheme="minorEastAsia"/>
          <w:sz w:val="24"/>
          <w:szCs w:val="24"/>
        </w:rPr>
      </w:pPr>
    </w:p>
    <w:p w14:paraId="329E5488">
      <w:pPr>
        <w:spacing w:line="500" w:lineRule="exact"/>
        <w:rPr>
          <w:rFonts w:hint="eastAsia" w:asciiTheme="minorEastAsia" w:hAnsiTheme="minorEastAsia" w:eastAsiaTheme="minorEastAsia" w:cstheme="minorEastAsia"/>
          <w:sz w:val="24"/>
          <w:szCs w:val="24"/>
        </w:rPr>
      </w:pPr>
    </w:p>
    <w:p w14:paraId="71FA0EC4">
      <w:pPr>
        <w:spacing w:line="500" w:lineRule="exact"/>
        <w:rPr>
          <w:rFonts w:hint="eastAsia" w:asciiTheme="minorEastAsia" w:hAnsiTheme="minorEastAsia" w:eastAsiaTheme="minorEastAsia" w:cstheme="minorEastAsia"/>
          <w:sz w:val="24"/>
          <w:szCs w:val="24"/>
        </w:rPr>
      </w:pPr>
    </w:p>
    <w:p w14:paraId="53168248">
      <w:pPr>
        <w:spacing w:line="500" w:lineRule="exact"/>
        <w:rPr>
          <w:rFonts w:hint="eastAsia" w:asciiTheme="minorEastAsia" w:hAnsiTheme="minorEastAsia" w:eastAsiaTheme="minorEastAsia" w:cstheme="minorEastAsia"/>
          <w:sz w:val="24"/>
          <w:szCs w:val="24"/>
        </w:rPr>
      </w:pPr>
    </w:p>
    <w:p w14:paraId="533A355B">
      <w:pPr>
        <w:spacing w:line="500" w:lineRule="exact"/>
        <w:rPr>
          <w:rFonts w:hint="eastAsia" w:asciiTheme="minorEastAsia" w:hAnsiTheme="minorEastAsia" w:eastAsiaTheme="minorEastAsia" w:cstheme="minorEastAsia"/>
          <w:sz w:val="24"/>
          <w:szCs w:val="24"/>
        </w:rPr>
      </w:pPr>
    </w:p>
    <w:p w14:paraId="65AC7046">
      <w:pPr>
        <w:spacing w:line="500" w:lineRule="exact"/>
        <w:rPr>
          <w:rFonts w:hint="eastAsia" w:asciiTheme="minorEastAsia" w:hAnsiTheme="minorEastAsia" w:eastAsiaTheme="minorEastAsia" w:cstheme="minorEastAsia"/>
          <w:sz w:val="24"/>
          <w:szCs w:val="24"/>
        </w:rPr>
      </w:pPr>
    </w:p>
    <w:p w14:paraId="2E85093E">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p w14:paraId="75F9E4A4">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项目名称：</w:t>
      </w:r>
    </w:p>
    <w:p w14:paraId="5A43035A">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项目编号：</w:t>
      </w:r>
    </w:p>
    <w:p w14:paraId="47AC6ABD">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供应商（盖公章）：</w:t>
      </w:r>
    </w:p>
    <w:p w14:paraId="450B3617">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法定代表人（签字或盖章）：</w:t>
      </w:r>
    </w:p>
    <w:p w14:paraId="10690980">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地址：</w:t>
      </w:r>
    </w:p>
    <w:p w14:paraId="3C47CE3F">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联系人：</w:t>
      </w:r>
    </w:p>
    <w:p w14:paraId="0736F313">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联系电话：</w:t>
      </w:r>
    </w:p>
    <w:p w14:paraId="7FE2CDD9">
      <w:pPr>
        <w:spacing w:line="500" w:lineRule="exact"/>
        <w:ind w:firstLine="240" w:firstLineChars="100"/>
        <w:jc w:val="center"/>
        <w:rPr>
          <w:rFonts w:hint="eastAsia" w:asciiTheme="minorEastAsia" w:hAnsiTheme="minorEastAsia" w:eastAsiaTheme="minorEastAsia" w:cstheme="minorEastAsia"/>
          <w:sz w:val="24"/>
          <w:lang w:val="zh-CN"/>
        </w:rPr>
      </w:pPr>
    </w:p>
    <w:p w14:paraId="0AF64CAB">
      <w:pPr>
        <w:spacing w:line="500" w:lineRule="exact"/>
        <w:ind w:firstLine="240" w:firstLineChars="100"/>
        <w:jc w:val="center"/>
        <w:outlineLvl w:val="0"/>
        <w:rPr>
          <w:rFonts w:hint="eastAsia" w:asciiTheme="minorEastAsia" w:hAnsiTheme="minorEastAsia" w:eastAsiaTheme="minorEastAsia" w:cstheme="minorEastAsia"/>
          <w:b/>
          <w:sz w:val="24"/>
          <w:szCs w:val="24"/>
        </w:rPr>
      </w:pPr>
      <w:bookmarkStart w:id="94" w:name="_Toc71"/>
      <w:bookmarkStart w:id="95" w:name="_Toc8292"/>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4"/>
          <w:szCs w:val="24"/>
        </w:rPr>
        <w:t>目  录</w:t>
      </w:r>
      <w:bookmarkEnd w:id="94"/>
      <w:bookmarkEnd w:id="95"/>
    </w:p>
    <w:p w14:paraId="6EAAF2F2">
      <w:pPr>
        <w:spacing w:line="500" w:lineRule="exact"/>
        <w:ind w:firstLine="482"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主要包括</w:t>
      </w:r>
      <w:r>
        <w:rPr>
          <w:rFonts w:hint="eastAsia" w:asciiTheme="minorEastAsia" w:hAnsiTheme="minorEastAsia" w:eastAsiaTheme="minorEastAsia" w:cstheme="minorEastAsia"/>
          <w:b/>
          <w:sz w:val="24"/>
          <w:szCs w:val="24"/>
        </w:rPr>
        <w:t>但不限于以下内容：</w:t>
      </w:r>
    </w:p>
    <w:p w14:paraId="5DEC62C5">
      <w:pPr>
        <w:spacing w:line="500" w:lineRule="exact"/>
        <w:ind w:firstLine="480" w:firstLineChars="200"/>
        <w:outlineLvl w:val="0"/>
        <w:rPr>
          <w:rFonts w:hint="eastAsia" w:asciiTheme="minorEastAsia" w:hAnsiTheme="minorEastAsia" w:eastAsiaTheme="minorEastAsia" w:cstheme="minorEastAsia"/>
          <w:bCs/>
          <w:kern w:val="0"/>
          <w:sz w:val="24"/>
          <w:szCs w:val="24"/>
        </w:rPr>
      </w:pPr>
      <w:bookmarkStart w:id="96" w:name="_Toc24618"/>
      <w:bookmarkStart w:id="97" w:name="_Toc27828"/>
      <w:r>
        <w:rPr>
          <w:rFonts w:hint="eastAsia" w:asciiTheme="minorEastAsia" w:hAnsiTheme="minorEastAsia" w:eastAsiaTheme="minorEastAsia" w:cstheme="minorEastAsia"/>
          <w:bCs/>
          <w:kern w:val="0"/>
          <w:sz w:val="24"/>
          <w:szCs w:val="24"/>
        </w:rPr>
        <w:t>1、磋商响应书</w:t>
      </w:r>
      <w:bookmarkEnd w:id="96"/>
      <w:bookmarkEnd w:id="97"/>
    </w:p>
    <w:p w14:paraId="14094C30">
      <w:pPr>
        <w:spacing w:line="500" w:lineRule="exact"/>
        <w:ind w:firstLine="480" w:firstLineChars="200"/>
        <w:outlineLvl w:val="0"/>
        <w:rPr>
          <w:rFonts w:hint="eastAsia" w:asciiTheme="minorEastAsia" w:hAnsiTheme="minorEastAsia" w:eastAsiaTheme="minorEastAsia" w:cstheme="minorEastAsia"/>
          <w:bCs/>
          <w:kern w:val="0"/>
          <w:sz w:val="24"/>
          <w:szCs w:val="24"/>
        </w:rPr>
      </w:pPr>
      <w:bookmarkStart w:id="98" w:name="_Toc8945"/>
      <w:bookmarkStart w:id="99" w:name="_Toc2661"/>
      <w:r>
        <w:rPr>
          <w:rFonts w:hint="eastAsia" w:asciiTheme="minorEastAsia" w:hAnsiTheme="minorEastAsia" w:eastAsiaTheme="minorEastAsia" w:cstheme="minorEastAsia"/>
          <w:bCs/>
          <w:kern w:val="0"/>
          <w:sz w:val="24"/>
          <w:szCs w:val="24"/>
        </w:rPr>
        <w:t>2、开标一览表</w:t>
      </w:r>
      <w:bookmarkEnd w:id="98"/>
      <w:bookmarkEnd w:id="99"/>
    </w:p>
    <w:p w14:paraId="28E42801">
      <w:pPr>
        <w:spacing w:line="500" w:lineRule="exact"/>
        <w:ind w:firstLine="480" w:firstLineChars="200"/>
        <w:outlineLvl w:val="0"/>
        <w:rPr>
          <w:rFonts w:hint="eastAsia" w:asciiTheme="minorEastAsia" w:hAnsiTheme="minorEastAsia" w:eastAsiaTheme="minorEastAsia" w:cstheme="minorEastAsia"/>
          <w:sz w:val="24"/>
          <w:szCs w:val="24"/>
        </w:rPr>
      </w:pPr>
      <w:bookmarkStart w:id="100" w:name="_Toc18800"/>
      <w:bookmarkStart w:id="101" w:name="_Toc18773"/>
      <w:r>
        <w:rPr>
          <w:rFonts w:hint="eastAsia" w:asciiTheme="minorEastAsia" w:hAnsiTheme="minorEastAsia" w:eastAsiaTheme="minorEastAsia" w:cstheme="minorEastAsia"/>
          <w:sz w:val="24"/>
          <w:szCs w:val="24"/>
        </w:rPr>
        <w:t>3、供应商基本情况表</w:t>
      </w:r>
      <w:bookmarkEnd w:id="100"/>
      <w:bookmarkEnd w:id="101"/>
    </w:p>
    <w:p w14:paraId="100F97D4">
      <w:pPr>
        <w:spacing w:line="500" w:lineRule="exact"/>
        <w:ind w:firstLine="480" w:firstLineChars="200"/>
        <w:outlineLvl w:val="0"/>
        <w:rPr>
          <w:rFonts w:hint="eastAsia" w:asciiTheme="minorEastAsia" w:hAnsiTheme="minorEastAsia" w:eastAsiaTheme="minorEastAsia" w:cstheme="minorEastAsia"/>
          <w:kern w:val="0"/>
          <w:sz w:val="24"/>
          <w:szCs w:val="24"/>
        </w:rPr>
      </w:pPr>
      <w:bookmarkStart w:id="102" w:name="_Toc23190"/>
      <w:bookmarkStart w:id="103" w:name="_Toc13394"/>
      <w:r>
        <w:rPr>
          <w:rFonts w:hint="eastAsia" w:asciiTheme="minorEastAsia" w:hAnsiTheme="minorEastAsia" w:eastAsiaTheme="minorEastAsia" w:cstheme="minorEastAsia"/>
          <w:bCs/>
          <w:kern w:val="0"/>
          <w:sz w:val="24"/>
          <w:szCs w:val="24"/>
        </w:rPr>
        <w:t>4、</w:t>
      </w:r>
      <w:r>
        <w:rPr>
          <w:rFonts w:hint="eastAsia" w:asciiTheme="minorEastAsia" w:hAnsiTheme="minorEastAsia" w:eastAsiaTheme="minorEastAsia" w:cstheme="minorEastAsia"/>
          <w:kern w:val="0"/>
          <w:sz w:val="24"/>
          <w:szCs w:val="24"/>
        </w:rPr>
        <w:t>法定代表人身份证明书</w:t>
      </w:r>
      <w:bookmarkEnd w:id="102"/>
      <w:bookmarkEnd w:id="103"/>
    </w:p>
    <w:p w14:paraId="2929BD0F">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bookmarkStart w:id="104" w:name="_Toc19693"/>
      <w:bookmarkStart w:id="105" w:name="_Toc2591"/>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Cs/>
          <w:sz w:val="24"/>
          <w:szCs w:val="24"/>
        </w:rPr>
        <w:t>法定代表人授权委托书</w:t>
      </w:r>
      <w:bookmarkEnd w:id="104"/>
      <w:bookmarkEnd w:id="105"/>
    </w:p>
    <w:p w14:paraId="5E062164">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06" w:name="_Toc12629"/>
      <w:bookmarkStart w:id="107" w:name="_Toc32389"/>
      <w:r>
        <w:rPr>
          <w:rFonts w:hint="eastAsia" w:asciiTheme="minorEastAsia" w:hAnsiTheme="minorEastAsia" w:eastAsiaTheme="minorEastAsia" w:cstheme="minorEastAsia"/>
          <w:sz w:val="24"/>
          <w:szCs w:val="24"/>
        </w:rPr>
        <w:t>6、</w:t>
      </w:r>
      <w:bookmarkEnd w:id="106"/>
      <w:bookmarkEnd w:id="107"/>
      <w:r>
        <w:rPr>
          <w:rFonts w:hint="eastAsia" w:asciiTheme="minorEastAsia" w:hAnsiTheme="minorEastAsia" w:eastAsiaTheme="minorEastAsia" w:cstheme="minorEastAsia"/>
          <w:sz w:val="24"/>
          <w:szCs w:val="24"/>
        </w:rPr>
        <w:t>关于《中华人民共和国政府采购法》第二十二条的承诺书</w:t>
      </w:r>
    </w:p>
    <w:p w14:paraId="4AF965D3">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bookmarkStart w:id="108" w:name="_Toc21633"/>
      <w:bookmarkStart w:id="109" w:name="_Toc2207"/>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、供应商的资格声明</w:t>
      </w:r>
      <w:bookmarkEnd w:id="108"/>
      <w:bookmarkEnd w:id="109"/>
    </w:p>
    <w:p w14:paraId="5CF4635E">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0" w:name="_Toc15488"/>
      <w:bookmarkStart w:id="111" w:name="_Toc1140"/>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bookmarkEnd w:id="110"/>
      <w:bookmarkEnd w:id="111"/>
      <w:r>
        <w:rPr>
          <w:rFonts w:hint="eastAsia" w:asciiTheme="minorEastAsia" w:hAnsiTheme="minorEastAsia" w:eastAsiaTheme="minorEastAsia" w:cstheme="minorEastAsia"/>
          <w:sz w:val="24"/>
          <w:szCs w:val="24"/>
        </w:rPr>
        <w:t>供应商需提供的资料</w:t>
      </w:r>
    </w:p>
    <w:p w14:paraId="6B717885">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2" w:name="_Toc17981"/>
      <w:bookmarkStart w:id="113" w:name="_Toc25487"/>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bookmarkEnd w:id="112"/>
      <w:bookmarkEnd w:id="113"/>
      <w:r>
        <w:rPr>
          <w:rFonts w:hint="eastAsia" w:asciiTheme="minorEastAsia" w:hAnsiTheme="minorEastAsia" w:eastAsiaTheme="minorEastAsia" w:cstheme="minorEastAsia"/>
          <w:sz w:val="24"/>
          <w:szCs w:val="24"/>
        </w:rPr>
        <w:t>采购需求响应偏离表</w:t>
      </w:r>
    </w:p>
    <w:p w14:paraId="76B36B93">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4" w:name="_Toc9913"/>
      <w:bookmarkStart w:id="115" w:name="_Toc19480"/>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bookmarkEnd w:id="114"/>
      <w:bookmarkEnd w:id="115"/>
      <w:r>
        <w:rPr>
          <w:rFonts w:hint="eastAsia" w:asciiTheme="minorEastAsia" w:hAnsiTheme="minorEastAsia" w:eastAsiaTheme="minorEastAsia" w:cstheme="minorEastAsia"/>
          <w:sz w:val="24"/>
          <w:szCs w:val="24"/>
        </w:rPr>
        <w:t>供应商类似项目业绩表</w:t>
      </w:r>
    </w:p>
    <w:p w14:paraId="693E548A">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rPr>
      </w:pPr>
      <w:bookmarkStart w:id="116" w:name="_Toc25608"/>
      <w:bookmarkStart w:id="117" w:name="_Toc23127"/>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、中小微企业声明函</w:t>
      </w:r>
      <w:bookmarkEnd w:id="116"/>
      <w:bookmarkEnd w:id="117"/>
    </w:p>
    <w:p w14:paraId="4B5A6787">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8" w:name="_Toc18263"/>
      <w:bookmarkStart w:id="119" w:name="_Toc28393"/>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、评审中所需资料</w:t>
      </w:r>
      <w:bookmarkEnd w:id="118"/>
      <w:bookmarkEnd w:id="119"/>
    </w:p>
    <w:p w14:paraId="7947B867">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20" w:name="_Toc9318"/>
      <w:bookmarkStart w:id="121" w:name="_Toc13562"/>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、供应商认为有必要提供的其他资料</w:t>
      </w:r>
      <w:bookmarkEnd w:id="120"/>
      <w:bookmarkEnd w:id="121"/>
    </w:p>
    <w:p w14:paraId="53D73CF0">
      <w:pPr>
        <w:spacing w:line="500" w:lineRule="exact"/>
        <w:ind w:firstLine="472" w:firstLineChars="196"/>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sz w:val="24"/>
          <w:szCs w:val="24"/>
        </w:rPr>
        <w:t>（注：供应商须按招标要求提供，磋商响应文件应当使用磋商文件所提</w:t>
      </w:r>
      <w:r>
        <w:rPr>
          <w:rFonts w:hint="eastAsia" w:asciiTheme="minorEastAsia" w:hAnsiTheme="minorEastAsia" w:eastAsiaTheme="minorEastAsia" w:cstheme="minorEastAsia"/>
          <w:b/>
          <w:sz w:val="24"/>
          <w:szCs w:val="24"/>
          <w:lang w:eastAsia="zh-CN"/>
        </w:rPr>
        <w:t>供的</w:t>
      </w:r>
      <w:r>
        <w:rPr>
          <w:rFonts w:hint="eastAsia" w:asciiTheme="minorEastAsia" w:hAnsiTheme="minorEastAsia" w:eastAsiaTheme="minorEastAsia" w:cstheme="minorEastAsia"/>
          <w:b/>
          <w:sz w:val="24"/>
          <w:szCs w:val="24"/>
        </w:rPr>
        <w:t>磋商响应文件格式（表格可按照同样格式扩展）。未提供格式的，需要时由供应商用文字或者表格、图片等其它形式提供）</w:t>
      </w:r>
      <w:r>
        <w:rPr>
          <w:rFonts w:hint="eastAsia" w:asciiTheme="minorEastAsia" w:hAnsiTheme="minorEastAsia" w:eastAsiaTheme="minorEastAsia" w:cstheme="minorEastAsia"/>
          <w:b/>
          <w:sz w:val="24"/>
          <w:szCs w:val="24"/>
          <w:lang w:eastAsia="zh-CN"/>
        </w:rPr>
        <w:t>。</w:t>
      </w:r>
    </w:p>
    <w:p w14:paraId="035D5EFA">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18"/>
          <w:szCs w:val="18"/>
        </w:rPr>
        <w:br w:type="page"/>
      </w:r>
    </w:p>
    <w:p w14:paraId="512412AF">
      <w:pPr>
        <w:spacing w:line="360" w:lineRule="exact"/>
        <w:outlineLvl w:val="0"/>
        <w:rPr>
          <w:rFonts w:hint="eastAsia" w:asciiTheme="minorEastAsia" w:hAnsiTheme="minorEastAsia" w:eastAsiaTheme="minorEastAsia" w:cstheme="minorEastAsia"/>
          <w:b/>
          <w:sz w:val="24"/>
          <w:szCs w:val="24"/>
        </w:rPr>
      </w:pPr>
      <w:bookmarkStart w:id="122" w:name="_Toc31865"/>
      <w:bookmarkStart w:id="123" w:name="_Toc9753"/>
      <w:r>
        <w:rPr>
          <w:rFonts w:hint="eastAsia" w:asciiTheme="minorEastAsia" w:hAnsiTheme="minorEastAsia" w:eastAsiaTheme="minorEastAsia" w:cstheme="minorEastAsia"/>
          <w:b/>
          <w:sz w:val="24"/>
          <w:szCs w:val="24"/>
        </w:rPr>
        <w:t>附件1</w:t>
      </w:r>
      <w:bookmarkEnd w:id="122"/>
      <w:bookmarkEnd w:id="123"/>
    </w:p>
    <w:p w14:paraId="0B861B2B">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磋商响应书</w:t>
      </w:r>
    </w:p>
    <w:p w14:paraId="0636FC59">
      <w:pPr>
        <w:spacing w:line="440" w:lineRule="exact"/>
        <w:ind w:right="42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采购人名称</w:t>
      </w:r>
      <w:r>
        <w:rPr>
          <w:rFonts w:hint="eastAsia" w:asciiTheme="minorEastAsia" w:hAnsiTheme="minorEastAsia" w:eastAsiaTheme="minorEastAsia" w:cstheme="minorEastAsia"/>
          <w:sz w:val="24"/>
          <w:szCs w:val="24"/>
        </w:rPr>
        <w:t>）：</w:t>
      </w:r>
    </w:p>
    <w:p w14:paraId="63A0645D">
      <w:pPr>
        <w:spacing w:line="440" w:lineRule="exact"/>
        <w:ind w:left="1"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我方收到并研究了贵方</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u w:val="single"/>
          <w:lang w:eastAsia="zh-CN"/>
        </w:rPr>
        <w:t>项目编号</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项目的磋商文件，愿意按照磋商文件规定的内容承担该项目的投标任务，严格执行我方所承诺的责任和义务。为此，我方郑重声明以下诸点，并负法律责任。</w:t>
      </w:r>
    </w:p>
    <w:p w14:paraId="47FFBD4A">
      <w:pPr>
        <w:spacing w:line="440" w:lineRule="exact"/>
        <w:ind w:left="1"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1、我方提交磋商响应文件，我方愿按《中华人民共和国政府采购法》及其他有关法律、法规的规定，自觉履行自己的全部责任。</w:t>
      </w:r>
    </w:p>
    <w:p w14:paraId="656E9C60">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2、我方同意在磋商有效期内遵守本磋商响应文件，在此期限期满前的任何时间，本磋商响应文件一直对我们具有约束力；</w:t>
      </w:r>
    </w:p>
    <w:p w14:paraId="18A40A7B">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3、如果我方磋商响应文件被接受，我方将按照磋商文件的规定，我方保证将按招标要求和磋商响应文件中的承诺按期、按质、按量交付使用方；</w:t>
      </w:r>
    </w:p>
    <w:p w14:paraId="2D75ED45">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4、如果我方中标，我方将在磋商文件规定的时间内签订委托合同并按招标要求提供履约担保。如果我方违约，除磋商保证金不予退还外，贵方有权终止我方中标并选择其它成交供应商。</w:t>
      </w:r>
    </w:p>
    <w:p w14:paraId="69E50993">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5、如果我方中标，我方将在磋商文件规定的时间内签订合同。如果我方违约，借故拒签合同或拖延签订的，则采购人将废除授标，磋商保证金不予退还，给采购人造成的损失</w:t>
      </w:r>
      <w:r>
        <w:rPr>
          <w:rFonts w:hint="eastAsia" w:asciiTheme="minorEastAsia" w:hAnsiTheme="minorEastAsia" w:eastAsiaTheme="minorEastAsia" w:cstheme="minorEastAsia"/>
          <w:sz w:val="24"/>
          <w:szCs w:val="24"/>
          <w:lang w:eastAsia="zh-CN"/>
        </w:rPr>
        <w:t>超过</w:t>
      </w:r>
      <w:r>
        <w:rPr>
          <w:rFonts w:hint="eastAsia" w:asciiTheme="minorEastAsia" w:hAnsiTheme="minorEastAsia" w:eastAsiaTheme="minorEastAsia" w:cstheme="minorEastAsia"/>
          <w:sz w:val="24"/>
          <w:szCs w:val="24"/>
        </w:rPr>
        <w:t>保证金保数额的，还应当对超过部分予以赔偿，同时依法承担相应法律责任，采购人可另行选择成交供应商。</w:t>
      </w:r>
    </w:p>
    <w:p w14:paraId="0BD247E6">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6、一旦我方中标，我方愿意按招标要求承担政府采购代理服务费。</w:t>
      </w:r>
    </w:p>
    <w:p w14:paraId="10B48744">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7、贵方的中标通知书和本磋商响应文件将构成约束双方的合同。</w:t>
      </w:r>
    </w:p>
    <w:p w14:paraId="333CDEBF">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8、如果我方未中标，贵方没有必要对我方做出任何解释和说明，我方将充分尊重和理解贵方的选择。</w:t>
      </w:r>
    </w:p>
    <w:p w14:paraId="509B2528">
      <w:pPr>
        <w:spacing w:line="440" w:lineRule="exact"/>
        <w:ind w:right="42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9、我方的磋商响应文件自提交磋商响应文件截止之日起有效期</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w:t>
      </w:r>
    </w:p>
    <w:p w14:paraId="752FE169">
      <w:pPr>
        <w:spacing w:line="440" w:lineRule="exact"/>
        <w:ind w:right="420" w:firstLine="480"/>
        <w:jc w:val="left"/>
        <w:rPr>
          <w:rFonts w:hint="eastAsia" w:asciiTheme="minorEastAsia" w:hAnsiTheme="minorEastAsia" w:eastAsiaTheme="minorEastAsia" w:cstheme="minorEastAsia"/>
          <w:sz w:val="24"/>
          <w:szCs w:val="24"/>
        </w:rPr>
      </w:pPr>
    </w:p>
    <w:p w14:paraId="28D18DE9">
      <w:pPr>
        <w:pStyle w:val="102"/>
        <w:snapToGrid w:val="0"/>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33B87B2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40B1D2CB">
      <w:pPr>
        <w:adjustRightInd w:val="0"/>
        <w:snapToGrid w:val="0"/>
        <w:spacing w:line="440" w:lineRule="exact"/>
        <w:ind w:righ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26A997F7">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bookmarkStart w:id="124" w:name="_Toc10540"/>
      <w:bookmarkStart w:id="125" w:name="_Toc18033"/>
      <w:r>
        <w:rPr>
          <w:rFonts w:hint="eastAsia" w:asciiTheme="minorEastAsia" w:hAnsiTheme="minorEastAsia" w:eastAsiaTheme="minorEastAsia" w:cstheme="minorEastAsia"/>
          <w:b/>
          <w:sz w:val="24"/>
          <w:szCs w:val="24"/>
        </w:rPr>
        <w:t>附件</w:t>
      </w:r>
      <w:bookmarkEnd w:id="124"/>
      <w:bookmarkEnd w:id="125"/>
      <w:r>
        <w:rPr>
          <w:rFonts w:hint="eastAsia" w:asciiTheme="minorEastAsia" w:hAnsiTheme="minorEastAsia" w:eastAsiaTheme="minorEastAsia" w:cstheme="minorEastAsia"/>
          <w:b/>
          <w:sz w:val="24"/>
          <w:szCs w:val="24"/>
        </w:rPr>
        <w:t>2-1</w:t>
      </w:r>
    </w:p>
    <w:p w14:paraId="771CD778">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开标一览表</w:t>
      </w:r>
    </w:p>
    <w:tbl>
      <w:tblPr>
        <w:tblStyle w:val="30"/>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42"/>
        <w:gridCol w:w="1236"/>
        <w:gridCol w:w="1724"/>
      </w:tblGrid>
      <w:tr w14:paraId="4E3B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5" w:type="dxa"/>
            <w:vAlign w:val="center"/>
          </w:tcPr>
          <w:p w14:paraId="73FFF7B9">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01" w:type="dxa"/>
            <w:vAlign w:val="center"/>
          </w:tcPr>
          <w:p w14:paraId="6BED7C30">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2542" w:type="dxa"/>
            <w:vAlign w:val="center"/>
          </w:tcPr>
          <w:p w14:paraId="0DCA39D0">
            <w:pPr>
              <w:spacing w:line="500" w:lineRule="exact"/>
              <w:rPr>
                <w:rFonts w:hint="eastAsia" w:asciiTheme="minorEastAsia" w:hAnsiTheme="minorEastAsia" w:eastAsiaTheme="minorEastAsia" w:cstheme="minorEastAsia"/>
                <w:sz w:val="24"/>
                <w:szCs w:val="24"/>
              </w:rPr>
            </w:pPr>
          </w:p>
        </w:tc>
        <w:tc>
          <w:tcPr>
            <w:tcW w:w="1236" w:type="dxa"/>
            <w:vAlign w:val="center"/>
          </w:tcPr>
          <w:p w14:paraId="17CB06FC">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c>
        <w:tc>
          <w:tcPr>
            <w:tcW w:w="1724" w:type="dxa"/>
            <w:vAlign w:val="center"/>
          </w:tcPr>
          <w:p w14:paraId="3DE404ED">
            <w:pPr>
              <w:spacing w:line="500" w:lineRule="exact"/>
              <w:rPr>
                <w:rFonts w:hint="eastAsia" w:asciiTheme="minorEastAsia" w:hAnsiTheme="minorEastAsia" w:eastAsiaTheme="minorEastAsia" w:cstheme="minorEastAsia"/>
                <w:sz w:val="24"/>
                <w:szCs w:val="24"/>
              </w:rPr>
            </w:pPr>
          </w:p>
        </w:tc>
      </w:tr>
      <w:tr w14:paraId="7ACD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53DCA615">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01" w:type="dxa"/>
            <w:vAlign w:val="center"/>
          </w:tcPr>
          <w:p w14:paraId="72B96FCE">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5502" w:type="dxa"/>
            <w:gridSpan w:val="3"/>
            <w:vAlign w:val="center"/>
          </w:tcPr>
          <w:p w14:paraId="575B2BD6">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5203C328">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p>
        </w:tc>
      </w:tr>
      <w:tr w14:paraId="7251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57697788">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01" w:type="dxa"/>
            <w:vAlign w:val="center"/>
          </w:tcPr>
          <w:p w14:paraId="24138182">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502" w:type="dxa"/>
            <w:gridSpan w:val="3"/>
            <w:vAlign w:val="center"/>
          </w:tcPr>
          <w:p w14:paraId="57C5D3A0">
            <w:pPr>
              <w:spacing w:line="500" w:lineRule="exact"/>
              <w:jc w:val="left"/>
              <w:rPr>
                <w:rFonts w:hint="eastAsia" w:asciiTheme="minorEastAsia" w:hAnsiTheme="minorEastAsia" w:eastAsiaTheme="minorEastAsia" w:cstheme="minorEastAsia"/>
                <w:sz w:val="24"/>
                <w:szCs w:val="24"/>
              </w:rPr>
            </w:pPr>
          </w:p>
        </w:tc>
      </w:tr>
      <w:tr w14:paraId="1F1C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547F2C84">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01" w:type="dxa"/>
            <w:vAlign w:val="center"/>
          </w:tcPr>
          <w:p w14:paraId="228B2377">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服务期</w:t>
            </w:r>
          </w:p>
        </w:tc>
        <w:tc>
          <w:tcPr>
            <w:tcW w:w="5502" w:type="dxa"/>
            <w:gridSpan w:val="3"/>
            <w:vAlign w:val="center"/>
          </w:tcPr>
          <w:p w14:paraId="18366F57">
            <w:pPr>
              <w:spacing w:line="500" w:lineRule="exact"/>
              <w:jc w:val="left"/>
              <w:rPr>
                <w:rFonts w:hint="eastAsia" w:asciiTheme="minorEastAsia" w:hAnsiTheme="minorEastAsia" w:eastAsiaTheme="minorEastAsia" w:cstheme="minorEastAsia"/>
                <w:sz w:val="24"/>
                <w:szCs w:val="24"/>
              </w:rPr>
            </w:pPr>
          </w:p>
        </w:tc>
      </w:tr>
      <w:tr w14:paraId="19CA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shd w:val="clear" w:color="auto" w:fill="auto"/>
            <w:vAlign w:val="center"/>
          </w:tcPr>
          <w:p w14:paraId="08E9732A">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01" w:type="dxa"/>
            <w:vAlign w:val="center"/>
          </w:tcPr>
          <w:p w14:paraId="6285822A">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服务地点</w:t>
            </w:r>
          </w:p>
        </w:tc>
        <w:tc>
          <w:tcPr>
            <w:tcW w:w="5502" w:type="dxa"/>
            <w:gridSpan w:val="3"/>
            <w:vAlign w:val="center"/>
          </w:tcPr>
          <w:p w14:paraId="23F7A578">
            <w:pPr>
              <w:spacing w:line="500" w:lineRule="exact"/>
              <w:jc w:val="left"/>
              <w:rPr>
                <w:rFonts w:hint="eastAsia" w:asciiTheme="minorEastAsia" w:hAnsiTheme="minorEastAsia" w:eastAsiaTheme="minorEastAsia" w:cstheme="minorEastAsia"/>
                <w:sz w:val="24"/>
                <w:szCs w:val="24"/>
              </w:rPr>
            </w:pPr>
          </w:p>
        </w:tc>
      </w:tr>
      <w:tr w14:paraId="05AA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6491712D">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701" w:type="dxa"/>
            <w:vAlign w:val="center"/>
          </w:tcPr>
          <w:p w14:paraId="31366BD3">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5502" w:type="dxa"/>
            <w:gridSpan w:val="3"/>
            <w:vAlign w:val="center"/>
          </w:tcPr>
          <w:p w14:paraId="605CB2B8">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磋商响应文件截止之日起90天</w:t>
            </w:r>
          </w:p>
        </w:tc>
      </w:tr>
      <w:tr w14:paraId="3F9E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056" w:type="dxa"/>
            <w:gridSpan w:val="2"/>
            <w:vAlign w:val="center"/>
          </w:tcPr>
          <w:p w14:paraId="1A23A77A">
            <w:pPr>
              <w:pStyle w:val="1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5502" w:type="dxa"/>
            <w:gridSpan w:val="3"/>
            <w:vAlign w:val="center"/>
          </w:tcPr>
          <w:p w14:paraId="614A0FFB">
            <w:pPr>
              <w:pStyle w:val="18"/>
              <w:spacing w:line="360" w:lineRule="auto"/>
              <w:jc w:val="center"/>
              <w:rPr>
                <w:rFonts w:hint="eastAsia" w:asciiTheme="minorEastAsia" w:hAnsiTheme="minorEastAsia" w:eastAsiaTheme="minorEastAsia" w:cstheme="minorEastAsia"/>
                <w:sz w:val="24"/>
                <w:szCs w:val="24"/>
              </w:rPr>
            </w:pPr>
          </w:p>
        </w:tc>
      </w:tr>
    </w:tbl>
    <w:p w14:paraId="16CE5463">
      <w:pPr>
        <w:tabs>
          <w:tab w:val="left" w:pos="3780"/>
        </w:tabs>
        <w:spacing w:line="500" w:lineRule="exact"/>
        <w:ind w:firstLine="480" w:firstLineChars="200"/>
        <w:rPr>
          <w:rFonts w:hint="eastAsia" w:asciiTheme="minorEastAsia" w:hAnsiTheme="minorEastAsia" w:eastAsiaTheme="minorEastAsia" w:cstheme="minorEastAsia"/>
          <w:sz w:val="24"/>
          <w:szCs w:val="24"/>
        </w:rPr>
      </w:pPr>
    </w:p>
    <w:p w14:paraId="2D1EDAAF">
      <w:pPr>
        <w:tabs>
          <w:tab w:val="left" w:pos="3780"/>
        </w:tabs>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052DE921">
      <w:pPr>
        <w:tabs>
          <w:tab w:val="left" w:pos="3780"/>
        </w:tabs>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78D2D2FA">
      <w:pPr>
        <w:tabs>
          <w:tab w:val="left" w:pos="3780"/>
        </w:tabs>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17C5A85E">
      <w:pPr>
        <w:tabs>
          <w:tab w:val="left" w:pos="3780"/>
        </w:tabs>
        <w:spacing w:line="500" w:lineRule="exact"/>
        <w:ind w:firstLine="5400" w:firstLineChars="2250"/>
        <w:rPr>
          <w:rFonts w:hint="eastAsia" w:asciiTheme="minorEastAsia" w:hAnsiTheme="minorEastAsia" w:eastAsiaTheme="minorEastAsia" w:cstheme="minorEastAsia"/>
          <w:sz w:val="24"/>
          <w:szCs w:val="24"/>
        </w:rPr>
      </w:pPr>
    </w:p>
    <w:p w14:paraId="701DCEDE">
      <w:pPr>
        <w:spacing w:line="500" w:lineRule="exact"/>
        <w:ind w:firstLine="489" w:firstLineChars="204"/>
        <w:outlineLvl w:val="0"/>
        <w:rPr>
          <w:rFonts w:hint="eastAsia" w:asciiTheme="minorEastAsia" w:hAnsiTheme="minorEastAsia" w:eastAsiaTheme="minorEastAsia" w:cstheme="minorEastAsia"/>
          <w:sz w:val="24"/>
          <w:szCs w:val="24"/>
        </w:rPr>
      </w:pPr>
      <w:bookmarkStart w:id="126" w:name="_Toc4411"/>
      <w:bookmarkStart w:id="127" w:name="_Toc15420"/>
      <w:r>
        <w:rPr>
          <w:rFonts w:hint="eastAsia" w:asciiTheme="minorEastAsia" w:hAnsiTheme="minorEastAsia" w:eastAsiaTheme="minorEastAsia" w:cstheme="minorEastAsia"/>
          <w:sz w:val="24"/>
          <w:szCs w:val="24"/>
        </w:rPr>
        <w:t>1、“供货期”指合同生效之日起，多少天内完成合同规定的全部工作内容；</w:t>
      </w:r>
      <w:bookmarkEnd w:id="126"/>
      <w:bookmarkEnd w:id="127"/>
    </w:p>
    <w:p w14:paraId="1082F8E8">
      <w:pPr>
        <w:spacing w:line="500" w:lineRule="exact"/>
        <w:ind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2、供应商如果需要对竞标报价或其它内容加以说明，可在备注中填写。</w:t>
      </w:r>
    </w:p>
    <w:p w14:paraId="119EC9D4">
      <w:pPr>
        <w:adjustRightInd w:val="0"/>
        <w:snapToGrid w:val="0"/>
        <w:spacing w:line="500" w:lineRule="exact"/>
        <w:ind w:right="480"/>
        <w:rPr>
          <w:rFonts w:hint="eastAsia" w:asciiTheme="minorEastAsia" w:hAnsiTheme="minorEastAsia" w:eastAsiaTheme="minorEastAsia" w:cstheme="minorEastAsia"/>
          <w:sz w:val="24"/>
          <w:szCs w:val="24"/>
        </w:rPr>
      </w:pPr>
    </w:p>
    <w:p w14:paraId="6135213D">
      <w:pPr>
        <w:pageBreakBefore/>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附件2-2</w:t>
      </w:r>
    </w:p>
    <w:p w14:paraId="0390EA53">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报价明细表</w:t>
      </w:r>
    </w:p>
    <w:p w14:paraId="1B687317">
      <w:pPr>
        <w:tabs>
          <w:tab w:val="left" w:pos="5100"/>
        </w:tabs>
        <w:spacing w:line="440" w:lineRule="exact"/>
        <w:ind w:firstLine="352" w:firstLineChars="14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z w:val="24"/>
          <w:szCs w:val="24"/>
        </w:rPr>
        <w:t xml:space="preserve">项目名称：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sz w:val="24"/>
          <w:szCs w:val="24"/>
        </w:rPr>
        <w:t xml:space="preserve"> 项目编号：</w:t>
      </w:r>
    </w:p>
    <w:tbl>
      <w:tblPr>
        <w:tblStyle w:val="30"/>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20"/>
        <w:gridCol w:w="2865"/>
        <w:gridCol w:w="840"/>
        <w:gridCol w:w="930"/>
        <w:gridCol w:w="1080"/>
        <w:gridCol w:w="1117"/>
      </w:tblGrid>
      <w:tr w14:paraId="29E0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17ED3D6C">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20" w:type="dxa"/>
            <w:vAlign w:val="center"/>
          </w:tcPr>
          <w:p w14:paraId="35F3F5D7">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p w14:paraId="7C1DD265">
            <w:pPr>
              <w:spacing w:line="440" w:lineRule="exact"/>
              <w:jc w:val="center"/>
              <w:rPr>
                <w:rFonts w:eastAsiaTheme="minorEastAsia"/>
              </w:rPr>
            </w:pPr>
            <w:r>
              <w:rPr>
                <w:rFonts w:hint="eastAsia" w:asciiTheme="minorEastAsia" w:hAnsiTheme="minorEastAsia" w:eastAsiaTheme="minorEastAsia" w:cstheme="minorEastAsia"/>
                <w:sz w:val="24"/>
                <w:szCs w:val="24"/>
              </w:rPr>
              <w:t>（软件平台名称）</w:t>
            </w:r>
          </w:p>
        </w:tc>
        <w:tc>
          <w:tcPr>
            <w:tcW w:w="2865" w:type="dxa"/>
            <w:vAlign w:val="center"/>
          </w:tcPr>
          <w:p w14:paraId="3207F669">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厂家（规格/型号</w:t>
            </w:r>
          </w:p>
          <w:p w14:paraId="3EA52EC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及技术参数）</w:t>
            </w:r>
          </w:p>
          <w:p w14:paraId="6DA4C1FE">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（功能描述）</w:t>
            </w:r>
          </w:p>
        </w:tc>
        <w:tc>
          <w:tcPr>
            <w:tcW w:w="840" w:type="dxa"/>
            <w:vAlign w:val="center"/>
          </w:tcPr>
          <w:p w14:paraId="250D4A8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30" w:type="dxa"/>
            <w:vAlign w:val="center"/>
          </w:tcPr>
          <w:p w14:paraId="513FB93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080" w:type="dxa"/>
            <w:vAlign w:val="center"/>
          </w:tcPr>
          <w:p w14:paraId="0EC0631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17" w:type="dxa"/>
            <w:vAlign w:val="center"/>
          </w:tcPr>
          <w:p w14:paraId="46B02383">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合价</w:t>
            </w:r>
          </w:p>
        </w:tc>
      </w:tr>
      <w:tr w14:paraId="1122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1AF7E88D">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7A27F0F2">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5E427A2C">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56309F7E">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45763CBE">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72C00FA9">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4BF54E0A">
            <w:pPr>
              <w:spacing w:line="440" w:lineRule="exact"/>
              <w:jc w:val="center"/>
              <w:rPr>
                <w:rFonts w:hint="eastAsia" w:asciiTheme="minorEastAsia" w:hAnsiTheme="minorEastAsia" w:eastAsiaTheme="minorEastAsia" w:cstheme="minorEastAsia"/>
                <w:sz w:val="24"/>
                <w:szCs w:val="24"/>
              </w:rPr>
            </w:pPr>
          </w:p>
        </w:tc>
      </w:tr>
      <w:tr w14:paraId="4A4D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3A4982F">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380C849E">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29F2AAA3">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475A92E9">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4F2144DD">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470A9ED9">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286C1B37">
            <w:pPr>
              <w:spacing w:line="440" w:lineRule="exact"/>
              <w:jc w:val="center"/>
              <w:rPr>
                <w:rFonts w:hint="eastAsia" w:asciiTheme="minorEastAsia" w:hAnsiTheme="minorEastAsia" w:eastAsiaTheme="minorEastAsia" w:cstheme="minorEastAsia"/>
                <w:sz w:val="24"/>
                <w:szCs w:val="24"/>
              </w:rPr>
            </w:pPr>
          </w:p>
        </w:tc>
      </w:tr>
      <w:tr w14:paraId="18BD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B371758">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362AD1FF">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4C4830CF">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294CEAD0">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08ECAB64">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6CB4B6BA">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40882763">
            <w:pPr>
              <w:spacing w:line="440" w:lineRule="exact"/>
              <w:jc w:val="center"/>
              <w:rPr>
                <w:rFonts w:hint="eastAsia" w:asciiTheme="minorEastAsia" w:hAnsiTheme="minorEastAsia" w:eastAsiaTheme="minorEastAsia" w:cstheme="minorEastAsia"/>
                <w:sz w:val="24"/>
                <w:szCs w:val="24"/>
              </w:rPr>
            </w:pPr>
          </w:p>
        </w:tc>
      </w:tr>
      <w:tr w14:paraId="4C5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06A5C3B1">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53B461D7">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3F7E74D5">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5D5C8311">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6176C962">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747C9455">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6A563043">
            <w:pPr>
              <w:spacing w:line="440" w:lineRule="exact"/>
              <w:jc w:val="center"/>
              <w:rPr>
                <w:rFonts w:hint="eastAsia" w:asciiTheme="minorEastAsia" w:hAnsiTheme="minorEastAsia" w:eastAsiaTheme="minorEastAsia" w:cstheme="minorEastAsia"/>
                <w:sz w:val="24"/>
                <w:szCs w:val="24"/>
              </w:rPr>
            </w:pPr>
          </w:p>
        </w:tc>
      </w:tr>
      <w:tr w14:paraId="09F4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589BEC4E">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4B8CE98B">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20139E63">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54755741">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4A44D7D0">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5C1478E3">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5A383E6D">
            <w:pPr>
              <w:spacing w:line="440" w:lineRule="exact"/>
              <w:jc w:val="center"/>
              <w:rPr>
                <w:rFonts w:hint="eastAsia" w:asciiTheme="minorEastAsia" w:hAnsiTheme="minorEastAsia" w:eastAsiaTheme="minorEastAsia" w:cstheme="minorEastAsia"/>
                <w:sz w:val="24"/>
                <w:szCs w:val="24"/>
              </w:rPr>
            </w:pPr>
          </w:p>
        </w:tc>
      </w:tr>
      <w:tr w14:paraId="437D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7835EFAB">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77CAF32C">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72282DD3">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3383451A">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5523E2DA">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2F660AEB">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31DC9EBF">
            <w:pPr>
              <w:spacing w:line="440" w:lineRule="exact"/>
              <w:jc w:val="center"/>
              <w:rPr>
                <w:rFonts w:hint="eastAsia" w:asciiTheme="minorEastAsia" w:hAnsiTheme="minorEastAsia" w:eastAsiaTheme="minorEastAsia" w:cstheme="minorEastAsia"/>
                <w:sz w:val="24"/>
                <w:szCs w:val="24"/>
              </w:rPr>
            </w:pPr>
          </w:p>
        </w:tc>
      </w:tr>
      <w:tr w14:paraId="5D50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4262EDC0">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089D32E6">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00A39928">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575EDBF6">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1A604E1F">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009A81D9">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29F103A8">
            <w:pPr>
              <w:spacing w:line="440" w:lineRule="exact"/>
              <w:jc w:val="center"/>
              <w:rPr>
                <w:rFonts w:hint="eastAsia" w:asciiTheme="minorEastAsia" w:hAnsiTheme="minorEastAsia" w:eastAsiaTheme="minorEastAsia" w:cstheme="minorEastAsia"/>
                <w:sz w:val="24"/>
                <w:szCs w:val="24"/>
              </w:rPr>
            </w:pPr>
          </w:p>
        </w:tc>
      </w:tr>
      <w:tr w14:paraId="0F5A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753237FF">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5BE5237D">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6EC3D1C7">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6DF3B0E6">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50E847FC">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481FDB4E">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711439F6">
            <w:pPr>
              <w:spacing w:line="440" w:lineRule="exact"/>
              <w:jc w:val="center"/>
              <w:rPr>
                <w:rFonts w:hint="eastAsia" w:asciiTheme="minorEastAsia" w:hAnsiTheme="minorEastAsia" w:eastAsiaTheme="minorEastAsia" w:cstheme="minorEastAsia"/>
                <w:sz w:val="24"/>
                <w:szCs w:val="24"/>
              </w:rPr>
            </w:pPr>
          </w:p>
        </w:tc>
      </w:tr>
      <w:tr w14:paraId="2074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0193FB9C">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5E09FEF6">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54D1D6FE">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0A364BE5">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18A9BF39">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3DDBC504">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10B0325C">
            <w:pPr>
              <w:spacing w:line="440" w:lineRule="exact"/>
              <w:jc w:val="center"/>
              <w:rPr>
                <w:rFonts w:hint="eastAsia" w:asciiTheme="minorEastAsia" w:hAnsiTheme="minorEastAsia" w:eastAsiaTheme="minorEastAsia" w:cstheme="minorEastAsia"/>
                <w:sz w:val="24"/>
                <w:szCs w:val="24"/>
              </w:rPr>
            </w:pPr>
          </w:p>
        </w:tc>
      </w:tr>
      <w:tr w14:paraId="1B2D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8" w:type="dxa"/>
            <w:gridSpan w:val="2"/>
            <w:vMerge w:val="restart"/>
            <w:vAlign w:val="center"/>
          </w:tcPr>
          <w:p w14:paraId="7ACBA69C">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p>
        </w:tc>
        <w:tc>
          <w:tcPr>
            <w:tcW w:w="6832" w:type="dxa"/>
            <w:gridSpan w:val="5"/>
            <w:vAlign w:val="center"/>
          </w:tcPr>
          <w:p w14:paraId="0CBA74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合计金额（小写）：</w:t>
            </w:r>
          </w:p>
        </w:tc>
      </w:tr>
      <w:tr w14:paraId="3243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8" w:type="dxa"/>
            <w:gridSpan w:val="2"/>
            <w:vMerge w:val="continue"/>
            <w:vAlign w:val="center"/>
          </w:tcPr>
          <w:p w14:paraId="102E04E7">
            <w:pPr>
              <w:spacing w:line="440" w:lineRule="exact"/>
              <w:rPr>
                <w:rFonts w:hint="eastAsia" w:asciiTheme="minorEastAsia" w:hAnsiTheme="minorEastAsia" w:eastAsiaTheme="minorEastAsia" w:cstheme="minorEastAsia"/>
                <w:sz w:val="24"/>
                <w:szCs w:val="24"/>
              </w:rPr>
            </w:pPr>
          </w:p>
        </w:tc>
        <w:tc>
          <w:tcPr>
            <w:tcW w:w="6832" w:type="dxa"/>
            <w:gridSpan w:val="5"/>
            <w:vAlign w:val="center"/>
          </w:tcPr>
          <w:p w14:paraId="333AC20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合计金额（大写）：</w:t>
            </w:r>
          </w:p>
        </w:tc>
      </w:tr>
    </w:tbl>
    <w:p w14:paraId="0A857CF7">
      <w:pPr>
        <w:spacing w:line="460" w:lineRule="atLeast"/>
        <w:rPr>
          <w:rFonts w:hint="eastAsia" w:asciiTheme="minorEastAsia" w:hAnsiTheme="minorEastAsia" w:eastAsiaTheme="minorEastAsia" w:cstheme="minorEastAsia"/>
          <w:b/>
          <w:sz w:val="24"/>
          <w:szCs w:val="24"/>
        </w:rPr>
      </w:pPr>
    </w:p>
    <w:p w14:paraId="3CF620F3">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供应商（盖公章）：</w:t>
      </w:r>
    </w:p>
    <w:p w14:paraId="1C495AE2">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法定代表人（签字或盖章）：</w:t>
      </w:r>
    </w:p>
    <w:p w14:paraId="6EA4CE58">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p w14:paraId="0B11D962">
      <w:pPr>
        <w:spacing w:line="440" w:lineRule="exact"/>
        <w:rPr>
          <w:rFonts w:hint="eastAsia" w:asciiTheme="minorEastAsia" w:hAnsiTheme="minorEastAsia" w:eastAsiaTheme="minorEastAsia" w:cstheme="minorEastAsia"/>
          <w:b/>
          <w:sz w:val="24"/>
          <w:szCs w:val="24"/>
        </w:rPr>
      </w:pPr>
    </w:p>
    <w:p w14:paraId="2AD4A747">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注：投标人应根据设备清单和软件清单进行分项填报，表中表格行数可自行添</w:t>
      </w:r>
    </w:p>
    <w:p w14:paraId="12C70B83">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加。招标文件中未列出的相关辅助材料和在实施过程中涉及到的其它一切费用应在报价时一并考虑，项目实施过程中不再单独结算。表中投标报价总计应与对应报价一览表中投标总价一致。</w:t>
      </w:r>
      <w:r>
        <w:rPr>
          <w:rFonts w:hint="eastAsia" w:asciiTheme="minorEastAsia" w:hAnsiTheme="minorEastAsia" w:eastAsiaTheme="minorEastAsia" w:cstheme="minorEastAsia"/>
          <w:sz w:val="24"/>
          <w:szCs w:val="24"/>
        </w:rPr>
        <w:br w:type="page"/>
      </w:r>
      <w:bookmarkStart w:id="128" w:name="_Toc18469"/>
      <w:bookmarkStart w:id="129" w:name="_Toc9578"/>
      <w:r>
        <w:rPr>
          <w:rFonts w:hint="eastAsia" w:asciiTheme="minorEastAsia" w:hAnsiTheme="minorEastAsia" w:eastAsiaTheme="minorEastAsia" w:cstheme="minorEastAsia"/>
          <w:b/>
          <w:sz w:val="24"/>
          <w:szCs w:val="24"/>
        </w:rPr>
        <w:t>附件</w:t>
      </w:r>
      <w:bookmarkEnd w:id="128"/>
      <w:bookmarkEnd w:id="129"/>
      <w:r>
        <w:rPr>
          <w:rFonts w:hint="eastAsia" w:asciiTheme="minorEastAsia" w:hAnsiTheme="minorEastAsia" w:eastAsiaTheme="minorEastAsia" w:cstheme="minorEastAsia"/>
          <w:b/>
          <w:sz w:val="24"/>
          <w:szCs w:val="24"/>
        </w:rPr>
        <w:t>3</w:t>
      </w:r>
    </w:p>
    <w:p w14:paraId="15CA0F11">
      <w:pPr>
        <w:spacing w:line="5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szCs w:val="24"/>
        </w:rPr>
        <w:t>供应商基本情况表</w:t>
      </w:r>
    </w:p>
    <w:tbl>
      <w:tblPr>
        <w:tblStyle w:val="30"/>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738"/>
        <w:gridCol w:w="707"/>
        <w:gridCol w:w="263"/>
        <w:gridCol w:w="525"/>
        <w:gridCol w:w="788"/>
        <w:gridCol w:w="919"/>
        <w:gridCol w:w="81"/>
        <w:gridCol w:w="1788"/>
      </w:tblGrid>
      <w:tr w14:paraId="5AE4F3EE">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8D38F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551B44">
            <w:pPr>
              <w:snapToGrid w:val="0"/>
              <w:spacing w:line="400" w:lineRule="exact"/>
              <w:rPr>
                <w:rFonts w:hint="eastAsia" w:asciiTheme="minorEastAsia" w:hAnsiTheme="minorEastAsia" w:eastAsiaTheme="minorEastAsia" w:cstheme="minorEastAsia"/>
                <w:sz w:val="24"/>
              </w:rPr>
            </w:pPr>
          </w:p>
        </w:tc>
      </w:tr>
      <w:tr w14:paraId="0065D5AE">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D0807B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详细地址</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B522AA4">
            <w:pPr>
              <w:snapToGrid w:val="0"/>
              <w:spacing w:line="400" w:lineRule="exact"/>
              <w:rPr>
                <w:rFonts w:hint="eastAsia" w:asciiTheme="minorEastAsia" w:hAnsiTheme="minorEastAsia" w:eastAsiaTheme="minorEastAsia" w:cstheme="minorEastAsia"/>
                <w:sz w:val="24"/>
              </w:rPr>
            </w:pPr>
          </w:p>
        </w:tc>
      </w:tr>
      <w:tr w14:paraId="41ED7D49">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BF011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主管部门</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F3EFC56">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80CDB4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5C56EA">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3F94F6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9CB0596">
            <w:pPr>
              <w:snapToGrid w:val="0"/>
              <w:spacing w:line="400" w:lineRule="exact"/>
              <w:rPr>
                <w:rFonts w:hint="eastAsia" w:asciiTheme="minorEastAsia" w:hAnsiTheme="minorEastAsia" w:eastAsiaTheme="minorEastAsia" w:cstheme="minorEastAsia"/>
                <w:sz w:val="24"/>
              </w:rPr>
            </w:pPr>
          </w:p>
        </w:tc>
      </w:tr>
      <w:tr w14:paraId="7B72DE19">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F37E11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经济类型</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9D0A3EF">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6524F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62B53B1">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B662A2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B16CA4">
            <w:pPr>
              <w:snapToGrid w:val="0"/>
              <w:spacing w:line="400" w:lineRule="exact"/>
              <w:rPr>
                <w:rFonts w:hint="eastAsia" w:asciiTheme="minorEastAsia" w:hAnsiTheme="minorEastAsia" w:eastAsiaTheme="minorEastAsia" w:cstheme="minorEastAsia"/>
                <w:sz w:val="24"/>
              </w:rPr>
            </w:pPr>
          </w:p>
        </w:tc>
      </w:tr>
      <w:tr w14:paraId="503D2E39">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B4D852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E46616">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A769C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F6421F0">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1591C1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4D1F480">
            <w:pPr>
              <w:snapToGrid w:val="0"/>
              <w:spacing w:line="400" w:lineRule="exact"/>
              <w:rPr>
                <w:rFonts w:hint="eastAsia" w:asciiTheme="minorEastAsia" w:hAnsiTheme="minorEastAsia" w:eastAsiaTheme="minorEastAsia" w:cstheme="minorEastAsia"/>
                <w:sz w:val="24"/>
              </w:rPr>
            </w:pPr>
          </w:p>
        </w:tc>
      </w:tr>
      <w:tr w14:paraId="6405324E">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519DDE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14:paraId="24C0747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简历</w:t>
            </w:r>
          </w:p>
          <w:p w14:paraId="0D302F7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及机构</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33566F0">
            <w:pPr>
              <w:snapToGrid w:val="0"/>
              <w:spacing w:line="400" w:lineRule="exact"/>
              <w:rPr>
                <w:rFonts w:hint="eastAsia" w:asciiTheme="minorEastAsia" w:hAnsiTheme="minorEastAsia" w:eastAsiaTheme="minorEastAsia" w:cstheme="minorEastAsia"/>
                <w:sz w:val="24"/>
              </w:rPr>
            </w:pPr>
          </w:p>
        </w:tc>
      </w:tr>
      <w:tr w14:paraId="620FAA67">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19D95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14:paraId="0A05137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优势</w:t>
            </w:r>
          </w:p>
          <w:p w14:paraId="7BACB78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及特长</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90A97F">
            <w:pPr>
              <w:snapToGrid w:val="0"/>
              <w:spacing w:line="400" w:lineRule="exact"/>
              <w:rPr>
                <w:rFonts w:hint="eastAsia" w:asciiTheme="minorEastAsia" w:hAnsiTheme="minorEastAsia" w:eastAsiaTheme="minorEastAsia" w:cstheme="minorEastAsia"/>
                <w:sz w:val="24"/>
              </w:rPr>
            </w:pPr>
          </w:p>
        </w:tc>
      </w:tr>
      <w:tr w14:paraId="50B8360F">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1DB84DD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w:t>
            </w:r>
          </w:p>
          <w:p w14:paraId="2380099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w:t>
            </w:r>
          </w:p>
          <w:p w14:paraId="263339C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概</w:t>
            </w:r>
          </w:p>
          <w:p w14:paraId="4666B7C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况</w:t>
            </w: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CD6F81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职工</w:t>
            </w:r>
          </w:p>
          <w:p w14:paraId="68A819E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总数</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CF382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人</w:t>
            </w: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BD582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生产工人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p>
        </w:tc>
      </w:tr>
      <w:tr w14:paraId="4BAE5EF1">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6E6E10AB">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837C7E">
            <w:pPr>
              <w:snapToGrid w:val="0"/>
              <w:spacing w:line="400" w:lineRule="exact"/>
              <w:jc w:val="center"/>
              <w:rPr>
                <w:rFonts w:hint="eastAsia" w:asciiTheme="minorEastAsia" w:hAnsiTheme="minorEastAsia" w:eastAsiaTheme="minorEastAsia" w:cstheme="minorEastAsia"/>
                <w:sz w:val="24"/>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1A0C5C0">
            <w:pPr>
              <w:snapToGrid w:val="0"/>
              <w:spacing w:line="400" w:lineRule="exact"/>
              <w:jc w:val="center"/>
              <w:rPr>
                <w:rFonts w:hint="eastAsia" w:asciiTheme="minorEastAsia" w:hAnsiTheme="minorEastAsia" w:eastAsiaTheme="minorEastAsia" w:cstheme="minorEastAsia"/>
                <w:sz w:val="24"/>
              </w:rPr>
            </w:pP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303ED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工程技术人员</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p>
        </w:tc>
      </w:tr>
      <w:tr w14:paraId="0E910D9A">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2F0464CB">
            <w:pPr>
              <w:snapToGrid w:val="0"/>
              <w:spacing w:line="400" w:lineRule="exact"/>
              <w:jc w:val="center"/>
              <w:rPr>
                <w:rFonts w:hint="eastAsia" w:asciiTheme="minorEastAsia" w:hAnsiTheme="minorEastAsia" w:eastAsiaTheme="minorEastAsia" w:cstheme="minorEastAsia"/>
                <w:sz w:val="24"/>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791B9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流动</w:t>
            </w:r>
          </w:p>
          <w:p w14:paraId="066E1E1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资金</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DE601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ECC28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w:t>
            </w:r>
          </w:p>
          <w:p w14:paraId="43AA248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w:t>
            </w:r>
          </w:p>
          <w:p w14:paraId="7A44610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w:t>
            </w:r>
          </w:p>
          <w:p w14:paraId="33895C4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源</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DC711E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自有资金</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5BD391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7BB36661">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5ADA67A8">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48C67D">
            <w:pPr>
              <w:snapToGrid w:val="0"/>
              <w:spacing w:line="400" w:lineRule="exact"/>
              <w:jc w:val="center"/>
              <w:rPr>
                <w:rFonts w:hint="eastAsia" w:asciiTheme="minorEastAsia" w:hAnsiTheme="minorEastAsia" w:eastAsiaTheme="minorEastAsia" w:cstheme="minorEastAsia"/>
                <w:sz w:val="24"/>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BF0318">
            <w:pPr>
              <w:snapToGrid w:val="0"/>
              <w:spacing w:line="400" w:lineRule="exact"/>
              <w:jc w:val="center"/>
              <w:rPr>
                <w:rFonts w:hint="eastAsia" w:asciiTheme="minorEastAsia" w:hAnsiTheme="minorEastAsia" w:eastAsiaTheme="minorEastAsia" w:cstheme="minorEastAsia"/>
                <w:sz w:val="24"/>
              </w:rPr>
            </w:pP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DFEF981">
            <w:pPr>
              <w:snapToGrid w:val="0"/>
              <w:spacing w:line="400" w:lineRule="exact"/>
              <w:jc w:val="center"/>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713D10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银行贷款</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6F14E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41C1B416">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108E738D">
            <w:pPr>
              <w:snapToGrid w:val="0"/>
              <w:spacing w:line="400" w:lineRule="exact"/>
              <w:jc w:val="center"/>
              <w:rPr>
                <w:rFonts w:hint="eastAsia" w:asciiTheme="minorEastAsia" w:hAnsiTheme="minorEastAsia" w:eastAsiaTheme="minorEastAsia" w:cstheme="minorEastAsia"/>
                <w:sz w:val="24"/>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B56A1D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固定</w:t>
            </w:r>
          </w:p>
          <w:p w14:paraId="05421A8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资产</w:t>
            </w: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980E6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原值万元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07332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w:t>
            </w:r>
          </w:p>
          <w:p w14:paraId="542C439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w:t>
            </w:r>
          </w:p>
          <w:p w14:paraId="6ACC803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w:t>
            </w:r>
          </w:p>
          <w:p w14:paraId="671D591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C845AA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9C2E8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3CD265D1">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3067C1BC">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00AFF0">
            <w:pPr>
              <w:snapToGrid w:val="0"/>
              <w:spacing w:line="400" w:lineRule="exact"/>
              <w:jc w:val="center"/>
              <w:rPr>
                <w:rFonts w:hint="eastAsia" w:asciiTheme="minorEastAsia" w:hAnsiTheme="minorEastAsia" w:eastAsiaTheme="minorEastAsia" w:cstheme="minorEastAsia"/>
                <w:sz w:val="24"/>
              </w:rPr>
            </w:pP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34890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净值万元</w:t>
            </w: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02230DC">
            <w:pPr>
              <w:snapToGrid w:val="0"/>
              <w:spacing w:line="400" w:lineRule="exact"/>
              <w:jc w:val="center"/>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34E3D6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C70C6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19ABB36D">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BFDB7A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w:t>
            </w:r>
          </w:p>
          <w:p w14:paraId="577B4D9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w:t>
            </w:r>
          </w:p>
          <w:p w14:paraId="6A741C3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状况</w:t>
            </w:r>
          </w:p>
          <w:p w14:paraId="788B91ED">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F8D7E8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年度</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6DE67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收入总额</w:t>
            </w: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E09F51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利润总额</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0E0B9B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税后利润</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CDBC3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负债总额</w:t>
            </w:r>
          </w:p>
        </w:tc>
      </w:tr>
      <w:tr w14:paraId="6803CD87">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D231A5">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4A784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4287FE">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2BE978">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242CBB1">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490523">
            <w:pPr>
              <w:snapToGrid w:val="0"/>
              <w:spacing w:line="400" w:lineRule="exact"/>
              <w:rPr>
                <w:rFonts w:hint="eastAsia" w:asciiTheme="minorEastAsia" w:hAnsiTheme="minorEastAsia" w:eastAsiaTheme="minorEastAsia" w:cstheme="minorEastAsia"/>
                <w:sz w:val="24"/>
              </w:rPr>
            </w:pPr>
          </w:p>
        </w:tc>
      </w:tr>
      <w:tr w14:paraId="296A8482">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680057C">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A2603B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9EEB86">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363B59">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4C8A35">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B70EE5F">
            <w:pPr>
              <w:snapToGrid w:val="0"/>
              <w:spacing w:line="400" w:lineRule="exact"/>
              <w:rPr>
                <w:rFonts w:hint="eastAsia" w:asciiTheme="minorEastAsia" w:hAnsiTheme="minorEastAsia" w:eastAsiaTheme="minorEastAsia" w:cstheme="minorEastAsia"/>
                <w:sz w:val="24"/>
              </w:rPr>
            </w:pPr>
          </w:p>
        </w:tc>
      </w:tr>
      <w:tr w14:paraId="5BE20728">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544A23">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51956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0704A0">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59266E">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28C647">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C9A18B6">
            <w:pPr>
              <w:snapToGrid w:val="0"/>
              <w:spacing w:line="400" w:lineRule="exact"/>
              <w:rPr>
                <w:rFonts w:hint="eastAsia" w:asciiTheme="minorEastAsia" w:hAnsiTheme="minorEastAsia" w:eastAsiaTheme="minorEastAsia" w:cstheme="minorEastAsia"/>
                <w:sz w:val="24"/>
              </w:rPr>
            </w:pPr>
          </w:p>
        </w:tc>
      </w:tr>
    </w:tbl>
    <w:p w14:paraId="02BAC082">
      <w:pPr>
        <w:spacing w:line="500" w:lineRule="exact"/>
        <w:ind w:firstLine="960" w:firstLineChars="4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rPr>
        <w:t>供应商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公章</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日期</w:t>
      </w:r>
      <w:r>
        <w:rPr>
          <w:rFonts w:hint="eastAsia" w:asciiTheme="minorEastAsia" w:hAnsiTheme="minorEastAsia" w:eastAsiaTheme="minorEastAsia" w:cstheme="minorEastAsia"/>
          <w:sz w:val="24"/>
          <w:lang w:eastAsia="zh-CN"/>
        </w:rPr>
        <w:t>：</w:t>
      </w:r>
    </w:p>
    <w:p w14:paraId="7F3CDF93">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30" w:name="_Toc9379"/>
      <w:bookmarkStart w:id="131" w:name="_Toc14127"/>
      <w:r>
        <w:rPr>
          <w:rFonts w:hint="eastAsia" w:asciiTheme="minorEastAsia" w:hAnsiTheme="minorEastAsia" w:eastAsiaTheme="minorEastAsia" w:cstheme="minorEastAsia"/>
          <w:b/>
          <w:bCs/>
          <w:sz w:val="24"/>
          <w:szCs w:val="24"/>
        </w:rPr>
        <w:t>附件</w:t>
      </w:r>
      <w:bookmarkEnd w:id="130"/>
      <w:bookmarkEnd w:id="131"/>
      <w:r>
        <w:rPr>
          <w:rFonts w:hint="eastAsia" w:asciiTheme="minorEastAsia" w:hAnsiTheme="minorEastAsia" w:eastAsiaTheme="minorEastAsia" w:cstheme="minorEastAsia"/>
          <w:b/>
          <w:bCs/>
          <w:sz w:val="24"/>
          <w:szCs w:val="24"/>
        </w:rPr>
        <w:t>4</w:t>
      </w:r>
    </w:p>
    <w:p w14:paraId="3A4E6B0C">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法定代表人身份证明书</w:t>
      </w:r>
    </w:p>
    <w:p w14:paraId="59B282DC">
      <w:pPr>
        <w:spacing w:line="500" w:lineRule="exact"/>
        <w:rPr>
          <w:rFonts w:hint="eastAsia" w:asciiTheme="minorEastAsia" w:hAnsiTheme="minorEastAsia" w:eastAsiaTheme="minorEastAsia" w:cstheme="minorEastAsia"/>
          <w:sz w:val="24"/>
          <w:szCs w:val="24"/>
        </w:rPr>
      </w:pPr>
    </w:p>
    <w:p w14:paraId="20295B17">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p>
    <w:p w14:paraId="0A6BD41F">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所属行业：</w:t>
      </w:r>
    </w:p>
    <w:p w14:paraId="009484A9">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1704F719">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营业期限：</w:t>
      </w:r>
    </w:p>
    <w:p w14:paraId="1DB1F7A2">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成立时间：</w:t>
      </w:r>
    </w:p>
    <w:p w14:paraId="5E96011B">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经营范围：</w:t>
      </w:r>
    </w:p>
    <w:p w14:paraId="095A061F">
      <w:pPr>
        <w:spacing w:line="500" w:lineRule="exact"/>
        <w:rPr>
          <w:rFonts w:hint="eastAsia" w:asciiTheme="minorEastAsia" w:hAnsiTheme="minorEastAsia" w:eastAsiaTheme="minorEastAsia" w:cstheme="minorEastAsia"/>
          <w:sz w:val="24"/>
          <w:szCs w:val="24"/>
        </w:rPr>
      </w:pPr>
    </w:p>
    <w:p w14:paraId="0D07402F">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    性别：   年龄：     职务：</w:t>
      </w:r>
    </w:p>
    <w:p w14:paraId="2F97577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w:t>
      </w:r>
      <w:r>
        <w:rPr>
          <w:rFonts w:hint="eastAsia" w:asciiTheme="minorEastAsia" w:hAnsiTheme="minorEastAsia" w:eastAsiaTheme="minorEastAsia" w:cstheme="minorEastAsia"/>
          <w:sz w:val="24"/>
          <w:szCs w:val="24"/>
        </w:rPr>
        <w:t>的法定代表人。</w:t>
      </w:r>
    </w:p>
    <w:p w14:paraId="4A1F4130">
      <w:pPr>
        <w:spacing w:line="500" w:lineRule="exact"/>
        <w:rPr>
          <w:rFonts w:hint="eastAsia" w:asciiTheme="minorEastAsia" w:hAnsiTheme="minorEastAsia" w:eastAsiaTheme="minorEastAsia" w:cstheme="minorEastAsia"/>
          <w:sz w:val="24"/>
          <w:szCs w:val="24"/>
        </w:rPr>
      </w:pPr>
    </w:p>
    <w:p w14:paraId="3DC37E4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8A6A265"/>
                          <w:p w14:paraId="124DFDD0"/>
                          <w:p w14:paraId="03991D41"/>
                          <w:p w14:paraId="78957268"/>
                          <w:p w14:paraId="4E2DCCA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151DED48">
                            <w:pPr>
                              <w:jc w:val="center"/>
                              <w:rPr>
                                <w:rFonts w:hint="eastAsia" w:ascii="仿宋" w:hAnsi="仿宋" w:eastAsia="仿宋"/>
                                <w:sz w:val="36"/>
                                <w:szCs w:val="36"/>
                              </w:rPr>
                            </w:pPr>
                            <w:r>
                              <w:rPr>
                                <w:rFonts w:hint="eastAsia" w:ascii="仿宋" w:hAnsi="仿宋" w:eastAsia="仿宋"/>
                                <w:sz w:val="36"/>
                                <w:szCs w:val="36"/>
                              </w:rPr>
                              <w:t>（正面）</w:t>
                            </w:r>
                          </w:p>
                          <w:p w14:paraId="7D6B5577"/>
                          <w:p w14:paraId="1B4A2AA0"/>
                          <w:p w14:paraId="29BD7194"/>
                          <w:p w14:paraId="7F2CE89A"/>
                          <w:p w14:paraId="10B0B7DD"/>
                          <w:p w14:paraId="52D7FCFB"/>
                          <w:p w14:paraId="0E8EBF5F">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48A6A265"/>
                    <w:p w14:paraId="124DFDD0"/>
                    <w:p w14:paraId="03991D41"/>
                    <w:p w14:paraId="78957268"/>
                    <w:p w14:paraId="4E2DCCA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151DED48">
                      <w:pPr>
                        <w:jc w:val="center"/>
                        <w:rPr>
                          <w:rFonts w:hint="eastAsia" w:ascii="仿宋" w:hAnsi="仿宋" w:eastAsia="仿宋"/>
                          <w:sz w:val="36"/>
                          <w:szCs w:val="36"/>
                        </w:rPr>
                      </w:pPr>
                      <w:r>
                        <w:rPr>
                          <w:rFonts w:hint="eastAsia" w:ascii="仿宋" w:hAnsi="仿宋" w:eastAsia="仿宋"/>
                          <w:sz w:val="36"/>
                          <w:szCs w:val="36"/>
                        </w:rPr>
                        <w:t>（正面）</w:t>
                      </w:r>
                    </w:p>
                    <w:p w14:paraId="7D6B5577"/>
                    <w:p w14:paraId="1B4A2AA0"/>
                    <w:p w14:paraId="29BD7194"/>
                    <w:p w14:paraId="7F2CE89A"/>
                    <w:p w14:paraId="10B0B7DD"/>
                    <w:p w14:paraId="52D7FCFB"/>
                    <w:p w14:paraId="0E8EBF5F">
                      <w:pPr>
                        <w:rPr>
                          <w:sz w:val="32"/>
                          <w:szCs w:val="32"/>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9E6B605"/>
                          <w:p w14:paraId="0373DA7C"/>
                          <w:p w14:paraId="099A0365"/>
                          <w:p w14:paraId="4007A6BB"/>
                          <w:p w14:paraId="0CE466BC">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1543D51D">
                            <w:pPr>
                              <w:jc w:val="center"/>
                              <w:rPr>
                                <w:rFonts w:hint="eastAsia" w:ascii="仿宋" w:hAnsi="仿宋" w:eastAsia="仿宋"/>
                                <w:sz w:val="36"/>
                                <w:szCs w:val="36"/>
                              </w:rPr>
                            </w:pPr>
                            <w:r>
                              <w:rPr>
                                <w:rFonts w:hint="eastAsia" w:ascii="仿宋" w:hAnsi="仿宋" w:eastAsia="仿宋"/>
                                <w:sz w:val="36"/>
                                <w:szCs w:val="36"/>
                              </w:rPr>
                              <w:t>（背面）</w:t>
                            </w:r>
                          </w:p>
                          <w:p w14:paraId="0702B2F9"/>
                          <w:p w14:paraId="404417A4"/>
                          <w:p w14:paraId="69772554"/>
                          <w:p w14:paraId="470DB4A1"/>
                          <w:p w14:paraId="1A887B3B"/>
                          <w:p w14:paraId="3B4FD25F"/>
                          <w:p w14:paraId="65037CDE">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59E6B605"/>
                    <w:p w14:paraId="0373DA7C"/>
                    <w:p w14:paraId="099A0365"/>
                    <w:p w14:paraId="4007A6BB"/>
                    <w:p w14:paraId="0CE466BC">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1543D51D">
                      <w:pPr>
                        <w:jc w:val="center"/>
                        <w:rPr>
                          <w:rFonts w:hint="eastAsia" w:ascii="仿宋" w:hAnsi="仿宋" w:eastAsia="仿宋"/>
                          <w:sz w:val="36"/>
                          <w:szCs w:val="36"/>
                        </w:rPr>
                      </w:pPr>
                      <w:r>
                        <w:rPr>
                          <w:rFonts w:hint="eastAsia" w:ascii="仿宋" w:hAnsi="仿宋" w:eastAsia="仿宋"/>
                          <w:sz w:val="36"/>
                          <w:szCs w:val="36"/>
                        </w:rPr>
                        <w:t>（背面）</w:t>
                      </w:r>
                    </w:p>
                    <w:p w14:paraId="0702B2F9"/>
                    <w:p w14:paraId="404417A4"/>
                    <w:p w14:paraId="69772554"/>
                    <w:p w14:paraId="470DB4A1"/>
                    <w:p w14:paraId="1A887B3B"/>
                    <w:p w14:paraId="3B4FD25F"/>
                    <w:p w14:paraId="65037CDE">
                      <w:pPr>
                        <w:rPr>
                          <w:sz w:val="32"/>
                          <w:szCs w:val="32"/>
                        </w:rPr>
                      </w:pPr>
                    </w:p>
                  </w:txbxContent>
                </v:textbox>
              </v:shape>
            </w:pict>
          </mc:Fallback>
        </mc:AlternateContent>
      </w:r>
    </w:p>
    <w:p w14:paraId="20A42A9C">
      <w:pPr>
        <w:spacing w:line="360" w:lineRule="exact"/>
        <w:rPr>
          <w:rFonts w:hint="eastAsia" w:asciiTheme="minorEastAsia" w:hAnsiTheme="minorEastAsia" w:eastAsiaTheme="minorEastAsia" w:cstheme="minorEastAsia"/>
          <w:sz w:val="24"/>
          <w:szCs w:val="24"/>
        </w:rPr>
      </w:pPr>
    </w:p>
    <w:p w14:paraId="1B89C85A">
      <w:pPr>
        <w:spacing w:line="360" w:lineRule="exact"/>
        <w:rPr>
          <w:rFonts w:hint="eastAsia" w:asciiTheme="minorEastAsia" w:hAnsiTheme="minorEastAsia" w:eastAsiaTheme="minorEastAsia" w:cstheme="minorEastAsia"/>
          <w:sz w:val="24"/>
          <w:szCs w:val="24"/>
        </w:rPr>
      </w:pPr>
    </w:p>
    <w:p w14:paraId="3C5A6BDE">
      <w:pPr>
        <w:spacing w:line="360" w:lineRule="exact"/>
        <w:rPr>
          <w:rFonts w:hint="eastAsia" w:asciiTheme="minorEastAsia" w:hAnsiTheme="minorEastAsia" w:eastAsiaTheme="minorEastAsia" w:cstheme="minorEastAsia"/>
          <w:sz w:val="24"/>
          <w:szCs w:val="24"/>
        </w:rPr>
      </w:pPr>
    </w:p>
    <w:p w14:paraId="4A735CEE">
      <w:pPr>
        <w:spacing w:line="360" w:lineRule="exact"/>
        <w:rPr>
          <w:rFonts w:hint="eastAsia" w:asciiTheme="minorEastAsia" w:hAnsiTheme="minorEastAsia" w:eastAsiaTheme="minorEastAsia" w:cstheme="minorEastAsia"/>
          <w:sz w:val="24"/>
          <w:szCs w:val="24"/>
        </w:rPr>
      </w:pPr>
    </w:p>
    <w:p w14:paraId="21BEB521">
      <w:pPr>
        <w:spacing w:line="360" w:lineRule="exact"/>
        <w:rPr>
          <w:rFonts w:hint="eastAsia" w:asciiTheme="minorEastAsia" w:hAnsiTheme="minorEastAsia" w:eastAsiaTheme="minorEastAsia" w:cstheme="minorEastAsia"/>
          <w:sz w:val="24"/>
          <w:szCs w:val="24"/>
        </w:rPr>
      </w:pPr>
    </w:p>
    <w:p w14:paraId="240822C2">
      <w:pPr>
        <w:spacing w:line="360" w:lineRule="exact"/>
        <w:rPr>
          <w:rFonts w:hint="eastAsia" w:asciiTheme="minorEastAsia" w:hAnsiTheme="minorEastAsia" w:eastAsiaTheme="minorEastAsia" w:cstheme="minorEastAsia"/>
          <w:sz w:val="24"/>
          <w:szCs w:val="24"/>
        </w:rPr>
      </w:pPr>
    </w:p>
    <w:p w14:paraId="6DCDD4C0">
      <w:pPr>
        <w:spacing w:line="360" w:lineRule="exact"/>
        <w:rPr>
          <w:rFonts w:hint="eastAsia" w:asciiTheme="minorEastAsia" w:hAnsiTheme="minorEastAsia" w:eastAsiaTheme="minorEastAsia" w:cstheme="minorEastAsia"/>
          <w:sz w:val="24"/>
          <w:szCs w:val="24"/>
        </w:rPr>
      </w:pPr>
    </w:p>
    <w:p w14:paraId="3EFDF167">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373A9541">
      <w:pPr>
        <w:spacing w:line="500" w:lineRule="exact"/>
        <w:rPr>
          <w:rFonts w:hint="eastAsia" w:asciiTheme="minorEastAsia" w:hAnsiTheme="minorEastAsia" w:eastAsiaTheme="minorEastAsia" w:cstheme="minorEastAsia"/>
          <w:sz w:val="24"/>
          <w:szCs w:val="24"/>
        </w:rPr>
      </w:pPr>
    </w:p>
    <w:p w14:paraId="7EE6CEA2">
      <w:pPr>
        <w:spacing w:line="500" w:lineRule="exact"/>
        <w:rPr>
          <w:rFonts w:hint="eastAsia" w:asciiTheme="minorEastAsia" w:hAnsiTheme="minorEastAsia" w:eastAsiaTheme="minorEastAsia" w:cstheme="minorEastAsia"/>
          <w:sz w:val="24"/>
          <w:szCs w:val="24"/>
        </w:rPr>
      </w:pPr>
    </w:p>
    <w:p w14:paraId="2632EBD4">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4CE88E87">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法定代表人（签字或盖章）：</w:t>
      </w:r>
    </w:p>
    <w:p w14:paraId="370C01DF">
      <w:pPr>
        <w:tabs>
          <w:tab w:val="left" w:pos="3780"/>
        </w:tabs>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0B577C8F">
      <w:pPr>
        <w:spacing w:line="500" w:lineRule="exact"/>
        <w:rPr>
          <w:rFonts w:hint="eastAsia" w:asciiTheme="minorEastAsia" w:hAnsiTheme="minorEastAsia" w:eastAsiaTheme="minorEastAsia" w:cstheme="minorEastAsia"/>
          <w:b/>
          <w:bCs/>
          <w:sz w:val="24"/>
          <w:szCs w:val="24"/>
        </w:rPr>
      </w:pPr>
    </w:p>
    <w:p w14:paraId="6B52FA64">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32" w:name="_Toc15715"/>
      <w:bookmarkStart w:id="133" w:name="_Toc29145"/>
      <w:r>
        <w:rPr>
          <w:rFonts w:hint="eastAsia" w:asciiTheme="minorEastAsia" w:hAnsiTheme="minorEastAsia" w:eastAsiaTheme="minorEastAsia" w:cstheme="minorEastAsia"/>
          <w:b/>
          <w:bCs/>
          <w:sz w:val="24"/>
          <w:szCs w:val="24"/>
        </w:rPr>
        <w:t>附件</w:t>
      </w:r>
      <w:bookmarkEnd w:id="132"/>
      <w:bookmarkEnd w:id="133"/>
      <w:r>
        <w:rPr>
          <w:rFonts w:hint="eastAsia" w:asciiTheme="minorEastAsia" w:hAnsiTheme="minorEastAsia" w:eastAsiaTheme="minorEastAsia" w:cstheme="minorEastAsia"/>
          <w:b/>
          <w:bCs/>
          <w:sz w:val="24"/>
          <w:szCs w:val="24"/>
        </w:rPr>
        <w:t>5</w:t>
      </w:r>
    </w:p>
    <w:p w14:paraId="102B2EA9">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法定代表人授权委托书</w:t>
      </w:r>
    </w:p>
    <w:p w14:paraId="20FB3DEE">
      <w:pPr>
        <w:spacing w:line="500" w:lineRule="exact"/>
        <w:jc w:val="center"/>
        <w:rPr>
          <w:rFonts w:hint="eastAsia" w:asciiTheme="minorEastAsia" w:hAnsiTheme="minorEastAsia" w:eastAsiaTheme="minorEastAsia" w:cstheme="minorEastAsia"/>
          <w:b/>
          <w:bCs/>
          <w:sz w:val="24"/>
          <w:szCs w:val="24"/>
        </w:rPr>
      </w:pPr>
    </w:p>
    <w:p w14:paraId="50852C91">
      <w:pPr>
        <w:spacing w:line="500" w:lineRule="exact"/>
        <w:ind w:firstLine="453" w:firstLineChars="18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本授权委托书声明：我系</w:t>
      </w:r>
      <w:r>
        <w:rPr>
          <w:rFonts w:hint="eastAsia" w:asciiTheme="minorEastAsia" w:hAnsiTheme="minorEastAsia" w:eastAsiaTheme="minorEastAsia" w:cstheme="minorEastAsia"/>
          <w:bCs/>
          <w:sz w:val="24"/>
          <w:szCs w:val="24"/>
          <w:u w:val="single"/>
        </w:rPr>
        <w:t xml:space="preserve">                             （供应商）</w:t>
      </w:r>
      <w:r>
        <w:rPr>
          <w:rFonts w:hint="eastAsia" w:asciiTheme="minorEastAsia" w:hAnsiTheme="minorEastAsia" w:eastAsiaTheme="minorEastAsia" w:cstheme="minorEastAsia"/>
          <w:bCs/>
          <w:sz w:val="24"/>
          <w:szCs w:val="24"/>
        </w:rPr>
        <w:t>的法定代表人，现授权委托</w:t>
      </w:r>
      <w:r>
        <w:rPr>
          <w:rFonts w:hint="eastAsia" w:asciiTheme="minorEastAsia" w:hAnsiTheme="minorEastAsia" w:eastAsiaTheme="minorEastAsia" w:cstheme="minorEastAsia"/>
          <w:bCs/>
          <w:sz w:val="24"/>
          <w:szCs w:val="24"/>
          <w:u w:val="single"/>
        </w:rPr>
        <w:t xml:space="preserve">           （供应商）</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为我的代理人，以</w:t>
      </w:r>
      <w:r>
        <w:rPr>
          <w:rFonts w:hint="eastAsia" w:asciiTheme="minorEastAsia" w:hAnsiTheme="minorEastAsia" w:eastAsiaTheme="minorEastAsia" w:cstheme="minorEastAsia"/>
          <w:bCs/>
          <w:sz w:val="24"/>
          <w:szCs w:val="24"/>
          <w:u w:val="single"/>
        </w:rPr>
        <w:t>（供应商）</w:t>
      </w:r>
      <w:r>
        <w:rPr>
          <w:rFonts w:hint="eastAsia" w:asciiTheme="minorEastAsia" w:hAnsiTheme="minorEastAsia" w:eastAsiaTheme="minorEastAsia" w:cstheme="minorEastAsia"/>
          <w:bCs/>
          <w:sz w:val="24"/>
          <w:szCs w:val="24"/>
        </w:rPr>
        <w:t>的名义参加</w:t>
      </w:r>
      <w:r>
        <w:rPr>
          <w:rFonts w:hint="eastAsia" w:asciiTheme="minorEastAsia" w:hAnsiTheme="minorEastAsia" w:eastAsiaTheme="minorEastAsia" w:cstheme="minorEastAsia"/>
          <w:bCs/>
          <w:sz w:val="24"/>
          <w:szCs w:val="24"/>
          <w:u w:val="single"/>
        </w:rPr>
        <w:t>（项目名称和</w:t>
      </w:r>
      <w:r>
        <w:rPr>
          <w:rFonts w:hint="eastAsia" w:asciiTheme="minorEastAsia" w:hAnsiTheme="minorEastAsia" w:eastAsiaTheme="minorEastAsia" w:cstheme="minorEastAsia"/>
          <w:bCs/>
          <w:sz w:val="24"/>
          <w:szCs w:val="24"/>
          <w:u w:val="single"/>
          <w:lang w:eastAsia="zh-CN"/>
        </w:rPr>
        <w:t>项目编号</w:t>
      </w:r>
      <w:r>
        <w:rPr>
          <w:rFonts w:hint="eastAsia" w:asciiTheme="minorEastAsia" w:hAnsiTheme="minorEastAsia" w:eastAsiaTheme="minorEastAsia" w:cstheme="minorEastAsia"/>
          <w:bCs/>
          <w:sz w:val="24"/>
          <w:szCs w:val="24"/>
          <w:u w:val="single"/>
        </w:rPr>
        <w:t>）</w:t>
      </w:r>
      <w:r>
        <w:rPr>
          <w:rFonts w:hint="eastAsia" w:asciiTheme="minorEastAsia" w:hAnsiTheme="minorEastAsia" w:eastAsiaTheme="minorEastAsia" w:cstheme="minorEastAsia"/>
          <w:bCs/>
          <w:sz w:val="24"/>
          <w:szCs w:val="24"/>
        </w:rPr>
        <w:t>招标项目的投标活动。代理人在参加整个招标投标活动所签署的一切文件和处理与之相关的一切</w:t>
      </w:r>
      <w:r>
        <w:rPr>
          <w:rFonts w:hint="eastAsia" w:asciiTheme="minorEastAsia" w:hAnsiTheme="minorEastAsia" w:eastAsiaTheme="minorEastAsia" w:cstheme="minorEastAsia"/>
          <w:bCs/>
          <w:sz w:val="24"/>
          <w:szCs w:val="24"/>
          <w:lang w:eastAsia="zh-CN"/>
        </w:rPr>
        <w:t>事务</w:t>
      </w:r>
      <w:r>
        <w:rPr>
          <w:rFonts w:hint="eastAsia" w:asciiTheme="minorEastAsia" w:hAnsiTheme="minorEastAsia" w:eastAsiaTheme="minorEastAsia" w:cstheme="minorEastAsia"/>
          <w:bCs/>
          <w:sz w:val="24"/>
          <w:szCs w:val="24"/>
        </w:rPr>
        <w:t>，我均予承认。</w:t>
      </w:r>
    </w:p>
    <w:p w14:paraId="3236BD3C">
      <w:pPr>
        <w:spacing w:line="5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代理人：   性别：  年龄：</w:t>
      </w:r>
    </w:p>
    <w:p w14:paraId="2F08C3AD">
      <w:pPr>
        <w:spacing w:line="500" w:lineRule="exact"/>
        <w:ind w:firstLine="453" w:firstLineChars="18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部  门：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职务：</w:t>
      </w:r>
    </w:p>
    <w:p w14:paraId="2AC3652A">
      <w:pPr>
        <w:spacing w:line="3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B17BB0E"/>
                          <w:p w14:paraId="408D6C1F"/>
                          <w:p w14:paraId="2324B52C"/>
                          <w:p w14:paraId="70F4A1E6"/>
                          <w:p w14:paraId="367A5677">
                            <w:pPr>
                              <w:jc w:val="center"/>
                              <w:rPr>
                                <w:rFonts w:hint="eastAsia" w:ascii="仿宋" w:hAnsi="仿宋" w:eastAsia="仿宋"/>
                                <w:sz w:val="36"/>
                                <w:szCs w:val="36"/>
                              </w:rPr>
                            </w:pPr>
                            <w:r>
                              <w:rPr>
                                <w:rFonts w:hint="eastAsia" w:ascii="仿宋" w:hAnsi="仿宋" w:eastAsia="仿宋"/>
                                <w:sz w:val="36"/>
                                <w:szCs w:val="36"/>
                              </w:rPr>
                              <w:t>代理人身份证复印件</w:t>
                            </w:r>
                          </w:p>
                          <w:p w14:paraId="7B767A4F">
                            <w:pPr>
                              <w:jc w:val="center"/>
                              <w:rPr>
                                <w:rFonts w:hint="eastAsia" w:ascii="仿宋" w:hAnsi="仿宋" w:eastAsia="仿宋"/>
                                <w:sz w:val="36"/>
                                <w:szCs w:val="36"/>
                              </w:rPr>
                            </w:pPr>
                            <w:r>
                              <w:rPr>
                                <w:rFonts w:hint="eastAsia" w:ascii="仿宋" w:hAnsi="仿宋" w:eastAsia="仿宋"/>
                                <w:sz w:val="36"/>
                                <w:szCs w:val="36"/>
                              </w:rPr>
                              <w:t>（正面）</w:t>
                            </w:r>
                          </w:p>
                          <w:p w14:paraId="37F2D77E"/>
                          <w:p w14:paraId="1806FC73"/>
                          <w:p w14:paraId="5701C642"/>
                          <w:p w14:paraId="4A24A59F"/>
                          <w:p w14:paraId="22FE6321"/>
                          <w:p w14:paraId="73C7F773"/>
                          <w:p w14:paraId="0413C8F1">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1B17BB0E"/>
                    <w:p w14:paraId="408D6C1F"/>
                    <w:p w14:paraId="2324B52C"/>
                    <w:p w14:paraId="70F4A1E6"/>
                    <w:p w14:paraId="367A5677">
                      <w:pPr>
                        <w:jc w:val="center"/>
                        <w:rPr>
                          <w:rFonts w:hint="eastAsia" w:ascii="仿宋" w:hAnsi="仿宋" w:eastAsia="仿宋"/>
                          <w:sz w:val="36"/>
                          <w:szCs w:val="36"/>
                        </w:rPr>
                      </w:pPr>
                      <w:r>
                        <w:rPr>
                          <w:rFonts w:hint="eastAsia" w:ascii="仿宋" w:hAnsi="仿宋" w:eastAsia="仿宋"/>
                          <w:sz w:val="36"/>
                          <w:szCs w:val="36"/>
                        </w:rPr>
                        <w:t>代理人身份证复印件</w:t>
                      </w:r>
                    </w:p>
                    <w:p w14:paraId="7B767A4F">
                      <w:pPr>
                        <w:jc w:val="center"/>
                        <w:rPr>
                          <w:rFonts w:hint="eastAsia" w:ascii="仿宋" w:hAnsi="仿宋" w:eastAsia="仿宋"/>
                          <w:sz w:val="36"/>
                          <w:szCs w:val="36"/>
                        </w:rPr>
                      </w:pPr>
                      <w:r>
                        <w:rPr>
                          <w:rFonts w:hint="eastAsia" w:ascii="仿宋" w:hAnsi="仿宋" w:eastAsia="仿宋"/>
                          <w:sz w:val="36"/>
                          <w:szCs w:val="36"/>
                        </w:rPr>
                        <w:t>（正面）</w:t>
                      </w:r>
                    </w:p>
                    <w:p w14:paraId="37F2D77E"/>
                    <w:p w14:paraId="1806FC73"/>
                    <w:p w14:paraId="5701C642"/>
                    <w:p w14:paraId="4A24A59F"/>
                    <w:p w14:paraId="22FE6321"/>
                    <w:p w14:paraId="73C7F773"/>
                    <w:p w14:paraId="0413C8F1">
                      <w:pPr>
                        <w:rPr>
                          <w:sz w:val="32"/>
                          <w:szCs w:val="32"/>
                        </w:rPr>
                      </w:pPr>
                    </w:p>
                  </w:txbxContent>
                </v:textbox>
              </v:shape>
            </w:pict>
          </mc:Fallback>
        </mc:AlternateContent>
      </w: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FD0F94C"/>
                          <w:p w14:paraId="730084FE"/>
                          <w:p w14:paraId="6C3A6B18"/>
                          <w:p w14:paraId="55172651"/>
                          <w:p w14:paraId="6010681C">
                            <w:pPr>
                              <w:jc w:val="center"/>
                              <w:rPr>
                                <w:rFonts w:hint="eastAsia" w:ascii="仿宋" w:hAnsi="仿宋" w:eastAsia="仿宋"/>
                                <w:sz w:val="36"/>
                                <w:szCs w:val="36"/>
                              </w:rPr>
                            </w:pPr>
                            <w:r>
                              <w:rPr>
                                <w:rFonts w:hint="eastAsia" w:ascii="仿宋" w:hAnsi="仿宋" w:eastAsia="仿宋"/>
                                <w:sz w:val="36"/>
                                <w:szCs w:val="36"/>
                              </w:rPr>
                              <w:t>代理人身份证复印件</w:t>
                            </w:r>
                          </w:p>
                          <w:p w14:paraId="22C22544">
                            <w:pPr>
                              <w:jc w:val="center"/>
                              <w:rPr>
                                <w:rFonts w:hint="eastAsia" w:ascii="仿宋" w:hAnsi="仿宋" w:eastAsia="仿宋"/>
                                <w:sz w:val="36"/>
                                <w:szCs w:val="36"/>
                              </w:rPr>
                            </w:pPr>
                            <w:r>
                              <w:rPr>
                                <w:rFonts w:hint="eastAsia" w:ascii="仿宋" w:hAnsi="仿宋" w:eastAsia="仿宋"/>
                                <w:sz w:val="36"/>
                                <w:szCs w:val="36"/>
                              </w:rPr>
                              <w:t>（背面）</w:t>
                            </w:r>
                          </w:p>
                          <w:p w14:paraId="32A4CCA3"/>
                          <w:p w14:paraId="6EFE1EBD"/>
                          <w:p w14:paraId="1EDA04EF"/>
                          <w:p w14:paraId="10A2C114"/>
                          <w:p w14:paraId="37416CE5"/>
                          <w:p w14:paraId="1708C664"/>
                          <w:p w14:paraId="0E600A96">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4FD0F94C"/>
                    <w:p w14:paraId="730084FE"/>
                    <w:p w14:paraId="6C3A6B18"/>
                    <w:p w14:paraId="55172651"/>
                    <w:p w14:paraId="6010681C">
                      <w:pPr>
                        <w:jc w:val="center"/>
                        <w:rPr>
                          <w:rFonts w:hint="eastAsia" w:ascii="仿宋" w:hAnsi="仿宋" w:eastAsia="仿宋"/>
                          <w:sz w:val="36"/>
                          <w:szCs w:val="36"/>
                        </w:rPr>
                      </w:pPr>
                      <w:r>
                        <w:rPr>
                          <w:rFonts w:hint="eastAsia" w:ascii="仿宋" w:hAnsi="仿宋" w:eastAsia="仿宋"/>
                          <w:sz w:val="36"/>
                          <w:szCs w:val="36"/>
                        </w:rPr>
                        <w:t>代理人身份证复印件</w:t>
                      </w:r>
                    </w:p>
                    <w:p w14:paraId="22C22544">
                      <w:pPr>
                        <w:jc w:val="center"/>
                        <w:rPr>
                          <w:rFonts w:hint="eastAsia" w:ascii="仿宋" w:hAnsi="仿宋" w:eastAsia="仿宋"/>
                          <w:sz w:val="36"/>
                          <w:szCs w:val="36"/>
                        </w:rPr>
                      </w:pPr>
                      <w:r>
                        <w:rPr>
                          <w:rFonts w:hint="eastAsia" w:ascii="仿宋" w:hAnsi="仿宋" w:eastAsia="仿宋"/>
                          <w:sz w:val="36"/>
                          <w:szCs w:val="36"/>
                        </w:rPr>
                        <w:t>（背面）</w:t>
                      </w:r>
                    </w:p>
                    <w:p w14:paraId="32A4CCA3"/>
                    <w:p w14:paraId="6EFE1EBD"/>
                    <w:p w14:paraId="1EDA04EF"/>
                    <w:p w14:paraId="10A2C114"/>
                    <w:p w14:paraId="37416CE5"/>
                    <w:p w14:paraId="1708C664"/>
                    <w:p w14:paraId="0E600A96">
                      <w:pPr>
                        <w:rPr>
                          <w:sz w:val="32"/>
                          <w:szCs w:val="32"/>
                        </w:rPr>
                      </w:pPr>
                    </w:p>
                  </w:txbxContent>
                </v:textbox>
              </v:shape>
            </w:pict>
          </mc:Fallback>
        </mc:AlternateContent>
      </w:r>
    </w:p>
    <w:p w14:paraId="77BD2B1D">
      <w:pPr>
        <w:spacing w:line="360" w:lineRule="exact"/>
        <w:rPr>
          <w:rFonts w:hint="eastAsia" w:asciiTheme="minorEastAsia" w:hAnsiTheme="minorEastAsia" w:eastAsiaTheme="minorEastAsia" w:cstheme="minorEastAsia"/>
          <w:bCs/>
          <w:sz w:val="24"/>
          <w:szCs w:val="24"/>
        </w:rPr>
      </w:pPr>
    </w:p>
    <w:p w14:paraId="4FAB6CC1">
      <w:pPr>
        <w:spacing w:line="360" w:lineRule="exact"/>
        <w:rPr>
          <w:rFonts w:hint="eastAsia" w:asciiTheme="minorEastAsia" w:hAnsiTheme="minorEastAsia" w:eastAsiaTheme="minorEastAsia" w:cstheme="minorEastAsia"/>
          <w:bCs/>
          <w:sz w:val="24"/>
          <w:szCs w:val="24"/>
        </w:rPr>
      </w:pPr>
    </w:p>
    <w:p w14:paraId="65ED4C82">
      <w:pPr>
        <w:spacing w:line="360" w:lineRule="exact"/>
        <w:rPr>
          <w:rFonts w:hint="eastAsia" w:asciiTheme="minorEastAsia" w:hAnsiTheme="minorEastAsia" w:eastAsiaTheme="minorEastAsia" w:cstheme="minorEastAsia"/>
          <w:bCs/>
          <w:sz w:val="24"/>
          <w:szCs w:val="24"/>
        </w:rPr>
      </w:pPr>
    </w:p>
    <w:p w14:paraId="055F38F9">
      <w:pPr>
        <w:spacing w:line="360" w:lineRule="exact"/>
        <w:rPr>
          <w:rFonts w:hint="eastAsia" w:asciiTheme="minorEastAsia" w:hAnsiTheme="minorEastAsia" w:eastAsiaTheme="minorEastAsia" w:cstheme="minorEastAsia"/>
          <w:bCs/>
          <w:sz w:val="24"/>
          <w:szCs w:val="24"/>
        </w:rPr>
      </w:pPr>
    </w:p>
    <w:p w14:paraId="14A5DC45">
      <w:pPr>
        <w:spacing w:line="360" w:lineRule="exact"/>
        <w:rPr>
          <w:rFonts w:hint="eastAsia" w:asciiTheme="minorEastAsia" w:hAnsiTheme="minorEastAsia" w:eastAsiaTheme="minorEastAsia" w:cstheme="minorEastAsia"/>
          <w:bCs/>
          <w:sz w:val="24"/>
          <w:szCs w:val="24"/>
        </w:rPr>
      </w:pPr>
    </w:p>
    <w:p w14:paraId="769534B6">
      <w:pPr>
        <w:spacing w:line="360" w:lineRule="exact"/>
        <w:rPr>
          <w:rFonts w:hint="eastAsia" w:asciiTheme="minorEastAsia" w:hAnsiTheme="minorEastAsia" w:eastAsiaTheme="minorEastAsia" w:cstheme="minorEastAsia"/>
          <w:bCs/>
          <w:sz w:val="24"/>
          <w:szCs w:val="24"/>
        </w:rPr>
      </w:pPr>
    </w:p>
    <w:p w14:paraId="7DD2AC60">
      <w:pPr>
        <w:pStyle w:val="102"/>
        <w:snapToGrid w:val="0"/>
        <w:spacing w:line="360" w:lineRule="exact"/>
        <w:rPr>
          <w:rFonts w:hint="eastAsia" w:asciiTheme="minorEastAsia" w:hAnsiTheme="minorEastAsia" w:eastAsiaTheme="minorEastAsia" w:cstheme="minorEastAsia"/>
          <w:color w:val="auto"/>
          <w:sz w:val="24"/>
        </w:rPr>
      </w:pPr>
    </w:p>
    <w:p w14:paraId="188A5272">
      <w:pPr>
        <w:pStyle w:val="102"/>
        <w:snapToGrid w:val="0"/>
        <w:spacing w:line="360" w:lineRule="exact"/>
        <w:rPr>
          <w:rFonts w:hint="eastAsia" w:asciiTheme="minorEastAsia" w:hAnsiTheme="minorEastAsia" w:eastAsiaTheme="minorEastAsia" w:cstheme="minorEastAsia"/>
          <w:color w:val="auto"/>
          <w:sz w:val="24"/>
        </w:rPr>
      </w:pPr>
    </w:p>
    <w:p w14:paraId="331D1259">
      <w:pPr>
        <w:pStyle w:val="102"/>
        <w:snapToGrid w:val="0"/>
        <w:spacing w:line="500" w:lineRule="exact"/>
        <w:rPr>
          <w:rFonts w:hint="eastAsia" w:asciiTheme="minorEastAsia" w:hAnsiTheme="minorEastAsia" w:eastAsiaTheme="minorEastAsia" w:cstheme="minorEastAsia"/>
          <w:color w:val="auto"/>
          <w:sz w:val="24"/>
        </w:rPr>
      </w:pPr>
    </w:p>
    <w:p w14:paraId="42493CB6">
      <w:pPr>
        <w:pStyle w:val="102"/>
        <w:snapToGrid w:val="0"/>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3F58CAF8">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18AD1FAA">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被授权代理人（签字或盖章）：</w:t>
      </w:r>
    </w:p>
    <w:p w14:paraId="0EB6383E">
      <w:pPr>
        <w:adjustRightInd w:val="0"/>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07BA8B07">
      <w:pPr>
        <w:widowControl/>
        <w:jc w:val="left"/>
        <w:rPr>
          <w:rFonts w:hint="eastAsia" w:asciiTheme="minorEastAsia" w:hAnsiTheme="minorEastAsia" w:eastAsiaTheme="minorEastAsia" w:cstheme="minorEastAsia"/>
          <w:sz w:val="24"/>
          <w:szCs w:val="24"/>
        </w:rPr>
      </w:pPr>
    </w:p>
    <w:p w14:paraId="40A86A28">
      <w:pPr>
        <w:widowControl/>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34" w:name="_Toc14769"/>
      <w:bookmarkStart w:id="135" w:name="_Toc11414"/>
      <w:r>
        <w:rPr>
          <w:rFonts w:hint="eastAsia" w:asciiTheme="minorEastAsia" w:hAnsiTheme="minorEastAsia" w:eastAsiaTheme="minorEastAsia" w:cstheme="minorEastAsia"/>
          <w:b/>
          <w:bCs/>
          <w:sz w:val="24"/>
          <w:szCs w:val="24"/>
        </w:rPr>
        <w:t>附件</w:t>
      </w:r>
      <w:bookmarkEnd w:id="134"/>
      <w:bookmarkEnd w:id="135"/>
      <w:r>
        <w:rPr>
          <w:rFonts w:hint="eastAsia" w:asciiTheme="minorEastAsia" w:hAnsiTheme="minorEastAsia" w:eastAsiaTheme="minorEastAsia" w:cstheme="minorEastAsia"/>
          <w:b/>
          <w:bCs/>
          <w:sz w:val="24"/>
          <w:szCs w:val="24"/>
        </w:rPr>
        <w:t>6</w:t>
      </w:r>
    </w:p>
    <w:p w14:paraId="27FEDCA6">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关于《中华人民共和国政府采购法》第二十二条的承诺书</w:t>
      </w:r>
    </w:p>
    <w:p w14:paraId="55716D2B">
      <w:pPr>
        <w:spacing w:line="500" w:lineRule="exact"/>
        <w:ind w:firstLine="453" w:firstLineChars="189"/>
        <w:rPr>
          <w:rFonts w:hint="eastAsia" w:asciiTheme="minorEastAsia" w:hAnsiTheme="minorEastAsia" w:eastAsiaTheme="minorEastAsia" w:cstheme="minorEastAsia"/>
          <w:bCs/>
          <w:sz w:val="24"/>
          <w:szCs w:val="24"/>
        </w:rPr>
      </w:pPr>
    </w:p>
    <w:p w14:paraId="2D9F1F9C">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（采购人）</w:t>
      </w:r>
    </w:p>
    <w:p w14:paraId="2466CFB8">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参加贵方组织的</w:t>
      </w:r>
      <w:r>
        <w:rPr>
          <w:rFonts w:hint="eastAsia" w:asciiTheme="minorEastAsia" w:hAnsiTheme="minorEastAsia" w:eastAsiaTheme="minorEastAsia" w:cstheme="minorEastAsia"/>
          <w:bCs/>
          <w:sz w:val="24"/>
          <w:szCs w:val="24"/>
          <w:u w:val="single"/>
        </w:rPr>
        <w:t>项目名称：      （项目编号：       ）</w:t>
      </w:r>
      <w:r>
        <w:rPr>
          <w:rFonts w:hint="eastAsia" w:asciiTheme="minorEastAsia" w:hAnsiTheme="minorEastAsia" w:eastAsiaTheme="minorEastAsia" w:cstheme="minorEastAsia"/>
          <w:bCs/>
          <w:sz w:val="24"/>
          <w:szCs w:val="24"/>
        </w:rPr>
        <w:t>的投标活动，为便于贵方公正、择优的确定中标人，我方就本次投标有关事项声明如下：</w:t>
      </w:r>
    </w:p>
    <w:p w14:paraId="77CA0979">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w:t>
      </w:r>
    </w:p>
    <w:p w14:paraId="16E220F2">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（2）具有良好的商业信誉和健全的财务会计制度；</w:t>
      </w:r>
    </w:p>
    <w:p w14:paraId="24790C01">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（3）具有履行合同所必需的设备和专业技术能力；</w:t>
      </w:r>
    </w:p>
    <w:p w14:paraId="03D96515">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（4）有依法缴纳税收和社会保障资金的良好记录；</w:t>
      </w:r>
    </w:p>
    <w:p w14:paraId="592EA6B1">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（5）参加政府采购活动前三年内，在经营活动中没有重大违法记录；</w:t>
      </w:r>
    </w:p>
    <w:p w14:paraId="40268F07">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（6）法律、行政法规规定的其他条件。</w:t>
      </w:r>
    </w:p>
    <w:p w14:paraId="69A385B5">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我公司已完全了解本磋商文件中规定的技术要求和商务条款。如违反以上承诺，本公司愿承担一切法律责任。</w:t>
      </w:r>
    </w:p>
    <w:p w14:paraId="6F8A9993">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特此承诺。</w:t>
      </w:r>
    </w:p>
    <w:p w14:paraId="4AFE2ADE">
      <w:pPr>
        <w:spacing w:line="500" w:lineRule="exact"/>
        <w:ind w:firstLine="3120" w:firstLineChars="1300"/>
        <w:jc w:val="left"/>
        <w:rPr>
          <w:rFonts w:hint="eastAsia" w:asciiTheme="minorEastAsia" w:hAnsiTheme="minorEastAsia" w:eastAsiaTheme="minorEastAsia" w:cstheme="minorEastAsia"/>
          <w:sz w:val="24"/>
          <w:szCs w:val="24"/>
        </w:rPr>
      </w:pPr>
    </w:p>
    <w:p w14:paraId="64216F58">
      <w:pPr>
        <w:spacing w:line="48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承诺人（公章）：</w:t>
      </w:r>
      <w:r>
        <w:rPr>
          <w:rFonts w:hint="eastAsia" w:asciiTheme="minorEastAsia" w:hAnsiTheme="minorEastAsia" w:eastAsiaTheme="minorEastAsia" w:cstheme="minorEastAsia"/>
          <w:sz w:val="24"/>
          <w:szCs w:val="24"/>
          <w:u w:val="single"/>
        </w:rPr>
        <w:t xml:space="preserve">     （供应商全称）  </w:t>
      </w:r>
    </w:p>
    <w:p w14:paraId="357E55D5">
      <w:pPr>
        <w:spacing w:line="48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4C0F1934">
      <w:pPr>
        <w:pStyle w:val="111"/>
        <w:pageBreakBefore/>
        <w:widowControl w:val="0"/>
        <w:outlineLvl w:val="2"/>
        <w:rPr>
          <w:rFonts w:hint="eastAsia" w:ascii="宋体" w:hAnsi="宋体"/>
          <w:bCs/>
          <w:sz w:val="24"/>
        </w:rPr>
      </w:pPr>
      <w:bookmarkStart w:id="136" w:name="_Toc30189"/>
      <w:bookmarkStart w:id="137" w:name="_Toc5047"/>
      <w:r>
        <w:rPr>
          <w:rFonts w:hint="eastAsia" w:asciiTheme="minorEastAsia" w:hAnsiTheme="minorEastAsia" w:eastAsiaTheme="minorEastAsia" w:cstheme="minorEastAsia"/>
          <w:b/>
          <w:bCs w:val="0"/>
          <w:sz w:val="24"/>
        </w:rPr>
        <w:t>附件</w:t>
      </w:r>
      <w:bookmarkEnd w:id="136"/>
      <w:bookmarkEnd w:id="137"/>
      <w:r>
        <w:rPr>
          <w:rFonts w:hint="eastAsia" w:asciiTheme="minorEastAsia" w:hAnsiTheme="minorEastAsia" w:eastAsiaTheme="minorEastAsia" w:cstheme="minorEastAsia"/>
          <w:b/>
          <w:bCs w:val="0"/>
          <w:sz w:val="24"/>
        </w:rPr>
        <w:t>7</w:t>
      </w:r>
    </w:p>
    <w:p w14:paraId="0CAF43A5">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供应商的资格声明</w:t>
      </w:r>
    </w:p>
    <w:p w14:paraId="5B209D9A">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14:paraId="797FA997">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关于贵方发出的采购文件，本供应商愿意参加投标，并证明资格文件中和所要求的说明是真实和准确无误的。</w:t>
      </w:r>
    </w:p>
    <w:p w14:paraId="6953E9A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本供应商对可能要求的进一步的资格资料表示理解和同意，并同意按贵方的要求提供任何有关资料。</w:t>
      </w:r>
    </w:p>
    <w:p w14:paraId="7C78C130">
      <w:pPr>
        <w:spacing w:line="500" w:lineRule="exact"/>
        <w:rPr>
          <w:rFonts w:hint="eastAsia" w:asciiTheme="minorEastAsia" w:hAnsiTheme="minorEastAsia" w:eastAsiaTheme="minorEastAsia" w:cstheme="minorEastAsia"/>
          <w:sz w:val="24"/>
          <w:szCs w:val="24"/>
        </w:rPr>
      </w:pPr>
    </w:p>
    <w:p w14:paraId="41AB7CC1">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1D0FE548">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0738E46C">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7C254BBB">
      <w:pPr>
        <w:tabs>
          <w:tab w:val="left" w:pos="996"/>
        </w:tabs>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14:paraId="40874C66">
      <w:pPr>
        <w:spacing w:line="500" w:lineRule="exact"/>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rPr>
        <w:br w:type="page"/>
      </w:r>
      <w:bookmarkStart w:id="138" w:name="_Toc7637"/>
      <w:bookmarkStart w:id="139" w:name="_Toc10322"/>
      <w:r>
        <w:rPr>
          <w:rFonts w:hint="eastAsia" w:asciiTheme="minorEastAsia" w:hAnsiTheme="minorEastAsia" w:eastAsiaTheme="minorEastAsia" w:cstheme="minorEastAsia"/>
          <w:b/>
          <w:bCs/>
          <w:sz w:val="24"/>
          <w:szCs w:val="24"/>
        </w:rPr>
        <w:t>附件</w:t>
      </w:r>
      <w:bookmarkEnd w:id="138"/>
      <w:bookmarkEnd w:id="139"/>
      <w:r>
        <w:rPr>
          <w:rFonts w:hint="eastAsia" w:asciiTheme="minorEastAsia" w:hAnsiTheme="minorEastAsia" w:eastAsiaTheme="minorEastAsia" w:cstheme="minorEastAsia"/>
          <w:b/>
          <w:bCs/>
          <w:sz w:val="24"/>
          <w:szCs w:val="24"/>
          <w:lang w:val="en-US" w:eastAsia="zh-CN"/>
        </w:rPr>
        <w:t>8</w:t>
      </w:r>
    </w:p>
    <w:p w14:paraId="6BF318B0">
      <w:pPr>
        <w:tabs>
          <w:tab w:val="left" w:pos="996"/>
        </w:tabs>
        <w:spacing w:line="500" w:lineRule="exact"/>
        <w:jc w:val="center"/>
        <w:rPr>
          <w:rFonts w:hint="eastAsia" w:asciiTheme="minorEastAsia" w:hAnsiTheme="minorEastAsia" w:eastAsiaTheme="minorEastAsia" w:cstheme="minorEastAsia"/>
          <w:b/>
          <w:sz w:val="24"/>
          <w:szCs w:val="24"/>
        </w:rPr>
      </w:pPr>
      <w:bookmarkStart w:id="140" w:name="_Hlk7871365"/>
      <w:r>
        <w:rPr>
          <w:rFonts w:hint="eastAsia" w:asciiTheme="minorEastAsia" w:hAnsiTheme="minorEastAsia" w:eastAsiaTheme="minorEastAsia" w:cstheme="minorEastAsia"/>
          <w:b/>
          <w:sz w:val="24"/>
          <w:szCs w:val="24"/>
        </w:rPr>
        <w:t>供应商需提供的资料</w:t>
      </w:r>
    </w:p>
    <w:bookmarkEnd w:id="140"/>
    <w:p w14:paraId="28FF47D9">
      <w:pPr>
        <w:tabs>
          <w:tab w:val="left" w:pos="996"/>
        </w:tabs>
        <w:spacing w:line="500" w:lineRule="exact"/>
        <w:jc w:val="center"/>
        <w:rPr>
          <w:rFonts w:hint="eastAsia" w:asciiTheme="minorEastAsia" w:hAnsiTheme="minorEastAsia" w:eastAsiaTheme="minorEastAsia" w:cstheme="minorEastAsia"/>
          <w:b/>
          <w:sz w:val="24"/>
          <w:szCs w:val="24"/>
        </w:rPr>
      </w:pPr>
    </w:p>
    <w:p w14:paraId="69B5A022">
      <w:pPr>
        <w:widowControl/>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提供以下证明资料（但不限于）：</w:t>
      </w:r>
    </w:p>
    <w:p w14:paraId="7AE054A8">
      <w:pPr>
        <w:pStyle w:val="93"/>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营业执照；</w:t>
      </w:r>
    </w:p>
    <w:p w14:paraId="2ABECEB8">
      <w:pPr>
        <w:pStyle w:val="93"/>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信用信息查询截图；</w:t>
      </w:r>
    </w:p>
    <w:p w14:paraId="55F5096C">
      <w:pPr>
        <w:pStyle w:val="93"/>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保证金缴纳凭证；</w:t>
      </w:r>
    </w:p>
    <w:p w14:paraId="27943BE0">
      <w:pPr>
        <w:pStyle w:val="93"/>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开户许可证或基本存款账户信息。</w:t>
      </w:r>
    </w:p>
    <w:p w14:paraId="669ED291">
      <w:pPr>
        <w:widowControl/>
        <w:jc w:val="left"/>
        <w:outlineLvl w:val="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Cs/>
          <w:sz w:val="24"/>
          <w:szCs w:val="24"/>
        </w:rPr>
        <w:br w:type="page"/>
      </w:r>
      <w:bookmarkStart w:id="141" w:name="_Toc15389"/>
      <w:bookmarkStart w:id="142" w:name="_Toc27361"/>
      <w:bookmarkStart w:id="143" w:name="_Toc520282777"/>
      <w:r>
        <w:rPr>
          <w:rFonts w:hint="eastAsia" w:asciiTheme="minorEastAsia" w:hAnsiTheme="minorEastAsia" w:eastAsiaTheme="minorEastAsia" w:cstheme="minorEastAsia"/>
          <w:b/>
          <w:bCs/>
          <w:sz w:val="24"/>
        </w:rPr>
        <w:t>附件</w:t>
      </w:r>
      <w:bookmarkEnd w:id="141"/>
      <w:bookmarkEnd w:id="142"/>
      <w:r>
        <w:rPr>
          <w:rFonts w:hint="eastAsia" w:asciiTheme="minorEastAsia" w:hAnsiTheme="minorEastAsia" w:eastAsiaTheme="minorEastAsia" w:cstheme="minorEastAsia"/>
          <w:b/>
          <w:bCs/>
          <w:sz w:val="24"/>
          <w:lang w:val="en-US" w:eastAsia="zh-CN"/>
        </w:rPr>
        <w:t>9</w:t>
      </w:r>
    </w:p>
    <w:bookmarkEnd w:id="143"/>
    <w:p w14:paraId="38C0B90E">
      <w:pPr>
        <w:widowControl/>
        <w:jc w:val="center"/>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采购需求响应偏离表</w:t>
      </w:r>
    </w:p>
    <w:p w14:paraId="4B89F004">
      <w:pPr>
        <w:tabs>
          <w:tab w:val="left" w:pos="3226"/>
        </w:tabs>
        <w:autoSpaceDE w:val="0"/>
        <w:autoSpaceDN w:val="0"/>
        <w:adjustRightInd w:val="0"/>
        <w:spacing w:before="43"/>
        <w:ind w:right="420"/>
        <w:jc w:val="center"/>
        <w:rPr>
          <w:rFonts w:hint="eastAsia" w:asciiTheme="minorEastAsia" w:hAnsiTheme="minorEastAsia" w:eastAsiaTheme="minorEastAsia" w:cstheme="minorEastAsia"/>
          <w:b/>
          <w:bCs/>
          <w:kern w:val="0"/>
          <w:szCs w:val="21"/>
          <w:lang w:val="zh-CN"/>
        </w:rPr>
      </w:pPr>
    </w:p>
    <w:p w14:paraId="1A15398C">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                             项目编号：</w:t>
      </w:r>
    </w:p>
    <w:tbl>
      <w:tblPr>
        <w:tblStyle w:val="30"/>
        <w:tblW w:w="8413" w:type="dxa"/>
        <w:tblInd w:w="264" w:type="dxa"/>
        <w:tblLayout w:type="fixed"/>
        <w:tblCellMar>
          <w:top w:w="0" w:type="dxa"/>
          <w:left w:w="0" w:type="dxa"/>
          <w:bottom w:w="0" w:type="dxa"/>
          <w:right w:w="0" w:type="dxa"/>
        </w:tblCellMar>
      </w:tblPr>
      <w:tblGrid>
        <w:gridCol w:w="828"/>
        <w:gridCol w:w="1479"/>
        <w:gridCol w:w="2025"/>
        <w:gridCol w:w="1681"/>
        <w:gridCol w:w="1455"/>
        <w:gridCol w:w="945"/>
      </w:tblGrid>
      <w:tr w14:paraId="69BC8B5F">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C10040F">
            <w:pPr>
              <w:autoSpaceDE w:val="0"/>
              <w:autoSpaceDN w:val="0"/>
              <w:adjustRightInd w:val="0"/>
              <w:spacing w:before="28"/>
              <w:ind w:left="172"/>
              <w:jc w:val="center"/>
              <w:outlineLvl w:val="0"/>
              <w:rPr>
                <w:rFonts w:hint="eastAsia" w:asciiTheme="minorEastAsia" w:hAnsiTheme="minorEastAsia" w:eastAsiaTheme="minorEastAsia" w:cstheme="minorEastAsia"/>
                <w:kern w:val="0"/>
                <w:sz w:val="24"/>
                <w:lang w:val="zh-CN"/>
              </w:rPr>
            </w:pPr>
            <w:bookmarkStart w:id="144" w:name="_Toc10090"/>
            <w:bookmarkStart w:id="145" w:name="_Toc13868"/>
            <w:bookmarkStart w:id="146" w:name="_Toc520282779"/>
            <w:r>
              <w:rPr>
                <w:rFonts w:hint="eastAsia" w:asciiTheme="minorEastAsia" w:hAnsiTheme="minorEastAsia" w:eastAsiaTheme="minorEastAsia" w:cstheme="minorEastAsia"/>
                <w:kern w:val="0"/>
                <w:sz w:val="24"/>
                <w:lang w:val="zh-CN"/>
              </w:rPr>
              <w:t>序号</w:t>
            </w:r>
            <w:bookmarkEnd w:id="144"/>
            <w:bookmarkEnd w:id="145"/>
            <w:bookmarkEnd w:id="146"/>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6F6B1E39">
            <w:pPr>
              <w:autoSpaceDE w:val="0"/>
              <w:autoSpaceDN w:val="0"/>
              <w:adjustRightInd w:val="0"/>
              <w:spacing w:before="28"/>
              <w:ind w:left="148"/>
              <w:jc w:val="center"/>
              <w:outlineLvl w:val="0"/>
              <w:rPr>
                <w:rFonts w:hint="eastAsia" w:asciiTheme="minorEastAsia" w:hAnsiTheme="minorEastAsia" w:eastAsiaTheme="minorEastAsia" w:cstheme="minorEastAsia"/>
                <w:kern w:val="0"/>
                <w:sz w:val="24"/>
                <w:lang w:val="zh-CN"/>
              </w:rPr>
            </w:pPr>
            <w:bookmarkStart w:id="147" w:name="_Toc16947"/>
            <w:bookmarkStart w:id="148" w:name="_Toc15647"/>
            <w:r>
              <w:rPr>
                <w:rFonts w:hint="eastAsia" w:asciiTheme="minorEastAsia" w:hAnsiTheme="minorEastAsia" w:eastAsiaTheme="minorEastAsia" w:cstheme="minorEastAsia"/>
                <w:kern w:val="0"/>
                <w:sz w:val="24"/>
                <w:lang w:val="zh-CN"/>
              </w:rPr>
              <w:t>采购内容</w:t>
            </w:r>
            <w:bookmarkEnd w:id="147"/>
            <w:bookmarkEnd w:id="148"/>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03BC56D">
            <w:pPr>
              <w:autoSpaceDE w:val="0"/>
              <w:autoSpaceDN w:val="0"/>
              <w:adjustRightInd w:val="0"/>
              <w:spacing w:before="28"/>
              <w:jc w:val="center"/>
              <w:outlineLvl w:val="0"/>
              <w:rPr>
                <w:rFonts w:hint="eastAsia" w:asciiTheme="minorEastAsia" w:hAnsiTheme="minorEastAsia" w:eastAsiaTheme="minorEastAsia" w:cstheme="minorEastAsia"/>
                <w:kern w:val="0"/>
                <w:sz w:val="24"/>
                <w:lang w:val="zh-CN"/>
              </w:rPr>
            </w:pPr>
            <w:bookmarkStart w:id="149" w:name="_Toc1205"/>
            <w:bookmarkStart w:id="150" w:name="_Toc21056"/>
            <w:r>
              <w:rPr>
                <w:rFonts w:hint="eastAsia" w:asciiTheme="minorEastAsia" w:hAnsiTheme="minorEastAsia" w:eastAsiaTheme="minorEastAsia" w:cstheme="minorEastAsia"/>
                <w:kern w:val="0"/>
                <w:sz w:val="24"/>
                <w:lang w:val="zh-CN"/>
              </w:rPr>
              <w:t>采购需求要求</w:t>
            </w:r>
            <w:bookmarkEnd w:id="149"/>
            <w:bookmarkEnd w:id="150"/>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E7C2E26">
            <w:pPr>
              <w:autoSpaceDE w:val="0"/>
              <w:autoSpaceDN w:val="0"/>
              <w:adjustRightInd w:val="0"/>
              <w:spacing w:before="28"/>
              <w:ind w:left="148"/>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采购需求响应</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1D1211C">
            <w:pPr>
              <w:autoSpaceDE w:val="0"/>
              <w:autoSpaceDN w:val="0"/>
              <w:adjustRightInd w:val="0"/>
              <w:spacing w:before="28"/>
              <w:ind w:left="208"/>
              <w:jc w:val="center"/>
              <w:outlineLvl w:val="0"/>
              <w:rPr>
                <w:rFonts w:hint="eastAsia" w:asciiTheme="minorEastAsia" w:hAnsiTheme="minorEastAsia" w:eastAsiaTheme="minorEastAsia" w:cstheme="minorEastAsia"/>
                <w:kern w:val="0"/>
                <w:sz w:val="24"/>
              </w:rPr>
            </w:pPr>
            <w:bookmarkStart w:id="151" w:name="_Toc520282784"/>
            <w:bookmarkStart w:id="152" w:name="_Toc21247"/>
            <w:bookmarkStart w:id="153" w:name="_Toc25396"/>
            <w:r>
              <w:rPr>
                <w:rFonts w:hint="eastAsia" w:asciiTheme="minorEastAsia" w:hAnsiTheme="minorEastAsia" w:eastAsiaTheme="minorEastAsia" w:cstheme="minorEastAsia"/>
                <w:kern w:val="0"/>
                <w:sz w:val="24"/>
                <w:lang w:val="zh-CN"/>
              </w:rPr>
              <w:t>偏离</w:t>
            </w:r>
            <w:bookmarkEnd w:id="151"/>
            <w:r>
              <w:rPr>
                <w:rFonts w:hint="eastAsia" w:asciiTheme="minorEastAsia" w:hAnsiTheme="minorEastAsia" w:eastAsiaTheme="minorEastAsia" w:cstheme="minorEastAsia"/>
                <w:kern w:val="0"/>
                <w:sz w:val="24"/>
              </w:rPr>
              <w:t>/响应</w:t>
            </w:r>
            <w:bookmarkEnd w:id="152"/>
            <w:bookmarkEnd w:id="153"/>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98E78AB">
            <w:pPr>
              <w:autoSpaceDE w:val="0"/>
              <w:autoSpaceDN w:val="0"/>
              <w:adjustRightInd w:val="0"/>
              <w:spacing w:before="28"/>
              <w:ind w:left="208"/>
              <w:jc w:val="center"/>
              <w:outlineLvl w:val="0"/>
              <w:rPr>
                <w:rFonts w:hint="eastAsia" w:asciiTheme="minorEastAsia" w:hAnsiTheme="minorEastAsia" w:eastAsiaTheme="minorEastAsia" w:cstheme="minorEastAsia"/>
                <w:kern w:val="0"/>
                <w:sz w:val="24"/>
                <w:lang w:val="zh-CN"/>
              </w:rPr>
            </w:pPr>
            <w:bookmarkStart w:id="154" w:name="_Toc29103"/>
            <w:bookmarkStart w:id="155" w:name="_Toc20595"/>
            <w:bookmarkStart w:id="156" w:name="_Toc520282785"/>
            <w:r>
              <w:rPr>
                <w:rFonts w:hint="eastAsia" w:asciiTheme="minorEastAsia" w:hAnsiTheme="minorEastAsia" w:eastAsiaTheme="minorEastAsia" w:cstheme="minorEastAsia"/>
                <w:kern w:val="0"/>
                <w:sz w:val="24"/>
                <w:lang w:val="zh-CN"/>
              </w:rPr>
              <w:t>说明</w:t>
            </w:r>
            <w:bookmarkEnd w:id="154"/>
            <w:bookmarkEnd w:id="155"/>
            <w:bookmarkEnd w:id="156"/>
          </w:p>
        </w:tc>
      </w:tr>
      <w:tr w14:paraId="62EC8213">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F3B91A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6D1A5A6">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DDD25B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1820E52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6303C38E">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8B85D5F">
            <w:pPr>
              <w:autoSpaceDE w:val="0"/>
              <w:autoSpaceDN w:val="0"/>
              <w:adjustRightInd w:val="0"/>
              <w:jc w:val="left"/>
              <w:rPr>
                <w:rFonts w:hint="eastAsia" w:asciiTheme="minorEastAsia" w:hAnsiTheme="minorEastAsia" w:eastAsiaTheme="minorEastAsia" w:cstheme="minorEastAsia"/>
                <w:kern w:val="0"/>
                <w:sz w:val="24"/>
                <w:lang w:val="zh-CN"/>
              </w:rPr>
            </w:pPr>
          </w:p>
        </w:tc>
      </w:tr>
      <w:tr w14:paraId="00549851">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DB11B4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5D9A17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CEB103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2494C84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4AC01793">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4D4B7B9">
            <w:pPr>
              <w:autoSpaceDE w:val="0"/>
              <w:autoSpaceDN w:val="0"/>
              <w:adjustRightInd w:val="0"/>
              <w:jc w:val="left"/>
              <w:rPr>
                <w:rFonts w:hint="eastAsia" w:asciiTheme="minorEastAsia" w:hAnsiTheme="minorEastAsia" w:eastAsiaTheme="minorEastAsia" w:cstheme="minorEastAsia"/>
                <w:kern w:val="0"/>
                <w:sz w:val="24"/>
                <w:lang w:val="zh-CN"/>
              </w:rPr>
            </w:pPr>
          </w:p>
        </w:tc>
      </w:tr>
      <w:tr w14:paraId="3B5F6652">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0A52EE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5C19FF97">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71BBE0B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471AF07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14B42B32">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B1042FB">
            <w:pPr>
              <w:autoSpaceDE w:val="0"/>
              <w:autoSpaceDN w:val="0"/>
              <w:adjustRightInd w:val="0"/>
              <w:jc w:val="left"/>
              <w:rPr>
                <w:rFonts w:hint="eastAsia" w:asciiTheme="minorEastAsia" w:hAnsiTheme="minorEastAsia" w:eastAsiaTheme="minorEastAsia" w:cstheme="minorEastAsia"/>
                <w:kern w:val="0"/>
                <w:sz w:val="24"/>
                <w:lang w:val="zh-CN"/>
              </w:rPr>
            </w:pPr>
          </w:p>
        </w:tc>
      </w:tr>
      <w:tr w14:paraId="798196DA">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10E46B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4EEB9BB">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023B69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1E6EF315">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9A61B5C">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C132E29">
            <w:pPr>
              <w:autoSpaceDE w:val="0"/>
              <w:autoSpaceDN w:val="0"/>
              <w:adjustRightInd w:val="0"/>
              <w:jc w:val="left"/>
              <w:rPr>
                <w:rFonts w:hint="eastAsia" w:asciiTheme="minorEastAsia" w:hAnsiTheme="minorEastAsia" w:eastAsiaTheme="minorEastAsia" w:cstheme="minorEastAsia"/>
                <w:kern w:val="0"/>
                <w:sz w:val="24"/>
                <w:lang w:val="zh-CN"/>
              </w:rPr>
            </w:pPr>
          </w:p>
        </w:tc>
      </w:tr>
      <w:tr w14:paraId="210015B7">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47C623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E4DB564">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7F27AB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45C1783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3FCBCC84">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F389852">
            <w:pPr>
              <w:autoSpaceDE w:val="0"/>
              <w:autoSpaceDN w:val="0"/>
              <w:adjustRightInd w:val="0"/>
              <w:jc w:val="left"/>
              <w:rPr>
                <w:rFonts w:hint="eastAsia" w:asciiTheme="minorEastAsia" w:hAnsiTheme="minorEastAsia" w:eastAsiaTheme="minorEastAsia" w:cstheme="minorEastAsia"/>
                <w:kern w:val="0"/>
                <w:sz w:val="24"/>
                <w:lang w:val="zh-CN"/>
              </w:rPr>
            </w:pPr>
          </w:p>
        </w:tc>
      </w:tr>
      <w:tr w14:paraId="7E06D688">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027A9C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22643A6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56BA3F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7C2B4D7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6DC9BA94">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A7829A2">
            <w:pPr>
              <w:autoSpaceDE w:val="0"/>
              <w:autoSpaceDN w:val="0"/>
              <w:adjustRightInd w:val="0"/>
              <w:jc w:val="left"/>
              <w:rPr>
                <w:rFonts w:hint="eastAsia" w:asciiTheme="minorEastAsia" w:hAnsiTheme="minorEastAsia" w:eastAsiaTheme="minorEastAsia" w:cstheme="minorEastAsia"/>
                <w:kern w:val="0"/>
                <w:sz w:val="24"/>
                <w:lang w:val="zh-CN"/>
              </w:rPr>
            </w:pPr>
          </w:p>
        </w:tc>
      </w:tr>
      <w:tr w14:paraId="50506E73">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40FC01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054D8CE">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4548FE4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E1360F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533C6629">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606E800">
            <w:pPr>
              <w:autoSpaceDE w:val="0"/>
              <w:autoSpaceDN w:val="0"/>
              <w:adjustRightInd w:val="0"/>
              <w:jc w:val="left"/>
              <w:rPr>
                <w:rFonts w:hint="eastAsia" w:asciiTheme="minorEastAsia" w:hAnsiTheme="minorEastAsia" w:eastAsiaTheme="minorEastAsia" w:cstheme="minorEastAsia"/>
                <w:kern w:val="0"/>
                <w:sz w:val="24"/>
                <w:lang w:val="zh-CN"/>
              </w:rPr>
            </w:pPr>
          </w:p>
        </w:tc>
      </w:tr>
      <w:tr w14:paraId="3FA113F9">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C14A39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7487E1FA">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2DF68B0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502D499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32E052BB">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7D3C071">
            <w:pPr>
              <w:autoSpaceDE w:val="0"/>
              <w:autoSpaceDN w:val="0"/>
              <w:adjustRightInd w:val="0"/>
              <w:jc w:val="left"/>
              <w:rPr>
                <w:rFonts w:hint="eastAsia" w:asciiTheme="minorEastAsia" w:hAnsiTheme="minorEastAsia" w:eastAsiaTheme="minorEastAsia" w:cstheme="minorEastAsia"/>
                <w:kern w:val="0"/>
                <w:sz w:val="24"/>
                <w:lang w:val="zh-CN"/>
              </w:rPr>
            </w:pPr>
          </w:p>
        </w:tc>
      </w:tr>
      <w:tr w14:paraId="5C04B2E0">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A75922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187FE831">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2006EE9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5A97FB8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30B5750">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2689537">
            <w:pPr>
              <w:autoSpaceDE w:val="0"/>
              <w:autoSpaceDN w:val="0"/>
              <w:adjustRightInd w:val="0"/>
              <w:jc w:val="left"/>
              <w:rPr>
                <w:rFonts w:hint="eastAsia" w:asciiTheme="minorEastAsia" w:hAnsiTheme="minorEastAsia" w:eastAsiaTheme="minorEastAsia" w:cstheme="minorEastAsia"/>
                <w:kern w:val="0"/>
                <w:sz w:val="24"/>
                <w:lang w:val="zh-CN"/>
              </w:rPr>
            </w:pPr>
          </w:p>
        </w:tc>
      </w:tr>
      <w:tr w14:paraId="698102F8">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9AF104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79A72F72">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244376B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1546028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7271F59">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D20A2F7">
            <w:pPr>
              <w:autoSpaceDE w:val="0"/>
              <w:autoSpaceDN w:val="0"/>
              <w:adjustRightInd w:val="0"/>
              <w:jc w:val="left"/>
              <w:rPr>
                <w:rFonts w:hint="eastAsia" w:asciiTheme="minorEastAsia" w:hAnsiTheme="minorEastAsia" w:eastAsiaTheme="minorEastAsia" w:cstheme="minorEastAsia"/>
                <w:kern w:val="0"/>
                <w:sz w:val="24"/>
                <w:lang w:val="zh-CN"/>
              </w:rPr>
            </w:pPr>
          </w:p>
        </w:tc>
      </w:tr>
    </w:tbl>
    <w:p w14:paraId="4A87D4A6">
      <w:pPr>
        <w:tabs>
          <w:tab w:val="left" w:pos="996"/>
        </w:tabs>
        <w:spacing w:line="480" w:lineRule="auto"/>
        <w:ind w:firstLine="480" w:firstLineChars="200"/>
        <w:rPr>
          <w:rFonts w:hint="eastAsia" w:asciiTheme="minorEastAsia" w:hAnsiTheme="minorEastAsia" w:eastAsiaTheme="minorEastAsia" w:cstheme="minorEastAsia"/>
          <w:sz w:val="24"/>
        </w:rPr>
      </w:pPr>
    </w:p>
    <w:p w14:paraId="048F721C">
      <w:pPr>
        <w:tabs>
          <w:tab w:val="left" w:pos="996"/>
        </w:tabs>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供应商（盖公章）：</w:t>
      </w:r>
    </w:p>
    <w:p w14:paraId="57FBCC44">
      <w:pPr>
        <w:tabs>
          <w:tab w:val="left" w:pos="996"/>
        </w:tabs>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4F8D1852">
      <w:pPr>
        <w:spacing w:line="360" w:lineRule="auto"/>
        <w:ind w:firstLine="480" w:firstLineChars="200"/>
        <w:jc w:val="left"/>
        <w:rPr>
          <w:rFonts w:hint="eastAsia" w:asciiTheme="minorEastAsia" w:hAnsiTheme="minorEastAsia" w:eastAsiaTheme="minorEastAsia" w:cstheme="minorEastAsia"/>
          <w:sz w:val="24"/>
          <w:szCs w:val="24"/>
        </w:rPr>
      </w:pPr>
    </w:p>
    <w:p w14:paraId="5CDBA78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备注：供应商采购需求响应有差异的，则在此表中列明实际响应的内容提要并加以说明，以便查对。无差异说明表示完全响应。</w:t>
      </w:r>
    </w:p>
    <w:p w14:paraId="24FA3070">
      <w:pPr>
        <w:rPr>
          <w:rFonts w:hint="eastAsia" w:asciiTheme="minorEastAsia" w:hAnsiTheme="minorEastAsia" w:eastAsiaTheme="minorEastAsia" w:cstheme="minorEastAsia"/>
        </w:rPr>
      </w:pPr>
    </w:p>
    <w:p w14:paraId="3FC3F3BB">
      <w:pPr>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rPr>
        <w:br w:type="page"/>
      </w:r>
      <w:bookmarkStart w:id="157" w:name="_Toc23457"/>
      <w:bookmarkStart w:id="158" w:name="_Toc28526"/>
      <w:r>
        <w:rPr>
          <w:rFonts w:hint="eastAsia" w:asciiTheme="minorEastAsia" w:hAnsiTheme="minorEastAsia" w:eastAsiaTheme="minorEastAsia" w:cstheme="minorEastAsia"/>
          <w:b/>
          <w:bCs/>
          <w:sz w:val="24"/>
        </w:rPr>
        <w:t>附件1</w:t>
      </w:r>
      <w:bookmarkEnd w:id="157"/>
      <w:bookmarkEnd w:id="158"/>
      <w:r>
        <w:rPr>
          <w:rFonts w:hint="eastAsia" w:asciiTheme="minorEastAsia" w:hAnsiTheme="minorEastAsia" w:eastAsiaTheme="minorEastAsia" w:cstheme="minorEastAsia"/>
          <w:b/>
          <w:bCs/>
          <w:sz w:val="24"/>
          <w:lang w:val="en-US" w:eastAsia="zh-CN"/>
        </w:rPr>
        <w:t>0</w:t>
      </w:r>
    </w:p>
    <w:p w14:paraId="07380909">
      <w:pPr>
        <w:spacing w:line="50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供应商类似项目业绩表</w:t>
      </w:r>
    </w:p>
    <w:tbl>
      <w:tblPr>
        <w:tblStyle w:val="30"/>
        <w:tblW w:w="8453" w:type="dxa"/>
        <w:tblInd w:w="103" w:type="dxa"/>
        <w:tblLayout w:type="fixed"/>
        <w:tblCellMar>
          <w:top w:w="0" w:type="dxa"/>
          <w:left w:w="108" w:type="dxa"/>
          <w:bottom w:w="0" w:type="dxa"/>
          <w:right w:w="108" w:type="dxa"/>
        </w:tblCellMar>
      </w:tblPr>
      <w:tblGrid>
        <w:gridCol w:w="570"/>
        <w:gridCol w:w="1613"/>
        <w:gridCol w:w="2265"/>
        <w:gridCol w:w="1395"/>
        <w:gridCol w:w="1230"/>
        <w:gridCol w:w="1380"/>
      </w:tblGrid>
      <w:tr w14:paraId="41AF1EC4">
        <w:tblPrEx>
          <w:tblCellMar>
            <w:top w:w="0" w:type="dxa"/>
            <w:left w:w="108" w:type="dxa"/>
            <w:bottom w:w="0" w:type="dxa"/>
            <w:right w:w="108" w:type="dxa"/>
          </w:tblCellMar>
        </w:tblPrEx>
        <w:trPr>
          <w:trHeight w:val="1355"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8B0A73">
            <w:pPr>
              <w:autoSpaceDE w:val="0"/>
              <w:autoSpaceDN w:val="0"/>
              <w:adjustRightInd w:val="0"/>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序号</w:t>
            </w:r>
          </w:p>
        </w:tc>
        <w:tc>
          <w:tcPr>
            <w:tcW w:w="161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9C3CB8">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59" w:name="_Toc12085"/>
            <w:bookmarkStart w:id="160" w:name="_Toc18631"/>
            <w:r>
              <w:rPr>
                <w:rFonts w:hint="eastAsia" w:asciiTheme="minorEastAsia" w:hAnsiTheme="minorEastAsia" w:eastAsiaTheme="minorEastAsia" w:cstheme="minorEastAsia"/>
                <w:kern w:val="0"/>
                <w:sz w:val="24"/>
                <w:lang w:val="zh-CN"/>
              </w:rPr>
              <w:t>采购单位</w:t>
            </w:r>
            <w:bookmarkEnd w:id="159"/>
            <w:bookmarkEnd w:id="160"/>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095958">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1" w:name="_Toc520282834"/>
            <w:bookmarkStart w:id="162" w:name="_Toc6801"/>
            <w:bookmarkStart w:id="163" w:name="_Toc5614"/>
            <w:r>
              <w:rPr>
                <w:rFonts w:hint="eastAsia" w:asciiTheme="minorEastAsia" w:hAnsiTheme="minorEastAsia" w:eastAsiaTheme="minorEastAsia" w:cstheme="minorEastAsia"/>
                <w:kern w:val="0"/>
                <w:sz w:val="24"/>
                <w:lang w:val="zh-CN"/>
              </w:rPr>
              <w:t>项目名称服务地点</w:t>
            </w:r>
            <w:bookmarkEnd w:id="161"/>
            <w:bookmarkEnd w:id="162"/>
            <w:bookmarkEnd w:id="163"/>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72413E">
            <w:pPr>
              <w:autoSpaceDE w:val="0"/>
              <w:autoSpaceDN w:val="0"/>
              <w:adjustRightInd w:val="0"/>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9EB79D">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4" w:name="_Toc31871"/>
            <w:bookmarkStart w:id="165" w:name="_Toc21856"/>
            <w:bookmarkStart w:id="166" w:name="_Toc520282837"/>
            <w:r>
              <w:rPr>
                <w:rFonts w:hint="eastAsia" w:asciiTheme="minorEastAsia" w:hAnsiTheme="minorEastAsia" w:eastAsiaTheme="minorEastAsia" w:cstheme="minorEastAsia"/>
                <w:kern w:val="0"/>
                <w:sz w:val="24"/>
                <w:lang w:val="zh-CN"/>
              </w:rPr>
              <w:t>合同</w:t>
            </w:r>
            <w:bookmarkEnd w:id="164"/>
            <w:bookmarkEnd w:id="165"/>
            <w:bookmarkEnd w:id="166"/>
            <w:r>
              <w:rPr>
                <w:rFonts w:hint="eastAsia" w:asciiTheme="minorEastAsia" w:hAnsiTheme="minorEastAsia" w:eastAsiaTheme="minorEastAsia" w:cstheme="minorEastAsia"/>
                <w:kern w:val="0"/>
                <w:sz w:val="24"/>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69AC00">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7" w:name="_Toc3357"/>
            <w:bookmarkStart w:id="168" w:name="_Toc26176"/>
            <w:bookmarkStart w:id="169" w:name="_Toc520282840"/>
            <w:r>
              <w:rPr>
                <w:rFonts w:hint="eastAsia" w:asciiTheme="minorEastAsia" w:hAnsiTheme="minorEastAsia" w:eastAsiaTheme="minorEastAsia" w:cstheme="minorEastAsia"/>
                <w:kern w:val="0"/>
                <w:sz w:val="24"/>
                <w:lang w:val="zh-CN"/>
              </w:rPr>
              <w:t>履约情况</w:t>
            </w:r>
            <w:bookmarkEnd w:id="167"/>
            <w:bookmarkEnd w:id="168"/>
            <w:bookmarkEnd w:id="169"/>
          </w:p>
        </w:tc>
      </w:tr>
      <w:tr w14:paraId="6A36BB4C">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01E9090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19AA285B">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7FDF51F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7F2196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2FB3D56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1B4996FF">
            <w:pPr>
              <w:autoSpaceDE w:val="0"/>
              <w:autoSpaceDN w:val="0"/>
              <w:adjustRightInd w:val="0"/>
              <w:jc w:val="left"/>
              <w:rPr>
                <w:rFonts w:hint="eastAsia" w:asciiTheme="minorEastAsia" w:hAnsiTheme="minorEastAsia" w:eastAsiaTheme="minorEastAsia" w:cstheme="minorEastAsia"/>
                <w:kern w:val="0"/>
                <w:sz w:val="24"/>
                <w:lang w:val="zh-CN"/>
              </w:rPr>
            </w:pPr>
          </w:p>
        </w:tc>
      </w:tr>
      <w:tr w14:paraId="3839D763">
        <w:tblPrEx>
          <w:tblCellMar>
            <w:top w:w="0" w:type="dxa"/>
            <w:left w:w="108" w:type="dxa"/>
            <w:bottom w:w="0" w:type="dxa"/>
            <w:right w:w="108" w:type="dxa"/>
          </w:tblCellMar>
        </w:tblPrEx>
        <w:trPr>
          <w:trHeight w:val="864"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0505988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3F17639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7608E12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436849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D71FE6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5C5DCEE4">
            <w:pPr>
              <w:autoSpaceDE w:val="0"/>
              <w:autoSpaceDN w:val="0"/>
              <w:adjustRightInd w:val="0"/>
              <w:jc w:val="left"/>
              <w:rPr>
                <w:rFonts w:hint="eastAsia" w:asciiTheme="minorEastAsia" w:hAnsiTheme="minorEastAsia" w:eastAsiaTheme="minorEastAsia" w:cstheme="minorEastAsia"/>
                <w:kern w:val="0"/>
                <w:sz w:val="24"/>
                <w:lang w:val="zh-CN"/>
              </w:rPr>
            </w:pPr>
          </w:p>
        </w:tc>
      </w:tr>
      <w:tr w14:paraId="2F743654">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7494668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4972E02C">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1BF213D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1427CE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E25E68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4478254E">
            <w:pPr>
              <w:autoSpaceDE w:val="0"/>
              <w:autoSpaceDN w:val="0"/>
              <w:adjustRightInd w:val="0"/>
              <w:jc w:val="left"/>
              <w:rPr>
                <w:rFonts w:hint="eastAsia" w:asciiTheme="minorEastAsia" w:hAnsiTheme="minorEastAsia" w:eastAsiaTheme="minorEastAsia" w:cstheme="minorEastAsia"/>
                <w:kern w:val="0"/>
                <w:sz w:val="24"/>
                <w:lang w:val="zh-CN"/>
              </w:rPr>
            </w:pPr>
          </w:p>
        </w:tc>
      </w:tr>
      <w:tr w14:paraId="3FF69DD9">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50BC3CC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1E8B65F4">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0C773CE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346ED23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19940FC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B1A6EFF">
            <w:pPr>
              <w:autoSpaceDE w:val="0"/>
              <w:autoSpaceDN w:val="0"/>
              <w:adjustRightInd w:val="0"/>
              <w:jc w:val="left"/>
              <w:rPr>
                <w:rFonts w:hint="eastAsia" w:asciiTheme="minorEastAsia" w:hAnsiTheme="minorEastAsia" w:eastAsiaTheme="minorEastAsia" w:cstheme="minorEastAsia"/>
                <w:kern w:val="0"/>
                <w:sz w:val="24"/>
                <w:lang w:val="zh-CN"/>
              </w:rPr>
            </w:pPr>
          </w:p>
        </w:tc>
      </w:tr>
      <w:tr w14:paraId="48E6B95C">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52B5E3D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4A788B38">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6DF4B96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420570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DB8647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CC2AF53">
            <w:pPr>
              <w:autoSpaceDE w:val="0"/>
              <w:autoSpaceDN w:val="0"/>
              <w:adjustRightInd w:val="0"/>
              <w:jc w:val="left"/>
              <w:rPr>
                <w:rFonts w:hint="eastAsia" w:asciiTheme="minorEastAsia" w:hAnsiTheme="minorEastAsia" w:eastAsiaTheme="minorEastAsia" w:cstheme="minorEastAsia"/>
                <w:kern w:val="0"/>
                <w:sz w:val="24"/>
                <w:lang w:val="zh-CN"/>
              </w:rPr>
            </w:pPr>
          </w:p>
        </w:tc>
      </w:tr>
      <w:tr w14:paraId="4BE23094">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007040A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7A0882CB">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217B3AE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794180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C3A4D5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1AD8AAC1">
            <w:pPr>
              <w:autoSpaceDE w:val="0"/>
              <w:autoSpaceDN w:val="0"/>
              <w:adjustRightInd w:val="0"/>
              <w:jc w:val="left"/>
              <w:rPr>
                <w:rFonts w:hint="eastAsia" w:asciiTheme="minorEastAsia" w:hAnsiTheme="minorEastAsia" w:eastAsiaTheme="minorEastAsia" w:cstheme="minorEastAsia"/>
                <w:kern w:val="0"/>
                <w:sz w:val="24"/>
                <w:lang w:val="zh-CN"/>
              </w:rPr>
            </w:pPr>
          </w:p>
        </w:tc>
      </w:tr>
      <w:tr w14:paraId="7F39455F">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7D17A0B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0846D754">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7753B2D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C9F7F4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09A8CE6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EA57245">
            <w:pPr>
              <w:autoSpaceDE w:val="0"/>
              <w:autoSpaceDN w:val="0"/>
              <w:adjustRightInd w:val="0"/>
              <w:jc w:val="left"/>
              <w:rPr>
                <w:rFonts w:hint="eastAsia" w:asciiTheme="minorEastAsia" w:hAnsiTheme="minorEastAsia" w:eastAsiaTheme="minorEastAsia" w:cstheme="minorEastAsia"/>
                <w:kern w:val="0"/>
                <w:sz w:val="24"/>
                <w:lang w:val="zh-CN"/>
              </w:rPr>
            </w:pPr>
          </w:p>
        </w:tc>
      </w:tr>
    </w:tbl>
    <w:p w14:paraId="040044B3">
      <w:pPr>
        <w:pStyle w:val="102"/>
        <w:snapToGrid w:val="0"/>
        <w:spacing w:line="500" w:lineRule="exact"/>
        <w:ind w:firstLine="480" w:firstLineChars="200"/>
        <w:rPr>
          <w:rFonts w:hint="eastAsia" w:asciiTheme="minorEastAsia" w:hAnsiTheme="minorEastAsia" w:eastAsiaTheme="minorEastAsia" w:cstheme="minorEastAsia"/>
          <w:color w:val="auto"/>
          <w:sz w:val="24"/>
        </w:rPr>
      </w:pPr>
    </w:p>
    <w:p w14:paraId="737356B6">
      <w:pPr>
        <w:pStyle w:val="102"/>
        <w:snapToGrid w:val="0"/>
        <w:spacing w:line="500" w:lineRule="exact"/>
        <w:ind w:firstLine="480" w:firstLineChars="200"/>
        <w:rPr>
          <w:rFonts w:hint="eastAsia" w:asciiTheme="minorEastAsia" w:hAnsiTheme="minorEastAsia" w:eastAsiaTheme="minorEastAsia" w:cstheme="minorEastAsia"/>
          <w:color w:val="auto"/>
          <w:sz w:val="24"/>
        </w:rPr>
      </w:pPr>
    </w:p>
    <w:p w14:paraId="13422291">
      <w:pPr>
        <w:pStyle w:val="102"/>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56913098">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6FCDED0B">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4D3384E7">
      <w:pPr>
        <w:widowControl/>
        <w:spacing w:line="360" w:lineRule="auto"/>
        <w:jc w:val="left"/>
        <w:outlineLvl w:val="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Cs/>
          <w:sz w:val="24"/>
        </w:rPr>
        <w:br w:type="page"/>
      </w:r>
      <w:bookmarkStart w:id="170" w:name="_Toc19"/>
      <w:bookmarkStart w:id="171" w:name="_Toc23479"/>
      <w:r>
        <w:rPr>
          <w:rFonts w:hint="eastAsia" w:asciiTheme="minorEastAsia" w:hAnsiTheme="minorEastAsia" w:eastAsiaTheme="minorEastAsia" w:cstheme="minorEastAsia"/>
          <w:b/>
          <w:bCs/>
          <w:sz w:val="24"/>
        </w:rPr>
        <w:t>附件</w:t>
      </w:r>
      <w:bookmarkEnd w:id="170"/>
      <w:bookmarkEnd w:id="171"/>
      <w:r>
        <w:rPr>
          <w:rFonts w:hint="eastAsia" w:asciiTheme="minorEastAsia" w:hAnsiTheme="minorEastAsia" w:eastAsiaTheme="minorEastAsia" w:cstheme="minorEastAsia"/>
          <w:b/>
          <w:bCs/>
          <w:sz w:val="24"/>
        </w:rPr>
        <w:t>1</w:t>
      </w:r>
      <w:r>
        <w:rPr>
          <w:rFonts w:hint="eastAsia" w:asciiTheme="minorEastAsia" w:hAnsiTheme="minorEastAsia" w:eastAsiaTheme="minorEastAsia" w:cstheme="minorEastAsia"/>
          <w:b/>
          <w:bCs/>
          <w:sz w:val="24"/>
          <w:lang w:val="en-US" w:eastAsia="zh-CN"/>
        </w:rPr>
        <w:t>1</w:t>
      </w:r>
    </w:p>
    <w:p w14:paraId="2BCF61FF">
      <w:pPr>
        <w:pStyle w:val="4"/>
        <w:jc w:val="center"/>
        <w:rPr>
          <w:rFonts w:hint="eastAsia" w:asciiTheme="minorEastAsia" w:hAnsiTheme="minorEastAsia" w:eastAsiaTheme="minorEastAsia" w:cstheme="minorEastAsia"/>
          <w:sz w:val="24"/>
          <w:szCs w:val="24"/>
        </w:rPr>
      </w:pPr>
      <w:bookmarkStart w:id="172" w:name="_Toc13047"/>
      <w:r>
        <w:rPr>
          <w:rFonts w:hint="eastAsia" w:asciiTheme="minorEastAsia" w:hAnsiTheme="minorEastAsia" w:eastAsiaTheme="minorEastAsia" w:cstheme="minorEastAsia"/>
          <w:sz w:val="24"/>
          <w:szCs w:val="24"/>
        </w:rPr>
        <w:t>中小微企业声明函</w:t>
      </w:r>
      <w:bookmarkEnd w:id="172"/>
    </w:p>
    <w:p w14:paraId="4F81E321">
      <w:pPr>
        <w:widowControl/>
        <w:spacing w:line="360" w:lineRule="auto"/>
        <w:ind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中小企业声明函（服务）</w:t>
      </w:r>
    </w:p>
    <w:p w14:paraId="03D676DD">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BE3556">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 xml:space="preserve"> 软件和信息技术服务业 </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14:paraId="532ABB07">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 xml:space="preserve"> 软件和信息技术服务业 </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14:paraId="059ED0D3">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14:paraId="70DDA5FC">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14:paraId="2367F62D">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14:paraId="5DD8F8C2">
      <w:pPr>
        <w:widowControl/>
        <w:wordWrap w:val="0"/>
        <w:spacing w:line="360" w:lineRule="auto"/>
        <w:ind w:firstLine="480" w:firstLineChars="200"/>
        <w:jc w:val="right"/>
        <w:rPr>
          <w:rFonts w:hint="eastAsia" w:asciiTheme="minorEastAsia" w:hAnsiTheme="minorEastAsia" w:eastAsiaTheme="minorEastAsia" w:cstheme="minorEastAsia"/>
          <w:kern w:val="0"/>
          <w:sz w:val="24"/>
          <w:szCs w:val="24"/>
        </w:rPr>
      </w:pPr>
    </w:p>
    <w:p w14:paraId="472BD97D">
      <w:pPr>
        <w:widowControl/>
        <w:wordWrap w:val="0"/>
        <w:spacing w:line="360" w:lineRule="auto"/>
        <w:ind w:firstLine="480" w:firstLineChars="200"/>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供应商（盖章）：        </w:t>
      </w:r>
    </w:p>
    <w:p w14:paraId="12B98B18">
      <w:pPr>
        <w:widowControl/>
        <w:wordWrap w:val="0"/>
        <w:spacing w:line="360" w:lineRule="auto"/>
        <w:ind w:right="48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日 期：         </w:t>
      </w:r>
    </w:p>
    <w:p w14:paraId="7028A465">
      <w:pPr>
        <w:widowControl/>
        <w:spacing w:line="360" w:lineRule="auto"/>
        <w:ind w:firstLine="480" w:firstLineChars="200"/>
        <w:jc w:val="left"/>
        <w:rPr>
          <w:rFonts w:hint="eastAsia" w:asciiTheme="minorEastAsia" w:hAnsiTheme="minorEastAsia" w:eastAsiaTheme="minorEastAsia" w:cstheme="minorEastAsia"/>
          <w:kern w:val="0"/>
          <w:sz w:val="24"/>
          <w:szCs w:val="24"/>
        </w:rPr>
      </w:pPr>
    </w:p>
    <w:p w14:paraId="2F180799">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备注：1、从业人员、营业收入、资产总额填报上一年度数据，无上一年度数据的新成立企业可不填报。</w:t>
      </w:r>
    </w:p>
    <w:p w14:paraId="3F3A21C0">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2、供应商为中小企业时需提供本声明函，并完整填写从业人员、营业收入、资产总额等内容。</w:t>
      </w:r>
    </w:p>
    <w:p w14:paraId="360EEAE0">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39C5A938">
      <w:pPr>
        <w:widowControl/>
        <w:jc w:val="left"/>
        <w:outlineLvl w:val="0"/>
        <w:rPr>
          <w:rFonts w:hint="eastAsia" w:asciiTheme="minorEastAsia" w:hAnsiTheme="minorEastAsia" w:eastAsiaTheme="minorEastAsia" w:cstheme="minorEastAsia"/>
          <w:b/>
          <w:bCs/>
          <w:sz w:val="24"/>
          <w:szCs w:val="24"/>
          <w:lang w:eastAsia="zh-CN"/>
        </w:rPr>
      </w:pPr>
      <w:bookmarkStart w:id="173" w:name="_Toc1114"/>
      <w:bookmarkStart w:id="174" w:name="_Toc19534"/>
      <w:r>
        <w:rPr>
          <w:rFonts w:hint="eastAsia" w:asciiTheme="minorEastAsia" w:hAnsiTheme="minorEastAsia" w:eastAsiaTheme="minorEastAsia" w:cstheme="minorEastAsia"/>
          <w:b/>
          <w:bCs/>
          <w:sz w:val="24"/>
          <w:szCs w:val="24"/>
        </w:rPr>
        <w:t>附件</w:t>
      </w:r>
      <w:bookmarkEnd w:id="173"/>
      <w:bookmarkEnd w:id="174"/>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p>
    <w:p w14:paraId="2582D1C7">
      <w:pPr>
        <w:tabs>
          <w:tab w:val="left" w:pos="996"/>
        </w:tabs>
        <w:spacing w:line="500" w:lineRule="exact"/>
        <w:jc w:val="center"/>
        <w:rPr>
          <w:rFonts w:hint="eastAsia" w:asciiTheme="minorEastAsia" w:hAnsiTheme="minorEastAsia" w:eastAsiaTheme="minorEastAsia" w:cstheme="minorEastAsia"/>
          <w:b/>
          <w:sz w:val="24"/>
          <w:szCs w:val="24"/>
        </w:rPr>
      </w:pPr>
      <w:bookmarkStart w:id="175" w:name="_Hlk7871373"/>
      <w:r>
        <w:rPr>
          <w:rFonts w:hint="eastAsia" w:asciiTheme="minorEastAsia" w:hAnsiTheme="minorEastAsia" w:eastAsiaTheme="minorEastAsia" w:cstheme="minorEastAsia"/>
          <w:b/>
          <w:sz w:val="24"/>
          <w:szCs w:val="24"/>
        </w:rPr>
        <w:t>评审中所需资料</w:t>
      </w:r>
    </w:p>
    <w:bookmarkEnd w:id="175"/>
    <w:p w14:paraId="7B720F19">
      <w:pPr>
        <w:tabs>
          <w:tab w:val="left" w:pos="996"/>
        </w:tabs>
        <w:spacing w:line="480" w:lineRule="auto"/>
        <w:jc w:val="center"/>
        <w:rPr>
          <w:rFonts w:hint="eastAsia" w:asciiTheme="minorEastAsia" w:hAnsiTheme="minorEastAsia" w:eastAsiaTheme="minorEastAsia" w:cstheme="minorEastAsia"/>
          <w:b/>
          <w:bCs/>
          <w:sz w:val="24"/>
          <w:szCs w:val="24"/>
        </w:rPr>
      </w:pPr>
    </w:p>
    <w:p w14:paraId="18E7DE13">
      <w:pPr>
        <w:tabs>
          <w:tab w:val="left" w:pos="996"/>
        </w:tabs>
        <w:spacing w:line="48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由供应商自行编写，无具体格式。</w:t>
      </w:r>
    </w:p>
    <w:p w14:paraId="1A1E1F6E">
      <w:pPr>
        <w:tabs>
          <w:tab w:val="left" w:pos="996"/>
        </w:tabs>
        <w:spacing w:line="500" w:lineRule="exact"/>
        <w:jc w:val="left"/>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rPr>
        <w:br w:type="page"/>
      </w:r>
      <w:bookmarkStart w:id="176" w:name="_Toc3583"/>
      <w:bookmarkStart w:id="177" w:name="_Toc1107"/>
      <w:r>
        <w:rPr>
          <w:rFonts w:hint="eastAsia" w:asciiTheme="minorEastAsia" w:hAnsiTheme="minorEastAsia" w:eastAsiaTheme="minorEastAsia" w:cstheme="minorEastAsia"/>
          <w:b/>
          <w:bCs/>
          <w:sz w:val="24"/>
          <w:szCs w:val="24"/>
        </w:rPr>
        <w:t>附件</w:t>
      </w:r>
      <w:bookmarkEnd w:id="176"/>
      <w:bookmarkEnd w:id="177"/>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3</w:t>
      </w:r>
    </w:p>
    <w:p w14:paraId="3125FEC5">
      <w:pPr>
        <w:widowControl/>
        <w:spacing w:line="360" w:lineRule="auto"/>
        <w:ind w:left="720"/>
        <w:jc w:val="center"/>
        <w:outlineLvl w:val="0"/>
        <w:rPr>
          <w:rFonts w:hint="eastAsia" w:asciiTheme="minorEastAsia" w:hAnsiTheme="minorEastAsia" w:eastAsiaTheme="minorEastAsia" w:cstheme="minorEastAsia"/>
        </w:rPr>
      </w:pPr>
      <w:bookmarkStart w:id="178" w:name="_Toc14687"/>
      <w:bookmarkStart w:id="179" w:name="_Toc32680"/>
      <w:r>
        <w:rPr>
          <w:rFonts w:hint="eastAsia" w:asciiTheme="minorEastAsia" w:hAnsiTheme="minorEastAsia" w:eastAsiaTheme="minorEastAsia" w:cstheme="minorEastAsia"/>
          <w:b/>
          <w:sz w:val="24"/>
          <w:szCs w:val="24"/>
        </w:rPr>
        <w:t>供应商认为有必要提供的其他资料</w:t>
      </w:r>
      <w:bookmarkEnd w:id="178"/>
      <w:bookmarkEnd w:id="179"/>
    </w:p>
    <w:p w14:paraId="1AD889B4">
      <w:pPr>
        <w:widowControl/>
        <w:spacing w:line="360" w:lineRule="auto"/>
        <w:ind w:left="720"/>
        <w:jc w:val="center"/>
        <w:outlineLvl w:val="0"/>
        <w:rPr>
          <w:rFonts w:hint="eastAsia" w:asciiTheme="minorEastAsia" w:hAnsiTheme="minorEastAsia" w:eastAsiaTheme="minorEastAsia" w:cstheme="minorEastAsia"/>
        </w:rPr>
      </w:pPr>
    </w:p>
    <w:sectPr>
      <w:headerReference r:id="rId8" w:type="default"/>
      <w:footerReference r:id="rId9" w:type="default"/>
      <w:pgSz w:w="11911" w:h="16838"/>
      <w:pgMar w:top="1440" w:right="1633" w:bottom="1440" w:left="1633" w:header="0" w:footer="87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8046">
    <w:pPr>
      <w:autoSpaceDE w:val="0"/>
      <w:autoSpaceDN w:val="0"/>
      <w:spacing w:line="14" w:lineRule="auto"/>
      <w:jc w:val="left"/>
      <w:rPr>
        <w:rFonts w:hint="eastAsia" w:ascii="宋体" w:hAnsi="宋体" w:cs="宋体"/>
        <w:sz w:val="20"/>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26F6">
    <w:pPr>
      <w:pStyle w:val="22"/>
      <w:jc w:val="center"/>
    </w:pPr>
  </w:p>
  <w:p w14:paraId="611564CC">
    <w:pPr>
      <w:pStyle w:val="22"/>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98950">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9EF4B0">
                          <w:pPr>
                            <w:pStyle w:val="22"/>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0F9EF4B0">
                    <w:pPr>
                      <w:pStyle w:val="22"/>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47FC661C">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865A">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EFEC3">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51EFEC3">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6ABC3A92">
    <w:pPr>
      <w:pStyle w:val="22"/>
      <w:ind w:right="360"/>
      <w:rPr>
        <w:rFonts w:ascii="宋体"/>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D1DE3">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7D08">
    <w:pPr>
      <w:pStyle w:val="23"/>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2E0C">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EA1D55C2"/>
    <w:multiLevelType w:val="singleLevel"/>
    <w:tmpl w:val="EA1D55C2"/>
    <w:lvl w:ilvl="0" w:tentative="0">
      <w:start w:val="3"/>
      <w:numFmt w:val="decimal"/>
      <w:lvlText w:val="%1."/>
      <w:lvlJc w:val="left"/>
      <w:pPr>
        <w:tabs>
          <w:tab w:val="left" w:pos="312"/>
        </w:tabs>
      </w:pPr>
    </w:lvl>
  </w:abstractNum>
  <w:abstractNum w:abstractNumId="2">
    <w:nsid w:val="3F2E7D64"/>
    <w:multiLevelType w:val="singleLevel"/>
    <w:tmpl w:val="3F2E7D64"/>
    <w:lvl w:ilvl="0" w:tentative="0">
      <w:start w:val="5"/>
      <w:numFmt w:val="chineseCounting"/>
      <w:suff w:val="nothing"/>
      <w:lvlText w:val="%1、"/>
      <w:lvlJc w:val="left"/>
      <w:rPr>
        <w:rFonts w:hint="eastAsia"/>
      </w:rPr>
    </w:lvl>
  </w:abstractNum>
  <w:abstractNum w:abstractNumId="3">
    <w:nsid w:val="620C9E64"/>
    <w:multiLevelType w:val="singleLevel"/>
    <w:tmpl w:val="620C9E64"/>
    <w:lvl w:ilvl="0" w:tentative="0">
      <w:start w:val="1"/>
      <w:numFmt w:val="decimal"/>
      <w:suff w:val="nothing"/>
      <w:lvlText w:val="%1、"/>
      <w:lvlJc w:val="left"/>
    </w:lvl>
  </w:abstractNum>
  <w:abstractNum w:abstractNumId="4">
    <w:nsid w:val="721853E8"/>
    <w:multiLevelType w:val="multilevel"/>
    <w:tmpl w:val="72185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494AA2"/>
    <w:multiLevelType w:val="singleLevel"/>
    <w:tmpl w:val="77494AA2"/>
    <w:lvl w:ilvl="0" w:tentative="0">
      <w:start w:val="2"/>
      <w:numFmt w:val="chineseCounting"/>
      <w:suff w:val="nothing"/>
      <w:lvlText w:val="%1、"/>
      <w:lvlJc w:val="left"/>
      <w:rPr>
        <w:rFonts w:hint="eastAsia"/>
      </w:rPr>
    </w:lvl>
  </w:abstractNum>
  <w:abstractNum w:abstractNumId="6">
    <w:nsid w:val="78F19E4C"/>
    <w:multiLevelType w:val="singleLevel"/>
    <w:tmpl w:val="78F19E4C"/>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MGQ5YzMwMmQ3OTdmMzkwYjhlZGQ1NmQ3NGI1ZGIifQ=="/>
    <w:docVar w:name="KSO_WPS_MARK_KEY" w:val="fc030781-f9b1-4b1a-83ad-26491d6d2519"/>
  </w:docVars>
  <w:rsids>
    <w:rsidRoot w:val="0052434E"/>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33DF"/>
    <w:rsid w:val="00033E52"/>
    <w:rsid w:val="00034063"/>
    <w:rsid w:val="000347F4"/>
    <w:rsid w:val="00036433"/>
    <w:rsid w:val="00041DB0"/>
    <w:rsid w:val="000433F2"/>
    <w:rsid w:val="00045EDD"/>
    <w:rsid w:val="00046AAD"/>
    <w:rsid w:val="00047338"/>
    <w:rsid w:val="0005137C"/>
    <w:rsid w:val="0005268E"/>
    <w:rsid w:val="00052742"/>
    <w:rsid w:val="00054917"/>
    <w:rsid w:val="000554DD"/>
    <w:rsid w:val="000565E6"/>
    <w:rsid w:val="000568ED"/>
    <w:rsid w:val="0006040F"/>
    <w:rsid w:val="00062214"/>
    <w:rsid w:val="00062604"/>
    <w:rsid w:val="00062713"/>
    <w:rsid w:val="00062A44"/>
    <w:rsid w:val="00065494"/>
    <w:rsid w:val="00070428"/>
    <w:rsid w:val="0007052D"/>
    <w:rsid w:val="0007065C"/>
    <w:rsid w:val="00071080"/>
    <w:rsid w:val="00071821"/>
    <w:rsid w:val="00071EE4"/>
    <w:rsid w:val="00076439"/>
    <w:rsid w:val="00076C3D"/>
    <w:rsid w:val="00077A10"/>
    <w:rsid w:val="00080449"/>
    <w:rsid w:val="00083FB2"/>
    <w:rsid w:val="000846A9"/>
    <w:rsid w:val="00084FFF"/>
    <w:rsid w:val="000869B2"/>
    <w:rsid w:val="00087B48"/>
    <w:rsid w:val="00090AD9"/>
    <w:rsid w:val="00090D5A"/>
    <w:rsid w:val="0009138C"/>
    <w:rsid w:val="000941D7"/>
    <w:rsid w:val="00094601"/>
    <w:rsid w:val="000969EC"/>
    <w:rsid w:val="000971CC"/>
    <w:rsid w:val="000976F6"/>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C22"/>
    <w:rsid w:val="001A60AD"/>
    <w:rsid w:val="001A7E0C"/>
    <w:rsid w:val="001B15FB"/>
    <w:rsid w:val="001B1800"/>
    <w:rsid w:val="001B25F2"/>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2049BC"/>
    <w:rsid w:val="002061A3"/>
    <w:rsid w:val="00206A3E"/>
    <w:rsid w:val="002077D2"/>
    <w:rsid w:val="00210D8E"/>
    <w:rsid w:val="00210FF4"/>
    <w:rsid w:val="002114E8"/>
    <w:rsid w:val="00213A51"/>
    <w:rsid w:val="00213A59"/>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739E"/>
    <w:rsid w:val="0028792E"/>
    <w:rsid w:val="00287EFA"/>
    <w:rsid w:val="0029101F"/>
    <w:rsid w:val="002916C7"/>
    <w:rsid w:val="002919A5"/>
    <w:rsid w:val="00292233"/>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D7A3F"/>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3010"/>
    <w:rsid w:val="003043FF"/>
    <w:rsid w:val="00305BB5"/>
    <w:rsid w:val="00305EEA"/>
    <w:rsid w:val="003060C9"/>
    <w:rsid w:val="003065F6"/>
    <w:rsid w:val="00306E89"/>
    <w:rsid w:val="0030772D"/>
    <w:rsid w:val="00314960"/>
    <w:rsid w:val="0031730B"/>
    <w:rsid w:val="003200CE"/>
    <w:rsid w:val="00320578"/>
    <w:rsid w:val="003248C3"/>
    <w:rsid w:val="003255FA"/>
    <w:rsid w:val="0032602F"/>
    <w:rsid w:val="00326E77"/>
    <w:rsid w:val="00327E23"/>
    <w:rsid w:val="00331C2B"/>
    <w:rsid w:val="00332C97"/>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81527"/>
    <w:rsid w:val="003827E3"/>
    <w:rsid w:val="003842C1"/>
    <w:rsid w:val="003843D1"/>
    <w:rsid w:val="0038650B"/>
    <w:rsid w:val="003879E8"/>
    <w:rsid w:val="003912C0"/>
    <w:rsid w:val="003917B7"/>
    <w:rsid w:val="003924BA"/>
    <w:rsid w:val="003933C1"/>
    <w:rsid w:val="00393F65"/>
    <w:rsid w:val="003959A3"/>
    <w:rsid w:val="0039788F"/>
    <w:rsid w:val="003A0BAE"/>
    <w:rsid w:val="003A1F35"/>
    <w:rsid w:val="003A22B6"/>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715E"/>
    <w:rsid w:val="003D1E1C"/>
    <w:rsid w:val="003D3A56"/>
    <w:rsid w:val="003D3ADB"/>
    <w:rsid w:val="003D49BB"/>
    <w:rsid w:val="003D5A32"/>
    <w:rsid w:val="003D5CE7"/>
    <w:rsid w:val="003E14D2"/>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4D61"/>
    <w:rsid w:val="00470AED"/>
    <w:rsid w:val="004735DD"/>
    <w:rsid w:val="004772C7"/>
    <w:rsid w:val="00477B31"/>
    <w:rsid w:val="00477D12"/>
    <w:rsid w:val="00480430"/>
    <w:rsid w:val="00484989"/>
    <w:rsid w:val="00486319"/>
    <w:rsid w:val="0048632C"/>
    <w:rsid w:val="00487431"/>
    <w:rsid w:val="00492B7A"/>
    <w:rsid w:val="0049327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1F52"/>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10B7"/>
    <w:rsid w:val="00561DDF"/>
    <w:rsid w:val="00561E6C"/>
    <w:rsid w:val="0056583F"/>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90E51"/>
    <w:rsid w:val="005915F0"/>
    <w:rsid w:val="0059398C"/>
    <w:rsid w:val="0059471D"/>
    <w:rsid w:val="00594CCD"/>
    <w:rsid w:val="00595DDF"/>
    <w:rsid w:val="005A1139"/>
    <w:rsid w:val="005A140C"/>
    <w:rsid w:val="005A1762"/>
    <w:rsid w:val="005A3611"/>
    <w:rsid w:val="005A491F"/>
    <w:rsid w:val="005A5FC5"/>
    <w:rsid w:val="005A706A"/>
    <w:rsid w:val="005A7295"/>
    <w:rsid w:val="005B3BD4"/>
    <w:rsid w:val="005B4152"/>
    <w:rsid w:val="005B61C0"/>
    <w:rsid w:val="005B6A02"/>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3A4C"/>
    <w:rsid w:val="00653CEB"/>
    <w:rsid w:val="00654443"/>
    <w:rsid w:val="00655072"/>
    <w:rsid w:val="006564AB"/>
    <w:rsid w:val="00657B24"/>
    <w:rsid w:val="00657F6B"/>
    <w:rsid w:val="00661999"/>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B6C"/>
    <w:rsid w:val="006B16D9"/>
    <w:rsid w:val="006B2933"/>
    <w:rsid w:val="006B3E1F"/>
    <w:rsid w:val="006B638D"/>
    <w:rsid w:val="006C0F9D"/>
    <w:rsid w:val="006C10B1"/>
    <w:rsid w:val="006C26C2"/>
    <w:rsid w:val="006C3B84"/>
    <w:rsid w:val="006C5A90"/>
    <w:rsid w:val="006C5B75"/>
    <w:rsid w:val="006C7B05"/>
    <w:rsid w:val="006D2EBA"/>
    <w:rsid w:val="006D4D45"/>
    <w:rsid w:val="006E084B"/>
    <w:rsid w:val="006E12C0"/>
    <w:rsid w:val="006E1E2D"/>
    <w:rsid w:val="006E226E"/>
    <w:rsid w:val="006E2A7B"/>
    <w:rsid w:val="006E4C19"/>
    <w:rsid w:val="006E5E3C"/>
    <w:rsid w:val="006E6898"/>
    <w:rsid w:val="006F0AEF"/>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5E65"/>
    <w:rsid w:val="00735EE9"/>
    <w:rsid w:val="00735F4C"/>
    <w:rsid w:val="00737615"/>
    <w:rsid w:val="00737B95"/>
    <w:rsid w:val="00741374"/>
    <w:rsid w:val="0074194E"/>
    <w:rsid w:val="00741ECC"/>
    <w:rsid w:val="00742E1E"/>
    <w:rsid w:val="007440E6"/>
    <w:rsid w:val="00745CF4"/>
    <w:rsid w:val="00745FBF"/>
    <w:rsid w:val="00746B9D"/>
    <w:rsid w:val="00746BDF"/>
    <w:rsid w:val="007517CB"/>
    <w:rsid w:val="00751A3F"/>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B11"/>
    <w:rsid w:val="00781435"/>
    <w:rsid w:val="00781DC6"/>
    <w:rsid w:val="00782DF2"/>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47C6"/>
    <w:rsid w:val="007C5578"/>
    <w:rsid w:val="007D09C7"/>
    <w:rsid w:val="007D13E5"/>
    <w:rsid w:val="007D2AF8"/>
    <w:rsid w:val="007D7196"/>
    <w:rsid w:val="007D7A77"/>
    <w:rsid w:val="007E0DEE"/>
    <w:rsid w:val="007E101F"/>
    <w:rsid w:val="007E1824"/>
    <w:rsid w:val="007E2C5B"/>
    <w:rsid w:val="007E489E"/>
    <w:rsid w:val="007E48B0"/>
    <w:rsid w:val="007E574A"/>
    <w:rsid w:val="007E5DBC"/>
    <w:rsid w:val="007E6905"/>
    <w:rsid w:val="007F5F04"/>
    <w:rsid w:val="007F66B9"/>
    <w:rsid w:val="007F6DA7"/>
    <w:rsid w:val="008015F3"/>
    <w:rsid w:val="0080358F"/>
    <w:rsid w:val="00803E83"/>
    <w:rsid w:val="00804638"/>
    <w:rsid w:val="00806721"/>
    <w:rsid w:val="00806E96"/>
    <w:rsid w:val="008077D5"/>
    <w:rsid w:val="00807B06"/>
    <w:rsid w:val="00807FF1"/>
    <w:rsid w:val="008106E9"/>
    <w:rsid w:val="00814A9B"/>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3DA3"/>
    <w:rsid w:val="008B472D"/>
    <w:rsid w:val="008B5FDF"/>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F8"/>
    <w:rsid w:val="009520E2"/>
    <w:rsid w:val="009522A4"/>
    <w:rsid w:val="009537E4"/>
    <w:rsid w:val="009546AA"/>
    <w:rsid w:val="00955413"/>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643E"/>
    <w:rsid w:val="009A00DF"/>
    <w:rsid w:val="009A0E9B"/>
    <w:rsid w:val="009A1CD9"/>
    <w:rsid w:val="009A21E4"/>
    <w:rsid w:val="009A646F"/>
    <w:rsid w:val="009A6791"/>
    <w:rsid w:val="009B4AEF"/>
    <w:rsid w:val="009B6220"/>
    <w:rsid w:val="009B6C69"/>
    <w:rsid w:val="009B7F80"/>
    <w:rsid w:val="009C1446"/>
    <w:rsid w:val="009C3085"/>
    <w:rsid w:val="009C4242"/>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7023"/>
    <w:rsid w:val="00A04E05"/>
    <w:rsid w:val="00A04FB0"/>
    <w:rsid w:val="00A06CB3"/>
    <w:rsid w:val="00A0776B"/>
    <w:rsid w:val="00A12B0B"/>
    <w:rsid w:val="00A13B73"/>
    <w:rsid w:val="00A167F8"/>
    <w:rsid w:val="00A21E38"/>
    <w:rsid w:val="00A226DB"/>
    <w:rsid w:val="00A24F95"/>
    <w:rsid w:val="00A252A4"/>
    <w:rsid w:val="00A26B50"/>
    <w:rsid w:val="00A27747"/>
    <w:rsid w:val="00A2785B"/>
    <w:rsid w:val="00A27BE8"/>
    <w:rsid w:val="00A30F24"/>
    <w:rsid w:val="00A31CD9"/>
    <w:rsid w:val="00A33E94"/>
    <w:rsid w:val="00A34C68"/>
    <w:rsid w:val="00A35FEE"/>
    <w:rsid w:val="00A36879"/>
    <w:rsid w:val="00A4041E"/>
    <w:rsid w:val="00A42DAF"/>
    <w:rsid w:val="00A44401"/>
    <w:rsid w:val="00A51C6F"/>
    <w:rsid w:val="00A52884"/>
    <w:rsid w:val="00A54D77"/>
    <w:rsid w:val="00A5569B"/>
    <w:rsid w:val="00A5577F"/>
    <w:rsid w:val="00A66F8F"/>
    <w:rsid w:val="00A7512A"/>
    <w:rsid w:val="00A7518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C00C1"/>
    <w:rsid w:val="00AC0AAF"/>
    <w:rsid w:val="00AC0B40"/>
    <w:rsid w:val="00AC0D31"/>
    <w:rsid w:val="00AC0DBB"/>
    <w:rsid w:val="00AC1079"/>
    <w:rsid w:val="00AC17C7"/>
    <w:rsid w:val="00AC1F4B"/>
    <w:rsid w:val="00AC668A"/>
    <w:rsid w:val="00AC67BD"/>
    <w:rsid w:val="00AC6C28"/>
    <w:rsid w:val="00AC7650"/>
    <w:rsid w:val="00AD0853"/>
    <w:rsid w:val="00AD4FB1"/>
    <w:rsid w:val="00AD746B"/>
    <w:rsid w:val="00AD78AC"/>
    <w:rsid w:val="00AD7CA9"/>
    <w:rsid w:val="00AE10DB"/>
    <w:rsid w:val="00AE2079"/>
    <w:rsid w:val="00AF4F70"/>
    <w:rsid w:val="00AF5D2A"/>
    <w:rsid w:val="00AF5E35"/>
    <w:rsid w:val="00AF5FB5"/>
    <w:rsid w:val="00AF621E"/>
    <w:rsid w:val="00AF7899"/>
    <w:rsid w:val="00B00FEE"/>
    <w:rsid w:val="00B03646"/>
    <w:rsid w:val="00B04336"/>
    <w:rsid w:val="00B07D3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722C"/>
    <w:rsid w:val="00B52F6A"/>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45A6"/>
    <w:rsid w:val="00B74C6A"/>
    <w:rsid w:val="00B802F0"/>
    <w:rsid w:val="00B856A5"/>
    <w:rsid w:val="00B85A93"/>
    <w:rsid w:val="00B864B9"/>
    <w:rsid w:val="00B90911"/>
    <w:rsid w:val="00B91250"/>
    <w:rsid w:val="00B91D42"/>
    <w:rsid w:val="00B91EB3"/>
    <w:rsid w:val="00B93FE5"/>
    <w:rsid w:val="00B95AD1"/>
    <w:rsid w:val="00B95BA6"/>
    <w:rsid w:val="00B95DDB"/>
    <w:rsid w:val="00B967A5"/>
    <w:rsid w:val="00B9731F"/>
    <w:rsid w:val="00B9738F"/>
    <w:rsid w:val="00B97F24"/>
    <w:rsid w:val="00BA08F4"/>
    <w:rsid w:val="00BA1FE6"/>
    <w:rsid w:val="00BA35C0"/>
    <w:rsid w:val="00BA4C19"/>
    <w:rsid w:val="00BA50C8"/>
    <w:rsid w:val="00BA54EC"/>
    <w:rsid w:val="00BA6DAE"/>
    <w:rsid w:val="00BA7084"/>
    <w:rsid w:val="00BB00EA"/>
    <w:rsid w:val="00BB1964"/>
    <w:rsid w:val="00BB784A"/>
    <w:rsid w:val="00BB7B4C"/>
    <w:rsid w:val="00BC0B18"/>
    <w:rsid w:val="00BC7031"/>
    <w:rsid w:val="00BD14FC"/>
    <w:rsid w:val="00BD51F8"/>
    <w:rsid w:val="00BD7510"/>
    <w:rsid w:val="00BD7D3A"/>
    <w:rsid w:val="00BD7DA7"/>
    <w:rsid w:val="00BF3054"/>
    <w:rsid w:val="00BF34A2"/>
    <w:rsid w:val="00BF4D39"/>
    <w:rsid w:val="00BF69F1"/>
    <w:rsid w:val="00C02F2A"/>
    <w:rsid w:val="00C03729"/>
    <w:rsid w:val="00C04856"/>
    <w:rsid w:val="00C05046"/>
    <w:rsid w:val="00C05E46"/>
    <w:rsid w:val="00C0655C"/>
    <w:rsid w:val="00C0751B"/>
    <w:rsid w:val="00C10350"/>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B7F06"/>
    <w:rsid w:val="00CC4391"/>
    <w:rsid w:val="00CC4393"/>
    <w:rsid w:val="00CC439C"/>
    <w:rsid w:val="00CC4EF1"/>
    <w:rsid w:val="00CC7646"/>
    <w:rsid w:val="00CC7B65"/>
    <w:rsid w:val="00CD0350"/>
    <w:rsid w:val="00CD0A4A"/>
    <w:rsid w:val="00CD0C51"/>
    <w:rsid w:val="00CD1284"/>
    <w:rsid w:val="00CD151E"/>
    <w:rsid w:val="00CD3064"/>
    <w:rsid w:val="00CD6E93"/>
    <w:rsid w:val="00CD6F4F"/>
    <w:rsid w:val="00CD7808"/>
    <w:rsid w:val="00CE06C8"/>
    <w:rsid w:val="00CE13A5"/>
    <w:rsid w:val="00CE2C36"/>
    <w:rsid w:val="00CE37E5"/>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B14"/>
    <w:rsid w:val="00D15FBF"/>
    <w:rsid w:val="00D21AAA"/>
    <w:rsid w:val="00D21F86"/>
    <w:rsid w:val="00D24592"/>
    <w:rsid w:val="00D24A4E"/>
    <w:rsid w:val="00D253BF"/>
    <w:rsid w:val="00D2621F"/>
    <w:rsid w:val="00D27720"/>
    <w:rsid w:val="00D30D6E"/>
    <w:rsid w:val="00D344C1"/>
    <w:rsid w:val="00D36DB4"/>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433F"/>
    <w:rsid w:val="00D666F7"/>
    <w:rsid w:val="00D67CBC"/>
    <w:rsid w:val="00D709B0"/>
    <w:rsid w:val="00D72296"/>
    <w:rsid w:val="00D72857"/>
    <w:rsid w:val="00D74205"/>
    <w:rsid w:val="00D762F7"/>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706C"/>
    <w:rsid w:val="00DB018F"/>
    <w:rsid w:val="00DB23A1"/>
    <w:rsid w:val="00DB571F"/>
    <w:rsid w:val="00DB687B"/>
    <w:rsid w:val="00DC068E"/>
    <w:rsid w:val="00DC2DEF"/>
    <w:rsid w:val="00DC3EB8"/>
    <w:rsid w:val="00DC417A"/>
    <w:rsid w:val="00DC4B36"/>
    <w:rsid w:val="00DC615F"/>
    <w:rsid w:val="00DC6D08"/>
    <w:rsid w:val="00DC78A6"/>
    <w:rsid w:val="00DD1E05"/>
    <w:rsid w:val="00DD2E8E"/>
    <w:rsid w:val="00DD34BC"/>
    <w:rsid w:val="00DD3BAF"/>
    <w:rsid w:val="00DD4495"/>
    <w:rsid w:val="00DD4D57"/>
    <w:rsid w:val="00DD6921"/>
    <w:rsid w:val="00DE3C12"/>
    <w:rsid w:val="00DE637C"/>
    <w:rsid w:val="00DF0A06"/>
    <w:rsid w:val="00DF14D4"/>
    <w:rsid w:val="00DF26AA"/>
    <w:rsid w:val="00DF39D0"/>
    <w:rsid w:val="00DF5403"/>
    <w:rsid w:val="00E00BA4"/>
    <w:rsid w:val="00E01C83"/>
    <w:rsid w:val="00E026DE"/>
    <w:rsid w:val="00E03A83"/>
    <w:rsid w:val="00E11D4C"/>
    <w:rsid w:val="00E1344D"/>
    <w:rsid w:val="00E1373F"/>
    <w:rsid w:val="00E1380A"/>
    <w:rsid w:val="00E13DD9"/>
    <w:rsid w:val="00E178A2"/>
    <w:rsid w:val="00E2346E"/>
    <w:rsid w:val="00E24304"/>
    <w:rsid w:val="00E250A9"/>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67479"/>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C269C"/>
    <w:rsid w:val="00EC595B"/>
    <w:rsid w:val="00EC63DB"/>
    <w:rsid w:val="00EC7076"/>
    <w:rsid w:val="00ED0766"/>
    <w:rsid w:val="00ED0B4F"/>
    <w:rsid w:val="00ED1BB1"/>
    <w:rsid w:val="00ED1DE9"/>
    <w:rsid w:val="00ED4A48"/>
    <w:rsid w:val="00ED69B0"/>
    <w:rsid w:val="00EE0820"/>
    <w:rsid w:val="00EE18D1"/>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164C"/>
    <w:rsid w:val="00F01788"/>
    <w:rsid w:val="00F04247"/>
    <w:rsid w:val="00F064DF"/>
    <w:rsid w:val="00F06BF3"/>
    <w:rsid w:val="00F06E16"/>
    <w:rsid w:val="00F10140"/>
    <w:rsid w:val="00F1117A"/>
    <w:rsid w:val="00F1263F"/>
    <w:rsid w:val="00F15F06"/>
    <w:rsid w:val="00F16DA2"/>
    <w:rsid w:val="00F16E01"/>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4C8"/>
    <w:rsid w:val="00F67FD4"/>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042CD0"/>
    <w:rsid w:val="01320192"/>
    <w:rsid w:val="013F2D38"/>
    <w:rsid w:val="01455A1A"/>
    <w:rsid w:val="01630AC4"/>
    <w:rsid w:val="019825BA"/>
    <w:rsid w:val="01BA1DA2"/>
    <w:rsid w:val="01E97B75"/>
    <w:rsid w:val="025C62E5"/>
    <w:rsid w:val="02E24E06"/>
    <w:rsid w:val="02E87117"/>
    <w:rsid w:val="03056021"/>
    <w:rsid w:val="03067D73"/>
    <w:rsid w:val="030E1EDE"/>
    <w:rsid w:val="03100B2F"/>
    <w:rsid w:val="03101B4C"/>
    <w:rsid w:val="0336564F"/>
    <w:rsid w:val="036315A8"/>
    <w:rsid w:val="03820B0D"/>
    <w:rsid w:val="03D278CE"/>
    <w:rsid w:val="04592C05"/>
    <w:rsid w:val="04737B63"/>
    <w:rsid w:val="04793A64"/>
    <w:rsid w:val="04AC6F11"/>
    <w:rsid w:val="04BA2023"/>
    <w:rsid w:val="04CF60EE"/>
    <w:rsid w:val="04EB3CD9"/>
    <w:rsid w:val="04F17A55"/>
    <w:rsid w:val="04F40D78"/>
    <w:rsid w:val="04F907FB"/>
    <w:rsid w:val="0508393B"/>
    <w:rsid w:val="05180377"/>
    <w:rsid w:val="0520350B"/>
    <w:rsid w:val="05212F78"/>
    <w:rsid w:val="05401243"/>
    <w:rsid w:val="0577117A"/>
    <w:rsid w:val="05A55DF4"/>
    <w:rsid w:val="05FB6CC1"/>
    <w:rsid w:val="060F76EE"/>
    <w:rsid w:val="06410F33"/>
    <w:rsid w:val="0674706B"/>
    <w:rsid w:val="068247C2"/>
    <w:rsid w:val="068B011B"/>
    <w:rsid w:val="06AE2120"/>
    <w:rsid w:val="06AE6838"/>
    <w:rsid w:val="06BB3444"/>
    <w:rsid w:val="06C6676B"/>
    <w:rsid w:val="06CD2CD1"/>
    <w:rsid w:val="06D05B1B"/>
    <w:rsid w:val="06E65C5D"/>
    <w:rsid w:val="06F77FBC"/>
    <w:rsid w:val="06FE6B53"/>
    <w:rsid w:val="072835A2"/>
    <w:rsid w:val="07296FFB"/>
    <w:rsid w:val="072D4AEF"/>
    <w:rsid w:val="073B60D9"/>
    <w:rsid w:val="074840C5"/>
    <w:rsid w:val="07513801"/>
    <w:rsid w:val="075271C3"/>
    <w:rsid w:val="075714A4"/>
    <w:rsid w:val="077628B1"/>
    <w:rsid w:val="07AA3BE7"/>
    <w:rsid w:val="07BA1BA8"/>
    <w:rsid w:val="07D7113E"/>
    <w:rsid w:val="07E5131D"/>
    <w:rsid w:val="07E806E8"/>
    <w:rsid w:val="07FC4898"/>
    <w:rsid w:val="080569DD"/>
    <w:rsid w:val="081936D0"/>
    <w:rsid w:val="085B4073"/>
    <w:rsid w:val="08A378C7"/>
    <w:rsid w:val="08DD2784"/>
    <w:rsid w:val="08FD674C"/>
    <w:rsid w:val="08FE0F7A"/>
    <w:rsid w:val="0902174A"/>
    <w:rsid w:val="09042942"/>
    <w:rsid w:val="09342BCF"/>
    <w:rsid w:val="09630B57"/>
    <w:rsid w:val="09876AD2"/>
    <w:rsid w:val="099E5B23"/>
    <w:rsid w:val="09A713C7"/>
    <w:rsid w:val="09C0448D"/>
    <w:rsid w:val="09C93764"/>
    <w:rsid w:val="09D042BD"/>
    <w:rsid w:val="09F05C2F"/>
    <w:rsid w:val="0A126EFD"/>
    <w:rsid w:val="0A1F7E09"/>
    <w:rsid w:val="0A263A52"/>
    <w:rsid w:val="0A35793C"/>
    <w:rsid w:val="0A3F24BC"/>
    <w:rsid w:val="0A4056C9"/>
    <w:rsid w:val="0A465068"/>
    <w:rsid w:val="0A5215C6"/>
    <w:rsid w:val="0A5764C7"/>
    <w:rsid w:val="0A667254"/>
    <w:rsid w:val="0A79049A"/>
    <w:rsid w:val="0AC459AA"/>
    <w:rsid w:val="0AED5919"/>
    <w:rsid w:val="0AF54C2C"/>
    <w:rsid w:val="0B524831"/>
    <w:rsid w:val="0B8A6710"/>
    <w:rsid w:val="0B9238CE"/>
    <w:rsid w:val="0B9334F0"/>
    <w:rsid w:val="0BA355D1"/>
    <w:rsid w:val="0BAB3543"/>
    <w:rsid w:val="0BD77972"/>
    <w:rsid w:val="0BF46EB9"/>
    <w:rsid w:val="0C3027F0"/>
    <w:rsid w:val="0C3570D2"/>
    <w:rsid w:val="0C545B79"/>
    <w:rsid w:val="0C7408A6"/>
    <w:rsid w:val="0C8B76DA"/>
    <w:rsid w:val="0CA9620A"/>
    <w:rsid w:val="0CE9599F"/>
    <w:rsid w:val="0CF83047"/>
    <w:rsid w:val="0CF90A01"/>
    <w:rsid w:val="0D0E0651"/>
    <w:rsid w:val="0D1F1FC4"/>
    <w:rsid w:val="0D2F7F94"/>
    <w:rsid w:val="0D582861"/>
    <w:rsid w:val="0D9228FB"/>
    <w:rsid w:val="0DB3457E"/>
    <w:rsid w:val="0DEE3448"/>
    <w:rsid w:val="0DF41445"/>
    <w:rsid w:val="0DF67E4E"/>
    <w:rsid w:val="0E115A52"/>
    <w:rsid w:val="0E4B14CA"/>
    <w:rsid w:val="0E5F54A7"/>
    <w:rsid w:val="0E6778B8"/>
    <w:rsid w:val="0E7543DC"/>
    <w:rsid w:val="0EB208AB"/>
    <w:rsid w:val="0EB733AE"/>
    <w:rsid w:val="0EC136EA"/>
    <w:rsid w:val="0ECE3CF5"/>
    <w:rsid w:val="0F114F08"/>
    <w:rsid w:val="0F235864"/>
    <w:rsid w:val="0F2C1D70"/>
    <w:rsid w:val="0F554233"/>
    <w:rsid w:val="0F570A4B"/>
    <w:rsid w:val="0F6543D3"/>
    <w:rsid w:val="0F7B7146"/>
    <w:rsid w:val="0F7C719B"/>
    <w:rsid w:val="0F8852DA"/>
    <w:rsid w:val="0FE24D0D"/>
    <w:rsid w:val="0FE33AB7"/>
    <w:rsid w:val="0FED0F9E"/>
    <w:rsid w:val="0FF67A78"/>
    <w:rsid w:val="0FF97A38"/>
    <w:rsid w:val="10084C10"/>
    <w:rsid w:val="101D642E"/>
    <w:rsid w:val="10437189"/>
    <w:rsid w:val="10645478"/>
    <w:rsid w:val="107C485E"/>
    <w:rsid w:val="10923340"/>
    <w:rsid w:val="10AA0966"/>
    <w:rsid w:val="10B325BC"/>
    <w:rsid w:val="110343D2"/>
    <w:rsid w:val="1105643F"/>
    <w:rsid w:val="111F342F"/>
    <w:rsid w:val="112678F2"/>
    <w:rsid w:val="113302D5"/>
    <w:rsid w:val="11355638"/>
    <w:rsid w:val="1139145C"/>
    <w:rsid w:val="11423719"/>
    <w:rsid w:val="11484C6D"/>
    <w:rsid w:val="11560804"/>
    <w:rsid w:val="11634F6A"/>
    <w:rsid w:val="116E676E"/>
    <w:rsid w:val="1181341B"/>
    <w:rsid w:val="119800BE"/>
    <w:rsid w:val="11E41348"/>
    <w:rsid w:val="12376A7B"/>
    <w:rsid w:val="12644410"/>
    <w:rsid w:val="12773901"/>
    <w:rsid w:val="12BE0E11"/>
    <w:rsid w:val="13057820"/>
    <w:rsid w:val="130B5A0A"/>
    <w:rsid w:val="132E5836"/>
    <w:rsid w:val="1342060B"/>
    <w:rsid w:val="13476A19"/>
    <w:rsid w:val="135950FD"/>
    <w:rsid w:val="13870605"/>
    <w:rsid w:val="13C04EA4"/>
    <w:rsid w:val="13C22CA3"/>
    <w:rsid w:val="13C8146C"/>
    <w:rsid w:val="13DF588E"/>
    <w:rsid w:val="13E64E0D"/>
    <w:rsid w:val="13F83EAD"/>
    <w:rsid w:val="142245F5"/>
    <w:rsid w:val="14242F5B"/>
    <w:rsid w:val="143F2DBB"/>
    <w:rsid w:val="145F13FD"/>
    <w:rsid w:val="14635DBD"/>
    <w:rsid w:val="14953F1B"/>
    <w:rsid w:val="14CF78D8"/>
    <w:rsid w:val="150119B8"/>
    <w:rsid w:val="1509601B"/>
    <w:rsid w:val="15396F94"/>
    <w:rsid w:val="15516D0A"/>
    <w:rsid w:val="1558270A"/>
    <w:rsid w:val="15786770"/>
    <w:rsid w:val="15786F27"/>
    <w:rsid w:val="157C0E6A"/>
    <w:rsid w:val="158128E0"/>
    <w:rsid w:val="15973EF0"/>
    <w:rsid w:val="159D3819"/>
    <w:rsid w:val="15C87DC2"/>
    <w:rsid w:val="15E2204B"/>
    <w:rsid w:val="1615044B"/>
    <w:rsid w:val="161729E0"/>
    <w:rsid w:val="16385EB8"/>
    <w:rsid w:val="163B5304"/>
    <w:rsid w:val="163D0EF1"/>
    <w:rsid w:val="16445CA6"/>
    <w:rsid w:val="164C5380"/>
    <w:rsid w:val="16605119"/>
    <w:rsid w:val="16870790"/>
    <w:rsid w:val="16BE560D"/>
    <w:rsid w:val="17045E63"/>
    <w:rsid w:val="1709212E"/>
    <w:rsid w:val="1745083A"/>
    <w:rsid w:val="174D7F3F"/>
    <w:rsid w:val="175F3859"/>
    <w:rsid w:val="17714B81"/>
    <w:rsid w:val="178652E9"/>
    <w:rsid w:val="17906280"/>
    <w:rsid w:val="179B5D3A"/>
    <w:rsid w:val="179E1661"/>
    <w:rsid w:val="17A37E03"/>
    <w:rsid w:val="17AF0188"/>
    <w:rsid w:val="17B26963"/>
    <w:rsid w:val="17C4644F"/>
    <w:rsid w:val="17CD58FA"/>
    <w:rsid w:val="17D11706"/>
    <w:rsid w:val="17D978CC"/>
    <w:rsid w:val="18117EBD"/>
    <w:rsid w:val="18157EF7"/>
    <w:rsid w:val="18307BF5"/>
    <w:rsid w:val="183B0682"/>
    <w:rsid w:val="185763F9"/>
    <w:rsid w:val="18853FB6"/>
    <w:rsid w:val="18AD32E9"/>
    <w:rsid w:val="18B525ED"/>
    <w:rsid w:val="18BD451D"/>
    <w:rsid w:val="18C26AAD"/>
    <w:rsid w:val="18E35173"/>
    <w:rsid w:val="18F8084E"/>
    <w:rsid w:val="194738B6"/>
    <w:rsid w:val="19694CBC"/>
    <w:rsid w:val="1975663B"/>
    <w:rsid w:val="19A643D8"/>
    <w:rsid w:val="19B71B3F"/>
    <w:rsid w:val="19C01A32"/>
    <w:rsid w:val="19C05FB5"/>
    <w:rsid w:val="19C641E2"/>
    <w:rsid w:val="19D13BB0"/>
    <w:rsid w:val="19DE52E4"/>
    <w:rsid w:val="19F5712E"/>
    <w:rsid w:val="1A0F1154"/>
    <w:rsid w:val="1A3838EE"/>
    <w:rsid w:val="1A515EDE"/>
    <w:rsid w:val="1A8D13C4"/>
    <w:rsid w:val="1AA74074"/>
    <w:rsid w:val="1AC70D0E"/>
    <w:rsid w:val="1AC96737"/>
    <w:rsid w:val="1ADB537B"/>
    <w:rsid w:val="1AFC01A8"/>
    <w:rsid w:val="1B646C7A"/>
    <w:rsid w:val="1B6E62FA"/>
    <w:rsid w:val="1BF60304"/>
    <w:rsid w:val="1BFC01FF"/>
    <w:rsid w:val="1C137F14"/>
    <w:rsid w:val="1C517AF9"/>
    <w:rsid w:val="1C58538F"/>
    <w:rsid w:val="1C636D5F"/>
    <w:rsid w:val="1C9710D7"/>
    <w:rsid w:val="1CB7015D"/>
    <w:rsid w:val="1CC7424C"/>
    <w:rsid w:val="1CF06E1F"/>
    <w:rsid w:val="1D152FDC"/>
    <w:rsid w:val="1D1B5442"/>
    <w:rsid w:val="1D3D1750"/>
    <w:rsid w:val="1D6B69BD"/>
    <w:rsid w:val="1D7D14A6"/>
    <w:rsid w:val="1D89487D"/>
    <w:rsid w:val="1D937180"/>
    <w:rsid w:val="1D9C5199"/>
    <w:rsid w:val="1DD94A3B"/>
    <w:rsid w:val="1DEC45D0"/>
    <w:rsid w:val="1E0A6315"/>
    <w:rsid w:val="1E5B441F"/>
    <w:rsid w:val="1E7947A7"/>
    <w:rsid w:val="1E7A4165"/>
    <w:rsid w:val="1E880AD9"/>
    <w:rsid w:val="1ECB1018"/>
    <w:rsid w:val="1ED65854"/>
    <w:rsid w:val="1EDD57B2"/>
    <w:rsid w:val="1EEC7AAC"/>
    <w:rsid w:val="1F116AC5"/>
    <w:rsid w:val="1F1B7934"/>
    <w:rsid w:val="1F2A4249"/>
    <w:rsid w:val="1F3D01F5"/>
    <w:rsid w:val="1F3F2759"/>
    <w:rsid w:val="1F792DE0"/>
    <w:rsid w:val="1F9F1555"/>
    <w:rsid w:val="1FAF786E"/>
    <w:rsid w:val="1FB63D2F"/>
    <w:rsid w:val="1FEB249F"/>
    <w:rsid w:val="1FF34D03"/>
    <w:rsid w:val="1FF92002"/>
    <w:rsid w:val="2010112C"/>
    <w:rsid w:val="204B25D7"/>
    <w:rsid w:val="2057531B"/>
    <w:rsid w:val="209004BA"/>
    <w:rsid w:val="20917663"/>
    <w:rsid w:val="209942B1"/>
    <w:rsid w:val="20A135B0"/>
    <w:rsid w:val="20AA0D3C"/>
    <w:rsid w:val="20AA749D"/>
    <w:rsid w:val="20C4762C"/>
    <w:rsid w:val="20CA6078"/>
    <w:rsid w:val="20DF2E27"/>
    <w:rsid w:val="20DF57EE"/>
    <w:rsid w:val="20EA12F1"/>
    <w:rsid w:val="20ED615D"/>
    <w:rsid w:val="21054E07"/>
    <w:rsid w:val="210A1E0D"/>
    <w:rsid w:val="21103395"/>
    <w:rsid w:val="2131482D"/>
    <w:rsid w:val="215D1CBF"/>
    <w:rsid w:val="21860CCB"/>
    <w:rsid w:val="21AF6F62"/>
    <w:rsid w:val="21B93CA4"/>
    <w:rsid w:val="21C519A3"/>
    <w:rsid w:val="21D53CB4"/>
    <w:rsid w:val="21D95A57"/>
    <w:rsid w:val="21EF1A6B"/>
    <w:rsid w:val="22045C5E"/>
    <w:rsid w:val="22241935"/>
    <w:rsid w:val="22992119"/>
    <w:rsid w:val="22D621F6"/>
    <w:rsid w:val="22EC5646"/>
    <w:rsid w:val="22F058E6"/>
    <w:rsid w:val="22F62969"/>
    <w:rsid w:val="22F65DF4"/>
    <w:rsid w:val="22FF7411"/>
    <w:rsid w:val="232B6A60"/>
    <w:rsid w:val="235402FE"/>
    <w:rsid w:val="238002CA"/>
    <w:rsid w:val="23C86911"/>
    <w:rsid w:val="23D2079E"/>
    <w:rsid w:val="23E16791"/>
    <w:rsid w:val="23E304EF"/>
    <w:rsid w:val="24425D58"/>
    <w:rsid w:val="24B30097"/>
    <w:rsid w:val="24C0710A"/>
    <w:rsid w:val="2503642C"/>
    <w:rsid w:val="25094517"/>
    <w:rsid w:val="25182F61"/>
    <w:rsid w:val="252F2291"/>
    <w:rsid w:val="253E0C1C"/>
    <w:rsid w:val="25586BAB"/>
    <w:rsid w:val="256C324C"/>
    <w:rsid w:val="25942387"/>
    <w:rsid w:val="25B22D0B"/>
    <w:rsid w:val="25B325FB"/>
    <w:rsid w:val="25B54911"/>
    <w:rsid w:val="261575A3"/>
    <w:rsid w:val="262B46D7"/>
    <w:rsid w:val="263B530F"/>
    <w:rsid w:val="266009A6"/>
    <w:rsid w:val="2672121E"/>
    <w:rsid w:val="26784E0F"/>
    <w:rsid w:val="268631A3"/>
    <w:rsid w:val="269851FE"/>
    <w:rsid w:val="269E2CAC"/>
    <w:rsid w:val="26B35062"/>
    <w:rsid w:val="26B67756"/>
    <w:rsid w:val="26C73974"/>
    <w:rsid w:val="26DD555B"/>
    <w:rsid w:val="26EB5622"/>
    <w:rsid w:val="26EE1123"/>
    <w:rsid w:val="26FA15C1"/>
    <w:rsid w:val="2733531B"/>
    <w:rsid w:val="273949EE"/>
    <w:rsid w:val="27472D36"/>
    <w:rsid w:val="276945DF"/>
    <w:rsid w:val="27713073"/>
    <w:rsid w:val="278E149F"/>
    <w:rsid w:val="27A56F34"/>
    <w:rsid w:val="27AE5827"/>
    <w:rsid w:val="27B4784F"/>
    <w:rsid w:val="27FD40D4"/>
    <w:rsid w:val="280D5FA4"/>
    <w:rsid w:val="280F3EFA"/>
    <w:rsid w:val="280F7439"/>
    <w:rsid w:val="282262D7"/>
    <w:rsid w:val="28424472"/>
    <w:rsid w:val="28A24078"/>
    <w:rsid w:val="28BB266C"/>
    <w:rsid w:val="29327953"/>
    <w:rsid w:val="29383F1C"/>
    <w:rsid w:val="2944405C"/>
    <w:rsid w:val="29453A75"/>
    <w:rsid w:val="29837632"/>
    <w:rsid w:val="29924E43"/>
    <w:rsid w:val="29945D6C"/>
    <w:rsid w:val="29A678A9"/>
    <w:rsid w:val="29C31E84"/>
    <w:rsid w:val="29CF060F"/>
    <w:rsid w:val="29E465E0"/>
    <w:rsid w:val="29F010C4"/>
    <w:rsid w:val="29FE59B1"/>
    <w:rsid w:val="2A386A88"/>
    <w:rsid w:val="2A8D6343"/>
    <w:rsid w:val="2AD92053"/>
    <w:rsid w:val="2B107667"/>
    <w:rsid w:val="2B641FC3"/>
    <w:rsid w:val="2B796BA9"/>
    <w:rsid w:val="2B806430"/>
    <w:rsid w:val="2BCF2870"/>
    <w:rsid w:val="2BD94AAC"/>
    <w:rsid w:val="2BE8759F"/>
    <w:rsid w:val="2C076A9B"/>
    <w:rsid w:val="2C0E7417"/>
    <w:rsid w:val="2C0F4D50"/>
    <w:rsid w:val="2C37763E"/>
    <w:rsid w:val="2C424585"/>
    <w:rsid w:val="2C4327A8"/>
    <w:rsid w:val="2C7132EA"/>
    <w:rsid w:val="2C783AE0"/>
    <w:rsid w:val="2CAA2919"/>
    <w:rsid w:val="2CBF2B1B"/>
    <w:rsid w:val="2CC4602A"/>
    <w:rsid w:val="2CD8221A"/>
    <w:rsid w:val="2D06251D"/>
    <w:rsid w:val="2D113E56"/>
    <w:rsid w:val="2D1465EB"/>
    <w:rsid w:val="2D522EBC"/>
    <w:rsid w:val="2D5477E6"/>
    <w:rsid w:val="2D6214F2"/>
    <w:rsid w:val="2D8A4CE1"/>
    <w:rsid w:val="2D9507CF"/>
    <w:rsid w:val="2D9D410D"/>
    <w:rsid w:val="2DAF11E1"/>
    <w:rsid w:val="2DAF3E40"/>
    <w:rsid w:val="2DB6320A"/>
    <w:rsid w:val="2DB74C3B"/>
    <w:rsid w:val="2DBB7227"/>
    <w:rsid w:val="2E007023"/>
    <w:rsid w:val="2E0759C7"/>
    <w:rsid w:val="2E0777D8"/>
    <w:rsid w:val="2E0931A4"/>
    <w:rsid w:val="2E1217E7"/>
    <w:rsid w:val="2E236DC1"/>
    <w:rsid w:val="2E2C2010"/>
    <w:rsid w:val="2E392B2B"/>
    <w:rsid w:val="2EAE1C04"/>
    <w:rsid w:val="2EB6515C"/>
    <w:rsid w:val="2EC113FF"/>
    <w:rsid w:val="2ED038FB"/>
    <w:rsid w:val="2F0C7091"/>
    <w:rsid w:val="2F234AE5"/>
    <w:rsid w:val="2F317C76"/>
    <w:rsid w:val="2F6D6F42"/>
    <w:rsid w:val="2F726AA9"/>
    <w:rsid w:val="2F9E54D1"/>
    <w:rsid w:val="300D5345"/>
    <w:rsid w:val="30355329"/>
    <w:rsid w:val="303D0EEA"/>
    <w:rsid w:val="30562A56"/>
    <w:rsid w:val="307717F0"/>
    <w:rsid w:val="307C5CD3"/>
    <w:rsid w:val="30884E32"/>
    <w:rsid w:val="30B20A2E"/>
    <w:rsid w:val="30FC3B86"/>
    <w:rsid w:val="3166141B"/>
    <w:rsid w:val="316C4B74"/>
    <w:rsid w:val="31865B49"/>
    <w:rsid w:val="31900C1B"/>
    <w:rsid w:val="31A3127F"/>
    <w:rsid w:val="31CC50E2"/>
    <w:rsid w:val="31E80B39"/>
    <w:rsid w:val="321C016C"/>
    <w:rsid w:val="32354BFC"/>
    <w:rsid w:val="3247156C"/>
    <w:rsid w:val="326A1DB1"/>
    <w:rsid w:val="32930B88"/>
    <w:rsid w:val="32C24615"/>
    <w:rsid w:val="32C34468"/>
    <w:rsid w:val="32E13E1E"/>
    <w:rsid w:val="334933FE"/>
    <w:rsid w:val="3369018F"/>
    <w:rsid w:val="338468F5"/>
    <w:rsid w:val="33AA6BB6"/>
    <w:rsid w:val="33C54116"/>
    <w:rsid w:val="33D00119"/>
    <w:rsid w:val="34084704"/>
    <w:rsid w:val="34347E21"/>
    <w:rsid w:val="34624B7D"/>
    <w:rsid w:val="346831B7"/>
    <w:rsid w:val="34684D49"/>
    <w:rsid w:val="3492701B"/>
    <w:rsid w:val="34982C61"/>
    <w:rsid w:val="34BE52DE"/>
    <w:rsid w:val="34D677AF"/>
    <w:rsid w:val="34E64694"/>
    <w:rsid w:val="35116F5F"/>
    <w:rsid w:val="351450C9"/>
    <w:rsid w:val="353330E4"/>
    <w:rsid w:val="35354844"/>
    <w:rsid w:val="35385C88"/>
    <w:rsid w:val="353F5BB5"/>
    <w:rsid w:val="35435512"/>
    <w:rsid w:val="35481451"/>
    <w:rsid w:val="35561E2B"/>
    <w:rsid w:val="355C4A1F"/>
    <w:rsid w:val="3578581E"/>
    <w:rsid w:val="35857419"/>
    <w:rsid w:val="35875CD7"/>
    <w:rsid w:val="35C8466C"/>
    <w:rsid w:val="35CE3D8F"/>
    <w:rsid w:val="3602502C"/>
    <w:rsid w:val="361A75B2"/>
    <w:rsid w:val="365B1779"/>
    <w:rsid w:val="36671A6C"/>
    <w:rsid w:val="36B97803"/>
    <w:rsid w:val="36C57C65"/>
    <w:rsid w:val="36D20E72"/>
    <w:rsid w:val="36F82FBB"/>
    <w:rsid w:val="36FA3427"/>
    <w:rsid w:val="372417BB"/>
    <w:rsid w:val="37445638"/>
    <w:rsid w:val="374F6512"/>
    <w:rsid w:val="378E0F6A"/>
    <w:rsid w:val="38085DBF"/>
    <w:rsid w:val="3823159E"/>
    <w:rsid w:val="38353D64"/>
    <w:rsid w:val="385E6DA2"/>
    <w:rsid w:val="38606463"/>
    <w:rsid w:val="387D1F11"/>
    <w:rsid w:val="38A35CA4"/>
    <w:rsid w:val="38AE69BE"/>
    <w:rsid w:val="38D16010"/>
    <w:rsid w:val="38DD709E"/>
    <w:rsid w:val="38F232F9"/>
    <w:rsid w:val="39142BB0"/>
    <w:rsid w:val="39161A92"/>
    <w:rsid w:val="391A54FE"/>
    <w:rsid w:val="39370EED"/>
    <w:rsid w:val="398923C3"/>
    <w:rsid w:val="399C5460"/>
    <w:rsid w:val="39AC4745"/>
    <w:rsid w:val="39B07178"/>
    <w:rsid w:val="39EC5418"/>
    <w:rsid w:val="3A046DBF"/>
    <w:rsid w:val="3A3F664F"/>
    <w:rsid w:val="3A4C692C"/>
    <w:rsid w:val="3A501EA5"/>
    <w:rsid w:val="3A850737"/>
    <w:rsid w:val="3A9E4A8D"/>
    <w:rsid w:val="3ADF02DC"/>
    <w:rsid w:val="3AF5453F"/>
    <w:rsid w:val="3B0A24EB"/>
    <w:rsid w:val="3B213892"/>
    <w:rsid w:val="3B3617C1"/>
    <w:rsid w:val="3B725E88"/>
    <w:rsid w:val="3BD00FAF"/>
    <w:rsid w:val="3BD1253C"/>
    <w:rsid w:val="3BD94903"/>
    <w:rsid w:val="3BDC7979"/>
    <w:rsid w:val="3C0A464D"/>
    <w:rsid w:val="3C847300"/>
    <w:rsid w:val="3CA9251C"/>
    <w:rsid w:val="3CB75A2A"/>
    <w:rsid w:val="3CD425CC"/>
    <w:rsid w:val="3CD4307D"/>
    <w:rsid w:val="3CE753A4"/>
    <w:rsid w:val="3CF7689E"/>
    <w:rsid w:val="3D460CC9"/>
    <w:rsid w:val="3D6F0FE4"/>
    <w:rsid w:val="3D856884"/>
    <w:rsid w:val="3D9F16AD"/>
    <w:rsid w:val="3DED63EF"/>
    <w:rsid w:val="3E2B05F1"/>
    <w:rsid w:val="3E5C4C15"/>
    <w:rsid w:val="3E73181B"/>
    <w:rsid w:val="3E986124"/>
    <w:rsid w:val="3EA62F6B"/>
    <w:rsid w:val="3EAD270E"/>
    <w:rsid w:val="3EBA21A2"/>
    <w:rsid w:val="3EC83719"/>
    <w:rsid w:val="3EF07B2A"/>
    <w:rsid w:val="3EF16C24"/>
    <w:rsid w:val="3EF97023"/>
    <w:rsid w:val="3F0A7B4D"/>
    <w:rsid w:val="3F536E72"/>
    <w:rsid w:val="3F5A5DF8"/>
    <w:rsid w:val="3F682495"/>
    <w:rsid w:val="3F6F5A12"/>
    <w:rsid w:val="3F7D06A9"/>
    <w:rsid w:val="3F89775A"/>
    <w:rsid w:val="40211D12"/>
    <w:rsid w:val="403223B5"/>
    <w:rsid w:val="40383331"/>
    <w:rsid w:val="405E1A1A"/>
    <w:rsid w:val="408B20B7"/>
    <w:rsid w:val="409F500E"/>
    <w:rsid w:val="40D21025"/>
    <w:rsid w:val="40E35408"/>
    <w:rsid w:val="40E70C87"/>
    <w:rsid w:val="4116685A"/>
    <w:rsid w:val="4144132E"/>
    <w:rsid w:val="414560ED"/>
    <w:rsid w:val="4160303A"/>
    <w:rsid w:val="41730B93"/>
    <w:rsid w:val="417D77C6"/>
    <w:rsid w:val="417F6E03"/>
    <w:rsid w:val="41820512"/>
    <w:rsid w:val="41A802BD"/>
    <w:rsid w:val="41AC5406"/>
    <w:rsid w:val="41AF2D7B"/>
    <w:rsid w:val="41C21034"/>
    <w:rsid w:val="42162688"/>
    <w:rsid w:val="422D44CF"/>
    <w:rsid w:val="423650F9"/>
    <w:rsid w:val="426C5E38"/>
    <w:rsid w:val="42ED6214"/>
    <w:rsid w:val="43396CB1"/>
    <w:rsid w:val="433B3A4C"/>
    <w:rsid w:val="433D2460"/>
    <w:rsid w:val="439532EA"/>
    <w:rsid w:val="43CE363D"/>
    <w:rsid w:val="43F64B4C"/>
    <w:rsid w:val="44044389"/>
    <w:rsid w:val="440D1349"/>
    <w:rsid w:val="442235E1"/>
    <w:rsid w:val="44832484"/>
    <w:rsid w:val="449B0C56"/>
    <w:rsid w:val="44A077D5"/>
    <w:rsid w:val="44A142A6"/>
    <w:rsid w:val="44B40FFF"/>
    <w:rsid w:val="45124762"/>
    <w:rsid w:val="4516018B"/>
    <w:rsid w:val="452D7737"/>
    <w:rsid w:val="455064CB"/>
    <w:rsid w:val="455C6481"/>
    <w:rsid w:val="456552E9"/>
    <w:rsid w:val="45901428"/>
    <w:rsid w:val="459210DB"/>
    <w:rsid w:val="45FD05DD"/>
    <w:rsid w:val="4624677B"/>
    <w:rsid w:val="46285655"/>
    <w:rsid w:val="4637255B"/>
    <w:rsid w:val="464B1A18"/>
    <w:rsid w:val="464B225F"/>
    <w:rsid w:val="469063CF"/>
    <w:rsid w:val="46925930"/>
    <w:rsid w:val="46927983"/>
    <w:rsid w:val="46A136A7"/>
    <w:rsid w:val="46D0277B"/>
    <w:rsid w:val="46D30747"/>
    <w:rsid w:val="46E663B3"/>
    <w:rsid w:val="47004B35"/>
    <w:rsid w:val="47055811"/>
    <w:rsid w:val="470A51A1"/>
    <w:rsid w:val="47173550"/>
    <w:rsid w:val="47387046"/>
    <w:rsid w:val="47835CCA"/>
    <w:rsid w:val="47A2368C"/>
    <w:rsid w:val="47D149D8"/>
    <w:rsid w:val="48144862"/>
    <w:rsid w:val="481E7EA7"/>
    <w:rsid w:val="48267635"/>
    <w:rsid w:val="4842767D"/>
    <w:rsid w:val="484653A1"/>
    <w:rsid w:val="485A64CD"/>
    <w:rsid w:val="48654A26"/>
    <w:rsid w:val="486D6CC0"/>
    <w:rsid w:val="488C2B7C"/>
    <w:rsid w:val="489A2240"/>
    <w:rsid w:val="48C75206"/>
    <w:rsid w:val="48D53CF6"/>
    <w:rsid w:val="491B78AA"/>
    <w:rsid w:val="491E6220"/>
    <w:rsid w:val="49303C2F"/>
    <w:rsid w:val="49B55A70"/>
    <w:rsid w:val="49F75D45"/>
    <w:rsid w:val="4A1F7279"/>
    <w:rsid w:val="4A1F72D7"/>
    <w:rsid w:val="4A245DBD"/>
    <w:rsid w:val="4A515805"/>
    <w:rsid w:val="4A847973"/>
    <w:rsid w:val="4AAE4EB2"/>
    <w:rsid w:val="4AAF7284"/>
    <w:rsid w:val="4AB91C3E"/>
    <w:rsid w:val="4ACD5285"/>
    <w:rsid w:val="4B2D3438"/>
    <w:rsid w:val="4B320EAF"/>
    <w:rsid w:val="4B341FB6"/>
    <w:rsid w:val="4B470DE1"/>
    <w:rsid w:val="4B530D48"/>
    <w:rsid w:val="4B610837"/>
    <w:rsid w:val="4B664419"/>
    <w:rsid w:val="4B7C065B"/>
    <w:rsid w:val="4B7C4154"/>
    <w:rsid w:val="4B926840"/>
    <w:rsid w:val="4B9B6198"/>
    <w:rsid w:val="4BAE749A"/>
    <w:rsid w:val="4BC92DAE"/>
    <w:rsid w:val="4BE35810"/>
    <w:rsid w:val="4BE966D4"/>
    <w:rsid w:val="4BFD7343"/>
    <w:rsid w:val="4C222CCE"/>
    <w:rsid w:val="4C2E0CBD"/>
    <w:rsid w:val="4C3E46B5"/>
    <w:rsid w:val="4C724691"/>
    <w:rsid w:val="4CB61EA0"/>
    <w:rsid w:val="4CC80993"/>
    <w:rsid w:val="4CF431C6"/>
    <w:rsid w:val="4CFF328B"/>
    <w:rsid w:val="4D084C07"/>
    <w:rsid w:val="4D265A75"/>
    <w:rsid w:val="4D2F0355"/>
    <w:rsid w:val="4D5324E4"/>
    <w:rsid w:val="4D583A38"/>
    <w:rsid w:val="4D6720AB"/>
    <w:rsid w:val="4D692FBF"/>
    <w:rsid w:val="4D763645"/>
    <w:rsid w:val="4D777B1C"/>
    <w:rsid w:val="4D872AA0"/>
    <w:rsid w:val="4D8A47C8"/>
    <w:rsid w:val="4DA95BDC"/>
    <w:rsid w:val="4DC87BBC"/>
    <w:rsid w:val="4DE34B29"/>
    <w:rsid w:val="4DEA4FBB"/>
    <w:rsid w:val="4DEE37AE"/>
    <w:rsid w:val="4DF50A6C"/>
    <w:rsid w:val="4DFD1705"/>
    <w:rsid w:val="4DFF6D01"/>
    <w:rsid w:val="4E0B34B3"/>
    <w:rsid w:val="4E481A1B"/>
    <w:rsid w:val="4E541588"/>
    <w:rsid w:val="4E661EA1"/>
    <w:rsid w:val="4E795448"/>
    <w:rsid w:val="4E9E400B"/>
    <w:rsid w:val="4EA2112B"/>
    <w:rsid w:val="4EAC6947"/>
    <w:rsid w:val="4ECD2961"/>
    <w:rsid w:val="4ED11092"/>
    <w:rsid w:val="4ED55503"/>
    <w:rsid w:val="4EE11DF1"/>
    <w:rsid w:val="4EF9123C"/>
    <w:rsid w:val="4F056F4F"/>
    <w:rsid w:val="4F184117"/>
    <w:rsid w:val="4F3664CA"/>
    <w:rsid w:val="4F716F60"/>
    <w:rsid w:val="4F7B132D"/>
    <w:rsid w:val="4F821E9C"/>
    <w:rsid w:val="4F887979"/>
    <w:rsid w:val="4FAC3F88"/>
    <w:rsid w:val="4FC84F74"/>
    <w:rsid w:val="4FD9061A"/>
    <w:rsid w:val="4FE75A4D"/>
    <w:rsid w:val="4FE803A1"/>
    <w:rsid w:val="4FFC28DD"/>
    <w:rsid w:val="502F02A9"/>
    <w:rsid w:val="502F5B9E"/>
    <w:rsid w:val="50503078"/>
    <w:rsid w:val="50574B72"/>
    <w:rsid w:val="508758F2"/>
    <w:rsid w:val="50947BE7"/>
    <w:rsid w:val="50C9678F"/>
    <w:rsid w:val="50CE44F4"/>
    <w:rsid w:val="50D14E5F"/>
    <w:rsid w:val="51071719"/>
    <w:rsid w:val="513011BE"/>
    <w:rsid w:val="513D6FDD"/>
    <w:rsid w:val="51407640"/>
    <w:rsid w:val="51584933"/>
    <w:rsid w:val="518708F8"/>
    <w:rsid w:val="51951744"/>
    <w:rsid w:val="519D4573"/>
    <w:rsid w:val="51A345F2"/>
    <w:rsid w:val="51A71019"/>
    <w:rsid w:val="51B20427"/>
    <w:rsid w:val="51C70BCC"/>
    <w:rsid w:val="51DB3750"/>
    <w:rsid w:val="51E71054"/>
    <w:rsid w:val="520E79D3"/>
    <w:rsid w:val="52441514"/>
    <w:rsid w:val="52504B06"/>
    <w:rsid w:val="525262EA"/>
    <w:rsid w:val="525562FA"/>
    <w:rsid w:val="52695E52"/>
    <w:rsid w:val="529677A7"/>
    <w:rsid w:val="52AB4F03"/>
    <w:rsid w:val="52B72723"/>
    <w:rsid w:val="52CA5B6F"/>
    <w:rsid w:val="52CF2A1F"/>
    <w:rsid w:val="52EF20F1"/>
    <w:rsid w:val="532403B5"/>
    <w:rsid w:val="534C0656"/>
    <w:rsid w:val="53560256"/>
    <w:rsid w:val="535B176B"/>
    <w:rsid w:val="535C725F"/>
    <w:rsid w:val="53AE6148"/>
    <w:rsid w:val="53B00426"/>
    <w:rsid w:val="53E23B76"/>
    <w:rsid w:val="540013E0"/>
    <w:rsid w:val="540D0FAB"/>
    <w:rsid w:val="544D6C9A"/>
    <w:rsid w:val="54536316"/>
    <w:rsid w:val="545D7919"/>
    <w:rsid w:val="54AE4AED"/>
    <w:rsid w:val="54EB7B69"/>
    <w:rsid w:val="5503044A"/>
    <w:rsid w:val="557607E4"/>
    <w:rsid w:val="55A63543"/>
    <w:rsid w:val="55E46B6D"/>
    <w:rsid w:val="56276421"/>
    <w:rsid w:val="56360FFF"/>
    <w:rsid w:val="56426A1F"/>
    <w:rsid w:val="566D5D78"/>
    <w:rsid w:val="567B6366"/>
    <w:rsid w:val="56D111FE"/>
    <w:rsid w:val="56D227CA"/>
    <w:rsid w:val="570A3D5B"/>
    <w:rsid w:val="5736037E"/>
    <w:rsid w:val="57640497"/>
    <w:rsid w:val="5764080A"/>
    <w:rsid w:val="577D1BEF"/>
    <w:rsid w:val="57C06EDF"/>
    <w:rsid w:val="57CB1ACF"/>
    <w:rsid w:val="57E17978"/>
    <w:rsid w:val="57F57929"/>
    <w:rsid w:val="58545DF3"/>
    <w:rsid w:val="58681720"/>
    <w:rsid w:val="5879602B"/>
    <w:rsid w:val="587C6DDF"/>
    <w:rsid w:val="588365F2"/>
    <w:rsid w:val="58885E59"/>
    <w:rsid w:val="58970592"/>
    <w:rsid w:val="58E9024A"/>
    <w:rsid w:val="58ED63B6"/>
    <w:rsid w:val="59350301"/>
    <w:rsid w:val="59473EA0"/>
    <w:rsid w:val="59997F35"/>
    <w:rsid w:val="599A54A5"/>
    <w:rsid w:val="59D0608F"/>
    <w:rsid w:val="59DA4DB4"/>
    <w:rsid w:val="59DE353D"/>
    <w:rsid w:val="59E051FD"/>
    <w:rsid w:val="59E304DF"/>
    <w:rsid w:val="5A0740B4"/>
    <w:rsid w:val="5A13349F"/>
    <w:rsid w:val="5A261BFE"/>
    <w:rsid w:val="5A344E03"/>
    <w:rsid w:val="5A507139"/>
    <w:rsid w:val="5A5117F5"/>
    <w:rsid w:val="5A652C24"/>
    <w:rsid w:val="5A772779"/>
    <w:rsid w:val="5A85429B"/>
    <w:rsid w:val="5A996061"/>
    <w:rsid w:val="5AA73294"/>
    <w:rsid w:val="5AB218E1"/>
    <w:rsid w:val="5AB6177A"/>
    <w:rsid w:val="5AFE0749"/>
    <w:rsid w:val="5B1A6935"/>
    <w:rsid w:val="5B1F728F"/>
    <w:rsid w:val="5B247EEE"/>
    <w:rsid w:val="5B661C01"/>
    <w:rsid w:val="5B8D37E2"/>
    <w:rsid w:val="5BD522B9"/>
    <w:rsid w:val="5C2F03CB"/>
    <w:rsid w:val="5C3B6DCB"/>
    <w:rsid w:val="5C593045"/>
    <w:rsid w:val="5C777F55"/>
    <w:rsid w:val="5CBA103A"/>
    <w:rsid w:val="5CC10BB9"/>
    <w:rsid w:val="5CCA7B84"/>
    <w:rsid w:val="5CEC6120"/>
    <w:rsid w:val="5D397733"/>
    <w:rsid w:val="5DD152D8"/>
    <w:rsid w:val="5DFC40C6"/>
    <w:rsid w:val="5E185135"/>
    <w:rsid w:val="5E1B5A4C"/>
    <w:rsid w:val="5E2C49D1"/>
    <w:rsid w:val="5E4248E8"/>
    <w:rsid w:val="5E5D7E29"/>
    <w:rsid w:val="5E624433"/>
    <w:rsid w:val="5E731DCF"/>
    <w:rsid w:val="5E9E664B"/>
    <w:rsid w:val="5E9F4437"/>
    <w:rsid w:val="5EA52FAF"/>
    <w:rsid w:val="5EB81262"/>
    <w:rsid w:val="5EC07C88"/>
    <w:rsid w:val="5EE032C9"/>
    <w:rsid w:val="5EF72EF0"/>
    <w:rsid w:val="5F2C1FFC"/>
    <w:rsid w:val="5F433839"/>
    <w:rsid w:val="5F482DEF"/>
    <w:rsid w:val="5F5F66F5"/>
    <w:rsid w:val="5F723064"/>
    <w:rsid w:val="5F940DD7"/>
    <w:rsid w:val="60102465"/>
    <w:rsid w:val="60364962"/>
    <w:rsid w:val="60692828"/>
    <w:rsid w:val="606D504D"/>
    <w:rsid w:val="60CE7502"/>
    <w:rsid w:val="60D64DFA"/>
    <w:rsid w:val="60E115FE"/>
    <w:rsid w:val="60E27A91"/>
    <w:rsid w:val="611A2A5C"/>
    <w:rsid w:val="611F2ACA"/>
    <w:rsid w:val="612E60D6"/>
    <w:rsid w:val="617259BC"/>
    <w:rsid w:val="617A0A8D"/>
    <w:rsid w:val="61BC4810"/>
    <w:rsid w:val="61D45D62"/>
    <w:rsid w:val="62154112"/>
    <w:rsid w:val="62262282"/>
    <w:rsid w:val="62294554"/>
    <w:rsid w:val="62776733"/>
    <w:rsid w:val="62835C66"/>
    <w:rsid w:val="629A2753"/>
    <w:rsid w:val="62B12F3F"/>
    <w:rsid w:val="62B666AF"/>
    <w:rsid w:val="62CD40B9"/>
    <w:rsid w:val="62E1441F"/>
    <w:rsid w:val="62E24221"/>
    <w:rsid w:val="62EE0740"/>
    <w:rsid w:val="6307759A"/>
    <w:rsid w:val="636E5863"/>
    <w:rsid w:val="637B7C12"/>
    <w:rsid w:val="637F761C"/>
    <w:rsid w:val="639C4A2B"/>
    <w:rsid w:val="63B85AD0"/>
    <w:rsid w:val="63C316CE"/>
    <w:rsid w:val="63C46CE9"/>
    <w:rsid w:val="63D548D0"/>
    <w:rsid w:val="63E82E6B"/>
    <w:rsid w:val="64021414"/>
    <w:rsid w:val="64243D8F"/>
    <w:rsid w:val="64287927"/>
    <w:rsid w:val="642C67AF"/>
    <w:rsid w:val="6441723E"/>
    <w:rsid w:val="645F4364"/>
    <w:rsid w:val="647C4B15"/>
    <w:rsid w:val="649422EF"/>
    <w:rsid w:val="64B52FFF"/>
    <w:rsid w:val="64B618B5"/>
    <w:rsid w:val="64BA69E7"/>
    <w:rsid w:val="64C147F8"/>
    <w:rsid w:val="64C80B16"/>
    <w:rsid w:val="64E37CC8"/>
    <w:rsid w:val="64F273DF"/>
    <w:rsid w:val="653F699B"/>
    <w:rsid w:val="65454C2D"/>
    <w:rsid w:val="654A5CBA"/>
    <w:rsid w:val="655776C7"/>
    <w:rsid w:val="655D5E4D"/>
    <w:rsid w:val="656D6B9F"/>
    <w:rsid w:val="65783894"/>
    <w:rsid w:val="65A01086"/>
    <w:rsid w:val="65AB7EF8"/>
    <w:rsid w:val="65B4114E"/>
    <w:rsid w:val="65F21255"/>
    <w:rsid w:val="660541EF"/>
    <w:rsid w:val="660E60C4"/>
    <w:rsid w:val="661E554F"/>
    <w:rsid w:val="66410434"/>
    <w:rsid w:val="66B943B4"/>
    <w:rsid w:val="66D9794E"/>
    <w:rsid w:val="66F05966"/>
    <w:rsid w:val="671432AB"/>
    <w:rsid w:val="671A5858"/>
    <w:rsid w:val="676505A0"/>
    <w:rsid w:val="67737FDF"/>
    <w:rsid w:val="6793278B"/>
    <w:rsid w:val="67CE1F0B"/>
    <w:rsid w:val="67FA0A31"/>
    <w:rsid w:val="68045A14"/>
    <w:rsid w:val="68311C00"/>
    <w:rsid w:val="686F14D5"/>
    <w:rsid w:val="687C47D5"/>
    <w:rsid w:val="68975742"/>
    <w:rsid w:val="68AE5E7A"/>
    <w:rsid w:val="68B615CB"/>
    <w:rsid w:val="68BB15E7"/>
    <w:rsid w:val="68C67448"/>
    <w:rsid w:val="68D01C17"/>
    <w:rsid w:val="68D9547F"/>
    <w:rsid w:val="68E45EBF"/>
    <w:rsid w:val="68E503C2"/>
    <w:rsid w:val="68EB3CEF"/>
    <w:rsid w:val="68F9626A"/>
    <w:rsid w:val="69210899"/>
    <w:rsid w:val="692A51E4"/>
    <w:rsid w:val="69344211"/>
    <w:rsid w:val="694035C3"/>
    <w:rsid w:val="6945547D"/>
    <w:rsid w:val="69537A82"/>
    <w:rsid w:val="69641165"/>
    <w:rsid w:val="6992472C"/>
    <w:rsid w:val="699441C6"/>
    <w:rsid w:val="69BF098B"/>
    <w:rsid w:val="69D63A7F"/>
    <w:rsid w:val="6A1A5AAB"/>
    <w:rsid w:val="6A270164"/>
    <w:rsid w:val="6A270421"/>
    <w:rsid w:val="6A640FBF"/>
    <w:rsid w:val="6A69177D"/>
    <w:rsid w:val="6AC6616F"/>
    <w:rsid w:val="6AE25466"/>
    <w:rsid w:val="6AEB454C"/>
    <w:rsid w:val="6AFA21EC"/>
    <w:rsid w:val="6B3E6BAC"/>
    <w:rsid w:val="6B4B77EA"/>
    <w:rsid w:val="6B563166"/>
    <w:rsid w:val="6B6905F7"/>
    <w:rsid w:val="6B713F07"/>
    <w:rsid w:val="6B8C6632"/>
    <w:rsid w:val="6B942897"/>
    <w:rsid w:val="6BAB63AF"/>
    <w:rsid w:val="6BDA2C78"/>
    <w:rsid w:val="6BDB0AF9"/>
    <w:rsid w:val="6C034963"/>
    <w:rsid w:val="6C6B5EE2"/>
    <w:rsid w:val="6C6E7F90"/>
    <w:rsid w:val="6C7D5EE6"/>
    <w:rsid w:val="6C937657"/>
    <w:rsid w:val="6C984B66"/>
    <w:rsid w:val="6CE77C9E"/>
    <w:rsid w:val="6CFE7A1D"/>
    <w:rsid w:val="6CFF0F58"/>
    <w:rsid w:val="6D451D36"/>
    <w:rsid w:val="6D587FBF"/>
    <w:rsid w:val="6D6D156A"/>
    <w:rsid w:val="6D93085D"/>
    <w:rsid w:val="6DA45FF4"/>
    <w:rsid w:val="6DB77894"/>
    <w:rsid w:val="6DC6674B"/>
    <w:rsid w:val="6DD075CC"/>
    <w:rsid w:val="6E076D05"/>
    <w:rsid w:val="6E086A9F"/>
    <w:rsid w:val="6E313A74"/>
    <w:rsid w:val="6E7325FD"/>
    <w:rsid w:val="6E8A0B6A"/>
    <w:rsid w:val="6EB5741D"/>
    <w:rsid w:val="6ECC3FC3"/>
    <w:rsid w:val="6F08390E"/>
    <w:rsid w:val="6F3B697C"/>
    <w:rsid w:val="6F642157"/>
    <w:rsid w:val="6F6B0876"/>
    <w:rsid w:val="6F757064"/>
    <w:rsid w:val="6F92207A"/>
    <w:rsid w:val="6FA83099"/>
    <w:rsid w:val="6FD20C89"/>
    <w:rsid w:val="6FE00AC2"/>
    <w:rsid w:val="6FF00F65"/>
    <w:rsid w:val="7021222E"/>
    <w:rsid w:val="702256DD"/>
    <w:rsid w:val="70235DEC"/>
    <w:rsid w:val="70692F10"/>
    <w:rsid w:val="70855F6D"/>
    <w:rsid w:val="70981F36"/>
    <w:rsid w:val="70BD4694"/>
    <w:rsid w:val="70CA560E"/>
    <w:rsid w:val="70FA3B67"/>
    <w:rsid w:val="71287D99"/>
    <w:rsid w:val="713163AF"/>
    <w:rsid w:val="714A3DFD"/>
    <w:rsid w:val="71942E78"/>
    <w:rsid w:val="71967069"/>
    <w:rsid w:val="71B97219"/>
    <w:rsid w:val="71D47F47"/>
    <w:rsid w:val="720938A5"/>
    <w:rsid w:val="720C4CE2"/>
    <w:rsid w:val="7211192F"/>
    <w:rsid w:val="72117C71"/>
    <w:rsid w:val="72253F59"/>
    <w:rsid w:val="722B44FD"/>
    <w:rsid w:val="72303688"/>
    <w:rsid w:val="72356599"/>
    <w:rsid w:val="72407358"/>
    <w:rsid w:val="72591954"/>
    <w:rsid w:val="726F0D12"/>
    <w:rsid w:val="729369EF"/>
    <w:rsid w:val="72BA2638"/>
    <w:rsid w:val="72BE0C21"/>
    <w:rsid w:val="72CE627A"/>
    <w:rsid w:val="72DD0CA4"/>
    <w:rsid w:val="72F368F4"/>
    <w:rsid w:val="72F84F0E"/>
    <w:rsid w:val="731507DF"/>
    <w:rsid w:val="731D2645"/>
    <w:rsid w:val="734870D9"/>
    <w:rsid w:val="734E2F70"/>
    <w:rsid w:val="73902265"/>
    <w:rsid w:val="739D17BD"/>
    <w:rsid w:val="73A41CCF"/>
    <w:rsid w:val="73D30FAF"/>
    <w:rsid w:val="741323A7"/>
    <w:rsid w:val="741948EE"/>
    <w:rsid w:val="7430613C"/>
    <w:rsid w:val="74570EE3"/>
    <w:rsid w:val="746407BB"/>
    <w:rsid w:val="74852ABA"/>
    <w:rsid w:val="749F7AF2"/>
    <w:rsid w:val="74E15034"/>
    <w:rsid w:val="750135D4"/>
    <w:rsid w:val="750B0F29"/>
    <w:rsid w:val="75116419"/>
    <w:rsid w:val="7531137E"/>
    <w:rsid w:val="754F3080"/>
    <w:rsid w:val="75933D7A"/>
    <w:rsid w:val="75D90FA9"/>
    <w:rsid w:val="75E1085E"/>
    <w:rsid w:val="762607B0"/>
    <w:rsid w:val="765048D2"/>
    <w:rsid w:val="76586C21"/>
    <w:rsid w:val="765F1739"/>
    <w:rsid w:val="766F4280"/>
    <w:rsid w:val="766F490F"/>
    <w:rsid w:val="769B08D2"/>
    <w:rsid w:val="769E029C"/>
    <w:rsid w:val="76FE7385"/>
    <w:rsid w:val="77002E87"/>
    <w:rsid w:val="77040121"/>
    <w:rsid w:val="77074FBA"/>
    <w:rsid w:val="77100549"/>
    <w:rsid w:val="771C38A3"/>
    <w:rsid w:val="7744766B"/>
    <w:rsid w:val="774747D0"/>
    <w:rsid w:val="77712E2E"/>
    <w:rsid w:val="77E751FE"/>
    <w:rsid w:val="780F7780"/>
    <w:rsid w:val="78170E12"/>
    <w:rsid w:val="784F3822"/>
    <w:rsid w:val="78575AD9"/>
    <w:rsid w:val="7865284E"/>
    <w:rsid w:val="786C6326"/>
    <w:rsid w:val="788058B3"/>
    <w:rsid w:val="78945A7E"/>
    <w:rsid w:val="78A764DE"/>
    <w:rsid w:val="78C36DE0"/>
    <w:rsid w:val="790A5F70"/>
    <w:rsid w:val="793119AE"/>
    <w:rsid w:val="793303EF"/>
    <w:rsid w:val="793766AD"/>
    <w:rsid w:val="79397558"/>
    <w:rsid w:val="795A4A47"/>
    <w:rsid w:val="796A40F0"/>
    <w:rsid w:val="797A595E"/>
    <w:rsid w:val="79810EBA"/>
    <w:rsid w:val="798A2F90"/>
    <w:rsid w:val="79DE4AC7"/>
    <w:rsid w:val="79F61D75"/>
    <w:rsid w:val="7A003E98"/>
    <w:rsid w:val="7A1267E6"/>
    <w:rsid w:val="7A2D3EA4"/>
    <w:rsid w:val="7A331B30"/>
    <w:rsid w:val="7A53292B"/>
    <w:rsid w:val="7A5A7FE5"/>
    <w:rsid w:val="7A5C7DEA"/>
    <w:rsid w:val="7A777AC1"/>
    <w:rsid w:val="7A7A53B1"/>
    <w:rsid w:val="7A8356F5"/>
    <w:rsid w:val="7A8E0023"/>
    <w:rsid w:val="7AAC46EE"/>
    <w:rsid w:val="7ACC3F7C"/>
    <w:rsid w:val="7AD02C89"/>
    <w:rsid w:val="7AD24541"/>
    <w:rsid w:val="7AE572F8"/>
    <w:rsid w:val="7B1D5654"/>
    <w:rsid w:val="7B2B7BA7"/>
    <w:rsid w:val="7B332E64"/>
    <w:rsid w:val="7B5739B9"/>
    <w:rsid w:val="7B6C0926"/>
    <w:rsid w:val="7B8E24C7"/>
    <w:rsid w:val="7B9E0FB2"/>
    <w:rsid w:val="7BAC1017"/>
    <w:rsid w:val="7BAF2DE9"/>
    <w:rsid w:val="7BB919A3"/>
    <w:rsid w:val="7BD415F7"/>
    <w:rsid w:val="7C157862"/>
    <w:rsid w:val="7C2117FF"/>
    <w:rsid w:val="7C385132"/>
    <w:rsid w:val="7C4C6C93"/>
    <w:rsid w:val="7C8F4421"/>
    <w:rsid w:val="7D4848D3"/>
    <w:rsid w:val="7D65738C"/>
    <w:rsid w:val="7DAF0B47"/>
    <w:rsid w:val="7E2516BD"/>
    <w:rsid w:val="7E3A4559"/>
    <w:rsid w:val="7E6D1B39"/>
    <w:rsid w:val="7E852A49"/>
    <w:rsid w:val="7E8D50A4"/>
    <w:rsid w:val="7EE20267"/>
    <w:rsid w:val="7EFA6659"/>
    <w:rsid w:val="7F076DA4"/>
    <w:rsid w:val="7F2900ED"/>
    <w:rsid w:val="7F456CA1"/>
    <w:rsid w:val="7F645481"/>
    <w:rsid w:val="7FA32023"/>
    <w:rsid w:val="7FAC15C1"/>
    <w:rsid w:val="7FC96E84"/>
    <w:rsid w:val="7FE2284C"/>
    <w:rsid w:val="7FE802AB"/>
    <w:rsid w:val="7FFA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4">
    <w:name w:val="heading 2"/>
    <w:basedOn w:val="1"/>
    <w:next w:val="1"/>
    <w:link w:val="52"/>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5">
    <w:name w:val="heading 3"/>
    <w:basedOn w:val="1"/>
    <w:next w:val="1"/>
    <w:link w:val="51"/>
    <w:qFormat/>
    <w:uiPriority w:val="0"/>
    <w:pPr>
      <w:tabs>
        <w:tab w:val="left" w:pos="540"/>
      </w:tabs>
      <w:adjustRightInd w:val="0"/>
      <w:snapToGrid w:val="0"/>
      <w:spacing w:line="360" w:lineRule="auto"/>
      <w:jc w:val="left"/>
      <w:outlineLvl w:val="2"/>
    </w:pPr>
    <w:rPr>
      <w:sz w:val="24"/>
      <w:szCs w:val="20"/>
    </w:rPr>
  </w:style>
  <w:style w:type="paragraph" w:styleId="6">
    <w:name w:val="heading 4"/>
    <w:basedOn w:val="1"/>
    <w:next w:val="7"/>
    <w:qFormat/>
    <w:uiPriority w:val="0"/>
    <w:pPr>
      <w:keepNext/>
      <w:keepLines/>
      <w:tabs>
        <w:tab w:val="left" w:pos="540"/>
      </w:tabs>
      <w:spacing w:before="200"/>
      <w:outlineLvl w:val="3"/>
    </w:pPr>
    <w:rPr>
      <w:rFonts w:ascii="Calibri" w:hAnsi="Calibri" w:eastAsia="MS Gothic"/>
      <w:i/>
      <w:iCs/>
      <w:color w:val="4F81BD"/>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Cs w:val="24"/>
    </w:rPr>
  </w:style>
  <w:style w:type="paragraph" w:styleId="7">
    <w:name w:val="Normal Indent"/>
    <w:basedOn w:val="1"/>
    <w:qFormat/>
    <w:uiPriority w:val="0"/>
    <w:pPr>
      <w:ind w:firstLine="420"/>
    </w:pPr>
    <w:rPr>
      <w:color w:val="000000"/>
      <w:kern w:val="1"/>
      <w:szCs w:val="20"/>
    </w:rPr>
  </w:style>
  <w:style w:type="paragraph" w:styleId="8">
    <w:name w:val="List 3"/>
    <w:basedOn w:val="1"/>
    <w:qFormat/>
    <w:uiPriority w:val="0"/>
    <w:pPr>
      <w:ind w:left="1260" w:hanging="420"/>
    </w:pPr>
    <w:rPr>
      <w:color w:val="000000"/>
      <w:kern w:val="1"/>
      <w:sz w:val="24"/>
      <w:szCs w:val="20"/>
    </w:rPr>
  </w:style>
  <w:style w:type="paragraph" w:styleId="9">
    <w:name w:val="toc 7"/>
    <w:basedOn w:val="1"/>
    <w:next w:val="1"/>
    <w:unhideWhenUsed/>
    <w:qFormat/>
    <w:uiPriority w:val="39"/>
    <w:pPr>
      <w:ind w:left="1050"/>
      <w:jc w:val="left"/>
    </w:pPr>
    <w:rPr>
      <w:rFonts w:cs="Calibri"/>
      <w:sz w:val="20"/>
      <w:szCs w:val="20"/>
    </w:rPr>
  </w:style>
  <w:style w:type="paragraph" w:styleId="10">
    <w:name w:val="index 5"/>
    <w:basedOn w:val="1"/>
    <w:next w:val="1"/>
    <w:qFormat/>
    <w:uiPriority w:val="0"/>
    <w:pPr>
      <w:ind w:left="1680"/>
    </w:pPr>
  </w:style>
  <w:style w:type="paragraph" w:styleId="11">
    <w:name w:val="toa heading"/>
    <w:basedOn w:val="1"/>
    <w:next w:val="1"/>
    <w:qFormat/>
    <w:uiPriority w:val="0"/>
    <w:pPr>
      <w:spacing w:before="120"/>
    </w:pPr>
    <w:rPr>
      <w:rFonts w:ascii="Arial" w:hAnsi="Arial"/>
      <w:sz w:val="24"/>
      <w:szCs w:val="20"/>
    </w:rPr>
  </w:style>
  <w:style w:type="paragraph" w:styleId="12">
    <w:name w:val="annotation text"/>
    <w:basedOn w:val="1"/>
    <w:link w:val="53"/>
    <w:unhideWhenUsed/>
    <w:qFormat/>
    <w:uiPriority w:val="99"/>
    <w:pPr>
      <w:jc w:val="left"/>
    </w:pPr>
  </w:style>
  <w:style w:type="paragraph" w:styleId="13">
    <w:name w:val="index 6"/>
    <w:basedOn w:val="1"/>
    <w:next w:val="1"/>
    <w:unhideWhenUsed/>
    <w:qFormat/>
    <w:uiPriority w:val="99"/>
    <w:pPr>
      <w:ind w:firstLine="840"/>
    </w:pPr>
    <w:rPr>
      <w:rFonts w:cs="Arial"/>
    </w:rPr>
  </w:style>
  <w:style w:type="paragraph" w:styleId="14">
    <w:name w:val="Body Text 3"/>
    <w:basedOn w:val="1"/>
    <w:qFormat/>
    <w:uiPriority w:val="0"/>
    <w:pPr>
      <w:spacing w:after="120"/>
    </w:pPr>
    <w:rPr>
      <w:sz w:val="16"/>
      <w:szCs w:val="16"/>
    </w:rPr>
  </w:style>
  <w:style w:type="paragraph" w:styleId="15">
    <w:name w:val="Body Text"/>
    <w:basedOn w:val="1"/>
    <w:qFormat/>
    <w:uiPriority w:val="0"/>
    <w:pPr>
      <w:spacing w:after="120"/>
    </w:pPr>
  </w:style>
  <w:style w:type="paragraph" w:styleId="16">
    <w:name w:val="Body Text Indent"/>
    <w:basedOn w:val="1"/>
    <w:next w:val="15"/>
    <w:qFormat/>
    <w:uiPriority w:val="0"/>
    <w:pPr>
      <w:spacing w:after="120"/>
      <w:ind w:left="420" w:leftChars="200"/>
    </w:pPr>
  </w:style>
  <w:style w:type="paragraph" w:styleId="17">
    <w:name w:val="Block Text"/>
    <w:basedOn w:val="1"/>
    <w:qFormat/>
    <w:uiPriority w:val="0"/>
    <w:pPr>
      <w:ind w:left="1440" w:leftChars="700" w:right="700" w:rightChars="700"/>
    </w:pPr>
    <w:rPr>
      <w:rFonts w:eastAsiaTheme="minorEastAsia" w:cstheme="minorBidi"/>
    </w:rPr>
  </w:style>
  <w:style w:type="paragraph" w:styleId="18">
    <w:name w:val="Plain Text"/>
    <w:basedOn w:val="1"/>
    <w:link w:val="54"/>
    <w:qFormat/>
    <w:uiPriority w:val="0"/>
    <w:rPr>
      <w:rFonts w:ascii="宋体" w:hAnsi="Courier New"/>
      <w:sz w:val="11"/>
      <w:szCs w:val="20"/>
    </w:rPr>
  </w:style>
  <w:style w:type="paragraph" w:styleId="19">
    <w:name w:val="Date"/>
    <w:basedOn w:val="1"/>
    <w:next w:val="1"/>
    <w:qFormat/>
    <w:uiPriority w:val="0"/>
    <w:pPr>
      <w:ind w:left="100" w:leftChars="2500"/>
    </w:pPr>
  </w:style>
  <w:style w:type="paragraph" w:styleId="20">
    <w:name w:val="Body Text Indent 2"/>
    <w:basedOn w:val="1"/>
    <w:link w:val="55"/>
    <w:qFormat/>
    <w:uiPriority w:val="0"/>
    <w:pPr>
      <w:spacing w:line="360" w:lineRule="auto"/>
      <w:ind w:left="179" w:leftChars="85" w:hanging="1"/>
    </w:pPr>
    <w:rPr>
      <w:b/>
      <w:sz w:val="24"/>
      <w:szCs w:val="20"/>
      <w:u w:val="single"/>
    </w:rPr>
  </w:style>
  <w:style w:type="paragraph" w:styleId="21">
    <w:name w:val="Balloon Text"/>
    <w:basedOn w:val="1"/>
    <w:link w:val="56"/>
    <w:unhideWhenUsed/>
    <w:qFormat/>
    <w:uiPriority w:val="99"/>
    <w:rPr>
      <w:sz w:val="18"/>
      <w:szCs w:val="18"/>
    </w:rPr>
  </w:style>
  <w:style w:type="paragraph" w:styleId="22">
    <w:name w:val="footer"/>
    <w:basedOn w:val="1"/>
    <w:link w:val="57"/>
    <w:unhideWhenUsed/>
    <w:qFormat/>
    <w:uiPriority w:val="99"/>
    <w:pPr>
      <w:tabs>
        <w:tab w:val="center" w:pos="4153"/>
        <w:tab w:val="right" w:pos="8306"/>
      </w:tabs>
      <w:snapToGrid w:val="0"/>
      <w:jc w:val="left"/>
    </w:pPr>
    <w:rPr>
      <w:sz w:val="18"/>
      <w:szCs w:val="18"/>
    </w:rPr>
  </w:style>
  <w:style w:type="paragraph" w:styleId="23">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unhideWhenUsed/>
    <w:qFormat/>
    <w:uiPriority w:val="0"/>
    <w:pPr>
      <w:spacing w:after="120"/>
      <w:ind w:left="420" w:leftChars="200"/>
    </w:pPr>
    <w:rPr>
      <w:rFonts w:ascii="Calibri" w:hAnsi="Calibri"/>
      <w:kern w:val="0"/>
      <w:sz w:val="16"/>
      <w:szCs w:val="16"/>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pPr>
      <w:widowControl/>
      <w:jc w:val="left"/>
    </w:pPr>
    <w:rPr>
      <w:rFonts w:ascii="宋体" w:hAnsi="宋体" w:cs="宋体"/>
      <w:kern w:val="0"/>
      <w:sz w:val="24"/>
      <w:szCs w:val="24"/>
    </w:rPr>
  </w:style>
  <w:style w:type="paragraph" w:styleId="27">
    <w:name w:val="annotation subject"/>
    <w:basedOn w:val="12"/>
    <w:next w:val="12"/>
    <w:link w:val="59"/>
    <w:unhideWhenUsed/>
    <w:qFormat/>
    <w:uiPriority w:val="99"/>
    <w:rPr>
      <w:b/>
      <w:bCs/>
    </w:rPr>
  </w:style>
  <w:style w:type="paragraph" w:styleId="28">
    <w:name w:val="Body Text First Indent"/>
    <w:basedOn w:val="15"/>
    <w:qFormat/>
    <w:uiPriority w:val="0"/>
    <w:pPr>
      <w:ind w:firstLine="420" w:firstLineChars="100"/>
    </w:pPr>
  </w:style>
  <w:style w:type="paragraph" w:styleId="29">
    <w:name w:val="Body Text First Indent 2"/>
    <w:basedOn w:val="16"/>
    <w:next w:val="28"/>
    <w:qFormat/>
    <w:uiPriority w:val="0"/>
    <w:pPr>
      <w:ind w:firstLine="420" w:firstLineChars="200"/>
    </w:pPr>
    <w:rPr>
      <w:kern w:val="0"/>
      <w:sz w:val="20"/>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unhideWhenUsed/>
    <w:qFormat/>
    <w:uiPriority w:val="99"/>
    <w:rPr>
      <w:color w:val="2D64B3"/>
      <w:u w:val="none"/>
    </w:rPr>
  </w:style>
  <w:style w:type="character" w:styleId="36">
    <w:name w:val="Emphasis"/>
    <w:qFormat/>
    <w:uiPriority w:val="0"/>
    <w:rPr>
      <w:color w:val="CC0000"/>
    </w:rPr>
  </w:style>
  <w:style w:type="character" w:styleId="37">
    <w:name w:val="HTML Definition"/>
    <w:unhideWhenUsed/>
    <w:qFormat/>
    <w:uiPriority w:val="99"/>
  </w:style>
  <w:style w:type="character" w:styleId="38">
    <w:name w:val="HTML Variable"/>
    <w:unhideWhenUsed/>
    <w:qFormat/>
    <w:uiPriority w:val="99"/>
  </w:style>
  <w:style w:type="character" w:styleId="39">
    <w:name w:val="Hyperlink"/>
    <w:qFormat/>
    <w:uiPriority w:val="0"/>
    <w:rPr>
      <w:color w:val="0000FF"/>
      <w:u w:val="single"/>
    </w:rPr>
  </w:style>
  <w:style w:type="character" w:styleId="40">
    <w:name w:val="HTML Code"/>
    <w:unhideWhenUsed/>
    <w:qFormat/>
    <w:uiPriority w:val="99"/>
    <w:rPr>
      <w:rFonts w:ascii="Arial" w:hAnsi="Arial" w:cs="Arial"/>
      <w:sz w:val="20"/>
    </w:rPr>
  </w:style>
  <w:style w:type="character" w:styleId="41">
    <w:name w:val="annotation reference"/>
    <w:unhideWhenUsed/>
    <w:qFormat/>
    <w:uiPriority w:val="0"/>
    <w:rPr>
      <w:sz w:val="21"/>
      <w:szCs w:val="21"/>
    </w:rPr>
  </w:style>
  <w:style w:type="character" w:styleId="42">
    <w:name w:val="HTML Cite"/>
    <w:unhideWhenUsed/>
    <w:qFormat/>
    <w:uiPriority w:val="99"/>
  </w:style>
  <w:style w:type="character" w:styleId="43">
    <w:name w:val="HTML Keyboard"/>
    <w:unhideWhenUsed/>
    <w:qFormat/>
    <w:uiPriority w:val="99"/>
    <w:rPr>
      <w:rFonts w:ascii="Arial" w:hAnsi="Arial" w:cs="Arial"/>
      <w:sz w:val="20"/>
    </w:rPr>
  </w:style>
  <w:style w:type="character" w:styleId="44">
    <w:name w:val="HTML Sample"/>
    <w:unhideWhenUsed/>
    <w:qFormat/>
    <w:uiPriority w:val="99"/>
    <w:rPr>
      <w:rFonts w:hint="eastAsia" w:ascii="Arial" w:hAnsi="Arial" w:cs="Arial"/>
    </w:rPr>
  </w:style>
  <w:style w:type="paragraph" w:customStyle="1" w:styleId="45">
    <w:name w:val="正文首行缩进 21"/>
    <w:basedOn w:val="46"/>
    <w:qFormat/>
    <w:uiPriority w:val="0"/>
    <w:pPr>
      <w:ind w:firstLine="420"/>
    </w:pPr>
  </w:style>
  <w:style w:type="paragraph" w:customStyle="1" w:styleId="46">
    <w:name w:val="正文文本缩进1"/>
    <w:basedOn w:val="1"/>
    <w:qFormat/>
    <w:uiPriority w:val="0"/>
    <w:pPr>
      <w:spacing w:line="500" w:lineRule="exact"/>
      <w:ind w:firstLine="880" w:firstLineChars="200"/>
    </w:pPr>
  </w:style>
  <w:style w:type="paragraph" w:customStyle="1" w:styleId="47">
    <w:name w:val="样式1"/>
    <w:basedOn w:val="1"/>
    <w:next w:val="48"/>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8">
    <w:name w:val="样式2"/>
    <w:basedOn w:val="1"/>
    <w:qFormat/>
    <w:uiPriority w:val="0"/>
    <w:pPr>
      <w:adjustRightInd w:val="0"/>
      <w:spacing w:line="410" w:lineRule="atLeast"/>
      <w:textAlignment w:val="baseline"/>
    </w:pPr>
    <w:rPr>
      <w:kern w:val="0"/>
      <w:sz w:val="24"/>
      <w:szCs w:val="20"/>
    </w:rPr>
  </w:style>
  <w:style w:type="paragraph" w:customStyle="1" w:styleId="49">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5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1">
    <w:name w:val="标题 3 字符"/>
    <w:link w:val="5"/>
    <w:qFormat/>
    <w:uiPriority w:val="0"/>
    <w:rPr>
      <w:rFonts w:ascii="Times New Roman" w:hAnsi="Times New Roman"/>
      <w:b/>
      <w:kern w:val="2"/>
      <w:sz w:val="24"/>
    </w:rPr>
  </w:style>
  <w:style w:type="character" w:customStyle="1" w:styleId="52">
    <w:name w:val="标题 2 字符"/>
    <w:link w:val="4"/>
    <w:qFormat/>
    <w:uiPriority w:val="0"/>
    <w:rPr>
      <w:rFonts w:ascii="Arial" w:hAnsi="Arial"/>
      <w:b/>
      <w:kern w:val="2"/>
      <w:sz w:val="28"/>
    </w:rPr>
  </w:style>
  <w:style w:type="character" w:customStyle="1" w:styleId="53">
    <w:name w:val="批注文字 字符"/>
    <w:link w:val="12"/>
    <w:semiHidden/>
    <w:qFormat/>
    <w:uiPriority w:val="99"/>
    <w:rPr>
      <w:kern w:val="2"/>
      <w:sz w:val="21"/>
      <w:szCs w:val="22"/>
    </w:rPr>
  </w:style>
  <w:style w:type="character" w:customStyle="1" w:styleId="54">
    <w:name w:val="纯文本 字符"/>
    <w:link w:val="18"/>
    <w:qFormat/>
    <w:uiPriority w:val="0"/>
    <w:rPr>
      <w:rFonts w:ascii="宋体" w:hAnsi="Courier New"/>
      <w:kern w:val="2"/>
      <w:sz w:val="11"/>
    </w:rPr>
  </w:style>
  <w:style w:type="character" w:customStyle="1" w:styleId="55">
    <w:name w:val="正文文本缩进 2 字符"/>
    <w:link w:val="20"/>
    <w:qFormat/>
    <w:uiPriority w:val="0"/>
    <w:rPr>
      <w:rFonts w:ascii="Times New Roman" w:hAnsi="Times New Roman"/>
      <w:b/>
      <w:kern w:val="2"/>
      <w:sz w:val="24"/>
      <w:u w:val="single"/>
    </w:rPr>
  </w:style>
  <w:style w:type="character" w:customStyle="1" w:styleId="56">
    <w:name w:val="批注框文本 字符"/>
    <w:link w:val="21"/>
    <w:semiHidden/>
    <w:qFormat/>
    <w:uiPriority w:val="99"/>
    <w:rPr>
      <w:kern w:val="2"/>
      <w:sz w:val="18"/>
      <w:szCs w:val="18"/>
    </w:rPr>
  </w:style>
  <w:style w:type="character" w:customStyle="1" w:styleId="57">
    <w:name w:val="页脚 字符1"/>
    <w:link w:val="22"/>
    <w:qFormat/>
    <w:uiPriority w:val="99"/>
    <w:rPr>
      <w:kern w:val="2"/>
      <w:sz w:val="18"/>
      <w:szCs w:val="18"/>
    </w:rPr>
  </w:style>
  <w:style w:type="character" w:customStyle="1" w:styleId="58">
    <w:name w:val="页眉 字符"/>
    <w:link w:val="23"/>
    <w:qFormat/>
    <w:uiPriority w:val="99"/>
    <w:rPr>
      <w:kern w:val="2"/>
      <w:sz w:val="18"/>
      <w:szCs w:val="18"/>
    </w:rPr>
  </w:style>
  <w:style w:type="character" w:customStyle="1" w:styleId="59">
    <w:name w:val="批注主题 字符"/>
    <w:link w:val="27"/>
    <w:semiHidden/>
    <w:qFormat/>
    <w:uiPriority w:val="99"/>
    <w:rPr>
      <w:b/>
      <w:bCs/>
      <w:kern w:val="2"/>
      <w:sz w:val="21"/>
      <w:szCs w:val="22"/>
    </w:rPr>
  </w:style>
  <w:style w:type="character" w:customStyle="1" w:styleId="60">
    <w:name w:val="bds_more1"/>
    <w:basedOn w:val="32"/>
    <w:qFormat/>
    <w:uiPriority w:val="0"/>
  </w:style>
  <w:style w:type="character" w:customStyle="1" w:styleId="61">
    <w:name w:val="普通文字1 Char"/>
    <w:qFormat/>
    <w:uiPriority w:val="0"/>
    <w:rPr>
      <w:rFonts w:ascii="宋体" w:hAnsi="Courier New" w:eastAsia="宋体"/>
      <w:kern w:val="2"/>
      <w:sz w:val="21"/>
      <w:lang w:val="en-US" w:eastAsia="zh-CN" w:bidi="ar-SA"/>
    </w:rPr>
  </w:style>
  <w:style w:type="character" w:customStyle="1" w:styleId="62">
    <w:name w:val="legend"/>
    <w:qFormat/>
    <w:uiPriority w:val="0"/>
    <w:rPr>
      <w:rFonts w:ascii="Arial" w:hAnsi="Arial" w:cs="Arial"/>
      <w:b/>
      <w:color w:val="73B304"/>
      <w:sz w:val="16"/>
      <w:szCs w:val="16"/>
      <w:shd w:val="clear" w:color="auto" w:fill="FFFFFF"/>
    </w:rPr>
  </w:style>
  <w:style w:type="character" w:customStyle="1" w:styleId="63">
    <w:name w:val="release-day"/>
    <w:qFormat/>
    <w:uiPriority w:val="0"/>
    <w:rPr>
      <w:bdr w:val="single" w:color="BDEBB0" w:sz="4" w:space="0"/>
      <w:shd w:val="clear" w:color="auto" w:fill="F5FFF1"/>
    </w:rPr>
  </w:style>
  <w:style w:type="character" w:customStyle="1" w:styleId="64">
    <w:name w:val="未处理的提及1"/>
    <w:unhideWhenUsed/>
    <w:qFormat/>
    <w:uiPriority w:val="99"/>
    <w:rPr>
      <w:color w:val="605E5C"/>
      <w:shd w:val="clear" w:color="auto" w:fill="E1DFDD"/>
    </w:rPr>
  </w:style>
  <w:style w:type="character" w:customStyle="1" w:styleId="65">
    <w:name w:val="num"/>
    <w:qFormat/>
    <w:uiPriority w:val="0"/>
    <w:rPr>
      <w:b/>
      <w:color w:val="FF7800"/>
    </w:rPr>
  </w:style>
  <w:style w:type="character" w:customStyle="1" w:styleId="66">
    <w:name w:val="Header Char"/>
    <w:qFormat/>
    <w:locked/>
    <w:uiPriority w:val="0"/>
    <w:rPr>
      <w:rFonts w:eastAsia="宋体"/>
      <w:kern w:val="2"/>
      <w:sz w:val="18"/>
      <w:szCs w:val="18"/>
      <w:lang w:val="en-US" w:eastAsia="zh-CN" w:bidi="ar-SA"/>
    </w:rPr>
  </w:style>
  <w:style w:type="character" w:customStyle="1" w:styleId="67">
    <w:name w:val="bds_more2"/>
    <w:basedOn w:val="32"/>
    <w:qFormat/>
    <w:uiPriority w:val="0"/>
  </w:style>
  <w:style w:type="character" w:customStyle="1" w:styleId="68">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69">
    <w:name w:val="bds_nopic1"/>
    <w:basedOn w:val="32"/>
    <w:qFormat/>
    <w:uiPriority w:val="0"/>
  </w:style>
  <w:style w:type="character" w:customStyle="1" w:styleId="70">
    <w:name w:val="普通文字 Char Char2"/>
    <w:semiHidden/>
    <w:qFormat/>
    <w:uiPriority w:val="0"/>
    <w:rPr>
      <w:rFonts w:ascii="宋体" w:hAnsi="Courier New" w:eastAsia="宋体"/>
      <w:kern w:val="2"/>
      <w:sz w:val="21"/>
      <w:szCs w:val="21"/>
      <w:lang w:val="en-US" w:eastAsia="zh-CN" w:bidi="ar-SA"/>
    </w:rPr>
  </w:style>
  <w:style w:type="character" w:customStyle="1" w:styleId="71">
    <w:name w:val="页脚 字符"/>
    <w:qFormat/>
    <w:uiPriority w:val="99"/>
  </w:style>
  <w:style w:type="character" w:customStyle="1" w:styleId="72">
    <w:name w:val="15"/>
    <w:qFormat/>
    <w:uiPriority w:val="0"/>
    <w:rPr>
      <w:rFonts w:hint="eastAsia" w:ascii="仿宋_GB2312" w:eastAsia="仿宋_GB2312"/>
      <w:b/>
      <w:bCs/>
      <w:sz w:val="32"/>
      <w:szCs w:val="32"/>
    </w:rPr>
  </w:style>
  <w:style w:type="character" w:customStyle="1" w:styleId="73">
    <w:name w:val="txtcontent11"/>
    <w:qFormat/>
    <w:uiPriority w:val="0"/>
    <w:rPr>
      <w:rFonts w:hint="default" w:ascii="ˎ̥" w:hAnsi="ˎ̥"/>
      <w:color w:val="000000"/>
      <w:sz w:val="21"/>
      <w:szCs w:val="21"/>
    </w:rPr>
  </w:style>
  <w:style w:type="character" w:customStyle="1" w:styleId="74">
    <w:name w:val="纯文本 Char1"/>
    <w:semiHidden/>
    <w:qFormat/>
    <w:uiPriority w:val="99"/>
    <w:rPr>
      <w:rFonts w:ascii="宋体" w:hAnsi="Courier New" w:cs="Courier New"/>
      <w:kern w:val="2"/>
      <w:sz w:val="21"/>
      <w:szCs w:val="21"/>
    </w:rPr>
  </w:style>
  <w:style w:type="character" w:customStyle="1" w:styleId="75">
    <w:name w:val="正文缩进2格 Char Char"/>
    <w:link w:val="76"/>
    <w:qFormat/>
    <w:uiPriority w:val="0"/>
    <w:rPr>
      <w:rFonts w:ascii="仿宋_GB2312" w:hAnsi="宋体" w:eastAsia="仿宋_GB2312"/>
      <w:kern w:val="2"/>
      <w:sz w:val="31"/>
      <w:szCs w:val="28"/>
      <w:lang w:val="en-US" w:eastAsia="zh-CN" w:bidi="ar-SA"/>
    </w:rPr>
  </w:style>
  <w:style w:type="paragraph" w:customStyle="1" w:styleId="76">
    <w:name w:val="正文缩进2格"/>
    <w:basedOn w:val="1"/>
    <w:link w:val="75"/>
    <w:qFormat/>
    <w:uiPriority w:val="0"/>
    <w:pPr>
      <w:spacing w:line="600" w:lineRule="exact"/>
      <w:ind w:firstLine="639" w:firstLineChars="206"/>
    </w:pPr>
    <w:rPr>
      <w:rFonts w:ascii="仿宋_GB2312" w:hAnsi="宋体" w:eastAsia="仿宋_GB2312"/>
      <w:sz w:val="31"/>
      <w:szCs w:val="28"/>
    </w:rPr>
  </w:style>
  <w:style w:type="character" w:customStyle="1" w:styleId="77">
    <w:name w:val="Char Char10"/>
    <w:qFormat/>
    <w:uiPriority w:val="0"/>
    <w:rPr>
      <w:rFonts w:ascii="宋体" w:hAnsi="Courier New" w:eastAsia="宋体"/>
      <w:kern w:val="2"/>
      <w:sz w:val="21"/>
      <w:szCs w:val="24"/>
      <w:lang w:val="en-US" w:eastAsia="zh-CN" w:bidi="ar-SA"/>
    </w:rPr>
  </w:style>
  <w:style w:type="character" w:customStyle="1" w:styleId="78">
    <w:name w:val="NormalCharacter"/>
    <w:semiHidden/>
    <w:qFormat/>
    <w:uiPriority w:val="0"/>
  </w:style>
  <w:style w:type="character" w:customStyle="1" w:styleId="79">
    <w:name w:val="bds_nopic"/>
    <w:basedOn w:val="32"/>
    <w:qFormat/>
    <w:uiPriority w:val="0"/>
  </w:style>
  <w:style w:type="character" w:customStyle="1" w:styleId="80">
    <w:name w:val="bds_nopic2"/>
    <w:basedOn w:val="32"/>
    <w:qFormat/>
    <w:uiPriority w:val="0"/>
  </w:style>
  <w:style w:type="character" w:customStyle="1" w:styleId="81">
    <w:name w:val="bds_more"/>
    <w:qFormat/>
    <w:uiPriority w:val="0"/>
    <w:rPr>
      <w:rFonts w:hint="eastAsia" w:ascii="宋体" w:hAnsi="宋体" w:eastAsia="宋体" w:cs="宋体"/>
    </w:rPr>
  </w:style>
  <w:style w:type="paragraph" w:customStyle="1" w:styleId="82">
    <w:name w:val="p22"/>
    <w:basedOn w:val="1"/>
    <w:qFormat/>
    <w:uiPriority w:val="0"/>
    <w:pPr>
      <w:widowControl/>
    </w:pPr>
    <w:rPr>
      <w:kern w:val="0"/>
      <w:szCs w:val="21"/>
    </w:rPr>
  </w:style>
  <w:style w:type="paragraph" w:customStyle="1" w:styleId="83">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84">
    <w:name w:val="列出段落1"/>
    <w:basedOn w:val="1"/>
    <w:qFormat/>
    <w:uiPriority w:val="34"/>
    <w:pPr>
      <w:ind w:firstLine="420" w:firstLineChars="200"/>
    </w:pPr>
    <w:rPr>
      <w:szCs w:val="24"/>
    </w:rPr>
  </w:style>
  <w:style w:type="paragraph" w:customStyle="1" w:styleId="85">
    <w:name w:val="样式 标题 3 + (中文) 黑体 小四 非加粗 段前: 7.8 磅 段后: 0 磅 行距: 固定值 20 磅"/>
    <w:basedOn w:val="5"/>
    <w:qFormat/>
    <w:uiPriority w:val="0"/>
    <w:pPr>
      <w:keepNext/>
      <w:keepLines/>
      <w:tabs>
        <w:tab w:val="clear" w:pos="540"/>
      </w:tabs>
      <w:adjustRightInd/>
      <w:snapToGrid/>
      <w:spacing w:line="400" w:lineRule="exact"/>
      <w:jc w:val="both"/>
    </w:pPr>
    <w:rPr>
      <w:rFonts w:eastAsia="黑体" w:cs="宋体"/>
    </w:rPr>
  </w:style>
  <w:style w:type="paragraph" w:customStyle="1" w:styleId="86">
    <w:name w:val="Table Paragraph"/>
    <w:basedOn w:val="1"/>
    <w:qFormat/>
    <w:uiPriority w:val="1"/>
    <w:rPr>
      <w:rFonts w:ascii="宋体" w:hAnsi="宋体" w:cs="宋体"/>
      <w:lang w:val="zh-CN" w:bidi="zh-CN"/>
    </w:rPr>
  </w:style>
  <w:style w:type="paragraph" w:customStyle="1" w:styleId="87">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8">
    <w:name w:val="p0"/>
    <w:basedOn w:val="1"/>
    <w:qFormat/>
    <w:uiPriority w:val="0"/>
    <w:pPr>
      <w:widowControl/>
    </w:pPr>
    <w:rPr>
      <w:kern w:val="0"/>
      <w:szCs w:val="21"/>
    </w:rPr>
  </w:style>
  <w:style w:type="paragraph" w:customStyle="1" w:styleId="89">
    <w:name w:val="Char Char Char Char"/>
    <w:basedOn w:val="1"/>
    <w:qFormat/>
    <w:uiPriority w:val="0"/>
    <w:pPr>
      <w:widowControl/>
      <w:spacing w:after="160" w:line="240" w:lineRule="exact"/>
      <w:jc w:val="left"/>
    </w:pPr>
    <w:rPr>
      <w:rFonts w:ascii="Verdana" w:hAnsi="Verdana"/>
      <w:kern w:val="0"/>
      <w:szCs w:val="20"/>
    </w:rPr>
  </w:style>
  <w:style w:type="paragraph" w:customStyle="1" w:styleId="90">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2">
    <w:name w:val="Char Char Char"/>
    <w:basedOn w:val="1"/>
    <w:qFormat/>
    <w:uiPriority w:val="0"/>
    <w:rPr>
      <w:rFonts w:ascii="Tahoma" w:hAnsi="Tahoma"/>
      <w:sz w:val="24"/>
      <w:szCs w:val="20"/>
    </w:rPr>
  </w:style>
  <w:style w:type="paragraph" w:styleId="93">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94">
    <w:name w:val="p21"/>
    <w:basedOn w:val="1"/>
    <w:qFormat/>
    <w:uiPriority w:val="0"/>
    <w:pPr>
      <w:widowControl/>
    </w:pPr>
    <w:rPr>
      <w:kern w:val="0"/>
      <w:szCs w:val="21"/>
    </w:rPr>
  </w:style>
  <w:style w:type="paragraph" w:customStyle="1" w:styleId="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6">
    <w:name w:val="保留正文"/>
    <w:basedOn w:val="15"/>
    <w:qFormat/>
    <w:uiPriority w:val="0"/>
    <w:pPr>
      <w:keepNext/>
      <w:spacing w:after="160"/>
    </w:pPr>
    <w:rPr>
      <w:szCs w:val="24"/>
    </w:rPr>
  </w:style>
  <w:style w:type="paragraph" w:customStyle="1" w:styleId="97">
    <w:name w:val="WPS Plain"/>
    <w:qFormat/>
    <w:uiPriority w:val="0"/>
    <w:rPr>
      <w:rFonts w:ascii="Times New Roman" w:hAnsi="Times New Roman" w:eastAsia="宋体" w:cs="Times New Roman"/>
      <w:sz w:val="21"/>
      <w:szCs w:val="22"/>
      <w:lang w:val="en-US" w:eastAsia="zh-CN" w:bidi="ar-SA"/>
    </w:rPr>
  </w:style>
  <w:style w:type="paragraph" w:customStyle="1" w:styleId="9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正文 New New New New"/>
    <w:qFormat/>
    <w:uiPriority w:val="0"/>
    <w:pPr>
      <w:widowControl w:val="0"/>
      <w:jc w:val="both"/>
    </w:pPr>
    <w:rPr>
      <w:rFonts w:ascii="Times New Roman" w:hAnsi="Times New Roman" w:eastAsia="宋体" w:cs="黑体"/>
      <w:sz w:val="21"/>
      <w:szCs w:val="24"/>
      <w:lang w:val="en-US" w:eastAsia="zh-CN" w:bidi="ar-SA"/>
    </w:r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103">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Char"/>
    <w:basedOn w:val="1"/>
    <w:qFormat/>
    <w:uiPriority w:val="0"/>
    <w:pPr>
      <w:tabs>
        <w:tab w:val="left" w:pos="360"/>
      </w:tabs>
    </w:pPr>
    <w:rPr>
      <w:sz w:val="24"/>
      <w:szCs w:val="24"/>
    </w:rPr>
  </w:style>
  <w:style w:type="paragraph" w:customStyle="1" w:styleId="105">
    <w:name w:val="_Style 89"/>
    <w:basedOn w:val="1"/>
    <w:qFormat/>
    <w:uiPriority w:val="0"/>
    <w:pPr>
      <w:tabs>
        <w:tab w:val="left" w:pos="360"/>
      </w:tabs>
    </w:pPr>
    <w:rPr>
      <w:sz w:val="24"/>
      <w:szCs w:val="24"/>
    </w:rPr>
  </w:style>
  <w:style w:type="character" w:customStyle="1" w:styleId="106">
    <w:name w:val="font41"/>
    <w:qFormat/>
    <w:uiPriority w:val="0"/>
    <w:rPr>
      <w:rFonts w:hint="eastAsia" w:ascii="宋体" w:hAnsi="宋体" w:eastAsia="宋体" w:cs="宋体"/>
      <w:color w:val="000000"/>
      <w:sz w:val="32"/>
      <w:szCs w:val="32"/>
      <w:u w:val="none"/>
    </w:rPr>
  </w:style>
  <w:style w:type="character" w:customStyle="1" w:styleId="107">
    <w:name w:val="font31"/>
    <w:qFormat/>
    <w:uiPriority w:val="0"/>
    <w:rPr>
      <w:rFonts w:hint="default" w:ascii="Times New Roman" w:hAnsi="Times New Roman" w:cs="Times New Roman"/>
      <w:color w:val="000000"/>
      <w:sz w:val="32"/>
      <w:szCs w:val="32"/>
      <w:u w:val="none"/>
    </w:rPr>
  </w:style>
  <w:style w:type="table" w:customStyle="1" w:styleId="108">
    <w:name w:val="Table Normal"/>
    <w:unhideWhenUsed/>
    <w:qFormat/>
    <w:uiPriority w:val="0"/>
    <w:tblPr>
      <w:tblCellMar>
        <w:top w:w="0" w:type="dxa"/>
        <w:left w:w="0" w:type="dxa"/>
        <w:bottom w:w="0" w:type="dxa"/>
        <w:right w:w="0" w:type="dxa"/>
      </w:tblCellMar>
    </w:tblPr>
  </w:style>
  <w:style w:type="paragraph" w:customStyle="1" w:styleId="109">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styleId="1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Normal_10"/>
    <w:qFormat/>
    <w:uiPriority w:val="0"/>
    <w:rPr>
      <w:rFonts w:ascii="黑体" w:hAnsi="黑体" w:eastAsia="黑体" w:cs="Times New Roman"/>
      <w:b/>
      <w:sz w:val="32"/>
      <w:szCs w:val="24"/>
      <w:lang w:val="en-US" w:eastAsia="zh-CN" w:bidi="ar-SA"/>
    </w:rPr>
  </w:style>
  <w:style w:type="paragraph" w:customStyle="1" w:styleId="11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3">
    <w:name w:val="Body text|1"/>
    <w:basedOn w:val="1"/>
    <w:qFormat/>
    <w:uiPriority w:val="0"/>
    <w:pPr>
      <w:spacing w:after="230" w:line="326" w:lineRule="auto"/>
    </w:pPr>
    <w:rPr>
      <w:rFonts w:ascii="宋体" w:hAnsi="宋体" w:cs="宋体"/>
      <w:sz w:val="19"/>
      <w:szCs w:val="19"/>
      <w:lang w:val="zh-TW" w:eastAsia="zh-TW" w:bidi="zh-TW"/>
    </w:rPr>
  </w:style>
  <w:style w:type="paragraph" w:customStyle="1" w:styleId="114">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15">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116">
    <w:name w:val="cf01"/>
    <w:qFormat/>
    <w:uiPriority w:val="0"/>
    <w:rPr>
      <w:rFonts w:hint="eastAsia" w:ascii="Microsoft YaHei UI" w:hAnsi="Microsoft YaHei UI" w:eastAsia="Microsoft YaHei UI"/>
      <w:b/>
      <w:bCs/>
      <w:sz w:val="18"/>
      <w:szCs w:val="18"/>
    </w:rPr>
  </w:style>
  <w:style w:type="paragraph" w:customStyle="1" w:styleId="11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57</Pages>
  <Words>21452</Words>
  <Characters>22781</Characters>
  <Lines>285</Lines>
  <Paragraphs>80</Paragraphs>
  <TotalTime>9</TotalTime>
  <ScaleCrop>false</ScaleCrop>
  <LinksUpToDate>false</LinksUpToDate>
  <CharactersWithSpaces>23753</CharactersWithSpaces>
  <Application>WPS Office_12.1.0.21541_F1E327BC-269C-435d-A152-05C5408002CA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2024-11-04T07:08:00Z</dcterms:created>
  <dc:creator>陈晓东</dc:creator>
  <cp:lastModifiedBy>春風十里</cp:lastModifiedBy>
  <cp:lastPrinted>2021-06-10T03:08:00Z</cp:lastPrinted>
  <dcterms:modified xsi:type="dcterms:W3CDTF">2025-06-29T14:42:38Z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566782BEDD83435D865F511E4136EE79_13</vt:lpwstr>
  </property>
  <property fmtid="{D5CDD505-2E9C-101B-9397-08002B2CF9AE}" pid="4" name="KSOTemplateDocerSaveRecord">
    <vt:lpwstr>eyJoZGlkIjoiNDhkMGIwY2VjNWZhMWZlZjMwOWMxMGY2MzhkOGE2ODUiLCJ1c2VySWQiOiIzNjExNTIzOTAifQ==</vt:lpwstr>
  </property>
</Properties>
</file>