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52B">
      <w:pPr>
        <w:rPr>
          <w:rFonts w:hint="eastAsia" w:ascii="黑体" w:hAnsi="黑体" w:eastAsia="黑体"/>
          <w:color w:val="auto"/>
          <w:sz w:val="32"/>
          <w:szCs w:val="32"/>
          <w:highlight w:val="none"/>
          <w:lang w:eastAsia="zh-CN"/>
        </w:rPr>
      </w:pPr>
    </w:p>
    <w:p w14:paraId="06C72DAE">
      <w:pPr>
        <w:jc w:val="center"/>
        <w:rPr>
          <w:rFonts w:hint="eastAsia" w:ascii="黑体" w:hAnsi="黑体" w:eastAsia="黑体"/>
          <w:color w:val="auto"/>
          <w:spacing w:val="5760"/>
          <w:w w:val="100"/>
          <w:kern w:val="0"/>
          <w:sz w:val="36"/>
          <w:szCs w:val="36"/>
          <w:highlight w:val="none"/>
          <w:fitText w:val="6120" w:id="-1002138880"/>
          <w:lang w:val="en-US" w:eastAsia="zh-CN"/>
        </w:rPr>
      </w:pPr>
    </w:p>
    <w:p w14:paraId="0B001271">
      <w:pPr>
        <w:jc w:val="center"/>
        <w:rPr>
          <w:rFonts w:hint="eastAsia" w:ascii="宋体" w:hAnsi="宋体" w:eastAsia="宋体" w:cs="宋体"/>
          <w:b/>
          <w:bCs/>
          <w:i w:val="0"/>
          <w:iCs w:val="0"/>
          <w:color w:val="auto"/>
          <w:kern w:val="0"/>
          <w:sz w:val="48"/>
          <w:szCs w:val="48"/>
          <w:highlight w:val="none"/>
          <w:lang w:val="en-US" w:eastAsia="zh-CN"/>
        </w:rPr>
      </w:pPr>
      <w:r>
        <w:rPr>
          <w:rFonts w:hint="eastAsia" w:cs="宋体"/>
          <w:b/>
          <w:bCs/>
          <w:i w:val="0"/>
          <w:iCs w:val="0"/>
          <w:color w:val="auto"/>
          <w:kern w:val="0"/>
          <w:sz w:val="48"/>
          <w:szCs w:val="48"/>
          <w:highlight w:val="none"/>
          <w:lang w:val="en-US" w:eastAsia="zh-CN"/>
        </w:rPr>
        <w:t>新疆维吾尔自治区测绘科学研究院（自治区测绘产品质量监督检验站）2025年南山比长基线场溯源量线服务项目</w:t>
      </w:r>
    </w:p>
    <w:p w14:paraId="011A7E77">
      <w:pPr>
        <w:jc w:val="center"/>
        <w:rPr>
          <w:rFonts w:hint="eastAsia" w:ascii="宋体" w:hAnsi="宋体" w:eastAsia="宋体" w:cs="宋体"/>
          <w:b/>
          <w:bCs/>
          <w:i w:val="0"/>
          <w:iCs w:val="0"/>
          <w:color w:val="auto"/>
          <w:kern w:val="0"/>
          <w:sz w:val="48"/>
          <w:szCs w:val="48"/>
          <w:highlight w:val="none"/>
          <w:lang w:val="en-US" w:eastAsia="zh-CN"/>
        </w:rPr>
      </w:pPr>
    </w:p>
    <w:p w14:paraId="5DC44D9A">
      <w:pPr>
        <w:jc w:val="center"/>
        <w:rPr>
          <w:rFonts w:hint="eastAsia" w:ascii="宋体" w:hAnsi="宋体" w:eastAsia="宋体" w:cs="宋体"/>
          <w:b/>
          <w:bCs/>
          <w:i w:val="0"/>
          <w:iCs w:val="0"/>
          <w:color w:val="auto"/>
          <w:kern w:val="0"/>
          <w:sz w:val="48"/>
          <w:szCs w:val="48"/>
          <w:highlight w:val="none"/>
          <w:lang w:val="en-US" w:eastAsia="zh-CN"/>
        </w:rPr>
      </w:pPr>
      <w:r>
        <w:rPr>
          <w:rFonts w:hint="eastAsia" w:ascii="宋体" w:hAnsi="宋体" w:eastAsia="宋体" w:cs="宋体"/>
          <w:b/>
          <w:bCs/>
          <w:i w:val="0"/>
          <w:iCs w:val="0"/>
          <w:color w:val="auto"/>
          <w:kern w:val="0"/>
          <w:sz w:val="48"/>
          <w:szCs w:val="48"/>
          <w:highlight w:val="none"/>
          <w:lang w:val="en-US" w:eastAsia="zh-CN"/>
        </w:rPr>
        <w:t>公开招标文件</w:t>
      </w:r>
      <w:bookmarkStart w:id="0" w:name="_Hlk164181180"/>
    </w:p>
    <w:bookmarkEnd w:id="0"/>
    <w:p w14:paraId="7757DFAA">
      <w:pPr>
        <w:spacing w:line="240" w:lineRule="auto"/>
        <w:jc w:val="center"/>
        <w:rPr>
          <w:rFonts w:ascii="黑体" w:hAnsi="黑体" w:eastAsia="黑体"/>
          <w:color w:val="auto"/>
          <w:sz w:val="52"/>
          <w:szCs w:val="52"/>
          <w:highlight w:val="none"/>
        </w:rPr>
      </w:pPr>
    </w:p>
    <w:p w14:paraId="67E856E7">
      <w:pPr>
        <w:spacing w:line="240" w:lineRule="auto"/>
        <w:jc w:val="center"/>
        <w:rPr>
          <w:rFonts w:ascii="黑体" w:hAnsi="黑体" w:eastAsia="黑体"/>
          <w:color w:val="auto"/>
          <w:sz w:val="52"/>
          <w:szCs w:val="52"/>
          <w:highlight w:val="none"/>
        </w:rPr>
      </w:pPr>
    </w:p>
    <w:p w14:paraId="55AB40B6">
      <w:pPr>
        <w:spacing w:line="240" w:lineRule="auto"/>
        <w:jc w:val="center"/>
        <w:rPr>
          <w:rFonts w:ascii="黑体" w:hAnsi="黑体" w:eastAsia="黑体"/>
          <w:color w:val="auto"/>
          <w:sz w:val="52"/>
          <w:szCs w:val="52"/>
          <w:highlight w:val="none"/>
        </w:rPr>
      </w:pPr>
    </w:p>
    <w:p w14:paraId="22A33C4F">
      <w:pPr>
        <w:pStyle w:val="2"/>
        <w:rPr>
          <w:rFonts w:ascii="黑体" w:hAnsi="黑体" w:eastAsia="黑体"/>
          <w:color w:val="auto"/>
          <w:sz w:val="52"/>
          <w:szCs w:val="52"/>
          <w:highlight w:val="none"/>
        </w:rPr>
      </w:pPr>
    </w:p>
    <w:p w14:paraId="0712CE27">
      <w:pPr>
        <w:rPr>
          <w:rFonts w:hint="default" w:ascii="宋体" w:hAnsi="宋体" w:eastAsia="宋体" w:cs="宋体"/>
          <w:i w:val="0"/>
          <w:iCs w:val="0"/>
          <w:color w:val="auto"/>
          <w:sz w:val="28"/>
          <w:szCs w:val="28"/>
          <w:highlight w:val="none"/>
          <w:lang w:val="en-US" w:eastAsia="zh-CN"/>
        </w:rPr>
      </w:pPr>
      <w:r>
        <w:rPr>
          <w:rFonts w:hint="eastAsia" w:ascii="宋体" w:hAnsi="宋体" w:eastAsia="宋体" w:cs="宋体"/>
          <w:i w:val="0"/>
          <w:iCs w:val="0"/>
          <w:color w:val="auto"/>
          <w:sz w:val="28"/>
          <w:szCs w:val="28"/>
          <w:highlight w:val="none"/>
        </w:rPr>
        <w:t>项目编号：</w:t>
      </w:r>
      <w:r>
        <w:rPr>
          <w:rFonts w:hint="eastAsia" w:ascii="宋体" w:hAnsi="宋体" w:eastAsia="宋体" w:cs="宋体"/>
          <w:i w:val="0"/>
          <w:iCs w:val="0"/>
          <w:color w:val="auto"/>
          <w:sz w:val="28"/>
          <w:szCs w:val="28"/>
          <w:highlight w:val="none"/>
          <w:lang w:val="en-US" w:eastAsia="zh-CN"/>
        </w:rPr>
        <w:t>XSY-2025-Z-133</w:t>
      </w:r>
    </w:p>
    <w:p w14:paraId="244C721C">
      <w:pPr>
        <w:ind w:left="1400" w:hanging="1400" w:hangingChars="500"/>
        <w:rPr>
          <w:rFonts w:hint="default" w:ascii="宋体" w:hAnsi="宋体" w:eastAsia="宋体" w:cs="宋体"/>
          <w:i w:val="0"/>
          <w:iCs w:val="0"/>
          <w:color w:val="auto"/>
          <w:sz w:val="28"/>
          <w:szCs w:val="28"/>
          <w:highlight w:val="none"/>
          <w:lang w:val="en-US" w:eastAsia="zh-CN"/>
        </w:rPr>
      </w:pPr>
      <w:r>
        <w:rPr>
          <w:rFonts w:hint="eastAsia" w:ascii="宋体" w:hAnsi="宋体" w:eastAsia="宋体" w:cs="宋体"/>
          <w:i w:val="0"/>
          <w:iCs w:val="0"/>
          <w:color w:val="auto"/>
          <w:sz w:val="28"/>
          <w:szCs w:val="28"/>
          <w:highlight w:val="none"/>
        </w:rPr>
        <w:t>项目名称：</w:t>
      </w:r>
      <w:r>
        <w:rPr>
          <w:rFonts w:hint="eastAsia" w:cs="宋体"/>
          <w:i w:val="0"/>
          <w:iCs w:val="0"/>
          <w:color w:val="auto"/>
          <w:sz w:val="28"/>
          <w:szCs w:val="28"/>
          <w:highlight w:val="none"/>
          <w:lang w:val="en-US" w:eastAsia="zh-CN"/>
        </w:rPr>
        <w:t>新疆维吾尔自治区测绘科学研究院（自治区测绘产品质量监督检验站）2025年南山比长基线场溯源量线服务项目</w:t>
      </w:r>
    </w:p>
    <w:p w14:paraId="55620E86">
      <w:pPr>
        <w:ind w:left="1400" w:hanging="1400" w:hangingChars="5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采</w:t>
      </w:r>
      <w:r>
        <w:rPr>
          <w:rFonts w:hint="eastAsia" w:ascii="宋体" w:hAnsi="宋体" w:eastAsia="宋体" w:cs="宋体"/>
          <w:i w:val="0"/>
          <w:iCs w:val="0"/>
          <w:color w:val="auto"/>
          <w:sz w:val="28"/>
          <w:szCs w:val="28"/>
          <w:highlight w:val="none"/>
          <w:lang w:val="en-US" w:eastAsia="zh-CN"/>
        </w:rPr>
        <w:t xml:space="preserve"> </w:t>
      </w:r>
      <w:r>
        <w:rPr>
          <w:rFonts w:hint="eastAsia" w:ascii="宋体" w:hAnsi="宋体" w:eastAsia="宋体" w:cs="宋体"/>
          <w:i w:val="0"/>
          <w:iCs w:val="0"/>
          <w:color w:val="auto"/>
          <w:sz w:val="28"/>
          <w:szCs w:val="28"/>
          <w:highlight w:val="none"/>
        </w:rPr>
        <w:t>购</w:t>
      </w:r>
      <w:r>
        <w:rPr>
          <w:rFonts w:hint="eastAsia" w:ascii="宋体" w:hAnsi="宋体" w:eastAsia="宋体" w:cs="宋体"/>
          <w:i w:val="0"/>
          <w:iCs w:val="0"/>
          <w:color w:val="auto"/>
          <w:sz w:val="28"/>
          <w:szCs w:val="28"/>
          <w:highlight w:val="none"/>
          <w:lang w:val="en-US" w:eastAsia="zh-CN"/>
        </w:rPr>
        <w:t xml:space="preserve"> </w:t>
      </w:r>
      <w:r>
        <w:rPr>
          <w:rFonts w:hint="eastAsia" w:ascii="宋体" w:hAnsi="宋体" w:eastAsia="宋体" w:cs="宋体"/>
          <w:i w:val="0"/>
          <w:iCs w:val="0"/>
          <w:color w:val="auto"/>
          <w:sz w:val="28"/>
          <w:szCs w:val="28"/>
          <w:highlight w:val="none"/>
        </w:rPr>
        <w:t>人：</w:t>
      </w:r>
      <w:r>
        <w:rPr>
          <w:rFonts w:hint="eastAsia" w:cs="宋体"/>
          <w:i w:val="0"/>
          <w:iCs w:val="0"/>
          <w:color w:val="auto"/>
          <w:sz w:val="28"/>
          <w:szCs w:val="28"/>
          <w:highlight w:val="none"/>
          <w:lang w:val="en-US" w:eastAsia="zh-CN"/>
        </w:rPr>
        <w:t>新疆维吾尔自治区测绘科学研究院（自治区测绘产品质量监督检验站）</w:t>
      </w:r>
    </w:p>
    <w:p w14:paraId="18283BD7">
      <w:pPr>
        <w:rPr>
          <w:rFonts w:hint="default" w:ascii="宋体" w:hAnsi="宋体" w:eastAsia="宋体" w:cs="宋体"/>
          <w:i w:val="0"/>
          <w:iCs w:val="0"/>
          <w:color w:val="auto"/>
          <w:sz w:val="28"/>
          <w:szCs w:val="28"/>
          <w:highlight w:val="none"/>
          <w:lang w:val="en-US" w:eastAsia="zh-CN"/>
        </w:rPr>
      </w:pPr>
      <w:r>
        <w:rPr>
          <w:rFonts w:hint="eastAsia" w:ascii="宋体" w:hAnsi="宋体" w:eastAsia="宋体" w:cs="宋体"/>
          <w:i w:val="0"/>
          <w:iCs w:val="0"/>
          <w:color w:val="auto"/>
          <w:sz w:val="28"/>
          <w:szCs w:val="28"/>
          <w:highlight w:val="none"/>
        </w:rPr>
        <w:t>采购代理机构：</w:t>
      </w:r>
      <w:r>
        <w:rPr>
          <w:rFonts w:hint="eastAsia" w:ascii="宋体" w:hAnsi="宋体" w:eastAsia="宋体" w:cs="宋体"/>
          <w:i w:val="0"/>
          <w:iCs w:val="0"/>
          <w:color w:val="auto"/>
          <w:sz w:val="28"/>
          <w:szCs w:val="28"/>
          <w:highlight w:val="none"/>
          <w:lang w:val="en-US" w:eastAsia="zh-CN"/>
        </w:rPr>
        <w:t>新疆星圣源工程项目管理有限公司</w:t>
      </w:r>
    </w:p>
    <w:p w14:paraId="3F99DE29">
      <w:pPr>
        <w:jc w:val="center"/>
        <w:rPr>
          <w:rFonts w:hint="eastAsia" w:ascii="宋体" w:hAnsi="宋体" w:eastAsia="宋体" w:cs="宋体"/>
          <w:b/>
          <w:bCs/>
          <w:color w:val="auto"/>
          <w:sz w:val="36"/>
          <w:szCs w:val="36"/>
          <w:highlight w:val="none"/>
        </w:rPr>
        <w:sectPr>
          <w:headerReference r:id="rId5" w:type="default"/>
          <w:footerReference r:id="rId6" w:type="default"/>
          <w:pgSz w:w="11906" w:h="16838"/>
          <w:pgMar w:top="1440" w:right="1800" w:bottom="1440" w:left="1800" w:header="851" w:footer="765"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2E6E0FD2">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1454D4D3">
      <w:pPr>
        <w:pStyle w:val="25"/>
        <w:keepNext w:val="0"/>
        <w:keepLines w:val="0"/>
        <w:pageBreakBefore w:val="0"/>
        <w:widowControl w:val="0"/>
        <w:tabs>
          <w:tab w:val="left" w:pos="960"/>
          <w:tab w:val="right" w:leader="dot" w:pos="8296"/>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p w14:paraId="1C7063FA">
      <w:pPr>
        <w:pStyle w:val="25"/>
        <w:tabs>
          <w:tab w:val="right" w:leader="dot" w:pos="8306"/>
        </w:tabs>
        <w:rPr>
          <w:rFonts w:hint="eastAsia" w:ascii="宋体" w:hAnsi="宋体" w:eastAsia="宋体" w:cs="宋体"/>
          <w:sz w:val="24"/>
          <w:szCs w:val="24"/>
        </w:rPr>
      </w:pPr>
      <w:bookmarkStart w:id="1" w:name="_Toc155185859"/>
      <w:bookmarkStart w:id="2" w:name="_Toc8881"/>
      <w:bookmarkStart w:id="3" w:name="_Hlk130458318"/>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_Toc10052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_Toc10052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E78C9FB">
      <w:pPr>
        <w:pStyle w:val="25"/>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_Toc10665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_Toc10665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737CE85">
      <w:pPr>
        <w:pStyle w:val="25"/>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_Toc1640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第三章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_Toc1640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1AF8C250">
      <w:pPr>
        <w:pStyle w:val="25"/>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_Toc9106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第四章 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_Toc9106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68FDB8B">
      <w:pPr>
        <w:pStyle w:val="25"/>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_Toc21586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第五章 评标方法及标准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_Toc21586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23CEA40D">
      <w:pPr>
        <w:pStyle w:val="25"/>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_Toc520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zh-CN" w:eastAsia="zh-CN"/>
        </w:rPr>
        <w:t>第六章 合同草案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_Toc520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45BEEF37">
      <w:pPr>
        <w:pStyle w:val="25"/>
        <w:tabs>
          <w:tab w:val="right" w:leader="dot" w:pos="8306"/>
        </w:tabs>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_Toc28408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lang w:val="en-US" w:eastAsia="zh-CN"/>
        </w:rPr>
        <w:t>第七章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_Toc28408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CCFC3B0">
      <w:pPr>
        <w:pStyle w:val="6"/>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64497B53">
      <w:pPr>
        <w:bidi w:val="0"/>
        <w:rPr>
          <w:rFonts w:hint="eastAsia"/>
        </w:rPr>
      </w:pPr>
    </w:p>
    <w:p w14:paraId="2223FC90">
      <w:pPr>
        <w:bidi w:val="0"/>
        <w:rPr>
          <w:rFonts w:hint="eastAsia"/>
        </w:rPr>
      </w:pPr>
    </w:p>
    <w:p w14:paraId="7E682F0A">
      <w:pPr>
        <w:bidi w:val="0"/>
        <w:rPr>
          <w:rFonts w:hint="eastAsia"/>
        </w:rPr>
      </w:pPr>
    </w:p>
    <w:p w14:paraId="1B517D24">
      <w:pPr>
        <w:bidi w:val="0"/>
        <w:rPr>
          <w:rFonts w:hint="eastAsia"/>
        </w:rPr>
      </w:pPr>
    </w:p>
    <w:p w14:paraId="73926231">
      <w:pPr>
        <w:bidi w:val="0"/>
        <w:rPr>
          <w:rFonts w:hint="eastAsia"/>
        </w:rPr>
      </w:pPr>
    </w:p>
    <w:p w14:paraId="45DA2346">
      <w:pPr>
        <w:bidi w:val="0"/>
        <w:rPr>
          <w:rFonts w:hint="eastAsia"/>
        </w:rPr>
      </w:pPr>
    </w:p>
    <w:p w14:paraId="4883CF5D">
      <w:pPr>
        <w:tabs>
          <w:tab w:val="right" w:pos="8306"/>
        </w:tabs>
        <w:bidi w:val="0"/>
        <w:jc w:val="left"/>
        <w:rPr>
          <w:rFonts w:hint="eastAsia" w:eastAsia="宋体"/>
          <w:lang w:eastAsia="zh-CN"/>
        </w:rPr>
        <w:sectPr>
          <w:pgSz w:w="11906" w:h="16838"/>
          <w:pgMar w:top="1440" w:right="1800" w:bottom="1440" w:left="1800" w:header="851" w:footer="765"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lang w:eastAsia="zh-CN"/>
        </w:rPr>
        <w:tab/>
      </w:r>
      <w:bookmarkStart w:id="840" w:name="_GoBack"/>
      <w:bookmarkEnd w:id="840"/>
    </w:p>
    <w:p w14:paraId="29DD1FCB">
      <w:pPr>
        <w:pStyle w:val="6"/>
        <w:bidi w:val="0"/>
        <w:rPr>
          <w:rFonts w:hint="eastAsia" w:ascii="宋体" w:hAnsi="宋体" w:eastAsia="宋体" w:cs="宋体"/>
          <w:lang w:val="en-US" w:eastAsia="zh-CN"/>
        </w:rPr>
      </w:pPr>
      <w:bookmarkStart w:id="4" w:name="_Toc10052"/>
      <w:bookmarkStart w:id="5" w:name="_Toc16151"/>
      <w:r>
        <w:rPr>
          <w:rFonts w:hint="eastAsia" w:ascii="宋体" w:hAnsi="宋体" w:eastAsia="宋体" w:cs="宋体"/>
          <w:lang w:val="en-US" w:eastAsia="zh-CN"/>
        </w:rPr>
        <w:t xml:space="preserve">第一章 </w:t>
      </w:r>
      <w:bookmarkEnd w:id="1"/>
      <w:r>
        <w:rPr>
          <w:rFonts w:hint="eastAsia" w:ascii="宋体" w:hAnsi="宋体" w:eastAsia="宋体" w:cs="宋体"/>
          <w:lang w:val="en-US" w:eastAsia="zh-CN"/>
        </w:rPr>
        <w:t>招标公告</w:t>
      </w:r>
      <w:bookmarkEnd w:id="2"/>
      <w:bookmarkEnd w:id="4"/>
      <w:bookmarkEnd w:id="5"/>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612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3D0F96B">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olor w:val="auto"/>
                <w:sz w:val="24"/>
                <w:szCs w:val="24"/>
                <w:highlight w:val="none"/>
                <w:lang w:val="en-US" w:eastAsia="zh-CN"/>
              </w:rPr>
            </w:pPr>
            <w:bookmarkStart w:id="6" w:name="_Toc32473"/>
            <w:bookmarkStart w:id="7" w:name="_Toc26706"/>
            <w:bookmarkStart w:id="8" w:name="_Toc576"/>
            <w:bookmarkStart w:id="9" w:name="_Toc109899410"/>
            <w:bookmarkStart w:id="10" w:name="_Toc35393629"/>
            <w:bookmarkStart w:id="11" w:name="_Toc109900248"/>
            <w:bookmarkStart w:id="12" w:name="_Toc109899829"/>
            <w:bookmarkStart w:id="13" w:name="_Toc28359089"/>
            <w:bookmarkStart w:id="14" w:name="_Toc140132745"/>
            <w:bookmarkStart w:id="15" w:name="_Toc155185860"/>
            <w:bookmarkStart w:id="16" w:name="_Toc35393798"/>
            <w:bookmarkStart w:id="17" w:name="_Toc44583628"/>
            <w:bookmarkStart w:id="18" w:name="_Toc28359012"/>
            <w:r>
              <w:rPr>
                <w:rFonts w:hint="eastAsia"/>
                <w:color w:val="auto"/>
                <w:sz w:val="24"/>
                <w:szCs w:val="24"/>
                <w:highlight w:val="none"/>
                <w:lang w:val="en-US" w:eastAsia="zh-CN"/>
              </w:rPr>
              <w:t>项目概况：</w:t>
            </w:r>
            <w:bookmarkEnd w:id="6"/>
            <w:bookmarkEnd w:id="7"/>
            <w:bookmarkEnd w:id="8"/>
          </w:p>
          <w:p w14:paraId="42E3A809">
            <w:pPr>
              <w:spacing w:line="360" w:lineRule="auto"/>
              <w:ind w:firstLine="480" w:firstLineChars="200"/>
              <w:rPr>
                <w:rFonts w:hint="default"/>
                <w:color w:val="auto"/>
                <w:highlight w:val="none"/>
                <w:lang w:val="en-US" w:eastAsia="zh-CN"/>
              </w:rPr>
            </w:pP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 xml:space="preserve"> (</w:t>
            </w:r>
            <w:r>
              <w:rPr>
                <w:rFonts w:hint="eastAsia" w:cstheme="minorBidi"/>
                <w:i w:val="0"/>
                <w:iCs w:val="0"/>
                <w:color w:val="auto"/>
                <w:kern w:val="2"/>
                <w:sz w:val="24"/>
                <w:szCs w:val="24"/>
                <w:highlight w:val="none"/>
                <w:u w:val="single"/>
                <w:shd w:val="clear" w:color="auto" w:fill="FFFFFF" w:themeFill="background1"/>
                <w:lang w:val="hr-HR" w:eastAsia="zh-CN" w:bidi="ar-SA"/>
              </w:rPr>
              <w:t>新疆维吾尔自治区测绘科学研究院（自治区测绘产品质量监督检验站）2025年南山比长基线场溯源量线服务项目</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 xml:space="preserve">) </w:t>
            </w:r>
            <w:r>
              <w:rPr>
                <w:rFonts w:hint="eastAsia" w:ascii="宋体" w:hAnsi="宋体" w:eastAsia="宋体" w:cstheme="minorBidi"/>
                <w:iCs/>
                <w:color w:val="auto"/>
                <w:kern w:val="2"/>
                <w:sz w:val="24"/>
                <w:szCs w:val="24"/>
                <w:highlight w:val="none"/>
                <w:shd w:val="clear" w:color="auto" w:fill="FFFFFF" w:themeFill="background1"/>
                <w:lang w:val="hr-HR" w:eastAsia="zh-CN" w:bidi="ar-SA"/>
              </w:rPr>
              <w:t>招标项目的潜在投标人应在</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w:t>
            </w:r>
            <w:r>
              <w:rPr>
                <w:rFonts w:hint="eastAsia" w:ascii="宋体" w:hAnsi="宋体" w:eastAsia="宋体" w:cs="宋体"/>
                <w:sz w:val="24"/>
                <w:szCs w:val="24"/>
                <w:u w:val="single"/>
              </w:rPr>
              <w:t>政采云平台http://www.zcygov.cn/</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w:t>
            </w:r>
            <w:r>
              <w:rPr>
                <w:rFonts w:hint="eastAsia" w:ascii="宋体" w:hAnsi="宋体" w:eastAsia="宋体" w:cstheme="minorBidi"/>
                <w:iCs/>
                <w:color w:val="auto"/>
                <w:kern w:val="2"/>
                <w:sz w:val="24"/>
                <w:szCs w:val="24"/>
                <w:highlight w:val="none"/>
                <w:shd w:val="clear" w:color="auto" w:fill="FFFFFF" w:themeFill="background1"/>
                <w:lang w:val="hr-HR" w:eastAsia="zh-CN" w:bidi="ar-SA"/>
              </w:rPr>
              <w:t>获取招标文件，并于</w:t>
            </w:r>
            <w:r>
              <w:rPr>
                <w:rFonts w:hint="eastAsia" w:cstheme="minorBidi"/>
                <w:i w:val="0"/>
                <w:iCs w:val="0"/>
                <w:color w:val="auto"/>
                <w:kern w:val="2"/>
                <w:sz w:val="24"/>
                <w:szCs w:val="22"/>
                <w:highlight w:val="cyan"/>
                <w:u w:val="single"/>
                <w:lang w:val="en-US" w:eastAsia="zh-CN" w:bidi="ar-SA"/>
              </w:rPr>
              <w:t>2025</w:t>
            </w:r>
            <w:r>
              <w:rPr>
                <w:rFonts w:hint="default" w:ascii="宋体" w:hAnsi="宋体" w:eastAsia="宋体" w:cstheme="minorBidi"/>
                <w:i w:val="0"/>
                <w:iCs w:val="0"/>
                <w:color w:val="auto"/>
                <w:kern w:val="2"/>
                <w:sz w:val="24"/>
                <w:szCs w:val="22"/>
                <w:highlight w:val="cyan"/>
                <w:u w:val="single"/>
                <w:lang w:val="en-US" w:eastAsia="zh-CN" w:bidi="ar-SA"/>
              </w:rPr>
              <w:t>年</w:t>
            </w:r>
            <w:r>
              <w:rPr>
                <w:rFonts w:hint="eastAsia" w:cstheme="minorBidi"/>
                <w:i w:val="0"/>
                <w:iCs w:val="0"/>
                <w:color w:val="auto"/>
                <w:kern w:val="2"/>
                <w:sz w:val="24"/>
                <w:szCs w:val="22"/>
                <w:highlight w:val="cyan"/>
                <w:u w:val="single"/>
                <w:lang w:val="en-US" w:eastAsia="zh-CN" w:bidi="ar-SA"/>
              </w:rPr>
              <w:t>08</w:t>
            </w:r>
            <w:r>
              <w:rPr>
                <w:rFonts w:hint="default" w:ascii="宋体" w:hAnsi="宋体" w:eastAsia="宋体" w:cstheme="minorBidi"/>
                <w:i w:val="0"/>
                <w:iCs w:val="0"/>
                <w:color w:val="auto"/>
                <w:kern w:val="2"/>
                <w:sz w:val="24"/>
                <w:szCs w:val="22"/>
                <w:highlight w:val="cyan"/>
                <w:u w:val="single"/>
                <w:lang w:val="en-US" w:eastAsia="zh-CN" w:bidi="ar-SA"/>
              </w:rPr>
              <w:t>月</w:t>
            </w:r>
            <w:r>
              <w:rPr>
                <w:rFonts w:hint="eastAsia" w:cstheme="minorBidi"/>
                <w:i w:val="0"/>
                <w:iCs w:val="0"/>
                <w:color w:val="auto"/>
                <w:kern w:val="2"/>
                <w:sz w:val="24"/>
                <w:szCs w:val="22"/>
                <w:highlight w:val="cyan"/>
                <w:u w:val="single"/>
                <w:lang w:val="en-US" w:eastAsia="zh-CN" w:bidi="ar-SA"/>
              </w:rPr>
              <w:t>07</w:t>
            </w:r>
            <w:r>
              <w:rPr>
                <w:rFonts w:hint="default" w:ascii="宋体" w:hAnsi="宋体" w:eastAsia="宋体" w:cstheme="minorBidi"/>
                <w:i w:val="0"/>
                <w:iCs w:val="0"/>
                <w:color w:val="auto"/>
                <w:kern w:val="2"/>
                <w:sz w:val="24"/>
                <w:szCs w:val="22"/>
                <w:highlight w:val="cyan"/>
                <w:u w:val="single"/>
                <w:lang w:val="en-US" w:eastAsia="zh-CN" w:bidi="ar-SA"/>
              </w:rPr>
              <w:t>日</w:t>
            </w:r>
            <w:r>
              <w:rPr>
                <w:rFonts w:hint="eastAsia" w:cstheme="minorBidi"/>
                <w:i w:val="0"/>
                <w:iCs w:val="0"/>
                <w:color w:val="auto"/>
                <w:kern w:val="2"/>
                <w:sz w:val="24"/>
                <w:szCs w:val="22"/>
                <w:highlight w:val="cyan"/>
                <w:u w:val="single"/>
                <w:lang w:val="en-US" w:eastAsia="zh-CN" w:bidi="ar-SA"/>
              </w:rPr>
              <w:t>16时00</w:t>
            </w:r>
            <w:r>
              <w:rPr>
                <w:rFonts w:hint="default" w:ascii="宋体" w:hAnsi="宋体" w:eastAsia="宋体" w:cstheme="minorBidi"/>
                <w:i w:val="0"/>
                <w:iCs w:val="0"/>
                <w:color w:val="auto"/>
                <w:kern w:val="2"/>
                <w:sz w:val="24"/>
                <w:szCs w:val="22"/>
                <w:highlight w:val="cyan"/>
                <w:u w:val="single"/>
                <w:lang w:val="en-US" w:eastAsia="zh-CN" w:bidi="ar-SA"/>
              </w:rPr>
              <w:t>分</w:t>
            </w:r>
            <w:r>
              <w:rPr>
                <w:rFonts w:hint="eastAsia" w:ascii="宋体" w:hAnsi="宋体" w:eastAsia="宋体" w:cstheme="minorBidi"/>
                <w:iCs/>
                <w:color w:val="auto"/>
                <w:kern w:val="2"/>
                <w:sz w:val="24"/>
                <w:szCs w:val="24"/>
                <w:highlight w:val="none"/>
                <w:shd w:val="clear" w:color="auto" w:fill="FFFFFF" w:themeFill="background1"/>
                <w:lang w:val="hr-HR" w:eastAsia="zh-CN" w:bidi="ar-SA"/>
              </w:rPr>
              <w:t>（北京时间）前递交投标文件。</w:t>
            </w:r>
          </w:p>
        </w:tc>
      </w:tr>
    </w:tbl>
    <w:p w14:paraId="4072DEF0">
      <w:pPr>
        <w:pStyle w:val="7"/>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19" w:name="_Toc29167"/>
      <w:r>
        <w:rPr>
          <w:rFonts w:hint="eastAsia" w:ascii="宋体" w:hAnsi="宋体" w:eastAsia="宋体" w:cs="宋体"/>
          <w:b/>
          <w:bCs/>
          <w:color w:val="auto"/>
          <w:kern w:val="2"/>
          <w:sz w:val="24"/>
          <w:szCs w:val="24"/>
          <w:highlight w:val="none"/>
          <w:lang w:val="hr-HR" w:eastAsia="zh-CN" w:bidi="ar-SA"/>
        </w:rPr>
        <w:t>一、项目基本情况</w:t>
      </w:r>
      <w:bookmarkEnd w:id="9"/>
      <w:bookmarkEnd w:id="10"/>
      <w:bookmarkEnd w:id="11"/>
      <w:bookmarkEnd w:id="12"/>
      <w:bookmarkEnd w:id="13"/>
      <w:bookmarkEnd w:id="14"/>
      <w:bookmarkEnd w:id="15"/>
      <w:bookmarkEnd w:id="16"/>
      <w:bookmarkEnd w:id="17"/>
      <w:bookmarkEnd w:id="18"/>
      <w:bookmarkEnd w:id="19"/>
    </w:p>
    <w:p w14:paraId="590E39A6">
      <w:pPr>
        <w:pStyle w:val="4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hr-HR"/>
        </w:rPr>
        <w:t>1.项目编号：</w:t>
      </w:r>
      <w:r>
        <w:rPr>
          <w:rFonts w:hint="eastAsia" w:cs="宋体"/>
          <w:color w:val="auto"/>
          <w:sz w:val="24"/>
          <w:szCs w:val="24"/>
          <w:highlight w:val="none"/>
          <w:lang w:val="hr-HR" w:eastAsia="zh-CN"/>
        </w:rPr>
        <w:t>XSY-2025-Z-133</w:t>
      </w:r>
    </w:p>
    <w:p w14:paraId="544AA4B7">
      <w:pPr>
        <w:pStyle w:val="40"/>
        <w:spacing w:line="360" w:lineRule="auto"/>
        <w:ind w:left="1920" w:leftChars="200" w:hanging="1440" w:hangingChars="600"/>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hr-HR"/>
        </w:rPr>
        <w:t>.项目名称：</w:t>
      </w:r>
      <w:r>
        <w:rPr>
          <w:rFonts w:hint="eastAsia" w:cs="宋体"/>
          <w:color w:val="auto"/>
          <w:sz w:val="24"/>
          <w:szCs w:val="24"/>
          <w:highlight w:val="none"/>
          <w:lang w:val="hr-HR" w:eastAsia="zh-CN"/>
        </w:rPr>
        <w:t>新疆维吾尔自治区测绘科学研究院（自治区测绘产品质量监督检验站）2025年南山比长基线场溯源量线服务项目</w:t>
      </w:r>
    </w:p>
    <w:p w14:paraId="3CE35A7E">
      <w:pPr>
        <w:pStyle w:val="40"/>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.采购方式：公开招标</w:t>
      </w:r>
    </w:p>
    <w:p w14:paraId="78A90596">
      <w:pPr>
        <w:pStyle w:val="40"/>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hr-HR"/>
        </w:rPr>
        <w:t>预算金额：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hr-HR"/>
        </w:rPr>
        <w:t>万元</w:t>
      </w:r>
    </w:p>
    <w:p w14:paraId="7851BE2C">
      <w:pPr>
        <w:pStyle w:val="40"/>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u w:val="single"/>
          <w:lang w:val="hr-HR"/>
        </w:rPr>
        <w:t xml:space="preserve"> </w:t>
      </w:r>
      <w:r>
        <w:rPr>
          <w:rFonts w:hint="eastAsia"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hr-HR"/>
        </w:rPr>
        <w:t xml:space="preserve"> </w:t>
      </w:r>
      <w:r>
        <w:rPr>
          <w:rFonts w:hint="eastAsia" w:ascii="宋体" w:hAnsi="宋体" w:eastAsia="宋体" w:cs="宋体"/>
          <w:color w:val="auto"/>
          <w:sz w:val="24"/>
          <w:szCs w:val="24"/>
          <w:highlight w:val="none"/>
        </w:rPr>
        <w:t>万元</w:t>
      </w:r>
    </w:p>
    <w:p w14:paraId="242750DC">
      <w:pPr>
        <w:pStyle w:val="40"/>
        <w:spacing w:line="360" w:lineRule="auto"/>
        <w:ind w:left="1920" w:leftChars="200" w:hanging="1440" w:hangingChars="6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hr-HR"/>
        </w:rPr>
        <w:t>.采购需求：</w:t>
      </w:r>
      <w:r>
        <w:rPr>
          <w:rFonts w:hint="eastAsia" w:ascii="宋体" w:hAnsi="宋体" w:eastAsia="宋体" w:cs="宋体"/>
          <w:color w:val="auto"/>
          <w:sz w:val="24"/>
          <w:szCs w:val="24"/>
          <w:highlight w:val="none"/>
          <w:lang w:val="hr-HR" w:eastAsia="zh-CN"/>
        </w:rPr>
        <w:t>南山比长基线场溯源量线服务</w:t>
      </w:r>
      <w:r>
        <w:rPr>
          <w:rFonts w:hint="eastAsia" w:cs="宋体"/>
          <w:color w:val="auto"/>
          <w:sz w:val="24"/>
          <w:szCs w:val="24"/>
          <w:highlight w:val="none"/>
          <w:lang w:val="hr-HR" w:eastAsia="zh-CN"/>
        </w:rPr>
        <w:t>，</w:t>
      </w:r>
      <w:r>
        <w:rPr>
          <w:rFonts w:hint="eastAsia" w:ascii="宋体" w:hAnsi="宋体" w:eastAsia="宋体" w:cs="宋体"/>
          <w:color w:val="auto"/>
          <w:sz w:val="24"/>
          <w:szCs w:val="24"/>
          <w:highlight w:val="none"/>
          <w:lang w:val="hr-HR" w:eastAsia="zh-CN"/>
        </w:rPr>
        <w:t>详见第三章 采购需求。</w:t>
      </w:r>
    </w:p>
    <w:p w14:paraId="56FBF6DA">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履行期限：</w:t>
      </w:r>
      <w:r>
        <w:rPr>
          <w:rFonts w:hint="eastAsia" w:cs="宋体"/>
          <w:i w:val="0"/>
          <w:iCs w:val="0"/>
          <w:color w:val="auto"/>
          <w:sz w:val="24"/>
          <w:szCs w:val="24"/>
          <w:highlight w:val="none"/>
          <w:u w:val="single"/>
          <w:lang w:val="en-US" w:eastAsia="zh-CN"/>
        </w:rPr>
        <w:t xml:space="preserve"> 以实际签订合同为准。</w:t>
      </w:r>
    </w:p>
    <w:p w14:paraId="4B098642">
      <w:pPr>
        <w:pStyle w:val="40"/>
        <w:spacing w:line="360" w:lineRule="auto"/>
        <w:rPr>
          <w:rFonts w:hint="eastAsia" w:ascii="宋体" w:hAnsi="宋体" w:eastAsia="宋体" w:cs="宋体"/>
          <w:color w:val="auto"/>
          <w:sz w:val="24"/>
          <w:szCs w:val="24"/>
          <w:highlight w:val="none"/>
          <w:lang w:val="en-US" w:eastAsia="zh-CN"/>
        </w:rPr>
      </w:pPr>
      <w:bookmarkStart w:id="20" w:name="_Toc35393799"/>
      <w:bookmarkStart w:id="21" w:name="_Toc28359013"/>
      <w:bookmarkStart w:id="22" w:name="_Toc35393630"/>
      <w:bookmarkStart w:id="23" w:name="_Toc44583629"/>
      <w:bookmarkStart w:id="24" w:name="_Toc28359090"/>
      <w:r>
        <w:rPr>
          <w:rFonts w:hint="eastAsia" w:ascii="宋体" w:hAnsi="宋体" w:eastAsia="宋体" w:cs="宋体"/>
          <w:color w:val="auto"/>
          <w:sz w:val="24"/>
          <w:szCs w:val="24"/>
          <w:highlight w:val="none"/>
          <w:lang w:val="en-US" w:eastAsia="zh-CN"/>
        </w:rPr>
        <w:t>8.</w:t>
      </w:r>
      <w:bookmarkStart w:id="25" w:name="_Hlk162011358"/>
      <w:r>
        <w:rPr>
          <w:rFonts w:hint="eastAsia" w:ascii="宋体" w:hAnsi="宋体" w:eastAsia="宋体" w:cs="宋体"/>
          <w:color w:val="auto"/>
          <w:sz w:val="24"/>
          <w:szCs w:val="24"/>
          <w:highlight w:val="none"/>
          <w:lang w:val="en-US" w:eastAsia="zh-CN"/>
        </w:rPr>
        <w:t>本项目是否接受联合体投标：□是</w:t>
      </w:r>
      <w:bookmarkEnd w:id="25"/>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否</w:t>
      </w:r>
    </w:p>
    <w:p w14:paraId="1EEB1622">
      <w:pPr>
        <w:pStyle w:val="7"/>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26" w:name="_Toc32632"/>
      <w:bookmarkStart w:id="27" w:name="_Toc140132746"/>
      <w:bookmarkStart w:id="28" w:name="_Toc109899830"/>
      <w:bookmarkStart w:id="29" w:name="_Toc109899411"/>
      <w:bookmarkStart w:id="30" w:name="_Toc155185861"/>
      <w:bookmarkStart w:id="31" w:name="_Toc109900249"/>
      <w:r>
        <w:rPr>
          <w:rFonts w:hint="eastAsia" w:ascii="宋体" w:hAnsi="宋体" w:eastAsia="宋体" w:cs="宋体"/>
          <w:b/>
          <w:bCs/>
          <w:color w:val="auto"/>
          <w:kern w:val="2"/>
          <w:sz w:val="24"/>
          <w:szCs w:val="24"/>
          <w:highlight w:val="none"/>
          <w:lang w:val="en-US" w:eastAsia="zh-CN" w:bidi="ar-SA"/>
        </w:rPr>
        <w:t>二、申请</w:t>
      </w:r>
      <w:r>
        <w:rPr>
          <w:rFonts w:hint="eastAsia" w:ascii="宋体" w:hAnsi="宋体" w:eastAsia="宋体" w:cs="宋体"/>
          <w:b/>
          <w:bCs/>
          <w:color w:val="auto"/>
          <w:kern w:val="2"/>
          <w:sz w:val="24"/>
          <w:szCs w:val="24"/>
          <w:highlight w:val="none"/>
          <w:lang w:val="hr-HR" w:eastAsia="zh-CN" w:bidi="ar-SA"/>
        </w:rPr>
        <w:t>人</w:t>
      </w:r>
      <w:r>
        <w:rPr>
          <w:rFonts w:hint="eastAsia" w:ascii="宋体" w:hAnsi="宋体" w:eastAsia="宋体" w:cs="宋体"/>
          <w:b/>
          <w:bCs/>
          <w:color w:val="auto"/>
          <w:kern w:val="2"/>
          <w:sz w:val="24"/>
          <w:szCs w:val="24"/>
          <w:highlight w:val="none"/>
          <w:lang w:val="en-US" w:eastAsia="zh-CN" w:bidi="ar-SA"/>
        </w:rPr>
        <w:t>的</w:t>
      </w:r>
      <w:r>
        <w:rPr>
          <w:rFonts w:hint="eastAsia" w:ascii="宋体" w:hAnsi="宋体" w:eastAsia="宋体" w:cs="宋体"/>
          <w:b/>
          <w:bCs/>
          <w:color w:val="auto"/>
          <w:kern w:val="2"/>
          <w:sz w:val="24"/>
          <w:szCs w:val="24"/>
          <w:highlight w:val="none"/>
          <w:lang w:val="hr-HR" w:eastAsia="zh-CN" w:bidi="ar-SA"/>
        </w:rPr>
        <w:t>资格要求</w:t>
      </w:r>
      <w:bookmarkEnd w:id="20"/>
      <w:bookmarkEnd w:id="21"/>
      <w:bookmarkEnd w:id="22"/>
      <w:bookmarkEnd w:id="23"/>
      <w:bookmarkEnd w:id="24"/>
      <w:bookmarkEnd w:id="26"/>
      <w:bookmarkEnd w:id="27"/>
      <w:bookmarkEnd w:id="28"/>
      <w:bookmarkEnd w:id="29"/>
      <w:bookmarkEnd w:id="30"/>
      <w:bookmarkEnd w:id="31"/>
    </w:p>
    <w:p w14:paraId="4A6A8664">
      <w:pPr>
        <w:spacing w:line="360" w:lineRule="auto"/>
        <w:ind w:firstLine="480" w:firstLineChars="200"/>
        <w:rPr>
          <w:rFonts w:hint="eastAsia" w:ascii="宋体" w:hAnsi="宋体" w:eastAsia="宋体" w:cs="宋体"/>
          <w:color w:val="auto"/>
          <w:sz w:val="24"/>
          <w:szCs w:val="24"/>
          <w:highlight w:val="none"/>
          <w:lang w:val="en-US" w:eastAsia="zh-CN"/>
        </w:rPr>
      </w:pPr>
      <w:bookmarkStart w:id="32" w:name="_Hlk89807755"/>
      <w:bookmarkStart w:id="33" w:name="_Toc35393631"/>
      <w:bookmarkStart w:id="34" w:name="_Toc28359091"/>
      <w:bookmarkStart w:id="35" w:name="_Toc35393800"/>
      <w:bookmarkStart w:id="36" w:name="_Toc28359014"/>
      <w:bookmarkStart w:id="37" w:name="_Toc44583630"/>
      <w:r>
        <w:rPr>
          <w:rFonts w:hint="eastAsia" w:ascii="宋体" w:hAnsi="宋体" w:eastAsia="宋体" w:cs="宋体"/>
          <w:color w:val="auto"/>
          <w:sz w:val="24"/>
          <w:szCs w:val="24"/>
          <w:highlight w:val="none"/>
          <w:lang w:val="en-US" w:eastAsia="zh-CN"/>
        </w:rPr>
        <w:t>1.满足《中华人民共和国政府采购法》第二十二条规定；</w:t>
      </w:r>
    </w:p>
    <w:p w14:paraId="3632724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r>
        <w:rPr>
          <w:rFonts w:hint="eastAsia" w:cs="宋体"/>
          <w:i w:val="0"/>
          <w:iCs w:val="0"/>
          <w:color w:val="auto"/>
          <w:sz w:val="24"/>
          <w:szCs w:val="24"/>
          <w:highlight w:val="none"/>
          <w:u w:val="single"/>
          <w:lang w:val="en-US" w:eastAsia="zh-CN"/>
        </w:rPr>
        <w:t>本项目不专门面向中小企业采购，投标人所提供服务的承接商为小型、微型企业的，给予10%的价格扣除</w:t>
      </w:r>
      <w:r>
        <w:rPr>
          <w:rFonts w:hint="eastAsia" w:ascii="宋体" w:hAnsi="宋体" w:eastAsia="宋体" w:cs="宋体"/>
          <w:i w:val="0"/>
          <w:iCs w:val="0"/>
          <w:color w:val="auto"/>
          <w:sz w:val="24"/>
          <w:szCs w:val="24"/>
          <w:highlight w:val="none"/>
          <w:u w:val="single"/>
          <w:lang w:val="en-US" w:eastAsia="zh-CN"/>
        </w:rPr>
        <w:t xml:space="preserve">。中小企业划分标准所属行业为：其他未列明行业。 </w:t>
      </w:r>
    </w:p>
    <w:p w14:paraId="18C950B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2280530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3.1 </w:t>
      </w:r>
      <w:r>
        <w:rPr>
          <w:rFonts w:hint="eastAsia" w:cs="宋体"/>
          <w:i w:val="0"/>
          <w:iCs w:val="0"/>
          <w:color w:val="auto"/>
          <w:sz w:val="24"/>
          <w:szCs w:val="24"/>
          <w:highlight w:val="none"/>
          <w:u w:val="none"/>
          <w:lang w:val="en-US" w:eastAsia="zh-CN"/>
        </w:rPr>
        <w:t>供应商具有甲级测绘资质；</w:t>
      </w:r>
    </w:p>
    <w:p w14:paraId="7FF629D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 xml:space="preserve">3.2 </w:t>
      </w:r>
      <w:r>
        <w:rPr>
          <w:rFonts w:hint="eastAsia" w:ascii="宋体" w:hAnsi="宋体" w:eastAsia="宋体" w:cs="宋体"/>
          <w:color w:val="auto"/>
          <w:sz w:val="24"/>
          <w:szCs w:val="24"/>
          <w:highlight w:val="none"/>
          <w:lang w:val="en-US" w:eastAsia="zh-CN"/>
        </w:rPr>
        <w:t>法定代表人或单位负责人为同一人或者存在直接控股、管理关系的不同供应商，不得参加同一合同项下的政府采购活动。</w:t>
      </w:r>
    </w:p>
    <w:p w14:paraId="1B6E5E4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除单一来源采购项目外，为采购项目提供整体设计、规范编制或者项目管理、监理、检测等服务的供应商，不得再参加该采购项目的其他采购活动。</w:t>
      </w:r>
    </w:p>
    <w:p w14:paraId="1F555688">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3.</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供应商的信用行为：在资格审查阶段经查询，未被列入“失信被执行人”、“重大税收违法失信主体”、“政府采购严重违法失信行为记录名单”其中之一。如有以上不良信用记录之一的，其</w:t>
      </w:r>
      <w:r>
        <w:rPr>
          <w:rFonts w:hint="eastAsia" w:ascii="宋体" w:hAnsi="宋体" w:eastAsia="宋体" w:cs="宋体"/>
          <w:b/>
          <w:bCs/>
          <w:color w:val="auto"/>
          <w:sz w:val="24"/>
          <w:szCs w:val="24"/>
          <w:highlight w:val="none"/>
          <w:lang w:val="hr-HR"/>
        </w:rPr>
        <w:t>投标</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u w:val="none"/>
          <w:lang w:val="en-US" w:eastAsia="zh-CN"/>
        </w:rPr>
        <w:t xml:space="preserve">              </w:t>
      </w:r>
    </w:p>
    <w:bookmarkEnd w:id="32"/>
    <w:p w14:paraId="17F1ED43">
      <w:pPr>
        <w:pStyle w:val="7"/>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38" w:name="_Toc109899412"/>
      <w:bookmarkStart w:id="39" w:name="_Toc109900250"/>
      <w:bookmarkStart w:id="40" w:name="_Toc109899831"/>
      <w:bookmarkStart w:id="41" w:name="_Toc27149"/>
      <w:bookmarkStart w:id="42" w:name="_Toc140132747"/>
      <w:bookmarkStart w:id="43" w:name="_Toc155185862"/>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hr-HR" w:eastAsia="zh-CN" w:bidi="ar-SA"/>
        </w:rPr>
        <w:t>获取招标文件</w:t>
      </w:r>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b/>
          <w:bCs/>
          <w:color w:val="auto"/>
          <w:kern w:val="2"/>
          <w:sz w:val="24"/>
          <w:szCs w:val="24"/>
          <w:highlight w:val="none"/>
          <w:lang w:val="hr-HR" w:eastAsia="zh-CN" w:bidi="ar-SA"/>
        </w:rPr>
        <w:t xml:space="preserve"> </w:t>
      </w:r>
    </w:p>
    <w:p w14:paraId="7F0135DE">
      <w:pPr>
        <w:pStyle w:val="40"/>
        <w:spacing w:line="360" w:lineRule="auto"/>
        <w:rPr>
          <w:rFonts w:hint="eastAsia" w:ascii="宋体" w:hAnsi="宋体" w:eastAsia="宋体" w:cs="宋体"/>
          <w:color w:val="auto"/>
          <w:sz w:val="24"/>
          <w:szCs w:val="24"/>
          <w:highlight w:val="none"/>
          <w:lang w:val="hr-HR"/>
        </w:rPr>
      </w:pPr>
      <w:bookmarkStart w:id="44" w:name="_Hlk130457234"/>
      <w:bookmarkStart w:id="45" w:name="_Hlk130457261"/>
      <w:bookmarkStart w:id="46" w:name="_Toc28359015"/>
      <w:bookmarkStart w:id="47" w:name="_Toc35393632"/>
      <w:bookmarkStart w:id="48" w:name="_Toc35393801"/>
      <w:bookmarkStart w:id="49" w:name="_Toc28359092"/>
      <w:bookmarkStart w:id="50" w:name="_Hlk130457327"/>
      <w:r>
        <w:rPr>
          <w:rFonts w:hint="eastAsia" w:ascii="宋体" w:hAnsi="宋体" w:eastAsia="宋体" w:cs="宋体"/>
          <w:color w:val="auto"/>
          <w:sz w:val="24"/>
          <w:szCs w:val="24"/>
          <w:highlight w:val="none"/>
          <w:lang w:val="hr-HR"/>
        </w:rPr>
        <w:t>1.时间：</w:t>
      </w:r>
      <w:r>
        <w:rPr>
          <w:rFonts w:hint="eastAsia" w:cs="宋体"/>
          <w:i w:val="0"/>
          <w:iCs w:val="0"/>
          <w:color w:val="auto"/>
          <w:sz w:val="24"/>
          <w:szCs w:val="24"/>
          <w:highlight w:val="cyan"/>
          <w:u w:val="single"/>
          <w:lang w:val="en-US" w:eastAsia="zh-CN"/>
        </w:rPr>
        <w:t>2025</w:t>
      </w:r>
      <w:r>
        <w:rPr>
          <w:rFonts w:hint="eastAsia" w:ascii="宋体" w:hAnsi="宋体" w:eastAsia="宋体" w:cs="宋体"/>
          <w:i w:val="0"/>
          <w:iCs w:val="0"/>
          <w:color w:val="auto"/>
          <w:sz w:val="24"/>
          <w:szCs w:val="24"/>
          <w:highlight w:val="cyan"/>
          <w:u w:val="single"/>
        </w:rPr>
        <w:t>年</w:t>
      </w:r>
      <w:r>
        <w:rPr>
          <w:rFonts w:hint="eastAsia" w:cs="宋体"/>
          <w:i w:val="0"/>
          <w:iCs w:val="0"/>
          <w:color w:val="auto"/>
          <w:sz w:val="24"/>
          <w:szCs w:val="24"/>
          <w:highlight w:val="cyan"/>
          <w:u w:val="single"/>
          <w:lang w:val="en-US" w:eastAsia="zh-CN"/>
        </w:rPr>
        <w:t>07</w:t>
      </w:r>
      <w:r>
        <w:rPr>
          <w:rFonts w:hint="eastAsia" w:ascii="宋体" w:hAnsi="宋体" w:eastAsia="宋体" w:cs="宋体"/>
          <w:i w:val="0"/>
          <w:iCs w:val="0"/>
          <w:color w:val="auto"/>
          <w:sz w:val="24"/>
          <w:szCs w:val="24"/>
          <w:highlight w:val="cyan"/>
          <w:u w:val="single"/>
        </w:rPr>
        <w:t>月</w:t>
      </w:r>
      <w:r>
        <w:rPr>
          <w:rFonts w:hint="eastAsia" w:cs="宋体"/>
          <w:i w:val="0"/>
          <w:iCs w:val="0"/>
          <w:color w:val="auto"/>
          <w:sz w:val="24"/>
          <w:szCs w:val="24"/>
          <w:highlight w:val="cyan"/>
          <w:u w:val="single"/>
          <w:lang w:val="en-US" w:eastAsia="zh-CN"/>
        </w:rPr>
        <w:t>18</w:t>
      </w:r>
      <w:r>
        <w:rPr>
          <w:rFonts w:hint="eastAsia" w:ascii="宋体" w:hAnsi="宋体" w:eastAsia="宋体" w:cs="宋体"/>
          <w:i w:val="0"/>
          <w:iCs w:val="0"/>
          <w:color w:val="auto"/>
          <w:sz w:val="24"/>
          <w:szCs w:val="24"/>
          <w:highlight w:val="cyan"/>
          <w:u w:val="single"/>
        </w:rPr>
        <w:t>日</w:t>
      </w:r>
      <w:r>
        <w:rPr>
          <w:rFonts w:hint="eastAsia" w:ascii="宋体" w:hAnsi="宋体" w:eastAsia="宋体" w:cs="宋体"/>
          <w:i w:val="0"/>
          <w:iCs w:val="0"/>
          <w:color w:val="auto"/>
          <w:sz w:val="24"/>
          <w:szCs w:val="24"/>
          <w:highlight w:val="cyan"/>
          <w:u w:val="none"/>
        </w:rPr>
        <w:t>至</w:t>
      </w:r>
      <w:r>
        <w:rPr>
          <w:rFonts w:hint="eastAsia" w:cs="宋体"/>
          <w:i w:val="0"/>
          <w:iCs w:val="0"/>
          <w:color w:val="auto"/>
          <w:sz w:val="24"/>
          <w:szCs w:val="24"/>
          <w:highlight w:val="cyan"/>
          <w:u w:val="single"/>
          <w:lang w:val="en-US" w:eastAsia="zh-CN"/>
        </w:rPr>
        <w:t>2025</w:t>
      </w:r>
      <w:r>
        <w:rPr>
          <w:rFonts w:hint="eastAsia" w:ascii="宋体" w:hAnsi="宋体" w:eastAsia="宋体" w:cs="宋体"/>
          <w:i w:val="0"/>
          <w:iCs w:val="0"/>
          <w:color w:val="auto"/>
          <w:sz w:val="24"/>
          <w:szCs w:val="24"/>
          <w:highlight w:val="cyan"/>
          <w:u w:val="single"/>
        </w:rPr>
        <w:t>年</w:t>
      </w:r>
      <w:r>
        <w:rPr>
          <w:rFonts w:hint="eastAsia" w:cs="宋体"/>
          <w:i w:val="0"/>
          <w:iCs w:val="0"/>
          <w:color w:val="auto"/>
          <w:sz w:val="24"/>
          <w:szCs w:val="24"/>
          <w:highlight w:val="cyan"/>
          <w:u w:val="single"/>
          <w:lang w:val="en-US" w:eastAsia="zh-CN"/>
        </w:rPr>
        <w:t>07</w:t>
      </w:r>
      <w:r>
        <w:rPr>
          <w:rFonts w:hint="eastAsia" w:ascii="宋体" w:hAnsi="宋体" w:eastAsia="宋体" w:cs="宋体"/>
          <w:i w:val="0"/>
          <w:iCs w:val="0"/>
          <w:color w:val="auto"/>
          <w:sz w:val="24"/>
          <w:szCs w:val="24"/>
          <w:highlight w:val="cyan"/>
          <w:u w:val="single"/>
        </w:rPr>
        <w:t>月</w:t>
      </w:r>
      <w:r>
        <w:rPr>
          <w:rFonts w:hint="eastAsia" w:cs="宋体"/>
          <w:i w:val="0"/>
          <w:iCs w:val="0"/>
          <w:color w:val="auto"/>
          <w:sz w:val="24"/>
          <w:szCs w:val="24"/>
          <w:highlight w:val="cyan"/>
          <w:u w:val="single"/>
          <w:lang w:val="en-US" w:eastAsia="zh-CN"/>
        </w:rPr>
        <w:t>25</w:t>
      </w:r>
      <w:r>
        <w:rPr>
          <w:rFonts w:hint="eastAsia" w:ascii="宋体" w:hAnsi="宋体" w:eastAsia="宋体" w:cs="宋体"/>
          <w:i w:val="0"/>
          <w:iCs w:val="0"/>
          <w:color w:val="auto"/>
          <w:sz w:val="24"/>
          <w:szCs w:val="24"/>
          <w:highlight w:val="cyan"/>
          <w:u w:val="single"/>
        </w:rPr>
        <w:t>日</w:t>
      </w:r>
      <w:r>
        <w:rPr>
          <w:rFonts w:hint="eastAsia" w:ascii="宋体" w:hAnsi="宋体" w:eastAsia="宋体" w:cs="宋体"/>
          <w:i w:val="0"/>
          <w:iCs w:val="0"/>
          <w:color w:val="auto"/>
          <w:sz w:val="24"/>
          <w:szCs w:val="24"/>
          <w:highlight w:val="none"/>
          <w:u w:val="none"/>
        </w:rPr>
        <w:t>，每天上午</w:t>
      </w:r>
      <w:r>
        <w:rPr>
          <w:rFonts w:hint="eastAsia" w:cs="宋体"/>
          <w:i w:val="0"/>
          <w:iCs w:val="0"/>
          <w:color w:val="auto"/>
          <w:sz w:val="24"/>
          <w:szCs w:val="24"/>
          <w:highlight w:val="none"/>
          <w:u w:val="single"/>
          <w:lang w:val="en-US" w:eastAsia="zh-CN"/>
        </w:rPr>
        <w:t>00:00</w:t>
      </w:r>
      <w:r>
        <w:rPr>
          <w:rFonts w:hint="eastAsia" w:ascii="宋体" w:hAnsi="宋体" w:eastAsia="宋体" w:cs="宋体"/>
          <w:i w:val="0"/>
          <w:iCs w:val="0"/>
          <w:color w:val="auto"/>
          <w:sz w:val="24"/>
          <w:szCs w:val="24"/>
          <w:highlight w:val="none"/>
          <w:u w:val="none"/>
        </w:rPr>
        <w:t>至</w:t>
      </w:r>
      <w:r>
        <w:rPr>
          <w:rFonts w:hint="eastAsia" w:cs="宋体"/>
          <w:i w:val="0"/>
          <w:iCs w:val="0"/>
          <w:color w:val="auto"/>
          <w:sz w:val="24"/>
          <w:szCs w:val="24"/>
          <w:highlight w:val="none"/>
          <w:u w:val="single"/>
          <w:lang w:val="en-US" w:eastAsia="zh-CN"/>
        </w:rPr>
        <w:t>14:00</w:t>
      </w:r>
      <w:r>
        <w:rPr>
          <w:rFonts w:hint="eastAsia" w:ascii="宋体" w:hAnsi="宋体" w:eastAsia="宋体" w:cs="宋体"/>
          <w:i w:val="0"/>
          <w:iCs w:val="0"/>
          <w:color w:val="auto"/>
          <w:sz w:val="24"/>
          <w:szCs w:val="24"/>
          <w:highlight w:val="none"/>
          <w:u w:val="none"/>
        </w:rPr>
        <w:t>，下午</w:t>
      </w:r>
      <w:r>
        <w:rPr>
          <w:rFonts w:hint="eastAsia" w:cs="宋体"/>
          <w:i w:val="0"/>
          <w:iCs w:val="0"/>
          <w:color w:val="auto"/>
          <w:sz w:val="24"/>
          <w:szCs w:val="24"/>
          <w:highlight w:val="none"/>
          <w:u w:val="single"/>
          <w:lang w:val="en-US" w:eastAsia="zh-CN"/>
        </w:rPr>
        <w:t>14:00</w:t>
      </w:r>
      <w:r>
        <w:rPr>
          <w:rFonts w:hint="eastAsia" w:ascii="宋体" w:hAnsi="宋体" w:eastAsia="宋体" w:cs="宋体"/>
          <w:i w:val="0"/>
          <w:iCs w:val="0"/>
          <w:color w:val="auto"/>
          <w:sz w:val="24"/>
          <w:szCs w:val="24"/>
          <w:highlight w:val="none"/>
          <w:u w:val="none"/>
        </w:rPr>
        <w:t>至</w:t>
      </w:r>
      <w:r>
        <w:rPr>
          <w:rFonts w:hint="eastAsia" w:cs="宋体"/>
          <w:i w:val="0"/>
          <w:iCs w:val="0"/>
          <w:color w:val="auto"/>
          <w:sz w:val="24"/>
          <w:szCs w:val="24"/>
          <w:highlight w:val="none"/>
          <w:u w:val="single"/>
          <w:lang w:val="en-US" w:eastAsia="zh-CN"/>
        </w:rPr>
        <w:t>23:59</w:t>
      </w:r>
      <w:r>
        <w:rPr>
          <w:rFonts w:hint="eastAsia" w:ascii="宋体" w:hAnsi="宋体" w:eastAsia="宋体" w:cs="宋体"/>
          <w:i w:val="0"/>
          <w:iCs w:val="0"/>
          <w:color w:val="auto"/>
          <w:sz w:val="24"/>
          <w:szCs w:val="24"/>
          <w:highlight w:val="none"/>
          <w:u w:val="none"/>
        </w:rPr>
        <w:t>（北京时间，法定节假日除外）</w:t>
      </w:r>
      <w:r>
        <w:rPr>
          <w:rFonts w:hint="eastAsia" w:ascii="宋体" w:hAnsi="宋体" w:eastAsia="宋体" w:cs="宋体"/>
          <w:color w:val="auto"/>
          <w:sz w:val="24"/>
          <w:szCs w:val="24"/>
          <w:highlight w:val="none"/>
          <w:lang w:val="hr-HR"/>
        </w:rPr>
        <w:t>。</w:t>
      </w:r>
    </w:p>
    <w:bookmarkEnd w:id="44"/>
    <w:p w14:paraId="34FD69CE">
      <w:pPr>
        <w:pStyle w:val="40"/>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hr-HR"/>
        </w:rPr>
        <w:t>2.</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hr-HR"/>
        </w:rPr>
        <w:t>：</w:t>
      </w:r>
      <w:bookmarkStart w:id="51" w:name="_Hlk89807779"/>
      <w:r>
        <w:rPr>
          <w:rFonts w:hint="eastAsia" w:cs="宋体"/>
          <w:color w:val="auto"/>
          <w:sz w:val="24"/>
          <w:szCs w:val="24"/>
          <w:highlight w:val="none"/>
          <w:lang w:val="en-US" w:eastAsia="zh-CN"/>
        </w:rPr>
        <w:t>新疆</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highlight w:val="none"/>
          <w:lang w:val="en-US" w:eastAsia="zh-CN"/>
        </w:rPr>
        <w:t>http://www.ccgp-xinjiang.gov.cn/</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w:t>
      </w:r>
      <w:bookmarkEnd w:id="51"/>
    </w:p>
    <w:p w14:paraId="5DDD414F">
      <w:pPr>
        <w:pStyle w:val="40"/>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hr-HR"/>
        </w:rPr>
        <w:t>3.</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投标供应商登录政采云平台</w:t>
      </w:r>
      <w:r>
        <w:rPr>
          <w:rFonts w:hint="eastAsia" w:ascii="宋体" w:hAnsi="宋体" w:eastAsia="宋体" w:cs="宋体"/>
          <w:color w:val="auto"/>
          <w:sz w:val="24"/>
          <w:highlight w:val="none"/>
          <w:lang w:val="en-US" w:eastAsia="zh-CN"/>
        </w:rPr>
        <w:t>http://www.ccgp-xinjiang.gov.cn/</w:t>
      </w:r>
      <w:r>
        <w:rPr>
          <w:rFonts w:hint="eastAsia" w:ascii="宋体" w:hAnsi="宋体" w:eastAsia="宋体" w:cs="宋体"/>
          <w:color w:val="auto"/>
          <w:sz w:val="24"/>
          <w:szCs w:val="24"/>
          <w:highlight w:val="none"/>
          <w:lang w:val="en-US"/>
        </w:rPr>
        <w:t>在线申请</w:t>
      </w:r>
      <w:r>
        <w:rPr>
          <w:rFonts w:hint="eastAsia" w:ascii="宋体" w:hAnsi="宋体" w:eastAsia="宋体" w:cs="宋体"/>
          <w:color w:val="auto"/>
          <w:sz w:val="24"/>
          <w:szCs w:val="24"/>
          <w:highlight w:val="none"/>
          <w:lang w:val="en-US" w:eastAsia="zh-CN"/>
        </w:rPr>
        <w:t>，免费</w:t>
      </w:r>
      <w:r>
        <w:rPr>
          <w:rFonts w:hint="eastAsia" w:ascii="宋体" w:hAnsi="宋体" w:eastAsia="宋体" w:cs="宋体"/>
          <w:color w:val="auto"/>
          <w:sz w:val="24"/>
          <w:szCs w:val="24"/>
          <w:highlight w:val="none"/>
          <w:lang w:val="en-US"/>
        </w:rPr>
        <w:t>获取</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lang w:val="en-US"/>
        </w:rPr>
        <w:t>采购文件</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进入</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项目采购</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应用</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在获取采购文件菜单中选择项目</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申请获取采购文件</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w:t>
      </w:r>
    </w:p>
    <w:p w14:paraId="42A40251">
      <w:pPr>
        <w:pStyle w:val="40"/>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4.售价：0元。</w:t>
      </w:r>
      <w:r>
        <w:rPr>
          <w:rFonts w:hint="eastAsia" w:ascii="宋体" w:hAnsi="宋体" w:eastAsia="宋体" w:cs="宋体"/>
          <w:color w:val="auto"/>
          <w:sz w:val="24"/>
          <w:szCs w:val="24"/>
          <w:highlight w:val="none"/>
          <w:lang w:val="hr-HR"/>
        </w:rPr>
        <w:t xml:space="preserve"> </w:t>
      </w:r>
    </w:p>
    <w:bookmarkEnd w:id="45"/>
    <w:bookmarkEnd w:id="46"/>
    <w:bookmarkEnd w:id="47"/>
    <w:bookmarkEnd w:id="48"/>
    <w:bookmarkEnd w:id="49"/>
    <w:bookmarkEnd w:id="50"/>
    <w:p w14:paraId="62F53623">
      <w:pPr>
        <w:pStyle w:val="7"/>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52" w:name="_Toc155185863"/>
      <w:bookmarkStart w:id="53" w:name="_Toc109899832"/>
      <w:bookmarkStart w:id="54" w:name="_Toc109899413"/>
      <w:bookmarkStart w:id="55" w:name="_Toc109900251"/>
      <w:bookmarkStart w:id="56" w:name="_Toc140132748"/>
      <w:bookmarkStart w:id="57" w:name="_Toc13809"/>
      <w:bookmarkStart w:id="58" w:name="_Hlk130457395"/>
      <w:bookmarkStart w:id="59" w:name="_Toc44583633"/>
      <w:bookmarkStart w:id="60" w:name="_Toc28359094"/>
      <w:bookmarkStart w:id="61" w:name="_Toc28359017"/>
      <w:bookmarkStart w:id="62" w:name="_Toc35393634"/>
      <w:bookmarkStart w:id="63" w:name="_Toc35393803"/>
      <w:r>
        <w:rPr>
          <w:rFonts w:hint="eastAsia" w:ascii="宋体" w:hAnsi="宋体" w:eastAsia="宋体" w:cs="宋体"/>
          <w:b/>
          <w:bCs/>
          <w:color w:val="auto"/>
          <w:kern w:val="2"/>
          <w:sz w:val="24"/>
          <w:szCs w:val="24"/>
          <w:highlight w:val="none"/>
          <w:lang w:val="en-US" w:eastAsia="zh-CN" w:bidi="ar-SA"/>
        </w:rPr>
        <w:t>四、</w:t>
      </w:r>
      <w:bookmarkEnd w:id="52"/>
      <w:bookmarkEnd w:id="53"/>
      <w:bookmarkEnd w:id="54"/>
      <w:bookmarkEnd w:id="55"/>
      <w:bookmarkEnd w:id="56"/>
      <w:r>
        <w:rPr>
          <w:rFonts w:hint="eastAsia" w:ascii="宋体" w:hAnsi="宋体" w:eastAsia="宋体" w:cs="宋体"/>
          <w:b/>
          <w:bCs/>
          <w:color w:val="auto"/>
          <w:kern w:val="2"/>
          <w:sz w:val="24"/>
          <w:szCs w:val="24"/>
          <w:highlight w:val="none"/>
          <w:lang w:val="hr-HR" w:eastAsia="zh-CN" w:bidi="ar-SA"/>
        </w:rPr>
        <w:t>提交投标文件截止时间</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hr-HR" w:eastAsia="zh-CN" w:bidi="ar-SA"/>
        </w:rPr>
        <w:t>开标时间、递交方式和</w:t>
      </w:r>
      <w:r>
        <w:rPr>
          <w:rFonts w:hint="eastAsia" w:ascii="宋体" w:hAnsi="宋体" w:eastAsia="宋体" w:cs="宋体"/>
          <w:b/>
          <w:bCs/>
          <w:color w:val="auto"/>
          <w:kern w:val="2"/>
          <w:sz w:val="24"/>
          <w:szCs w:val="24"/>
          <w:highlight w:val="none"/>
          <w:lang w:val="en-US" w:eastAsia="zh-CN" w:bidi="ar-SA"/>
        </w:rPr>
        <w:t>开标</w:t>
      </w:r>
      <w:r>
        <w:rPr>
          <w:rFonts w:hint="eastAsia" w:ascii="宋体" w:hAnsi="宋体" w:eastAsia="宋体" w:cs="宋体"/>
          <w:b/>
          <w:bCs/>
          <w:color w:val="auto"/>
          <w:kern w:val="2"/>
          <w:sz w:val="24"/>
          <w:szCs w:val="24"/>
          <w:highlight w:val="none"/>
          <w:lang w:val="hr-HR" w:eastAsia="zh-CN" w:bidi="ar-SA"/>
        </w:rPr>
        <w:t>地点</w:t>
      </w:r>
      <w:bookmarkEnd w:id="57"/>
    </w:p>
    <w:p w14:paraId="2D110B47">
      <w:pPr>
        <w:pStyle w:val="4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1.截止时间</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开标时间：</w:t>
      </w:r>
      <w:r>
        <w:rPr>
          <w:rFonts w:hint="eastAsia" w:cs="宋体"/>
          <w:i w:val="0"/>
          <w:iCs w:val="0"/>
          <w:color w:val="auto"/>
          <w:sz w:val="24"/>
          <w:szCs w:val="24"/>
          <w:highlight w:val="cyan"/>
          <w:u w:val="single"/>
          <w:lang w:val="en-US" w:eastAsia="zh-CN"/>
        </w:rPr>
        <w:t>2025</w:t>
      </w:r>
      <w:r>
        <w:rPr>
          <w:rFonts w:hint="eastAsia" w:ascii="宋体" w:hAnsi="宋体" w:eastAsia="宋体" w:cs="宋体"/>
          <w:i w:val="0"/>
          <w:iCs w:val="0"/>
          <w:color w:val="auto"/>
          <w:sz w:val="24"/>
          <w:szCs w:val="24"/>
          <w:highlight w:val="cyan"/>
          <w:u w:val="single"/>
        </w:rPr>
        <w:t>年</w:t>
      </w:r>
      <w:r>
        <w:rPr>
          <w:rFonts w:hint="eastAsia" w:cs="宋体"/>
          <w:i w:val="0"/>
          <w:iCs w:val="0"/>
          <w:color w:val="auto"/>
          <w:sz w:val="24"/>
          <w:szCs w:val="24"/>
          <w:highlight w:val="cyan"/>
          <w:u w:val="single"/>
          <w:lang w:val="en-US" w:eastAsia="zh-CN"/>
        </w:rPr>
        <w:t>08</w:t>
      </w:r>
      <w:r>
        <w:rPr>
          <w:rFonts w:hint="eastAsia" w:ascii="宋体" w:hAnsi="宋体" w:eastAsia="宋体" w:cs="宋体"/>
          <w:i w:val="0"/>
          <w:iCs w:val="0"/>
          <w:color w:val="auto"/>
          <w:sz w:val="24"/>
          <w:szCs w:val="24"/>
          <w:highlight w:val="cyan"/>
          <w:u w:val="single"/>
        </w:rPr>
        <w:t>月</w:t>
      </w:r>
      <w:r>
        <w:rPr>
          <w:rFonts w:hint="eastAsia" w:cs="宋体"/>
          <w:i w:val="0"/>
          <w:iCs w:val="0"/>
          <w:color w:val="auto"/>
          <w:sz w:val="24"/>
          <w:szCs w:val="24"/>
          <w:highlight w:val="cyan"/>
          <w:u w:val="single"/>
          <w:lang w:val="en-US" w:eastAsia="zh-CN"/>
        </w:rPr>
        <w:t>07</w:t>
      </w:r>
      <w:r>
        <w:rPr>
          <w:rFonts w:hint="eastAsia" w:ascii="宋体" w:hAnsi="宋体" w:eastAsia="宋体" w:cs="宋体"/>
          <w:i w:val="0"/>
          <w:iCs w:val="0"/>
          <w:color w:val="auto"/>
          <w:sz w:val="24"/>
          <w:szCs w:val="24"/>
          <w:highlight w:val="cyan"/>
          <w:u w:val="single"/>
        </w:rPr>
        <w:t>日</w:t>
      </w:r>
      <w:r>
        <w:rPr>
          <w:rFonts w:hint="eastAsia" w:cs="宋体"/>
          <w:i w:val="0"/>
          <w:iCs w:val="0"/>
          <w:color w:val="auto"/>
          <w:sz w:val="24"/>
          <w:szCs w:val="24"/>
          <w:highlight w:val="cyan"/>
          <w:u w:val="single"/>
          <w:lang w:val="en-US" w:eastAsia="zh-CN"/>
        </w:rPr>
        <w:t>16</w:t>
      </w:r>
      <w:r>
        <w:rPr>
          <w:rFonts w:hint="eastAsia" w:ascii="宋体" w:hAnsi="宋体" w:eastAsia="宋体" w:cs="宋体"/>
          <w:i w:val="0"/>
          <w:iCs w:val="0"/>
          <w:color w:val="auto"/>
          <w:sz w:val="24"/>
          <w:szCs w:val="24"/>
          <w:highlight w:val="cyan"/>
          <w:u w:val="single"/>
        </w:rPr>
        <w:t>时</w:t>
      </w:r>
      <w:r>
        <w:rPr>
          <w:rFonts w:hint="eastAsia" w:cs="宋体"/>
          <w:i w:val="0"/>
          <w:iCs w:val="0"/>
          <w:color w:val="auto"/>
          <w:sz w:val="24"/>
          <w:szCs w:val="24"/>
          <w:highlight w:val="cyan"/>
          <w:u w:val="single"/>
          <w:lang w:val="en-US" w:eastAsia="zh-CN"/>
        </w:rPr>
        <w:t>00</w:t>
      </w:r>
      <w:r>
        <w:rPr>
          <w:rFonts w:hint="eastAsia" w:ascii="宋体" w:hAnsi="宋体" w:eastAsia="宋体" w:cs="宋体"/>
          <w:i w:val="0"/>
          <w:iCs w:val="0"/>
          <w:color w:val="auto"/>
          <w:sz w:val="24"/>
          <w:szCs w:val="24"/>
          <w:highlight w:val="cyan"/>
          <w:u w:val="single"/>
        </w:rPr>
        <w:t>分</w:t>
      </w:r>
      <w:r>
        <w:rPr>
          <w:rFonts w:hint="eastAsia" w:ascii="宋体" w:hAnsi="宋体" w:eastAsia="宋体" w:cs="宋体"/>
          <w:i w:val="0"/>
          <w:iCs w:val="0"/>
          <w:color w:val="auto"/>
          <w:sz w:val="24"/>
          <w:szCs w:val="24"/>
          <w:highlight w:val="none"/>
        </w:rPr>
        <w:t>（北京时间）</w:t>
      </w:r>
      <w:r>
        <w:rPr>
          <w:rFonts w:hint="eastAsia" w:ascii="宋体" w:hAnsi="宋体" w:eastAsia="宋体" w:cs="宋体"/>
          <w:color w:val="auto"/>
          <w:sz w:val="24"/>
          <w:szCs w:val="24"/>
          <w:highlight w:val="none"/>
        </w:rPr>
        <w:t>。</w:t>
      </w:r>
    </w:p>
    <w:p w14:paraId="51B173F3">
      <w:pPr>
        <w:pStyle w:val="4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2.递交方式：</w:t>
      </w:r>
      <w:bookmarkStart w:id="64" w:name="_Hlk89807823"/>
      <w:r>
        <w:rPr>
          <w:rFonts w:hint="eastAsia" w:ascii="宋体" w:hAnsi="宋体" w:eastAsia="宋体" w:cs="宋体"/>
          <w:color w:val="auto"/>
          <w:sz w:val="24"/>
          <w:szCs w:val="24"/>
          <w:highlight w:val="none"/>
        </w:rPr>
        <w:t>在</w:t>
      </w:r>
      <w:r>
        <w:rPr>
          <w:rFonts w:hint="eastAsia" w:cs="宋体"/>
          <w:color w:val="auto"/>
          <w:sz w:val="24"/>
          <w:szCs w:val="24"/>
          <w:highlight w:val="none"/>
          <w:lang w:val="en-US" w:eastAsia="zh-CN"/>
        </w:rPr>
        <w:t>新疆</w:t>
      </w:r>
      <w:r>
        <w:rPr>
          <w:rFonts w:hint="eastAsia" w:ascii="宋体" w:hAnsi="宋体" w:eastAsia="宋体" w:cs="宋体"/>
          <w:color w:val="auto"/>
          <w:sz w:val="24"/>
          <w:szCs w:val="24"/>
          <w:highlight w:val="none"/>
        </w:rPr>
        <w:t>政府采购电子交易云平台（网址：</w:t>
      </w:r>
      <w:r>
        <w:rPr>
          <w:rFonts w:hint="eastAsia" w:ascii="宋体" w:hAnsi="宋体" w:eastAsia="宋体" w:cs="宋体"/>
          <w:color w:val="auto"/>
          <w:sz w:val="24"/>
          <w:highlight w:val="none"/>
          <w:lang w:val="en-US" w:eastAsia="zh-CN"/>
        </w:rPr>
        <w:t>http://www.ccgp-xinjiang.gov.cn/</w:t>
      </w:r>
      <w:r>
        <w:rPr>
          <w:rFonts w:hint="eastAsia" w:ascii="宋体" w:hAnsi="宋体" w:eastAsia="宋体" w:cs="宋体"/>
          <w:color w:val="auto"/>
          <w:sz w:val="24"/>
          <w:szCs w:val="24"/>
          <w:highlight w:val="none"/>
        </w:rPr>
        <w:t>）进入“项目采购”应用，在投标文件上传菜单中选择项目进行上传。</w:t>
      </w:r>
      <w:bookmarkEnd w:id="64"/>
    </w:p>
    <w:p w14:paraId="276D3E17">
      <w:pPr>
        <w:pStyle w:val="4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w:t>
      </w:r>
      <w:r>
        <w:rPr>
          <w:rFonts w:hint="eastAsia" w:ascii="宋体" w:hAnsi="宋体" w:eastAsia="宋体" w:cs="宋体"/>
          <w:color w:val="auto"/>
          <w:sz w:val="24"/>
          <w:szCs w:val="24"/>
          <w:highlight w:val="none"/>
          <w:lang w:val="en-US"/>
        </w:rPr>
        <w:t>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rPr>
        <w:t>登录政采云平台</w:t>
      </w:r>
      <w:r>
        <w:rPr>
          <w:rFonts w:hint="eastAsia" w:ascii="宋体" w:hAnsi="宋体" w:eastAsia="宋体" w:cs="宋体"/>
          <w:color w:val="auto"/>
          <w:sz w:val="24"/>
          <w:highlight w:val="none"/>
          <w:lang w:val="en-US" w:eastAsia="zh-CN"/>
        </w:rPr>
        <w:t>http://www.ccgp-xinjiang.gov.cn/</w:t>
      </w:r>
      <w:r>
        <w:rPr>
          <w:rFonts w:hint="eastAsia" w:ascii="宋体" w:hAnsi="宋体" w:eastAsia="宋体" w:cs="宋体"/>
          <w:color w:val="auto"/>
          <w:sz w:val="24"/>
          <w:szCs w:val="24"/>
          <w:highlight w:val="none"/>
          <w:lang w:val="en-US"/>
        </w:rPr>
        <w:t>，进入项目采购</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开</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lang w:val="en-US"/>
        </w:rPr>
        <w:t>评标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右边选择对应项目点击“进入项目”进入开标大厅</w:t>
      </w:r>
      <w:r>
        <w:rPr>
          <w:rFonts w:hint="eastAsia" w:ascii="宋体" w:hAnsi="宋体" w:eastAsia="宋体" w:cs="宋体"/>
          <w:color w:val="auto"/>
          <w:sz w:val="24"/>
          <w:szCs w:val="24"/>
          <w:highlight w:val="none"/>
        </w:rPr>
        <w:t>。</w:t>
      </w:r>
    </w:p>
    <w:bookmarkEnd w:id="58"/>
    <w:p w14:paraId="679A69E0">
      <w:pPr>
        <w:pStyle w:val="7"/>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65" w:name="_Toc109899414"/>
      <w:bookmarkStart w:id="66" w:name="_Toc109900252"/>
      <w:bookmarkStart w:id="67" w:name="_Toc155185864"/>
      <w:bookmarkStart w:id="68" w:name="_Toc109899833"/>
      <w:bookmarkStart w:id="69" w:name="_Toc140132749"/>
      <w:bookmarkStart w:id="70" w:name="_Toc8144"/>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hr-HR" w:eastAsia="zh-CN" w:bidi="ar-SA"/>
        </w:rPr>
        <w:t>公告期限</w:t>
      </w:r>
      <w:bookmarkEnd w:id="59"/>
      <w:bookmarkEnd w:id="60"/>
      <w:bookmarkEnd w:id="61"/>
      <w:bookmarkEnd w:id="62"/>
      <w:bookmarkEnd w:id="63"/>
      <w:bookmarkEnd w:id="65"/>
      <w:bookmarkEnd w:id="66"/>
      <w:bookmarkEnd w:id="67"/>
      <w:bookmarkEnd w:id="68"/>
      <w:bookmarkEnd w:id="69"/>
      <w:bookmarkEnd w:id="70"/>
    </w:p>
    <w:p w14:paraId="32028F42">
      <w:pPr>
        <w:pStyle w:val="4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自招标公告发布之日起5个工作日。</w:t>
      </w:r>
    </w:p>
    <w:p w14:paraId="20DD1AA0">
      <w:pPr>
        <w:pStyle w:val="7"/>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71" w:name="_Toc109899834"/>
      <w:bookmarkStart w:id="72" w:name="_Toc35393635"/>
      <w:bookmarkStart w:id="73" w:name="_Toc35393804"/>
      <w:bookmarkStart w:id="74" w:name="_Toc26687"/>
      <w:bookmarkStart w:id="75" w:name="_Toc155185865"/>
      <w:bookmarkStart w:id="76" w:name="_Toc140132750"/>
      <w:bookmarkStart w:id="77" w:name="_Toc109899415"/>
      <w:bookmarkStart w:id="78" w:name="_Toc44583634"/>
      <w:bookmarkStart w:id="79" w:name="_Toc109900253"/>
      <w:bookmarkStart w:id="80" w:name="_Toc35393806"/>
      <w:bookmarkStart w:id="81" w:name="_Toc28359019"/>
      <w:bookmarkStart w:id="82" w:name="_Toc35393637"/>
      <w:bookmarkStart w:id="83" w:name="_Toc28359096"/>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hr-HR" w:eastAsia="zh-CN" w:bidi="ar-SA"/>
        </w:rPr>
        <w:t>其他补充事宜</w:t>
      </w:r>
      <w:bookmarkEnd w:id="71"/>
      <w:bookmarkEnd w:id="72"/>
      <w:bookmarkEnd w:id="73"/>
      <w:bookmarkEnd w:id="74"/>
      <w:bookmarkEnd w:id="75"/>
      <w:bookmarkEnd w:id="76"/>
      <w:bookmarkEnd w:id="77"/>
      <w:bookmarkEnd w:id="78"/>
      <w:bookmarkEnd w:id="79"/>
    </w:p>
    <w:p w14:paraId="41081063">
      <w:pPr>
        <w:pStyle w:val="40"/>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1、本项目实行网上投标，采用电子投标文件。</w:t>
      </w:r>
    </w:p>
    <w:p w14:paraId="071FF66F">
      <w:pPr>
        <w:pStyle w:val="40"/>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6079B069">
      <w:pPr>
        <w:pStyle w:val="40"/>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303252EC">
      <w:pPr>
        <w:pStyle w:val="40"/>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4、其他事项： </w:t>
      </w:r>
    </w:p>
    <w:p w14:paraId="6327D4DC">
      <w:pPr>
        <w:pStyle w:val="40"/>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（1）</w:t>
      </w:r>
      <w:r>
        <w:rPr>
          <w:rFonts w:hint="eastAsia" w:ascii="宋体" w:hAnsi="宋体" w:eastAsia="宋体" w:cs="宋体"/>
          <w:color w:val="auto"/>
          <w:sz w:val="24"/>
          <w:highlight w:val="none"/>
          <w:lang w:val="en-US" w:eastAsia="zh-CN"/>
        </w:rPr>
        <w:t>本项目实行电子招投标，供应商须登录政采云平台申请获取采购文件，并需要使用CA锁，登录政采云电子投标客户端制作投标文件，若供应商参与投标,自行承担与投标有关的一切费用。</w:t>
      </w:r>
    </w:p>
    <w:p w14:paraId="459B2322">
      <w:pPr>
        <w:pStyle w:val="40"/>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（2）</w:t>
      </w:r>
      <w:r>
        <w:rPr>
          <w:rFonts w:hint="eastAsia" w:ascii="宋体" w:hAnsi="宋体" w:eastAsia="宋体" w:cs="宋体"/>
          <w:color w:val="auto"/>
          <w:sz w:val="24"/>
          <w:highlight w:val="none"/>
          <w:lang w:val="en-US" w:eastAsia="zh-CN"/>
        </w:rPr>
        <w:t>各供应商应在开标前确保是新疆维吾尔自治区政府采购网正式注册入库的供应商，并完成CA数字证书申领。因未注册入库、未办理CA数字证书等原因造成无法投标或投标失败等后果的由供应商自行承担</w:t>
      </w:r>
      <w:r>
        <w:rPr>
          <w:rFonts w:hint="eastAsia" w:cs="宋体"/>
          <w:color w:val="auto"/>
          <w:sz w:val="24"/>
          <w:highlight w:val="none"/>
          <w:lang w:val="en-US" w:eastAsia="zh-CN"/>
        </w:rPr>
        <w:t>。</w:t>
      </w:r>
    </w:p>
    <w:p w14:paraId="10E8E99C">
      <w:pPr>
        <w:pStyle w:val="40"/>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（3）</w:t>
      </w:r>
      <w:r>
        <w:rPr>
          <w:rFonts w:hint="eastAsia" w:ascii="宋体" w:hAnsi="宋体" w:eastAsia="宋体" w:cs="宋体"/>
          <w:color w:val="auto"/>
          <w:sz w:val="24"/>
          <w:highlight w:val="none"/>
          <w:lang w:val="en-US" w:eastAsia="zh-CN"/>
        </w:rPr>
        <w:t>供应商可前往新疆政府采购网（http://www.ccgp-xinjiang.gov.cn/）下载专区，下载政采云电子投标客户端，安装完成后，可通过账号密码或CA登录客户端进行投标文件制作。</w:t>
      </w:r>
    </w:p>
    <w:p w14:paraId="0A7D3DED">
      <w:pPr>
        <w:pStyle w:val="40"/>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（4）</w:t>
      </w:r>
      <w:r>
        <w:rPr>
          <w:rFonts w:hint="eastAsia" w:ascii="宋体" w:hAnsi="宋体" w:eastAsia="宋体" w:cs="宋体"/>
          <w:color w:val="auto"/>
          <w:sz w:val="24"/>
          <w:highlight w:val="none"/>
          <w:lang w:val="en-US" w:eastAsia="zh-CN"/>
        </w:rPr>
        <w:t>供应商在开标时须携带制作加密电子投标文件所使用的CA锁，电脑须提前配置好浏览器，以便开标时在线解密。</w:t>
      </w:r>
    </w:p>
    <w:p w14:paraId="34AAF104">
      <w:pPr>
        <w:pStyle w:val="40"/>
        <w:spacing w:line="360" w:lineRule="auto"/>
        <w:rPr>
          <w:rFonts w:hint="eastAsia" w:ascii="宋体" w:hAnsi="宋体" w:eastAsia="宋体" w:cs="宋体"/>
          <w:color w:val="auto"/>
          <w:sz w:val="24"/>
          <w:szCs w:val="24"/>
          <w:highlight w:val="none"/>
          <w:lang w:val="en-US" w:eastAsia="zh-CN"/>
        </w:rPr>
      </w:pPr>
      <w:r>
        <w:rPr>
          <w:rFonts w:hint="eastAsia" w:cs="宋体"/>
          <w:color w:val="auto"/>
          <w:sz w:val="24"/>
          <w:highlight w:val="none"/>
          <w:lang w:val="en-US" w:eastAsia="zh-CN"/>
        </w:rPr>
        <w:t>（5）</w:t>
      </w:r>
      <w:r>
        <w:rPr>
          <w:rFonts w:hint="eastAsia" w:ascii="宋体" w:hAnsi="宋体" w:eastAsia="宋体" w:cs="宋体"/>
          <w:color w:val="auto"/>
          <w:sz w:val="24"/>
          <w:highlight w:val="none"/>
          <w:lang w:val="en-US" w:eastAsia="zh-CN"/>
        </w:rPr>
        <w:t>投标供应商应当在投标截止时间前，将生成的“电子加密投标文件”上传递交至“政府采购云平台”，投标截止时间以后上传递交的投标文件将被“政府采购云平台”拒收</w:t>
      </w:r>
      <w:r>
        <w:rPr>
          <w:rFonts w:hint="eastAsia" w:ascii="宋体" w:hAnsi="宋体" w:eastAsia="宋体" w:cs="宋体"/>
          <w:color w:val="auto"/>
          <w:sz w:val="24"/>
          <w:szCs w:val="24"/>
          <w:highlight w:val="none"/>
          <w:lang w:val="en-US" w:eastAsia="zh-CN"/>
        </w:rPr>
        <w:t>。</w:t>
      </w:r>
    </w:p>
    <w:bookmarkEnd w:id="3"/>
    <w:bookmarkEnd w:id="80"/>
    <w:bookmarkEnd w:id="81"/>
    <w:bookmarkEnd w:id="82"/>
    <w:bookmarkEnd w:id="83"/>
    <w:p w14:paraId="723251BD">
      <w:pPr>
        <w:pStyle w:val="7"/>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84" w:name="_Toc109899835"/>
      <w:bookmarkStart w:id="85" w:name="_Toc35393636"/>
      <w:bookmarkStart w:id="86" w:name="_Toc140132751"/>
      <w:bookmarkStart w:id="87" w:name="_Toc35393805"/>
      <w:bookmarkStart w:id="88" w:name="_Toc109899416"/>
      <w:bookmarkStart w:id="89" w:name="_Toc109900254"/>
      <w:bookmarkStart w:id="90" w:name="_Toc155185866"/>
      <w:bookmarkStart w:id="91" w:name="_Toc28359095"/>
      <w:bookmarkStart w:id="92" w:name="_Toc44583635"/>
      <w:bookmarkStart w:id="93" w:name="_Toc28359018"/>
      <w:bookmarkStart w:id="94" w:name="_Toc28862"/>
      <w:r>
        <w:rPr>
          <w:rFonts w:hint="eastAsia" w:ascii="宋体" w:hAnsi="宋体" w:eastAsia="宋体" w:cs="宋体"/>
          <w:b/>
          <w:bCs/>
          <w:color w:val="auto"/>
          <w:kern w:val="2"/>
          <w:sz w:val="24"/>
          <w:szCs w:val="24"/>
          <w:highlight w:val="none"/>
          <w:lang w:val="en-US" w:eastAsia="zh-CN" w:bidi="ar-SA"/>
        </w:rPr>
        <w:t>七、</w:t>
      </w:r>
      <w:bookmarkEnd w:id="84"/>
      <w:bookmarkEnd w:id="85"/>
      <w:bookmarkEnd w:id="86"/>
      <w:bookmarkEnd w:id="87"/>
      <w:bookmarkEnd w:id="88"/>
      <w:bookmarkEnd w:id="89"/>
      <w:bookmarkEnd w:id="90"/>
      <w:bookmarkEnd w:id="91"/>
      <w:bookmarkEnd w:id="92"/>
      <w:bookmarkEnd w:id="93"/>
      <w:r>
        <w:rPr>
          <w:rFonts w:hint="eastAsia" w:ascii="宋体" w:hAnsi="宋体" w:eastAsia="宋体" w:cs="宋体"/>
          <w:b/>
          <w:bCs/>
          <w:color w:val="auto"/>
          <w:kern w:val="2"/>
          <w:sz w:val="24"/>
          <w:szCs w:val="24"/>
          <w:highlight w:val="none"/>
          <w:lang w:val="hr-HR" w:eastAsia="zh-CN" w:bidi="ar-SA"/>
        </w:rPr>
        <w:t>对本次</w:t>
      </w:r>
      <w:r>
        <w:rPr>
          <w:rFonts w:hint="eastAsia" w:ascii="宋体" w:hAnsi="宋体" w:eastAsia="宋体" w:cs="宋体"/>
          <w:b/>
          <w:bCs/>
          <w:color w:val="auto"/>
          <w:kern w:val="2"/>
          <w:sz w:val="24"/>
          <w:szCs w:val="24"/>
          <w:highlight w:val="none"/>
          <w:lang w:val="en-US" w:eastAsia="zh-CN" w:bidi="ar-SA"/>
        </w:rPr>
        <w:t>招标</w:t>
      </w:r>
      <w:r>
        <w:rPr>
          <w:rFonts w:hint="eastAsia" w:ascii="宋体" w:hAnsi="宋体" w:eastAsia="宋体" w:cs="宋体"/>
          <w:b/>
          <w:bCs/>
          <w:color w:val="auto"/>
          <w:kern w:val="2"/>
          <w:sz w:val="24"/>
          <w:szCs w:val="24"/>
          <w:highlight w:val="none"/>
          <w:lang w:val="hr-HR" w:eastAsia="zh-CN" w:bidi="ar-SA"/>
        </w:rPr>
        <w:t>提出询问，请按以下方式联系</w:t>
      </w:r>
      <w:bookmarkEnd w:id="94"/>
    </w:p>
    <w:p w14:paraId="7B213880">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5C9C4F67">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bookmarkStart w:id="95" w:name="_Toc28359020"/>
      <w:bookmarkStart w:id="96" w:name="_Toc28359097"/>
      <w:bookmarkStart w:id="97" w:name="_Toc35393807"/>
      <w:bookmarkStart w:id="98" w:name="_Toc35393638"/>
      <w:r>
        <w:rPr>
          <w:rFonts w:hint="eastAsia" w:ascii="宋体" w:hAnsi="宋体" w:eastAsia="宋体" w:cs="宋体"/>
          <w:color w:val="auto"/>
          <w:sz w:val="24"/>
          <w:highlight w:val="none"/>
        </w:rPr>
        <w:t>名称：</w:t>
      </w:r>
      <w:r>
        <w:rPr>
          <w:rFonts w:hint="eastAsia" w:cs="宋体"/>
          <w:color w:val="auto"/>
          <w:sz w:val="24"/>
          <w:highlight w:val="none"/>
          <w:u w:val="single"/>
          <w:lang w:val="en-US" w:eastAsia="zh-CN"/>
        </w:rPr>
        <w:t>新疆维吾尔自治区测绘科学研究院（自治区测绘产品质量监督检验站）</w:t>
      </w:r>
    </w:p>
    <w:p w14:paraId="271D12FE">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乌鲁木齐市中山路462号广场联合办公大楼A座20层</w:t>
      </w:r>
      <w:r>
        <w:rPr>
          <w:rFonts w:hint="eastAsia" w:ascii="宋体" w:hAnsi="宋体" w:eastAsia="宋体" w:cs="宋体"/>
          <w:color w:val="auto"/>
          <w:sz w:val="24"/>
          <w:highlight w:val="none"/>
          <w:u w:val="single"/>
        </w:rPr>
        <w:t xml:space="preserve"> </w:t>
      </w:r>
    </w:p>
    <w:p w14:paraId="5CAE85E9">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bookmarkStart w:id="99" w:name="_Hlk46775675"/>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eastAsia="zh-CN"/>
        </w:rPr>
        <w:t>0991-2811509</w:t>
      </w:r>
      <w:r>
        <w:rPr>
          <w:rFonts w:hint="eastAsia" w:ascii="宋体" w:hAnsi="宋体" w:eastAsia="宋体" w:cs="宋体"/>
          <w:color w:val="auto"/>
          <w:sz w:val="24"/>
          <w:highlight w:val="none"/>
          <w:u w:val="single"/>
        </w:rPr>
        <w:t xml:space="preserve"> </w:t>
      </w:r>
    </w:p>
    <w:bookmarkEnd w:id="99"/>
    <w:p w14:paraId="5DDC5322">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bookmarkEnd w:id="95"/>
      <w:bookmarkEnd w:id="96"/>
      <w:bookmarkEnd w:id="97"/>
      <w:bookmarkEnd w:id="98"/>
    </w:p>
    <w:p w14:paraId="69D72775">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bookmarkStart w:id="100" w:name="_Toc28359098"/>
      <w:bookmarkStart w:id="101" w:name="_Toc28359021"/>
      <w:bookmarkStart w:id="102" w:name="_Toc35393639"/>
      <w:bookmarkStart w:id="103" w:name="_Toc35393808"/>
      <w:r>
        <w:rPr>
          <w:rFonts w:hint="eastAsia" w:ascii="宋体" w:hAnsi="宋体" w:eastAsia="宋体" w:cs="宋体"/>
          <w:color w:val="auto"/>
          <w:sz w:val="24"/>
          <w:highlight w:val="none"/>
          <w:lang w:val="en-US" w:eastAsia="zh-CN"/>
        </w:rPr>
        <w:t>名称：</w:t>
      </w:r>
      <w:r>
        <w:rPr>
          <w:rFonts w:hint="eastAsia" w:ascii="宋体" w:hAnsi="宋体" w:eastAsia="宋体" w:cs="宋体"/>
          <w:color w:val="auto"/>
          <w:sz w:val="24"/>
          <w:highlight w:val="none"/>
          <w:u w:val="single"/>
          <w:lang w:val="en-US" w:eastAsia="zh-CN"/>
        </w:rPr>
        <w:t xml:space="preserve"> 新疆星圣源工程项目管理有限公司 </w:t>
      </w:r>
    </w:p>
    <w:p w14:paraId="4108706B">
      <w:pPr>
        <w:pStyle w:val="40"/>
        <w:keepNext w:val="0"/>
        <w:keepLines w:val="0"/>
        <w:pageBreakBefore w:val="0"/>
        <w:widowControl w:val="0"/>
        <w:kinsoku/>
        <w:wordWrap w:val="0"/>
        <w:overflowPunct/>
        <w:topLinePunct w:val="0"/>
        <w:autoSpaceDE/>
        <w:autoSpaceDN/>
        <w:bidi w:val="0"/>
        <w:adjustRightInd/>
        <w:snapToGrid/>
        <w:spacing w:line="360" w:lineRule="auto"/>
        <w:ind w:left="1200" w:leftChars="200" w:hanging="720" w:hangingChars="3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eastAsia="宋体" w:cs="宋体"/>
          <w:color w:val="auto"/>
          <w:sz w:val="24"/>
          <w:highlight w:val="none"/>
          <w:u w:val="single"/>
          <w:lang w:val="en-US" w:eastAsia="zh-CN"/>
        </w:rPr>
        <w:t xml:space="preserve"> 新疆乌鲁木齐市沙依巴克区奇台路658号德汇万达E2写字楼1703-02室 </w:t>
      </w:r>
    </w:p>
    <w:p w14:paraId="5DA49867">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联系方式：</w:t>
      </w:r>
      <w:r>
        <w:rPr>
          <w:rFonts w:hint="eastAsia" w:ascii="宋体" w:hAnsi="宋体" w:eastAsia="宋体" w:cs="宋体"/>
          <w:color w:val="auto"/>
          <w:sz w:val="24"/>
          <w:highlight w:val="none"/>
          <w:u w:val="single"/>
          <w:lang w:val="en-US" w:eastAsia="zh-CN"/>
        </w:rPr>
        <w:t xml:space="preserve"> 0991-5803779 </w:t>
      </w:r>
    </w:p>
    <w:p w14:paraId="3D50EAA6">
      <w:pPr>
        <w:pStyle w:val="40"/>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项目联系方式</w:t>
      </w:r>
    </w:p>
    <w:bookmarkEnd w:id="100"/>
    <w:bookmarkEnd w:id="101"/>
    <w:bookmarkEnd w:id="102"/>
    <w:bookmarkEnd w:id="103"/>
    <w:p w14:paraId="2F72FBDA">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cs="宋体"/>
          <w:color w:val="auto"/>
          <w:sz w:val="24"/>
          <w:highlight w:val="none"/>
          <w:u w:val="none"/>
          <w:lang w:val="en-US" w:eastAsia="zh-CN"/>
        </w:rPr>
      </w:pP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lang w:val="en-US" w:eastAsia="zh-CN"/>
        </w:rPr>
        <w:t xml:space="preserve"> 杨工 </w:t>
      </w:r>
      <w:r>
        <w:rPr>
          <w:rFonts w:hint="eastAsia" w:cs="宋体"/>
          <w:color w:val="auto"/>
          <w:sz w:val="24"/>
          <w:highlight w:val="none"/>
          <w:u w:val="none"/>
          <w:lang w:val="en-US" w:eastAsia="zh-CN"/>
        </w:rPr>
        <w:t xml:space="preserve">                </w:t>
      </w:r>
    </w:p>
    <w:p w14:paraId="06A948FE">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电话：</w:t>
      </w:r>
      <w:r>
        <w:rPr>
          <w:rFonts w:hint="eastAsia" w:ascii="宋体" w:hAnsi="宋体" w:eastAsia="宋体" w:cs="宋体"/>
          <w:color w:val="auto"/>
          <w:sz w:val="24"/>
          <w:highlight w:val="none"/>
          <w:u w:val="single"/>
          <w:lang w:val="en-US" w:eastAsia="zh-CN"/>
        </w:rPr>
        <w:t xml:space="preserve"> 0991-5803779 </w:t>
      </w:r>
    </w:p>
    <w:p w14:paraId="1529F9AE">
      <w:pPr>
        <w:pStyle w:val="6"/>
        <w:bidi w:val="0"/>
        <w:rPr>
          <w:rFonts w:hint="eastAsia" w:ascii="宋体" w:hAnsi="宋体" w:eastAsia="宋体" w:cs="宋体"/>
          <w:lang w:val="en-US" w:eastAsia="zh-CN"/>
        </w:rPr>
        <w:sectPr>
          <w:footerReference r:id="rId7" w:type="default"/>
          <w:pgSz w:w="11906" w:h="16838"/>
          <w:pgMar w:top="1440" w:right="1800" w:bottom="1440" w:left="1800" w:header="851" w:footer="765" w:gutter="0"/>
          <w:pgBorders>
            <w:top w:val="none" w:sz="0" w:space="0"/>
            <w:left w:val="none" w:sz="0" w:space="0"/>
            <w:bottom w:val="none" w:sz="0" w:space="0"/>
            <w:right w:val="none" w:sz="0" w:space="0"/>
          </w:pgBorders>
          <w:pgNumType w:fmt="decimal" w:start="1"/>
          <w:cols w:space="0" w:num="1"/>
          <w:rtlGutter w:val="0"/>
          <w:docGrid w:type="lines" w:linePitch="312" w:charSpace="0"/>
        </w:sectPr>
      </w:pPr>
      <w:bookmarkStart w:id="104" w:name="_Toc10665"/>
      <w:bookmarkStart w:id="105" w:name="_Toc30316"/>
      <w:bookmarkStart w:id="106" w:name="_Toc155185867"/>
      <w:bookmarkStart w:id="107" w:name="_Toc5645"/>
    </w:p>
    <w:p w14:paraId="6A56ADB8">
      <w:pPr>
        <w:pStyle w:val="6"/>
        <w:bidi w:val="0"/>
        <w:rPr>
          <w:rFonts w:hint="eastAsia" w:ascii="宋体" w:hAnsi="宋体" w:eastAsia="宋体" w:cs="宋体"/>
          <w:lang w:val="en-US" w:eastAsia="zh-CN"/>
        </w:rPr>
      </w:pPr>
      <w:r>
        <w:rPr>
          <w:rFonts w:hint="eastAsia" w:ascii="宋体" w:hAnsi="宋体" w:eastAsia="宋体" w:cs="宋体"/>
          <w:lang w:val="en-US" w:eastAsia="zh-CN"/>
        </w:rPr>
        <w:t>第二章 投标人须知</w:t>
      </w:r>
      <w:bookmarkEnd w:id="104"/>
      <w:bookmarkEnd w:id="105"/>
      <w:bookmarkEnd w:id="106"/>
      <w:bookmarkEnd w:id="107"/>
    </w:p>
    <w:p w14:paraId="75B79534">
      <w:pPr>
        <w:pStyle w:val="7"/>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08" w:name="_Toc155185868"/>
      <w:bookmarkStart w:id="109" w:name="_Toc32038"/>
      <w:r>
        <w:rPr>
          <w:rFonts w:hint="eastAsia" w:eastAsia="宋体" w:asciiTheme="majorHAnsi" w:hAnsiTheme="majorHAnsi" w:cstheme="majorBidi"/>
          <w:b/>
          <w:bCs/>
          <w:color w:val="auto"/>
          <w:kern w:val="2"/>
          <w:sz w:val="28"/>
          <w:szCs w:val="28"/>
          <w:highlight w:val="none"/>
          <w:lang w:val="en-US" w:eastAsia="zh-CN" w:bidi="ar-SA"/>
        </w:rPr>
        <w:t>一、投标人须知前附表</w:t>
      </w:r>
      <w:bookmarkEnd w:id="108"/>
      <w:bookmarkEnd w:id="109"/>
    </w:p>
    <w:p w14:paraId="7F3ACB7A">
      <w:pPr>
        <w:pStyle w:val="40"/>
        <w:keepNext w:val="0"/>
        <w:keepLines w:val="0"/>
        <w:pageBreakBefore w:val="0"/>
        <w:widowControl w:val="0"/>
        <w:kinsoku/>
        <w:overflowPunct/>
        <w:topLinePunct w:val="0"/>
        <w:autoSpaceDE/>
        <w:autoSpaceDN/>
        <w:bidi w:val="0"/>
        <w:adjustRightInd/>
        <w:snapToGrid/>
        <w:textAlignment w:val="auto"/>
        <w:rPr>
          <w:rFonts w:hint="default" w:eastAsia="宋体"/>
          <w:color w:val="auto"/>
          <w:highlight w:val="none"/>
          <w:lang w:val="en-US" w:eastAsia="zh-CN"/>
        </w:rPr>
      </w:pPr>
      <w:r>
        <w:rPr>
          <w:rFonts w:hint="eastAsia"/>
          <w:color w:val="auto"/>
          <w:sz w:val="24"/>
          <w:szCs w:val="24"/>
          <w:highlight w:val="none"/>
        </w:rPr>
        <w:t>投标人应仔细阅读本招标文件的第二章“投标人须知”，下面所列资料是对“投标人须知”的具体补充和说明</w:t>
      </w:r>
      <w:r>
        <w:rPr>
          <w:rFonts w:hint="eastAsia"/>
          <w:color w:val="auto"/>
          <w:sz w:val="24"/>
          <w:szCs w:val="24"/>
          <w:highlight w:val="none"/>
          <w:lang w:eastAsia="zh-CN"/>
        </w:rPr>
        <w:t>，</w:t>
      </w:r>
      <w:r>
        <w:rPr>
          <w:rFonts w:hint="eastAsia"/>
          <w:color w:val="auto"/>
          <w:sz w:val="24"/>
          <w:szCs w:val="24"/>
          <w:highlight w:val="none"/>
        </w:rPr>
        <w:t>如有矛盾，应以本表为准。</w:t>
      </w:r>
      <w:r>
        <w:rPr>
          <w:rFonts w:hint="eastAsia"/>
          <w:color w:val="auto"/>
          <w:sz w:val="24"/>
          <w:szCs w:val="24"/>
          <w:highlight w:val="none"/>
          <w:lang w:val="en-US" w:eastAsia="zh-CN"/>
        </w:rPr>
        <w:t>标记“</w:t>
      </w:r>
      <w:r>
        <w:rPr>
          <w:rFonts w:hint="eastAsia" w:ascii="宋体" w:hAnsi="宋体" w:eastAsia="宋体"/>
          <w:color w:val="auto"/>
          <w:sz w:val="24"/>
          <w:szCs w:val="24"/>
          <w:highlight w:val="none"/>
          <w:lang w:val="en-US" w:eastAsia="zh-CN"/>
        </w:rPr>
        <w:t>☑”的选项意为适用于本项目，标记“□”的选项意为不适用于本项目</w:t>
      </w:r>
      <w:r>
        <w:rPr>
          <w:rFonts w:hint="eastAsia" w:ascii="宋体" w:hAnsi="宋体" w:eastAsia="宋体"/>
          <w:color w:val="auto"/>
          <w:highlight w:val="none"/>
          <w:lang w:val="en-US" w:eastAsia="zh-CN"/>
        </w:rPr>
        <w:t>。</w:t>
      </w:r>
    </w:p>
    <w:tbl>
      <w:tblPr>
        <w:tblStyle w:val="33"/>
        <w:tblW w:w="9408" w:type="dxa"/>
        <w:tblInd w:w="-3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38"/>
        <w:gridCol w:w="6700"/>
      </w:tblGrid>
      <w:tr w14:paraId="1B64B2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C4440DB">
            <w:pPr>
              <w:pStyle w:val="5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73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B9EABEB">
            <w:pPr>
              <w:pStyle w:val="5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70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C7B3B70">
            <w:pPr>
              <w:pStyle w:val="5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46137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25" w:hRule="atLeast"/>
        </w:trPr>
        <w:tc>
          <w:tcPr>
            <w:tcW w:w="970" w:type="dxa"/>
            <w:vAlign w:val="center"/>
          </w:tcPr>
          <w:p w14:paraId="60441C76">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738" w:type="dxa"/>
            <w:shd w:val="clear" w:color="auto" w:fill="auto"/>
            <w:vAlign w:val="center"/>
          </w:tcPr>
          <w:p w14:paraId="3D9DB5F0">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服务包含的内容</w:t>
            </w:r>
          </w:p>
        </w:tc>
        <w:tc>
          <w:tcPr>
            <w:tcW w:w="6700" w:type="dxa"/>
            <w:shd w:val="clear" w:color="auto" w:fill="auto"/>
            <w:vAlign w:val="center"/>
          </w:tcPr>
          <w:p w14:paraId="15D5290A">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u w:val="single"/>
                <w:lang w:val="en-US" w:eastAsia="zh-CN"/>
              </w:rPr>
              <w:t>南山比长基线场溯源量线服务</w:t>
            </w:r>
            <w:r>
              <w:rPr>
                <w:rFonts w:hint="eastAsia" w:ascii="宋体" w:hAnsi="宋体" w:eastAsia="宋体" w:cs="宋体"/>
                <w:color w:val="auto"/>
                <w:kern w:val="2"/>
                <w:sz w:val="24"/>
                <w:szCs w:val="24"/>
                <w:highlight w:val="none"/>
                <w:u w:val="single"/>
                <w:lang w:val="en-US" w:eastAsia="zh-CN" w:bidi="ar-SA"/>
              </w:rPr>
              <w:t>，详见“第三章 项目采购需求”。</w:t>
            </w:r>
          </w:p>
        </w:tc>
      </w:tr>
      <w:tr w14:paraId="25C468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88" w:hRule="atLeast"/>
        </w:trPr>
        <w:tc>
          <w:tcPr>
            <w:tcW w:w="970" w:type="dxa"/>
            <w:vAlign w:val="center"/>
          </w:tcPr>
          <w:p w14:paraId="3A136892">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1738" w:type="dxa"/>
            <w:vAlign w:val="center"/>
          </w:tcPr>
          <w:p w14:paraId="117C18AE">
            <w:pPr>
              <w:pStyle w:val="52"/>
              <w:rPr>
                <w:rFonts w:hint="eastAsia" w:ascii="宋体" w:hAnsi="宋体" w:eastAsia="宋体" w:cs="宋体"/>
                <w:color w:val="auto"/>
                <w:sz w:val="24"/>
                <w:szCs w:val="24"/>
                <w:highlight w:val="none"/>
              </w:rPr>
            </w:pPr>
            <w:bookmarkStart w:id="110" w:name="_Hlk143529175"/>
            <w:r>
              <w:rPr>
                <w:rFonts w:hint="eastAsia" w:ascii="宋体" w:hAnsi="宋体" w:eastAsia="宋体" w:cs="宋体"/>
                <w:color w:val="auto"/>
                <w:sz w:val="24"/>
                <w:szCs w:val="24"/>
                <w:highlight w:val="none"/>
              </w:rPr>
              <w:t>现场考察</w:t>
            </w:r>
            <w:bookmarkEnd w:id="110"/>
          </w:p>
        </w:tc>
        <w:tc>
          <w:tcPr>
            <w:tcW w:w="6700" w:type="dxa"/>
            <w:vAlign w:val="center"/>
          </w:tcPr>
          <w:p w14:paraId="36549596">
            <w:pPr>
              <w:pStyle w:val="5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不组织，投标人自行前往</w:t>
            </w:r>
            <w:r>
              <w:rPr>
                <w:rFonts w:hint="eastAsia" w:ascii="宋体" w:hAnsi="宋体" w:eastAsia="宋体" w:cs="宋体"/>
                <w:color w:val="auto"/>
                <w:sz w:val="24"/>
                <w:szCs w:val="24"/>
                <w:highlight w:val="none"/>
                <w:lang w:eastAsia="zh-CN"/>
              </w:rPr>
              <w:t>。</w:t>
            </w:r>
          </w:p>
          <w:p w14:paraId="2238EF6A">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组织</w:t>
            </w:r>
          </w:p>
          <w:p w14:paraId="047A7004">
            <w:pPr>
              <w:pStyle w:val="52"/>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2025年**月**日至2025年**月**日</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5FBC6B14">
            <w:pPr>
              <w:pStyle w:val="52"/>
              <w:ind w:firstLine="240" w:firstLineChars="100"/>
              <w:rPr>
                <w:rFonts w:hint="eastAsia" w:ascii="宋体" w:hAnsi="宋体" w:eastAsia="宋体" w:cs="宋体"/>
                <w:color w:val="auto"/>
                <w:sz w:val="24"/>
                <w:szCs w:val="24"/>
                <w:highlight w:val="none"/>
              </w:rPr>
            </w:pPr>
            <w:r>
              <w:rPr>
                <w:rFonts w:hint="eastAsia" w:cs="宋体"/>
                <w:i w:val="0"/>
                <w:iCs w:val="0"/>
                <w:color w:val="auto"/>
                <w:sz w:val="24"/>
                <w:szCs w:val="24"/>
                <w:highlight w:val="none"/>
                <w:lang w:val="en-US" w:eastAsia="zh-CN"/>
              </w:rPr>
              <w:t>联系方式</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1938D8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324" w:hRule="atLeast"/>
        </w:trPr>
        <w:tc>
          <w:tcPr>
            <w:tcW w:w="970" w:type="dxa"/>
            <w:shd w:val="clear" w:color="auto" w:fill="auto"/>
            <w:vAlign w:val="center"/>
          </w:tcPr>
          <w:p w14:paraId="72B7B10E">
            <w:pPr>
              <w:pStyle w:val="52"/>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9.5</w:t>
            </w:r>
          </w:p>
        </w:tc>
        <w:tc>
          <w:tcPr>
            <w:tcW w:w="1738" w:type="dxa"/>
            <w:shd w:val="clear" w:color="auto" w:fill="auto"/>
            <w:vAlign w:val="center"/>
          </w:tcPr>
          <w:p w14:paraId="52021959">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答疑会</w:t>
            </w:r>
          </w:p>
        </w:tc>
        <w:tc>
          <w:tcPr>
            <w:tcW w:w="6700" w:type="dxa"/>
            <w:shd w:val="clear" w:color="auto" w:fill="auto"/>
            <w:vAlign w:val="center"/>
          </w:tcPr>
          <w:p w14:paraId="632E2EEB">
            <w:pPr>
              <w:pStyle w:val="5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w:t>
            </w:r>
          </w:p>
          <w:p w14:paraId="6646290B">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22E645A0">
            <w:pPr>
              <w:pStyle w:val="52"/>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118D1DF3">
            <w:pPr>
              <w:pStyle w:val="52"/>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58EAFC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9017C90">
            <w:pPr>
              <w:pStyle w:val="52"/>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1738" w:type="dxa"/>
            <w:vAlign w:val="center"/>
          </w:tcPr>
          <w:p w14:paraId="14B3667D">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询问</w:t>
            </w:r>
          </w:p>
        </w:tc>
        <w:tc>
          <w:tcPr>
            <w:tcW w:w="6700" w:type="dxa"/>
            <w:vAlign w:val="center"/>
          </w:tcPr>
          <w:p w14:paraId="7419497D">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电话询问或书面形式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7C679FC8">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w:t>
            </w:r>
            <w:r>
              <w:rPr>
                <w:rFonts w:hint="eastAsia" w:cs="宋体"/>
                <w:i w:val="0"/>
                <w:iCs w:val="0"/>
                <w:color w:val="auto"/>
                <w:sz w:val="24"/>
                <w:szCs w:val="24"/>
                <w:highlight w:val="none"/>
                <w:lang w:val="en-US" w:eastAsia="zh-CN"/>
              </w:rPr>
              <w:t>联系电话</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0991-5803779</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tc>
      </w:tr>
      <w:tr w14:paraId="67C3B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A104107">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p>
        </w:tc>
        <w:tc>
          <w:tcPr>
            <w:tcW w:w="1738" w:type="dxa"/>
            <w:vAlign w:val="center"/>
          </w:tcPr>
          <w:p w14:paraId="79A1D807">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700" w:type="dxa"/>
            <w:vAlign w:val="center"/>
          </w:tcPr>
          <w:p w14:paraId="41DD7733">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日历日。</w:t>
            </w:r>
          </w:p>
        </w:tc>
      </w:tr>
      <w:tr w14:paraId="05426B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3DB59B05">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17.1</w:t>
            </w:r>
          </w:p>
        </w:tc>
        <w:tc>
          <w:tcPr>
            <w:tcW w:w="1738" w:type="dxa"/>
            <w:vAlign w:val="center"/>
          </w:tcPr>
          <w:p w14:paraId="02D54664">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w:t>
            </w:r>
          </w:p>
        </w:tc>
        <w:tc>
          <w:tcPr>
            <w:tcW w:w="6700" w:type="dxa"/>
            <w:vAlign w:val="center"/>
          </w:tcPr>
          <w:p w14:paraId="3C884172">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5BD0D880">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14E285D6">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i w:val="0"/>
                <w:iCs w:val="0"/>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预算金额</w:t>
            </w:r>
            <w:r>
              <w:rPr>
                <w:rFonts w:hint="eastAsia" w:ascii="宋体" w:hAnsi="宋体" w:eastAsia="宋体" w:cs="宋体"/>
                <w:color w:val="auto"/>
                <w:sz w:val="24"/>
                <w:szCs w:val="24"/>
                <w:highlight w:val="none"/>
              </w:rPr>
              <w:t>的</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2</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2000元；大写：贰仟元整</w:t>
            </w:r>
            <w:r>
              <w:rPr>
                <w:rFonts w:hint="eastAsia" w:ascii="宋体" w:hAnsi="宋体" w:cs="宋体"/>
                <w:i w:val="0"/>
                <w:iCs w:val="0"/>
                <w:color w:val="auto"/>
                <w:sz w:val="24"/>
                <w:szCs w:val="24"/>
                <w:highlight w:val="none"/>
                <w:lang w:eastAsia="zh-CN"/>
              </w:rPr>
              <w:t>）</w:t>
            </w:r>
          </w:p>
          <w:p w14:paraId="34F4AD60">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□定额收取：人民币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67F67DC6">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r>
              <w:rPr>
                <w:rFonts w:hint="eastAsia" w:ascii="宋体" w:hAnsi="宋体" w:eastAsia="宋体" w:cs="宋体"/>
                <w:i w:val="0"/>
                <w:iCs w:val="0"/>
                <w:color w:val="auto"/>
                <w:sz w:val="24"/>
                <w:szCs w:val="24"/>
                <w:highlight w:val="none"/>
                <w:lang w:val="en-US" w:eastAsia="zh-CN"/>
              </w:rPr>
              <w:t>供应商可自主选择以支票、汇票、本票、电汇、转账、网银、保函等非现金形式缴纳或提交保证金。</w:t>
            </w:r>
          </w:p>
          <w:p w14:paraId="20AA85D4">
            <w:pPr>
              <w:pStyle w:val="56"/>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保证金收受人信息</w:t>
            </w:r>
            <w:r>
              <w:rPr>
                <w:rFonts w:hint="eastAsia" w:ascii="宋体" w:hAnsi="宋体" w:eastAsia="宋体" w:cs="宋体"/>
                <w:i w:val="0"/>
                <w:iCs w:val="0"/>
                <w:color w:val="auto"/>
                <w:sz w:val="24"/>
                <w:szCs w:val="24"/>
                <w:highlight w:val="none"/>
              </w:rPr>
              <w:t xml:space="preserve">： </w:t>
            </w:r>
          </w:p>
          <w:p w14:paraId="780799C6">
            <w:pPr>
              <w:pStyle w:val="5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账户名：新疆星圣源工程项目管理有限公司</w:t>
            </w:r>
          </w:p>
          <w:p w14:paraId="38FA95EC">
            <w:pPr>
              <w:pStyle w:val="5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开户行：乌鲁木齐银行黄河支行</w:t>
            </w:r>
          </w:p>
          <w:p w14:paraId="648321AA">
            <w:pPr>
              <w:pStyle w:val="5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行号：313881000490</w:t>
            </w:r>
          </w:p>
          <w:p w14:paraId="6AB94639">
            <w:pPr>
              <w:pStyle w:val="5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账号：0000020080110031013587</w:t>
            </w:r>
            <w:r>
              <w:rPr>
                <w:rFonts w:hint="eastAsia" w:ascii="宋体" w:hAnsi="宋体" w:eastAsia="宋体" w:cs="宋体"/>
                <w:i w:val="0"/>
                <w:iCs w:val="0"/>
                <w:color w:val="auto"/>
                <w:sz w:val="24"/>
                <w:szCs w:val="24"/>
                <w:highlight w:val="none"/>
              </w:rPr>
              <w:t xml:space="preserve">                                        </w:t>
            </w:r>
          </w:p>
          <w:p w14:paraId="370DE8E9">
            <w:pPr>
              <w:pStyle w:val="56"/>
              <w:spacing w:line="340" w:lineRule="exact"/>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6693645A">
            <w:pPr>
              <w:pStyle w:val="56"/>
              <w:spacing w:line="340" w:lineRule="exact"/>
              <w:ind w:firstLine="240" w:firstLineChars="100"/>
              <w:rPr>
                <w:rFonts w:hint="eastAsia" w:ascii="宋体" w:hAnsi="宋体" w:eastAsia="宋体" w:cs="宋体"/>
                <w:b/>
                <w:bCs/>
                <w:i w:val="0"/>
                <w:iCs w:val="0"/>
                <w:color w:val="auto"/>
                <w:sz w:val="24"/>
                <w:szCs w:val="24"/>
                <w:highlight w:val="none"/>
              </w:rPr>
            </w:pPr>
            <w:r>
              <w:rPr>
                <w:rFonts w:hint="eastAsia" w:ascii="宋体" w:hAnsi="宋体" w:eastAsia="宋体" w:cs="宋体"/>
                <w:i w:val="0"/>
                <w:iCs w:val="0"/>
                <w:color w:val="auto"/>
                <w:sz w:val="24"/>
                <w:szCs w:val="24"/>
                <w:highlight w:val="none"/>
              </w:rPr>
              <w:t>1.以上各类机构出具的以担保函、保证保险承担责任的方式均须满足无条件见索即付条件。</w:t>
            </w:r>
            <w:r>
              <w:rPr>
                <w:rFonts w:hint="eastAsia" w:ascii="宋体" w:hAnsi="宋体" w:eastAsia="宋体" w:cs="宋体"/>
                <w:b/>
                <w:bCs/>
                <w:i w:val="0"/>
                <w:iCs w:val="0"/>
                <w:color w:val="auto"/>
                <w:sz w:val="24"/>
                <w:szCs w:val="24"/>
                <w:highlight w:val="none"/>
                <w:lang w:val="en-US" w:eastAsia="zh-CN"/>
              </w:rPr>
              <w:t>若提供银行保函，请</w:t>
            </w:r>
            <w:r>
              <w:rPr>
                <w:rFonts w:hint="eastAsia" w:ascii="宋体" w:hAnsi="宋体" w:cs="宋体"/>
                <w:b/>
                <w:bCs/>
                <w:i w:val="0"/>
                <w:iCs w:val="0"/>
                <w:color w:val="auto"/>
                <w:sz w:val="24"/>
                <w:szCs w:val="24"/>
                <w:highlight w:val="none"/>
                <w:lang w:val="en-US" w:eastAsia="zh-CN"/>
              </w:rPr>
              <w:t>将保函扫描件</w:t>
            </w:r>
            <w:r>
              <w:rPr>
                <w:rFonts w:hint="eastAsia" w:ascii="宋体" w:hAnsi="宋体" w:eastAsia="宋体" w:cs="宋体"/>
                <w:b/>
                <w:bCs/>
                <w:i w:val="0"/>
                <w:iCs w:val="0"/>
                <w:color w:val="auto"/>
                <w:sz w:val="24"/>
                <w:szCs w:val="24"/>
                <w:highlight w:val="none"/>
                <w:lang w:val="en-US" w:eastAsia="zh-CN"/>
              </w:rPr>
              <w:t>发送至邮箱：1617593161@qq.com</w:t>
            </w:r>
          </w:p>
          <w:p w14:paraId="1159E717">
            <w:pPr>
              <w:pStyle w:val="56"/>
              <w:spacing w:line="34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2.以担保函、保证保险形式缴纳</w:t>
            </w:r>
            <w:r>
              <w:rPr>
                <w:rFonts w:hint="eastAsia" w:ascii="宋体" w:hAnsi="宋体" w:cs="宋体"/>
                <w:i w:val="0"/>
                <w:iCs w:val="0"/>
                <w:color w:val="auto"/>
                <w:sz w:val="24"/>
                <w:szCs w:val="24"/>
                <w:highlight w:val="none"/>
                <w:lang w:eastAsia="zh-CN"/>
              </w:rPr>
              <w:t>投标</w:t>
            </w:r>
            <w:r>
              <w:rPr>
                <w:rFonts w:hint="eastAsia" w:ascii="宋体" w:hAnsi="宋体" w:eastAsia="宋体" w:cs="宋体"/>
                <w:i w:val="0"/>
                <w:iCs w:val="0"/>
                <w:color w:val="auto"/>
                <w:sz w:val="24"/>
                <w:szCs w:val="24"/>
                <w:highlight w:val="none"/>
              </w:rPr>
              <w:t>保证金的，受益人和收取单位须为采购人。</w:t>
            </w:r>
          </w:p>
          <w:p w14:paraId="7143F690">
            <w:pPr>
              <w:pStyle w:val="56"/>
              <w:spacing w:line="340" w:lineRule="exact"/>
              <w:ind w:firstLine="240" w:firstLineChars="100"/>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汇款单上必需备注项目编号、包号（若有）、联系方式。</w:t>
            </w:r>
            <w:r>
              <w:rPr>
                <w:rFonts w:hint="eastAsia" w:ascii="宋体" w:hAnsi="宋体" w:cs="宋体"/>
                <w:i w:val="0"/>
                <w:iCs w:val="0"/>
                <w:color w:val="auto"/>
                <w:sz w:val="24"/>
                <w:szCs w:val="24"/>
                <w:highlight w:val="none"/>
                <w:lang w:val="en-US" w:eastAsia="zh-CN"/>
              </w:rPr>
              <w:t>招标</w:t>
            </w:r>
            <w:r>
              <w:rPr>
                <w:rFonts w:hint="eastAsia" w:ascii="宋体" w:hAnsi="宋体" w:eastAsia="宋体" w:cs="宋体"/>
                <w:i w:val="0"/>
                <w:iCs w:val="0"/>
                <w:color w:val="auto"/>
                <w:sz w:val="24"/>
                <w:szCs w:val="24"/>
                <w:highlight w:val="none"/>
                <w:lang w:val="en-US" w:eastAsia="zh-CN"/>
              </w:rPr>
              <w:t xml:space="preserve">保证金于截止日之前确认到账，若投标人未按照上述规定缴纳保证金,投标文件将被拒绝评审。 </w:t>
            </w:r>
          </w:p>
          <w:p w14:paraId="68F362D8">
            <w:pPr>
              <w:pStyle w:val="56"/>
              <w:spacing w:line="340" w:lineRule="exact"/>
              <w:ind w:firstLine="241" w:firstLineChars="100"/>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例：</w:t>
            </w:r>
            <w:r>
              <w:rPr>
                <w:rFonts w:hint="eastAsia" w:ascii="宋体" w:hAnsi="宋体" w:cs="宋体"/>
                <w:b/>
                <w:bCs/>
                <w:i w:val="0"/>
                <w:iCs w:val="0"/>
                <w:color w:val="auto"/>
                <w:sz w:val="24"/>
                <w:szCs w:val="24"/>
                <w:highlight w:val="none"/>
                <w:lang w:val="en-US" w:eastAsia="zh-CN"/>
              </w:rPr>
              <w:t>XSY-2025-Z-133</w:t>
            </w:r>
            <w:r>
              <w:rPr>
                <w:rFonts w:hint="eastAsia" w:ascii="宋体" w:hAnsi="宋体" w:eastAsia="宋体" w:cs="宋体"/>
                <w:b/>
                <w:bCs/>
                <w:i w:val="0"/>
                <w:iCs w:val="0"/>
                <w:color w:val="auto"/>
                <w:sz w:val="24"/>
                <w:szCs w:val="24"/>
                <w:highlight w:val="none"/>
                <w:lang w:val="en-US" w:eastAsia="zh-CN"/>
              </w:rPr>
              <w:t>项目保证金+联系方式</w:t>
            </w:r>
          </w:p>
          <w:p w14:paraId="70A0B66C">
            <w:pPr>
              <w:pStyle w:val="56"/>
              <w:spacing w:line="340" w:lineRule="exact"/>
              <w:ind w:firstLine="240" w:firstLineChars="1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财务办公室：新疆乌鲁木齐市沙依巴克区奇台路658号德汇万达E2写字楼1703-02室</w:t>
            </w:r>
          </w:p>
          <w:p w14:paraId="0E476F1E">
            <w:pPr>
              <w:pStyle w:val="5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lang w:val="en-US" w:eastAsia="zh-CN"/>
              </w:rPr>
              <w:t>财务联系电话：0991-5803779</w:t>
            </w:r>
          </w:p>
        </w:tc>
      </w:tr>
      <w:tr w14:paraId="4501E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337" w:hRule="atLeast"/>
        </w:trPr>
        <w:tc>
          <w:tcPr>
            <w:tcW w:w="970" w:type="dxa"/>
            <w:vAlign w:val="center"/>
          </w:tcPr>
          <w:p w14:paraId="0FAEE6C9">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p>
        </w:tc>
        <w:tc>
          <w:tcPr>
            <w:tcW w:w="1738" w:type="dxa"/>
            <w:vAlign w:val="center"/>
          </w:tcPr>
          <w:p w14:paraId="1A5D11C5">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实物样品</w:t>
            </w:r>
          </w:p>
        </w:tc>
        <w:tc>
          <w:tcPr>
            <w:tcW w:w="6700" w:type="dxa"/>
            <w:vAlign w:val="center"/>
          </w:tcPr>
          <w:p w14:paraId="29F70D2B">
            <w:pPr>
              <w:pStyle w:val="5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投标样品递交： </w:t>
            </w:r>
          </w:p>
          <w:p w14:paraId="08448385">
            <w:pPr>
              <w:pStyle w:val="52"/>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不需要 </w:t>
            </w:r>
          </w:p>
          <w:p w14:paraId="75ABDCC9">
            <w:pPr>
              <w:pStyle w:val="52"/>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□需要，具体要求如下： </w:t>
            </w:r>
          </w:p>
          <w:p w14:paraId="45E00831">
            <w:pPr>
              <w:pStyle w:val="5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1.样品制作的标准和</w:t>
            </w:r>
            <w:r>
              <w:rPr>
                <w:rFonts w:hint="eastAsia" w:ascii="宋体" w:hAnsi="宋体" w:eastAsia="宋体" w:cs="宋体"/>
                <w:i w:val="0"/>
                <w:iCs w:val="0"/>
                <w:color w:val="auto"/>
                <w:sz w:val="24"/>
                <w:szCs w:val="24"/>
                <w:highlight w:val="none"/>
                <w:lang w:val="en-US" w:eastAsia="zh-CN"/>
              </w:rPr>
              <w:t>要求：</w:t>
            </w:r>
            <w:r>
              <w:rPr>
                <w:rFonts w:hint="eastAsia" w:cs="宋体"/>
                <w:i w:val="0"/>
                <w:iCs w:val="0"/>
                <w:color w:val="auto"/>
                <w:sz w:val="24"/>
                <w:szCs w:val="24"/>
                <w:highlight w:val="none"/>
                <w:u w:val="single"/>
                <w:lang w:val="en-US" w:eastAsia="zh-CN"/>
              </w:rPr>
              <w:t xml:space="preserve"> 无 </w:t>
            </w:r>
            <w:r>
              <w:rPr>
                <w:rFonts w:hint="eastAsia" w:ascii="宋体" w:hAnsi="宋体" w:eastAsia="宋体" w:cs="宋体"/>
                <w:color w:val="auto"/>
                <w:sz w:val="24"/>
                <w:szCs w:val="24"/>
                <w:highlight w:val="none"/>
                <w:lang w:val="en-US" w:eastAsia="zh-CN"/>
              </w:rPr>
              <w:t xml:space="preserve">； </w:t>
            </w:r>
          </w:p>
          <w:p w14:paraId="636410A9">
            <w:pPr>
              <w:pStyle w:val="5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2.是否需要随样品提交相关检测报告： </w:t>
            </w:r>
          </w:p>
          <w:p w14:paraId="4042F79A">
            <w:pPr>
              <w:pStyle w:val="52"/>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不需要 </w:t>
            </w:r>
          </w:p>
          <w:p w14:paraId="69ACDCB3">
            <w:pPr>
              <w:pStyle w:val="52"/>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 </w:t>
            </w:r>
          </w:p>
          <w:p w14:paraId="221C6A4C">
            <w:pPr>
              <w:pStyle w:val="5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3.样品递交要求：</w:t>
            </w:r>
          </w:p>
          <w:p w14:paraId="2365C0AF">
            <w:pPr>
              <w:pStyle w:val="5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递交时间：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0C201764">
            <w:pPr>
              <w:pStyle w:val="5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，逾期提供的样品将不予接受。</w:t>
            </w:r>
            <w:r>
              <w:rPr>
                <w:rFonts w:hint="eastAsia" w:ascii="宋体" w:hAnsi="宋体" w:eastAsia="宋体" w:cs="宋体"/>
                <w:color w:val="auto"/>
                <w:sz w:val="24"/>
                <w:szCs w:val="24"/>
                <w:highlight w:val="none"/>
                <w:lang w:val="en-US" w:eastAsia="zh-CN"/>
              </w:rPr>
              <w:t xml:space="preserve"> </w:t>
            </w:r>
          </w:p>
          <w:p w14:paraId="20C6A605">
            <w:pPr>
              <w:pStyle w:val="5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4.未中标人样品退还：</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FA55552">
            <w:pPr>
              <w:pStyle w:val="5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5.中标人样品保管、封存及退还：</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5F60BBB0">
            <w:pPr>
              <w:pStyle w:val="5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6.其他要求（如有）：</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tc>
      </w:tr>
      <w:tr w14:paraId="1C643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3DA43E2">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738" w:type="dxa"/>
            <w:vAlign w:val="center"/>
          </w:tcPr>
          <w:p w14:paraId="22504622">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w:t>
            </w:r>
          </w:p>
        </w:tc>
        <w:tc>
          <w:tcPr>
            <w:tcW w:w="6700" w:type="dxa"/>
            <w:vAlign w:val="center"/>
          </w:tcPr>
          <w:p w14:paraId="7B2FDAC1">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sym w:font="Wingdings" w:char="00FE"/>
            </w:r>
            <w:r>
              <w:rPr>
                <w:rFonts w:hint="eastAsia" w:ascii="宋体" w:hAnsi="宋体" w:eastAsia="宋体" w:cs="宋体"/>
                <w:color w:val="auto"/>
                <w:sz w:val="24"/>
                <w:szCs w:val="24"/>
                <w:highlight w:val="none"/>
              </w:rPr>
              <w:t>不进行</w:t>
            </w:r>
          </w:p>
          <w:p w14:paraId="7B0141AF">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进行，远程线上演示/现场演示</w:t>
            </w:r>
          </w:p>
          <w:p w14:paraId="29D1FB67">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1.演示时间不得超过</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分钟；</w:t>
            </w:r>
          </w:p>
          <w:p w14:paraId="0D5B188D">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2.进行远程线上演示的，投标人应提前自行准备好演示的软硬配置环境和网络环境，做好演示的各项准备工作。因投标人自身原因无法演示或者演示效果不理想的，导致的后果由投标人自行承担；</w:t>
            </w:r>
          </w:p>
          <w:p w14:paraId="34ED7966">
            <w:pPr>
              <w:pStyle w:val="52"/>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3.进行现场演示的，演示人员不得超过</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人，演示现场提供</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tc>
      </w:tr>
      <w:tr w14:paraId="09764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4CE72DC4">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w:t>
            </w:r>
          </w:p>
        </w:tc>
        <w:tc>
          <w:tcPr>
            <w:tcW w:w="1738" w:type="dxa"/>
            <w:vAlign w:val="center"/>
          </w:tcPr>
          <w:p w14:paraId="35FB661A">
            <w:pPr>
              <w:pStyle w:val="52"/>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解密投标文件的时限</w:t>
            </w:r>
          </w:p>
        </w:tc>
        <w:tc>
          <w:tcPr>
            <w:tcW w:w="6700" w:type="dxa"/>
            <w:vAlign w:val="center"/>
          </w:tcPr>
          <w:p w14:paraId="44601FEC">
            <w:pPr>
              <w:pStyle w:val="52"/>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不见面开标默认解密时长：</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分钟。</w:t>
            </w:r>
            <w:r>
              <w:rPr>
                <w:rFonts w:hint="eastAsia" w:ascii="宋体" w:hAnsi="宋体" w:eastAsia="宋体" w:cs="宋体"/>
                <w:color w:val="auto"/>
                <w:sz w:val="24"/>
                <w:szCs w:val="24"/>
                <w:highlight w:val="none"/>
              </w:rPr>
              <w:t xml:space="preserve"> </w:t>
            </w:r>
          </w:p>
          <w:p w14:paraId="4C7DC32D">
            <w:pPr>
              <w:pStyle w:val="52"/>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除因交易平台发生故障导致投标文件无法按时解密外，投标文件未按时解密的，视为未按规定提交投标文件</w:t>
            </w:r>
            <w:r>
              <w:rPr>
                <w:rFonts w:hint="eastAsia" w:ascii="宋体" w:hAnsi="宋体" w:eastAsia="宋体" w:cs="宋体"/>
                <w:color w:val="auto"/>
                <w:sz w:val="24"/>
                <w:szCs w:val="24"/>
                <w:highlight w:val="none"/>
              </w:rPr>
              <w:t>。</w:t>
            </w:r>
          </w:p>
        </w:tc>
      </w:tr>
      <w:tr w14:paraId="79EC8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76" w:hRule="atLeast"/>
        </w:trPr>
        <w:tc>
          <w:tcPr>
            <w:tcW w:w="970" w:type="dxa"/>
            <w:vAlign w:val="center"/>
          </w:tcPr>
          <w:p w14:paraId="23FC94CD">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29.1</w:t>
            </w:r>
          </w:p>
        </w:tc>
        <w:tc>
          <w:tcPr>
            <w:tcW w:w="1738" w:type="dxa"/>
            <w:vAlign w:val="center"/>
          </w:tcPr>
          <w:p w14:paraId="5A1E858C">
            <w:pPr>
              <w:pStyle w:val="52"/>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评标方法</w:t>
            </w:r>
          </w:p>
        </w:tc>
        <w:tc>
          <w:tcPr>
            <w:tcW w:w="6700" w:type="dxa"/>
            <w:vAlign w:val="center"/>
          </w:tcPr>
          <w:p w14:paraId="49F2488F">
            <w:pPr>
              <w:pStyle w:val="52"/>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lang w:val="en-US" w:eastAsia="zh-CN"/>
              </w:rPr>
              <w:t>综合评分法</w:t>
            </w:r>
          </w:p>
          <w:p w14:paraId="63A64BEE">
            <w:pPr>
              <w:pStyle w:val="52"/>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en-US" w:eastAsia="zh-CN"/>
              </w:rPr>
              <w:t>最低评标价法</w:t>
            </w:r>
          </w:p>
        </w:tc>
      </w:tr>
      <w:tr w14:paraId="5A087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13" w:hRule="atLeast"/>
        </w:trPr>
        <w:tc>
          <w:tcPr>
            <w:tcW w:w="970" w:type="dxa"/>
            <w:vAlign w:val="center"/>
          </w:tcPr>
          <w:p w14:paraId="42D57B39">
            <w:pPr>
              <w:pStyle w:val="5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1738" w:type="dxa"/>
            <w:vAlign w:val="center"/>
          </w:tcPr>
          <w:p w14:paraId="109515DE">
            <w:pPr>
              <w:pStyle w:val="5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推荐中标候选人</w:t>
            </w:r>
          </w:p>
        </w:tc>
        <w:tc>
          <w:tcPr>
            <w:tcW w:w="6700" w:type="dxa"/>
            <w:vAlign w:val="center"/>
          </w:tcPr>
          <w:p w14:paraId="0DB0E73E">
            <w:pPr>
              <w:pStyle w:val="52"/>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中标候选人数量</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家</w:t>
            </w:r>
          </w:p>
        </w:tc>
      </w:tr>
      <w:tr w14:paraId="176C1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4EEEE9B4">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p>
        </w:tc>
        <w:tc>
          <w:tcPr>
            <w:tcW w:w="1738" w:type="dxa"/>
            <w:vAlign w:val="center"/>
          </w:tcPr>
          <w:p w14:paraId="266C355B">
            <w:pPr>
              <w:pStyle w:val="52"/>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确定中标人</w:t>
            </w:r>
          </w:p>
        </w:tc>
        <w:tc>
          <w:tcPr>
            <w:tcW w:w="6700" w:type="dxa"/>
            <w:vAlign w:val="center"/>
          </w:tcPr>
          <w:p w14:paraId="3AF868A2">
            <w:pPr>
              <w:pStyle w:val="52"/>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采购人按评审报告中推荐的中标候选人排序确定中标人。</w:t>
            </w:r>
          </w:p>
          <w:p w14:paraId="0911185A">
            <w:pPr>
              <w:pStyle w:val="52"/>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采购人委托评标委员会直接确定中标人。</w:t>
            </w:r>
          </w:p>
        </w:tc>
      </w:tr>
      <w:tr w14:paraId="16D85F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shd w:val="clear" w:color="auto" w:fill="auto"/>
            <w:vAlign w:val="center"/>
          </w:tcPr>
          <w:p w14:paraId="1B46F00E">
            <w:pPr>
              <w:pStyle w:val="52"/>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738" w:type="dxa"/>
            <w:shd w:val="clear" w:color="auto" w:fill="auto"/>
            <w:vAlign w:val="center"/>
          </w:tcPr>
          <w:p w14:paraId="2789643E">
            <w:pPr>
              <w:pStyle w:val="52"/>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p>
        </w:tc>
        <w:tc>
          <w:tcPr>
            <w:tcW w:w="6700" w:type="dxa"/>
            <w:shd w:val="clear" w:color="auto" w:fill="auto"/>
            <w:vAlign w:val="center"/>
          </w:tcPr>
          <w:p w14:paraId="6976A72E">
            <w:pPr>
              <w:pStyle w:val="5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446453BE">
            <w:pPr>
              <w:pStyle w:val="5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14858B73">
            <w:pPr>
              <w:pStyle w:val="5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□合同价的</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795CC0D">
            <w:pPr>
              <w:pStyle w:val="5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□定额收取：人民币</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72638B8">
            <w:pPr>
              <w:pStyle w:val="5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0CEDF721">
            <w:pPr>
              <w:pStyle w:val="56"/>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投标人可自主选择以支票、汇票、本票、电汇、转账、网银、保函等非现金形式缴纳或提交保证金。</w:t>
            </w:r>
          </w:p>
          <w:p w14:paraId="782BC737">
            <w:pPr>
              <w:pStyle w:val="5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rPr>
              <w:t>收取单位：</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221565EA">
            <w:pPr>
              <w:pStyle w:val="5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4.收取账号：</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41B3BE7D">
            <w:pPr>
              <w:pStyle w:val="5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w:t>
            </w:r>
            <w:r>
              <w:rPr>
                <w:rFonts w:hint="eastAsia" w:ascii="宋体" w:hAnsi="宋体" w:eastAsia="宋体" w:cs="宋体"/>
                <w:color w:val="auto"/>
                <w:sz w:val="24"/>
                <w:szCs w:val="24"/>
                <w:highlight w:val="none"/>
              </w:rPr>
              <w:t>退还时间：</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32E52EF0">
            <w:pPr>
              <w:pStyle w:val="5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1033F0D6">
            <w:pPr>
              <w:pStyle w:val="5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以上各类机构出具的以担保函、保证保险承担责任的方式均须满足无条件见索即付条件。</w:t>
            </w:r>
          </w:p>
          <w:p w14:paraId="257AE723">
            <w:pPr>
              <w:pStyle w:val="5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以担保函、保证保险形式缴纳履约保证金的，受益人和收取单位须为采购人。</w:t>
            </w:r>
          </w:p>
        </w:tc>
      </w:tr>
      <w:tr w14:paraId="6B1F0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22" w:hRule="atLeast"/>
        </w:trPr>
        <w:tc>
          <w:tcPr>
            <w:tcW w:w="970" w:type="dxa"/>
            <w:vAlign w:val="center"/>
          </w:tcPr>
          <w:p w14:paraId="600814BC">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p>
        </w:tc>
        <w:tc>
          <w:tcPr>
            <w:tcW w:w="1738" w:type="dxa"/>
            <w:vAlign w:val="center"/>
          </w:tcPr>
          <w:p w14:paraId="74D19386">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中标后分包</w:t>
            </w:r>
          </w:p>
        </w:tc>
        <w:tc>
          <w:tcPr>
            <w:tcW w:w="6700" w:type="dxa"/>
            <w:vAlign w:val="center"/>
          </w:tcPr>
          <w:p w14:paraId="4344EC45">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本项目的非主体、非关键性工作是否允许分包： </w:t>
            </w:r>
          </w:p>
          <w:p w14:paraId="3D901FC0">
            <w:pPr>
              <w:pStyle w:val="52"/>
              <w:ind w:firstLine="480" w:firstLineChars="2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不允许 </w:t>
            </w:r>
          </w:p>
          <w:p w14:paraId="56DFA0F7">
            <w:pPr>
              <w:pStyle w:val="52"/>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□允许，具体要求： </w:t>
            </w:r>
          </w:p>
          <w:p w14:paraId="6C445FF2">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1.可以分包履行的具体内容：</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bidi="ar-SA"/>
              </w:rPr>
              <w:t xml:space="preserve">； </w:t>
            </w:r>
          </w:p>
          <w:p w14:paraId="71BE067E">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2.允许分包的金额或者比例：</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bidi="ar-SA"/>
              </w:rPr>
              <w:t xml:space="preserve">； </w:t>
            </w:r>
          </w:p>
          <w:p w14:paraId="2F04DF99">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3.其他要求：</w:t>
            </w:r>
            <w:r>
              <w:rPr>
                <w:rFonts w:hint="eastAsia" w:ascii="宋体" w:hAnsi="宋体" w:eastAsia="宋体" w:cs="宋体"/>
                <w:i w:val="0"/>
                <w:iCs w:val="0"/>
                <w:color w:val="auto"/>
                <w:sz w:val="24"/>
                <w:szCs w:val="24"/>
                <w:highlight w:val="none"/>
                <w:u w:val="single"/>
                <w:lang w:val="en-US" w:eastAsia="zh-CN"/>
              </w:rPr>
              <w:t xml:space="preserve">  </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bidi="ar-SA"/>
              </w:rPr>
              <w:t xml:space="preserve">。 </w:t>
            </w:r>
          </w:p>
        </w:tc>
      </w:tr>
      <w:tr w14:paraId="19B12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BFFADC2">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35.1</w:t>
            </w:r>
          </w:p>
        </w:tc>
        <w:tc>
          <w:tcPr>
            <w:tcW w:w="1738" w:type="dxa"/>
            <w:vAlign w:val="center"/>
          </w:tcPr>
          <w:p w14:paraId="6B25F509">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质疑</w:t>
            </w:r>
          </w:p>
        </w:tc>
        <w:tc>
          <w:tcPr>
            <w:tcW w:w="6700" w:type="dxa"/>
            <w:vAlign w:val="center"/>
          </w:tcPr>
          <w:p w14:paraId="001A683C">
            <w:pPr>
              <w:pStyle w:val="6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递交方式：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书面形式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2"/>
                <w:sz w:val="24"/>
                <w:szCs w:val="24"/>
                <w:highlight w:val="none"/>
                <w:lang w:val="zh-CN" w:eastAsia="zh-CN" w:bidi="ar-SA"/>
              </w:rPr>
              <w:t xml:space="preserve">              </w:t>
            </w:r>
          </w:p>
          <w:p w14:paraId="75571B4E">
            <w:pPr>
              <w:pStyle w:val="6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接收部门：</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新疆星圣源工程项目管理有限公司</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2"/>
                <w:sz w:val="24"/>
                <w:szCs w:val="24"/>
                <w:highlight w:val="none"/>
                <w:lang w:val="zh-CN" w:eastAsia="zh-CN" w:bidi="ar-SA"/>
              </w:rPr>
              <w:t xml:space="preserve">              </w:t>
            </w:r>
          </w:p>
          <w:p w14:paraId="092A5C6F">
            <w:pPr>
              <w:pStyle w:val="60"/>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联系电话：</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0991-5803779</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2"/>
                <w:sz w:val="24"/>
                <w:szCs w:val="24"/>
                <w:highlight w:val="none"/>
                <w:lang w:val="zh-CN" w:eastAsia="zh-CN" w:bidi="ar-SA"/>
              </w:rPr>
              <w:t xml:space="preserve">              </w:t>
            </w:r>
          </w:p>
          <w:p w14:paraId="30211831">
            <w:pPr>
              <w:pStyle w:val="60"/>
              <w:keepNext w:val="0"/>
              <w:keepLines w:val="0"/>
              <w:pageBreakBefore w:val="0"/>
              <w:widowControl w:val="0"/>
              <w:kinsoku/>
              <w:wordWrap/>
              <w:overflowPunct/>
              <w:topLinePunct w:val="0"/>
              <w:autoSpaceDE w:val="0"/>
              <w:autoSpaceDN w:val="0"/>
              <w:bidi w:val="0"/>
              <w:adjustRightInd w:val="0"/>
              <w:snapToGrid/>
              <w:spacing w:line="240" w:lineRule="auto"/>
              <w:ind w:left="1200" w:hanging="1200" w:hangingChars="5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i w:val="0"/>
                <w:iCs w:val="0"/>
                <w:color w:val="auto"/>
                <w:kern w:val="2"/>
                <w:sz w:val="24"/>
                <w:szCs w:val="24"/>
                <w:highlight w:val="none"/>
                <w:lang w:val="zh-CN" w:eastAsia="zh-CN" w:bidi="ar-SA"/>
              </w:rPr>
              <w:t>通讯地址：</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新疆乌鲁木齐市沙依巴克区奇台路658号德汇万达E2写字楼1703-02室</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2"/>
                <w:sz w:val="24"/>
                <w:szCs w:val="24"/>
                <w:highlight w:val="none"/>
                <w:lang w:val="zh-CN" w:eastAsia="zh-CN" w:bidi="ar-SA"/>
              </w:rPr>
              <w:t xml:space="preserve"> </w:t>
            </w:r>
            <w:r>
              <w:rPr>
                <w:rFonts w:hint="eastAsia" w:ascii="宋体" w:hAnsi="宋体" w:eastAsia="宋体" w:cs="宋体"/>
                <w:color w:val="auto"/>
                <w:kern w:val="2"/>
                <w:sz w:val="24"/>
                <w:szCs w:val="24"/>
                <w:highlight w:val="none"/>
                <w:lang w:val="zh-CN" w:eastAsia="zh-CN" w:bidi="ar-SA"/>
              </w:rPr>
              <w:t xml:space="preserve">            </w:t>
            </w:r>
          </w:p>
        </w:tc>
      </w:tr>
      <w:tr w14:paraId="3C8ED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380" w:hRule="atLeast"/>
        </w:trPr>
        <w:tc>
          <w:tcPr>
            <w:tcW w:w="970" w:type="dxa"/>
            <w:vAlign w:val="center"/>
          </w:tcPr>
          <w:p w14:paraId="422A3CDD">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738" w:type="dxa"/>
            <w:vAlign w:val="center"/>
          </w:tcPr>
          <w:p w14:paraId="1782DE51">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6700" w:type="dxa"/>
            <w:vAlign w:val="center"/>
          </w:tcPr>
          <w:p w14:paraId="50481589">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收</w:t>
            </w:r>
            <w:r>
              <w:rPr>
                <w:rFonts w:hint="eastAsia" w:ascii="宋体" w:hAnsi="宋体" w:eastAsia="宋体" w:cs="宋体"/>
                <w:i w:val="0"/>
                <w:iCs w:val="0"/>
                <w:color w:val="auto"/>
                <w:sz w:val="24"/>
                <w:szCs w:val="24"/>
                <w:highlight w:val="none"/>
              </w:rPr>
              <w:t>费</w:t>
            </w:r>
            <w:r>
              <w:rPr>
                <w:rFonts w:hint="eastAsia" w:ascii="宋体" w:hAnsi="宋体" w:eastAsia="宋体" w:cs="宋体"/>
                <w:i w:val="0"/>
                <w:iCs w:val="0"/>
                <w:color w:val="auto"/>
                <w:sz w:val="24"/>
                <w:szCs w:val="24"/>
                <w:highlight w:val="none"/>
                <w:lang w:val="en-US" w:eastAsia="zh-CN"/>
              </w:rPr>
              <w:t>对象</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rPr>
              <w:sym w:font="Wingdings" w:char="00A8"/>
            </w:r>
            <w:r>
              <w:rPr>
                <w:rFonts w:hint="eastAsia" w:ascii="宋体" w:hAnsi="宋体" w:eastAsia="宋体" w:cs="宋体"/>
                <w:i w:val="0"/>
                <w:iCs w:val="0"/>
                <w:color w:val="auto"/>
                <w:sz w:val="24"/>
                <w:szCs w:val="24"/>
                <w:highlight w:val="none"/>
              </w:rPr>
              <w:t xml:space="preserve">采购人支付 </w:t>
            </w:r>
            <w:r>
              <w:rPr>
                <w:rFonts w:hint="eastAsia" w:ascii="宋体" w:hAnsi="宋体" w:eastAsia="宋体" w:cs="宋体"/>
                <w:i w:val="0"/>
                <w:iCs w:val="0"/>
                <w:color w:val="auto"/>
                <w:sz w:val="24"/>
                <w:szCs w:val="24"/>
                <w:highlight w:val="none"/>
              </w:rPr>
              <w:sym w:font="Wingdings" w:char="00FE"/>
            </w:r>
            <w:r>
              <w:rPr>
                <w:rFonts w:hint="eastAsia" w:cs="宋体"/>
                <w:i w:val="0"/>
                <w:iCs w:val="0"/>
                <w:color w:val="auto"/>
                <w:sz w:val="24"/>
                <w:szCs w:val="24"/>
                <w:highlight w:val="none"/>
                <w:lang w:val="en-US" w:eastAsia="zh-CN"/>
              </w:rPr>
              <w:t>中标</w:t>
            </w:r>
            <w:r>
              <w:rPr>
                <w:rFonts w:hint="eastAsia" w:ascii="宋体" w:hAnsi="宋体" w:eastAsia="宋体" w:cs="宋体"/>
                <w:i w:val="0"/>
                <w:iCs w:val="0"/>
                <w:color w:val="auto"/>
                <w:sz w:val="24"/>
                <w:szCs w:val="24"/>
                <w:highlight w:val="none"/>
              </w:rPr>
              <w:t xml:space="preserve">人支付 </w:t>
            </w:r>
          </w:p>
          <w:p w14:paraId="4710D0C3">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收费</w:t>
            </w:r>
            <w:r>
              <w:rPr>
                <w:rFonts w:hint="eastAsia" w:ascii="宋体" w:hAnsi="宋体" w:eastAsia="宋体" w:cs="宋体"/>
                <w:i w:val="0"/>
                <w:iCs w:val="0"/>
                <w:color w:val="auto"/>
                <w:sz w:val="24"/>
                <w:szCs w:val="24"/>
                <w:highlight w:val="none"/>
              </w:rPr>
              <w:t>标准：</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参照原国家发展计划委员会文件（计价格[2002]1980号文）和（发改办价格[2003]857号文件），所规定标准计算由中标人向招标代理机构支付。</w:t>
            </w:r>
            <w:r>
              <w:rPr>
                <w:rFonts w:hint="eastAsia" w:ascii="宋体" w:hAnsi="宋体" w:eastAsia="宋体" w:cs="宋体"/>
                <w:i w:val="0"/>
                <w:iCs w:val="0"/>
                <w:color w:val="auto"/>
                <w:sz w:val="24"/>
                <w:szCs w:val="24"/>
                <w:highlight w:val="none"/>
                <w:u w:val="single"/>
              </w:rPr>
              <w:t xml:space="preserve"> </w:t>
            </w:r>
          </w:p>
          <w:p w14:paraId="7984F9E6">
            <w:pPr>
              <w:pStyle w:val="52"/>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val="en-US" w:eastAsia="zh-CN"/>
              </w:rPr>
              <w:t>收取</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在领取成交通知书前由成交供应商向采购代理机构一次性付清</w:t>
            </w:r>
            <w:r>
              <w:rPr>
                <w:rFonts w:hint="eastAsia"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p>
          <w:p w14:paraId="406CDC79">
            <w:pPr>
              <w:pStyle w:val="52"/>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val="en-US" w:eastAsia="zh-CN"/>
              </w:rPr>
              <w:t>收取</w:t>
            </w:r>
            <w:r>
              <w:rPr>
                <w:rFonts w:hint="eastAsia" w:ascii="宋体" w:hAnsi="宋体" w:eastAsia="宋体" w:cs="宋体"/>
                <w:i w:val="0"/>
                <w:iCs w:val="0"/>
                <w:color w:val="auto"/>
                <w:sz w:val="24"/>
                <w:szCs w:val="24"/>
                <w:highlight w:val="none"/>
              </w:rPr>
              <w:t>方式：</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公对公打款</w:t>
            </w:r>
            <w:r>
              <w:rPr>
                <w:rFonts w:hint="eastAsia" w:ascii="宋体" w:hAnsi="宋体" w:eastAsia="宋体" w:cs="宋体"/>
                <w:i w:val="0"/>
                <w:iCs w:val="0"/>
                <w:color w:val="auto"/>
                <w:sz w:val="24"/>
                <w:szCs w:val="24"/>
                <w:highlight w:val="none"/>
                <w:u w:val="single"/>
              </w:rPr>
              <w:t xml:space="preserve"> </w:t>
            </w:r>
          </w:p>
        </w:tc>
      </w:tr>
      <w:tr w14:paraId="30DE5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51" w:hRule="atLeast"/>
        </w:trPr>
        <w:tc>
          <w:tcPr>
            <w:tcW w:w="970" w:type="dxa"/>
            <w:vAlign w:val="center"/>
          </w:tcPr>
          <w:p w14:paraId="6F1BF374">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p>
        </w:tc>
        <w:tc>
          <w:tcPr>
            <w:tcW w:w="1738" w:type="dxa"/>
            <w:vAlign w:val="center"/>
          </w:tcPr>
          <w:p w14:paraId="5D860FC6">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是否接受进口产品</w:t>
            </w:r>
          </w:p>
        </w:tc>
        <w:tc>
          <w:tcPr>
            <w:tcW w:w="6700" w:type="dxa"/>
            <w:vAlign w:val="center"/>
          </w:tcPr>
          <w:p w14:paraId="438B47DA">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p>
          <w:p w14:paraId="1481386A">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zh-CN"/>
              </w:rPr>
              <w:t>接受</w:t>
            </w:r>
          </w:p>
        </w:tc>
      </w:tr>
      <w:tr w14:paraId="2539F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24" w:hRule="atLeast"/>
        </w:trPr>
        <w:tc>
          <w:tcPr>
            <w:tcW w:w="970" w:type="dxa"/>
            <w:vAlign w:val="center"/>
          </w:tcPr>
          <w:p w14:paraId="06648806">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p>
        </w:tc>
        <w:tc>
          <w:tcPr>
            <w:tcW w:w="1738" w:type="dxa"/>
            <w:vAlign w:val="center"/>
          </w:tcPr>
          <w:p w14:paraId="34AA4482">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支持中小企业政策</w:t>
            </w:r>
            <w:r>
              <w:rPr>
                <w:rStyle w:val="36"/>
                <w:rFonts w:hint="eastAsia" w:ascii="宋体" w:hAnsi="宋体" w:eastAsia="宋体" w:cs="宋体"/>
                <w:b w:val="0"/>
                <w:color w:val="auto"/>
                <w:sz w:val="24"/>
                <w:szCs w:val="24"/>
                <w:highlight w:val="none"/>
                <w:lang w:val="en-US" w:eastAsia="zh-CN"/>
              </w:rPr>
              <w:t>（非专门面向中小企业采购项目适用）</w:t>
            </w:r>
          </w:p>
        </w:tc>
        <w:tc>
          <w:tcPr>
            <w:tcW w:w="6700" w:type="dxa"/>
            <w:vAlign w:val="center"/>
          </w:tcPr>
          <w:p w14:paraId="736B9D94">
            <w:pPr>
              <w:pStyle w:val="73"/>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小型和微型企业价格扣除：</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cs="宋体"/>
                <w:b w:val="0"/>
                <w:i w:val="0"/>
                <w:iCs w:val="0"/>
                <w:color w:val="auto"/>
                <w:sz w:val="24"/>
                <w:szCs w:val="24"/>
                <w:highlight w:val="none"/>
                <w:u w:val="single"/>
                <w:lang w:val="en-US" w:eastAsia="zh-CN"/>
              </w:rPr>
              <w:t>无</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3A14D5AD">
            <w:pPr>
              <w:pStyle w:val="73"/>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CF7AA8F">
            <w:pPr>
              <w:pStyle w:val="73"/>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29022C4">
            <w:pPr>
              <w:pStyle w:val="73"/>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符合条件的联合体价格扣除：</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cs="宋体"/>
                <w:b w:val="0"/>
                <w:i w:val="0"/>
                <w:iCs w:val="0"/>
                <w:color w:val="auto"/>
                <w:sz w:val="24"/>
                <w:szCs w:val="24"/>
                <w:highlight w:val="none"/>
                <w:u w:val="single"/>
                <w:lang w:val="en-US" w:eastAsia="zh-CN"/>
              </w:rPr>
              <w:t>无</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1B996B16">
            <w:pPr>
              <w:pStyle w:val="73"/>
              <w:widowControl w:val="0"/>
              <w:spacing w:before="0" w:beforeAutospacing="0" w:after="0" w:afterAutospacing="0" w:line="240" w:lineRule="auto"/>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color w:val="auto"/>
                <w:sz w:val="24"/>
                <w:szCs w:val="24"/>
                <w:highlight w:val="none"/>
              </w:rPr>
              <w:t>5</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符合条件的向小微企业分包的大中型企业价格扣除：</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cs="宋体"/>
                <w:b w:val="0"/>
                <w:i w:val="0"/>
                <w:iCs w:val="0"/>
                <w:color w:val="auto"/>
                <w:sz w:val="24"/>
                <w:szCs w:val="24"/>
                <w:highlight w:val="none"/>
                <w:u w:val="single"/>
                <w:lang w:val="en-US" w:eastAsia="zh-CN"/>
              </w:rPr>
              <w:t>无</w:t>
            </w:r>
            <w:r>
              <w:rPr>
                <w:rFonts w:hint="eastAsia" w:ascii="宋体" w:hAnsi="宋体" w:eastAsia="宋体" w:cs="宋体"/>
                <w:b w:val="0"/>
                <w:i w:val="0"/>
                <w:iCs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r>
              <w:rPr>
                <w:rFonts w:hint="eastAsia" w:ascii="宋体" w:hAnsi="宋体" w:eastAsia="宋体" w:cs="宋体"/>
                <w:b w:val="0"/>
                <w:i w:val="0"/>
                <w:iCs/>
                <w:color w:val="auto"/>
                <w:sz w:val="24"/>
                <w:szCs w:val="24"/>
                <w:highlight w:val="none"/>
              </w:rPr>
              <w:t>（允许大中型企业向小微企业分包的项目适用）</w:t>
            </w:r>
          </w:p>
        </w:tc>
      </w:tr>
      <w:tr w14:paraId="707AAB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478" w:hRule="atLeast"/>
        </w:trPr>
        <w:tc>
          <w:tcPr>
            <w:tcW w:w="970" w:type="dxa"/>
            <w:vAlign w:val="center"/>
          </w:tcPr>
          <w:p w14:paraId="3AAFC5B3">
            <w:pPr>
              <w:pStyle w:val="5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42.5</w:t>
            </w:r>
          </w:p>
        </w:tc>
        <w:tc>
          <w:tcPr>
            <w:tcW w:w="1738" w:type="dxa"/>
            <w:vAlign w:val="center"/>
          </w:tcPr>
          <w:p w14:paraId="59931474">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标的所属行业</w:t>
            </w:r>
          </w:p>
          <w:p w14:paraId="27995733">
            <w:pPr>
              <w:pStyle w:val="52"/>
              <w:rPr>
                <w:rFonts w:hint="eastAsia" w:ascii="宋体" w:hAnsi="宋体" w:eastAsia="宋体" w:cs="宋体"/>
                <w:color w:val="auto"/>
                <w:sz w:val="24"/>
                <w:szCs w:val="24"/>
                <w:highlight w:val="none"/>
                <w:lang w:val="en-US" w:eastAsia="zh-CN"/>
              </w:rPr>
            </w:pPr>
            <w:r>
              <w:rPr>
                <w:rStyle w:val="36"/>
                <w:rFonts w:hint="eastAsia" w:ascii="宋体" w:hAnsi="宋体" w:eastAsia="宋体" w:cs="宋体"/>
                <w:b w:val="0"/>
                <w:color w:val="auto"/>
                <w:sz w:val="24"/>
                <w:szCs w:val="24"/>
                <w:highlight w:val="none"/>
                <w:lang w:val="en-US" w:eastAsia="zh-CN"/>
              </w:rPr>
              <w:t>参照后附</w:t>
            </w:r>
            <w:r>
              <w:rPr>
                <w:rStyle w:val="36"/>
                <w:rFonts w:hint="eastAsia" w:ascii="宋体" w:hAnsi="宋体" w:eastAsia="宋体" w:cs="宋体"/>
                <w:b w:val="0"/>
                <w:color w:val="auto"/>
                <w:sz w:val="24"/>
                <w:szCs w:val="24"/>
                <w:highlight w:val="none"/>
                <w:lang w:eastAsia="zh-CN"/>
              </w:rPr>
              <w:t>《</w:t>
            </w:r>
            <w:r>
              <w:rPr>
                <w:rStyle w:val="36"/>
                <w:rFonts w:hint="eastAsia" w:ascii="宋体" w:hAnsi="宋体" w:eastAsia="宋体" w:cs="宋体"/>
                <w:b w:val="0"/>
                <w:color w:val="auto"/>
                <w:sz w:val="24"/>
                <w:szCs w:val="24"/>
                <w:highlight w:val="none"/>
              </w:rPr>
              <w:t>工信部联企业〔2011〕300号</w:t>
            </w:r>
            <w:r>
              <w:rPr>
                <w:rStyle w:val="36"/>
                <w:rFonts w:hint="eastAsia" w:ascii="宋体" w:hAnsi="宋体" w:eastAsia="宋体" w:cs="宋体"/>
                <w:b w:val="0"/>
                <w:color w:val="auto"/>
                <w:sz w:val="24"/>
                <w:szCs w:val="24"/>
                <w:highlight w:val="none"/>
                <w:lang w:eastAsia="zh-CN"/>
              </w:rPr>
              <w:t>》</w:t>
            </w:r>
          </w:p>
        </w:tc>
        <w:tc>
          <w:tcPr>
            <w:tcW w:w="6700" w:type="dxa"/>
            <w:vAlign w:val="center"/>
          </w:tcPr>
          <w:p w14:paraId="6804F69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本项目采购标的对应的中小企业划分标准所属行业： </w:t>
            </w:r>
          </w:p>
          <w:tbl>
            <w:tblPr>
              <w:tblStyle w:val="34"/>
              <w:tblW w:w="6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0"/>
              <w:gridCol w:w="3240"/>
            </w:tblGrid>
            <w:tr w14:paraId="385E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vAlign w:val="center"/>
                </w:tcPr>
                <w:p w14:paraId="0AD36816">
                  <w:pPr>
                    <w:keepNext w:val="0"/>
                    <w:keepLines w:val="0"/>
                    <w:widowControl/>
                    <w:suppressLineNumbers w:val="0"/>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标的名称</w:t>
                  </w:r>
                </w:p>
              </w:tc>
              <w:tc>
                <w:tcPr>
                  <w:tcW w:w="3240" w:type="dxa"/>
                  <w:vAlign w:val="center"/>
                </w:tcPr>
                <w:p w14:paraId="2C78D772">
                  <w:pPr>
                    <w:keepNext w:val="0"/>
                    <w:keepLines w:val="0"/>
                    <w:widowControl/>
                    <w:suppressLineNumbers w:val="0"/>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中小企业划分标准所属行业</w:t>
                  </w:r>
                </w:p>
              </w:tc>
            </w:tr>
            <w:tr w14:paraId="531A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vAlign w:val="center"/>
                </w:tcPr>
                <w:p w14:paraId="7B94C3FE">
                  <w:pPr>
                    <w:keepNext w:val="0"/>
                    <w:keepLines w:val="0"/>
                    <w:widowControl/>
                    <w:suppressLineNumbers w:val="0"/>
                    <w:jc w:val="center"/>
                    <w:rPr>
                      <w:rFonts w:hint="eastAsia" w:ascii="宋体" w:hAnsi="宋体" w:eastAsia="宋体" w:cs="宋体"/>
                      <w:i w:val="0"/>
                      <w:iCs w:val="0"/>
                      <w:color w:val="auto"/>
                      <w:kern w:val="0"/>
                      <w:sz w:val="24"/>
                      <w:szCs w:val="24"/>
                      <w:highlight w:val="none"/>
                      <w:vertAlign w:val="baseline"/>
                      <w:lang w:val="en-US" w:eastAsia="zh-CN" w:bidi="ar"/>
                    </w:rPr>
                  </w:pPr>
                  <w:r>
                    <w:rPr>
                      <w:rFonts w:hint="eastAsia" w:cs="宋体"/>
                      <w:i w:val="0"/>
                      <w:iCs w:val="0"/>
                      <w:color w:val="auto"/>
                      <w:kern w:val="0"/>
                      <w:sz w:val="24"/>
                      <w:szCs w:val="24"/>
                      <w:highlight w:val="none"/>
                      <w:vertAlign w:val="baseline"/>
                      <w:lang w:val="en-US" w:eastAsia="zh-CN" w:bidi="ar"/>
                    </w:rPr>
                    <w:t>新疆维吾尔自治区测绘科学研究院（自治区测绘产品质量监督检验站）2025年南山比长基线场溯源量线服务项目</w:t>
                  </w:r>
                </w:p>
              </w:tc>
              <w:tc>
                <w:tcPr>
                  <w:tcW w:w="3240" w:type="dxa"/>
                  <w:vAlign w:val="center"/>
                </w:tcPr>
                <w:p w14:paraId="33535D95">
                  <w:pPr>
                    <w:keepNext w:val="0"/>
                    <w:keepLines w:val="0"/>
                    <w:widowControl/>
                    <w:suppressLineNumbers w:val="0"/>
                    <w:jc w:val="center"/>
                    <w:rPr>
                      <w:rFonts w:hint="default" w:ascii="宋体" w:hAnsi="宋体" w:eastAsia="宋体" w:cs="宋体"/>
                      <w:i w:val="0"/>
                      <w:iCs w:val="0"/>
                      <w:color w:val="auto"/>
                      <w:kern w:val="0"/>
                      <w:sz w:val="24"/>
                      <w:szCs w:val="24"/>
                      <w:highlight w:val="none"/>
                      <w:vertAlign w:val="baseline"/>
                      <w:lang w:val="en-US" w:eastAsia="zh-CN" w:bidi="ar"/>
                    </w:rPr>
                  </w:pPr>
                  <w:r>
                    <w:rPr>
                      <w:rFonts w:hint="default" w:ascii="宋体" w:hAnsi="宋体" w:eastAsia="宋体" w:cs="宋体"/>
                      <w:i w:val="0"/>
                      <w:iCs w:val="0"/>
                      <w:color w:val="auto"/>
                      <w:kern w:val="0"/>
                      <w:sz w:val="24"/>
                      <w:szCs w:val="24"/>
                      <w:highlight w:val="none"/>
                      <w:vertAlign w:val="baseline"/>
                      <w:lang w:val="en-US" w:eastAsia="zh-CN" w:bidi="ar"/>
                    </w:rPr>
                    <w:t>其他未列明行业</w:t>
                  </w:r>
                </w:p>
              </w:tc>
            </w:tr>
          </w:tbl>
          <w:p w14:paraId="2E0909C0">
            <w:pPr>
              <w:pStyle w:val="52"/>
              <w:rPr>
                <w:rFonts w:hint="eastAsia" w:ascii="宋体" w:hAnsi="宋体" w:eastAsia="宋体" w:cs="宋体"/>
                <w:color w:val="auto"/>
                <w:sz w:val="24"/>
                <w:szCs w:val="24"/>
                <w:highlight w:val="none"/>
              </w:rPr>
            </w:pPr>
          </w:p>
        </w:tc>
      </w:tr>
      <w:tr w14:paraId="4C8E5A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36" w:hRule="atLeast"/>
        </w:trPr>
        <w:tc>
          <w:tcPr>
            <w:tcW w:w="970" w:type="dxa"/>
            <w:shd w:val="clear" w:color="auto" w:fill="auto"/>
            <w:vAlign w:val="center"/>
          </w:tcPr>
          <w:p w14:paraId="213F4586">
            <w:pPr>
              <w:pStyle w:val="52"/>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43.5</w:t>
            </w:r>
          </w:p>
        </w:tc>
        <w:tc>
          <w:tcPr>
            <w:tcW w:w="1738" w:type="dxa"/>
            <w:shd w:val="clear" w:color="auto" w:fill="auto"/>
            <w:vAlign w:val="center"/>
          </w:tcPr>
          <w:p w14:paraId="7C0C8321">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优先采购创新节能环保产品</w:t>
            </w:r>
          </w:p>
        </w:tc>
        <w:tc>
          <w:tcPr>
            <w:tcW w:w="6700" w:type="dxa"/>
            <w:shd w:val="clear" w:color="auto" w:fill="auto"/>
            <w:vAlign w:val="center"/>
          </w:tcPr>
          <w:p w14:paraId="1D89079E">
            <w:pPr>
              <w:pStyle w:val="5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产品纳入创新产品应用示范推荐目录内企业、所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产品获得节能产品或环境标志产品认证证书的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报价给予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的价格扣除。</w:t>
            </w:r>
          </w:p>
        </w:tc>
      </w:tr>
      <w:tr w14:paraId="140D50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167" w:hRule="atLeast"/>
        </w:trPr>
        <w:tc>
          <w:tcPr>
            <w:tcW w:w="970" w:type="dxa"/>
            <w:tcBorders>
              <w:right w:val="single" w:color="auto" w:sz="4" w:space="0"/>
            </w:tcBorders>
            <w:vAlign w:val="center"/>
          </w:tcPr>
          <w:p w14:paraId="08D3F63A">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1738" w:type="dxa"/>
            <w:tcBorders>
              <w:left w:val="single" w:color="auto" w:sz="4" w:space="0"/>
              <w:right w:val="single" w:color="auto" w:sz="4" w:space="0"/>
            </w:tcBorders>
            <w:vAlign w:val="center"/>
          </w:tcPr>
          <w:p w14:paraId="651753DB">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w:t>
            </w:r>
          </w:p>
          <w:p w14:paraId="5E3751DF">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合同融资政策</w:t>
            </w:r>
          </w:p>
        </w:tc>
        <w:tc>
          <w:tcPr>
            <w:tcW w:w="6700" w:type="dxa"/>
            <w:tcBorders>
              <w:left w:val="single" w:color="auto" w:sz="4" w:space="0"/>
            </w:tcBorders>
            <w:vAlign w:val="center"/>
          </w:tcPr>
          <w:p w14:paraId="4377B3EE">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有融资需求的中标人在获得政府采购中标通知书后，即可向开展“政采贷”业务的金融机构提出申请，金融机构依据政府采购中标通知书和政府采购合同，为中小微企业提供融资服务。</w:t>
            </w:r>
          </w:p>
          <w:p w14:paraId="5D7FBF5F">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“政采贷”融资指引：在取得政府采购中标通知书后，可访问“</w:t>
            </w:r>
            <w:r>
              <w:rPr>
                <w:rFonts w:hint="eastAsia" w:cs="宋体"/>
                <w:color w:val="auto"/>
                <w:sz w:val="24"/>
                <w:szCs w:val="24"/>
                <w:highlight w:val="none"/>
                <w:lang w:val="en-US" w:eastAsia="zh-CN"/>
              </w:rPr>
              <w:t>新疆</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，查看和联系第三方平台或者金融机构，商洽融资事项，确定融资意向。中标人签署政府采购中标合同后，登录“</w:t>
            </w:r>
            <w:r>
              <w:rPr>
                <w:rFonts w:hint="eastAsia" w:cs="宋体"/>
                <w:color w:val="auto"/>
                <w:sz w:val="24"/>
                <w:szCs w:val="24"/>
                <w:highlight w:val="none"/>
                <w:lang w:val="en-US" w:eastAsia="zh-CN"/>
              </w:rPr>
              <w:t>新疆</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，选择意向产品进行申请，并填写相关信息，“</w:t>
            </w:r>
            <w:r>
              <w:rPr>
                <w:rFonts w:hint="eastAsia" w:cs="宋体"/>
                <w:color w:val="auto"/>
                <w:sz w:val="24"/>
                <w:szCs w:val="24"/>
                <w:highlight w:val="none"/>
                <w:lang w:val="en-US" w:eastAsia="zh-CN"/>
              </w:rPr>
              <w:t>新疆</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将中标人融资申请信息推送第三方平台、意向金融机构。</w:t>
            </w:r>
          </w:p>
        </w:tc>
      </w:tr>
      <w:tr w14:paraId="48C9F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17" w:hRule="atLeast"/>
        </w:trPr>
        <w:tc>
          <w:tcPr>
            <w:tcW w:w="970" w:type="dxa"/>
            <w:tcBorders>
              <w:right w:val="single" w:color="auto" w:sz="4" w:space="0"/>
            </w:tcBorders>
            <w:vAlign w:val="center"/>
          </w:tcPr>
          <w:p w14:paraId="59449E7E">
            <w:pPr>
              <w:pStyle w:val="5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738" w:type="dxa"/>
            <w:tcBorders>
              <w:right w:val="single" w:color="auto" w:sz="4" w:space="0"/>
            </w:tcBorders>
            <w:vAlign w:val="center"/>
          </w:tcPr>
          <w:p w14:paraId="7068A1E1">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6700" w:type="dxa"/>
            <w:tcBorders>
              <w:left w:val="single" w:color="auto" w:sz="4" w:space="0"/>
            </w:tcBorders>
            <w:vAlign w:val="center"/>
          </w:tcPr>
          <w:p w14:paraId="48509A24">
            <w:pPr>
              <w:pStyle w:val="52"/>
              <w:rPr>
                <w:rFonts w:hint="eastAsia" w:ascii="宋体" w:hAnsi="宋体" w:eastAsia="宋体" w:cs="宋体"/>
                <w:color w:val="auto"/>
                <w:sz w:val="24"/>
                <w:szCs w:val="24"/>
                <w:highlight w:val="none"/>
                <w:lang w:eastAsia="zh-CN"/>
              </w:rPr>
            </w:pP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中标供应商在领取中标通知书时须递交纸质响应文件叁份（正本一份，副本两份）胶装及盖章。</w:t>
            </w:r>
            <w:r>
              <w:rPr>
                <w:rFonts w:hint="eastAsia" w:ascii="宋体" w:hAnsi="宋体" w:eastAsia="宋体" w:cs="宋体"/>
                <w:b/>
                <w:bCs/>
                <w:i w:val="0"/>
                <w:iCs w:val="0"/>
                <w:color w:val="auto"/>
                <w:sz w:val="24"/>
                <w:szCs w:val="24"/>
                <w:highlight w:val="none"/>
                <w:lang w:eastAsia="zh-CN"/>
              </w:rPr>
              <w:t>】</w:t>
            </w:r>
          </w:p>
        </w:tc>
      </w:tr>
      <w:tr w14:paraId="0C2269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408" w:type="dxa"/>
            <w:gridSpan w:val="3"/>
            <w:vAlign w:val="center"/>
          </w:tcPr>
          <w:p w14:paraId="16CF3F9F">
            <w:pPr>
              <w:pStyle w:val="5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14:paraId="1ECD6A03">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除本招标文件另有规定外，招标文件中出现的类似于“近三年”或“前三年”、“近五年”或“前五年”均指递交投标文件</w:t>
            </w:r>
            <w:r>
              <w:rPr>
                <w:rFonts w:hint="eastAsia" w:ascii="宋体" w:hAnsi="宋体" w:eastAsia="宋体" w:cs="宋体"/>
                <w:color w:val="auto"/>
                <w:sz w:val="24"/>
                <w:szCs w:val="24"/>
                <w:highlight w:val="none"/>
                <w:lang w:val="en-US" w:eastAsia="zh-CN"/>
              </w:rPr>
              <w:t>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之</w:t>
            </w:r>
            <w:r>
              <w:rPr>
                <w:rFonts w:hint="eastAsia" w:ascii="宋体" w:hAnsi="宋体" w:eastAsia="宋体" w:cs="宋体"/>
                <w:color w:val="auto"/>
                <w:sz w:val="24"/>
                <w:szCs w:val="24"/>
                <w:highlight w:val="none"/>
              </w:rPr>
              <w:t>前三年或前五年，以此类推。如：递交投标文件时间为  年  月  日，则“近三年”是指  年  月  日至  年  月  日。</w:t>
            </w:r>
          </w:p>
          <w:p w14:paraId="6F66C892">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本招标文件所称的“以上”、“以下”、“内”、“以内”，包括本数；所称的“不足”，不包括本数。</w:t>
            </w:r>
          </w:p>
        </w:tc>
      </w:tr>
    </w:tbl>
    <w:p w14:paraId="410914FC">
      <w:pPr>
        <w:rPr>
          <w:rFonts w:hint="eastAsia" w:eastAsia="宋体" w:asciiTheme="majorHAnsi" w:hAnsiTheme="majorHAnsi" w:cstheme="majorBidi"/>
          <w:b/>
          <w:bCs/>
          <w:color w:val="auto"/>
          <w:kern w:val="2"/>
          <w:sz w:val="28"/>
          <w:szCs w:val="28"/>
          <w:highlight w:val="none"/>
          <w:lang w:val="en-US" w:eastAsia="zh-CN" w:bidi="ar-SA"/>
        </w:rPr>
      </w:pPr>
      <w:bookmarkStart w:id="111" w:name="_Toc155185869"/>
      <w:r>
        <w:rPr>
          <w:rFonts w:hint="eastAsia" w:eastAsia="宋体" w:asciiTheme="majorHAnsi" w:hAnsiTheme="majorHAnsi" w:cstheme="majorBidi"/>
          <w:b/>
          <w:bCs/>
          <w:color w:val="auto"/>
          <w:kern w:val="2"/>
          <w:sz w:val="32"/>
          <w:szCs w:val="32"/>
          <w:highlight w:val="none"/>
          <w:lang w:val="en-US" w:eastAsia="zh-CN" w:bidi="ar-SA"/>
        </w:rPr>
        <w:br w:type="page"/>
      </w:r>
      <w:bookmarkStart w:id="112" w:name="_Toc18554"/>
      <w:r>
        <w:rPr>
          <w:rFonts w:hint="eastAsia" w:eastAsia="宋体" w:asciiTheme="majorHAnsi" w:hAnsiTheme="majorHAnsi" w:cstheme="majorBidi"/>
          <w:b/>
          <w:bCs/>
          <w:color w:val="auto"/>
          <w:kern w:val="2"/>
          <w:sz w:val="28"/>
          <w:szCs w:val="28"/>
          <w:highlight w:val="none"/>
          <w:lang w:val="en-US" w:eastAsia="zh-CN" w:bidi="ar-SA"/>
        </w:rPr>
        <w:t>二、投标人须知</w:t>
      </w:r>
      <w:bookmarkEnd w:id="111"/>
      <w:bookmarkEnd w:id="112"/>
    </w:p>
    <w:p w14:paraId="604D77A9">
      <w:pPr>
        <w:pStyle w:val="8"/>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13" w:name="_Toc163492822"/>
      <w:bookmarkStart w:id="114" w:name="_Toc5011"/>
      <w:bookmarkStart w:id="115" w:name="_Toc28135"/>
      <w:bookmarkStart w:id="116" w:name="_Toc9308"/>
      <w:bookmarkStart w:id="117" w:name="_Toc155185870"/>
      <w:r>
        <w:rPr>
          <w:rFonts w:hint="eastAsia" w:ascii="宋体" w:hAnsi="宋体" w:eastAsia="宋体" w:cs="宋体"/>
          <w:b/>
          <w:bCs/>
          <w:color w:val="auto"/>
          <w:kern w:val="2"/>
          <w:sz w:val="24"/>
          <w:szCs w:val="24"/>
          <w:highlight w:val="none"/>
          <w:lang w:val="en-US" w:eastAsia="zh-CN" w:bidi="ar-SA"/>
        </w:rPr>
        <w:t>（一）总则</w:t>
      </w:r>
      <w:bookmarkEnd w:id="113"/>
      <w:bookmarkEnd w:id="114"/>
      <w:bookmarkEnd w:id="115"/>
      <w:bookmarkEnd w:id="116"/>
      <w:bookmarkEnd w:id="117"/>
    </w:p>
    <w:p w14:paraId="788765C9">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18" w:name="_Toc109899631"/>
      <w:bookmarkStart w:id="119" w:name="_Toc163492823"/>
      <w:bookmarkStart w:id="120" w:name="_Toc31233"/>
      <w:bookmarkStart w:id="121" w:name="_Toc22777"/>
      <w:bookmarkStart w:id="122" w:name="_Toc109900469"/>
      <w:bookmarkStart w:id="123" w:name="_Toc1399"/>
      <w:bookmarkStart w:id="124" w:name="_Toc24126"/>
      <w:bookmarkStart w:id="125" w:name="_Toc109897532"/>
      <w:bookmarkStart w:id="126" w:name="_Toc155095689"/>
      <w:bookmarkStart w:id="127" w:name="_Toc109900050"/>
      <w:r>
        <w:rPr>
          <w:rFonts w:hint="eastAsia" w:ascii="宋体" w:hAnsi="宋体" w:eastAsia="宋体" w:cs="宋体"/>
          <w:b/>
          <w:bCs/>
          <w:color w:val="auto"/>
          <w:kern w:val="2"/>
          <w:sz w:val="24"/>
          <w:szCs w:val="24"/>
          <w:highlight w:val="none"/>
          <w:lang w:val="en-US" w:eastAsia="zh-CN" w:bidi="ar-SA"/>
        </w:rPr>
        <w:t>1.适用范围</w:t>
      </w:r>
      <w:bookmarkEnd w:id="118"/>
      <w:bookmarkEnd w:id="119"/>
      <w:bookmarkEnd w:id="120"/>
      <w:bookmarkEnd w:id="121"/>
      <w:bookmarkEnd w:id="122"/>
      <w:bookmarkEnd w:id="123"/>
      <w:bookmarkEnd w:id="124"/>
      <w:bookmarkEnd w:id="125"/>
      <w:bookmarkEnd w:id="126"/>
      <w:bookmarkEnd w:id="127"/>
    </w:p>
    <w:p w14:paraId="3896363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1.1本招标文件仅适用于本项目的采购活动。</w:t>
      </w:r>
    </w:p>
    <w:p w14:paraId="34F08411">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8" w:name="_Toc11954"/>
      <w:bookmarkStart w:id="129" w:name="_Toc163492824"/>
      <w:bookmarkStart w:id="130" w:name="_Toc8394"/>
      <w:bookmarkStart w:id="131" w:name="_Toc11043"/>
      <w:r>
        <w:rPr>
          <w:rFonts w:hint="eastAsia" w:ascii="宋体" w:hAnsi="宋体" w:eastAsia="宋体" w:cs="宋体"/>
          <w:b/>
          <w:bCs/>
          <w:color w:val="auto"/>
          <w:kern w:val="2"/>
          <w:sz w:val="24"/>
          <w:szCs w:val="24"/>
          <w:highlight w:val="none"/>
          <w:lang w:val="en-US" w:eastAsia="zh-CN" w:bidi="ar-SA"/>
        </w:rPr>
        <w:t>2.基本定义</w:t>
      </w:r>
      <w:bookmarkEnd w:id="128"/>
      <w:bookmarkEnd w:id="129"/>
      <w:bookmarkEnd w:id="130"/>
      <w:bookmarkEnd w:id="131"/>
    </w:p>
    <w:p w14:paraId="768D70C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2.1根据《中华人民共和国政府采购法》及其实施条例等有关法律、法规和规章的规定，制定本招标文件。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ascii="宋体" w:hAnsi="宋体" w:eastAsia="宋体" w:cs="宋体"/>
          <w:color w:val="auto"/>
          <w:sz w:val="24"/>
          <w:szCs w:val="24"/>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2.3采购代理机构：</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ascii="宋体" w:hAnsi="宋体" w:eastAsia="宋体" w:cs="宋体"/>
          <w:color w:val="auto"/>
          <w:sz w:val="24"/>
          <w:szCs w:val="24"/>
          <w:highlight w:val="none"/>
          <w:lang w:val="en-US" w:eastAsia="zh-CN"/>
        </w:rPr>
        <w:t>委托的采购代理机构</w:t>
      </w:r>
      <w:r>
        <w:rPr>
          <w:rFonts w:hint="eastAsia" w:ascii="宋体" w:hAnsi="宋体" w:eastAsia="宋体" w:cs="宋体"/>
          <w:color w:val="auto"/>
          <w:sz w:val="24"/>
          <w:szCs w:val="24"/>
          <w:highlight w:val="none"/>
        </w:rPr>
        <w:t>。</w:t>
      </w:r>
    </w:p>
    <w:p w14:paraId="26D5074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8E21DA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 服务包含的内容见</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sz w:val="24"/>
          <w:szCs w:val="24"/>
          <w:highlight w:val="none"/>
          <w:lang w:val="en-US" w:eastAsia="zh-CN"/>
        </w:rPr>
        <w:t>。</w:t>
      </w:r>
    </w:p>
    <w:p w14:paraId="214DD75F">
      <w:pPr>
        <w:ind w:firstLine="480" w:firstLineChars="2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shd w:val="clear" w:color="auto" w:fill="FFFFFF" w:themeFill="background1"/>
        </w:rPr>
        <w:t>2.6投标人（也称“供应商”、“申请人”）：指向采购人提供货物、工程或者服务的法人、其他组织或者自然人。</w:t>
      </w:r>
      <w:r>
        <w:rPr>
          <w:rFonts w:hint="eastAsia" w:ascii="宋体" w:hAnsi="宋体" w:eastAsia="宋体" w:cs="宋体"/>
          <w:color w:val="auto"/>
          <w:sz w:val="24"/>
          <w:szCs w:val="24"/>
          <w:highlight w:val="none"/>
        </w:rPr>
        <w:t>分支机构不得参加政府采购活动，但银行、保险、石油石化、电力、电信等</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行业特殊</w:t>
      </w:r>
      <w:r>
        <w:rPr>
          <w:rFonts w:hint="eastAsia" w:ascii="宋体" w:hAnsi="宋体" w:eastAsia="宋体" w:cs="宋体"/>
          <w:color w:val="auto"/>
          <w:sz w:val="24"/>
          <w:szCs w:val="24"/>
          <w:highlight w:val="none"/>
          <w:lang w:val="en-US" w:eastAsia="zh-CN"/>
        </w:rPr>
        <w:t>情况的</w:t>
      </w:r>
      <w:r>
        <w:rPr>
          <w:rFonts w:hint="eastAsia" w:ascii="宋体" w:hAnsi="宋体" w:eastAsia="宋体" w:cs="宋体"/>
          <w:color w:val="auto"/>
          <w:sz w:val="24"/>
          <w:szCs w:val="24"/>
          <w:highlight w:val="none"/>
        </w:rPr>
        <w:t>除外。本项目的投标人须满足以下条件：</w:t>
      </w:r>
    </w:p>
    <w:p w14:paraId="2518C53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2.6.1具备《中华人民共和国政府采购法》第二十二条规定的条件，遵守本项目采购人本级和上级财政部门政府采购的有关规定。</w:t>
      </w:r>
    </w:p>
    <w:p w14:paraId="7674516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2.6.2以招标公告中发布的方式依法获得了本项目的招标文件。</w:t>
      </w:r>
    </w:p>
    <w:p w14:paraId="0DE24F0D">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2.6.3符合本招标文件规定并参加投标的供应商。</w:t>
      </w:r>
    </w:p>
    <w:p w14:paraId="5FC27D1B">
      <w:pPr>
        <w:pStyle w:val="40"/>
        <w:keepNext w:val="0"/>
        <w:keepLines w:val="0"/>
        <w:pageBreakBefore w:val="0"/>
        <w:widowControl w:val="0"/>
        <w:kinsoku/>
        <w:overflowPunct/>
        <w:topLinePunct w:val="0"/>
        <w:autoSpaceDE/>
        <w:autoSpaceDN/>
        <w:bidi w:val="0"/>
        <w:adjustRightInd/>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iCs/>
          <w:color w:val="auto"/>
          <w:sz w:val="24"/>
          <w:szCs w:val="24"/>
          <w:highlight w:val="none"/>
          <w:shd w:val="clear" w:color="auto" w:fill="FFFFFF" w:themeFill="background1"/>
        </w:rPr>
        <w:t>潜在投标人、潜在供应商</w:t>
      </w:r>
      <w:r>
        <w:rPr>
          <w:rFonts w:hint="eastAsia" w:ascii="宋体" w:hAnsi="宋体" w:eastAsia="宋体" w:cs="宋体"/>
          <w:iCs/>
          <w:color w:val="auto"/>
          <w:sz w:val="24"/>
          <w:szCs w:val="24"/>
          <w:highlight w:val="none"/>
          <w:shd w:val="clear" w:color="auto" w:fill="FFFFFF" w:themeFill="background1"/>
          <w:lang w:eastAsia="zh-CN"/>
        </w:rPr>
        <w:t>：</w:t>
      </w:r>
      <w:r>
        <w:rPr>
          <w:rFonts w:hint="eastAsia" w:ascii="宋体" w:hAnsi="宋体" w:eastAsia="宋体" w:cs="宋体"/>
          <w:iCs/>
          <w:color w:val="auto"/>
          <w:sz w:val="24"/>
          <w:szCs w:val="24"/>
          <w:highlight w:val="none"/>
          <w:shd w:val="clear" w:color="auto" w:fill="FFFFFF" w:themeFill="background1"/>
          <w:lang w:val="en-US" w:eastAsia="zh-CN"/>
        </w:rPr>
        <w:t>指</w:t>
      </w:r>
      <w:r>
        <w:rPr>
          <w:rFonts w:hint="eastAsia" w:ascii="宋体" w:hAnsi="宋体" w:eastAsia="宋体" w:cs="宋体"/>
          <w:color w:val="auto"/>
          <w:sz w:val="24"/>
          <w:szCs w:val="24"/>
          <w:highlight w:val="none"/>
          <w:lang w:val="en-US" w:eastAsia="zh-CN"/>
        </w:rPr>
        <w:t>符合本招标文件规定的供应商</w:t>
      </w:r>
      <w:r>
        <w:rPr>
          <w:rFonts w:hint="eastAsia" w:ascii="宋体" w:hAnsi="宋体" w:eastAsia="宋体" w:cs="宋体"/>
          <w:color w:val="auto"/>
          <w:sz w:val="24"/>
          <w:szCs w:val="24"/>
          <w:highlight w:val="none"/>
        </w:rPr>
        <w:t>。</w:t>
      </w:r>
    </w:p>
    <w:p w14:paraId="7BECD896">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2" w:name="_Toc22315"/>
      <w:bookmarkStart w:id="133" w:name="_Toc140132758"/>
      <w:bookmarkStart w:id="134" w:name="_Toc27150"/>
      <w:bookmarkStart w:id="135" w:name="_Toc15923"/>
      <w:bookmarkStart w:id="136" w:name="_Toc163492825"/>
      <w:r>
        <w:rPr>
          <w:rFonts w:hint="eastAsia" w:ascii="宋体" w:hAnsi="宋体" w:eastAsia="宋体" w:cs="宋体"/>
          <w:b/>
          <w:bCs/>
          <w:color w:val="auto"/>
          <w:kern w:val="2"/>
          <w:sz w:val="24"/>
          <w:szCs w:val="24"/>
          <w:highlight w:val="none"/>
          <w:lang w:val="en-US" w:eastAsia="zh-CN" w:bidi="ar-SA"/>
        </w:rPr>
        <w:t>3.资金来源</w:t>
      </w:r>
      <w:bookmarkEnd w:id="132"/>
      <w:bookmarkEnd w:id="133"/>
      <w:bookmarkEnd w:id="134"/>
      <w:bookmarkEnd w:id="135"/>
      <w:bookmarkEnd w:id="136"/>
    </w:p>
    <w:p w14:paraId="76E8C14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3.1资金来源：</w:t>
      </w:r>
      <w:r>
        <w:rPr>
          <w:rFonts w:hint="eastAsia" w:ascii="宋体" w:hAnsi="宋体" w:eastAsia="宋体" w:cs="宋体"/>
          <w:color w:val="auto"/>
          <w:sz w:val="24"/>
          <w:szCs w:val="24"/>
          <w:highlight w:val="none"/>
          <w:lang w:val="en-US" w:eastAsia="zh-CN"/>
        </w:rPr>
        <w:t>为财政性资金即</w:t>
      </w:r>
      <w:r>
        <w:rPr>
          <w:rFonts w:hint="eastAsia" w:ascii="宋体" w:hAnsi="宋体" w:eastAsia="宋体" w:cs="宋体"/>
          <w:color w:val="auto"/>
          <w:sz w:val="24"/>
          <w:szCs w:val="24"/>
          <w:highlight w:val="none"/>
        </w:rPr>
        <w:t>纳入预算管理的资金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以财政性资金作为还款来源的借贷资金，视同财政性资金。财政性资金与非财政性资金无法分割采购的，统一适用《中华人民共和国政府采购法》及其实施条例。</w:t>
      </w:r>
    </w:p>
    <w:p w14:paraId="17722C40">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7" w:name="_Toc4285"/>
      <w:bookmarkStart w:id="138" w:name="_Toc140132760"/>
      <w:bookmarkStart w:id="139" w:name="_Toc15559"/>
      <w:bookmarkStart w:id="140" w:name="_Toc163492826"/>
      <w:bookmarkStart w:id="141" w:name="_Toc21872"/>
      <w:r>
        <w:rPr>
          <w:rFonts w:hint="eastAsia" w:ascii="宋体" w:hAnsi="宋体" w:eastAsia="宋体" w:cs="宋体"/>
          <w:b/>
          <w:bCs/>
          <w:color w:val="auto"/>
          <w:kern w:val="2"/>
          <w:sz w:val="24"/>
          <w:szCs w:val="24"/>
          <w:highlight w:val="none"/>
          <w:lang w:val="en-US" w:eastAsia="zh-CN" w:bidi="ar-SA"/>
        </w:rPr>
        <w:t>4.投标人资格要求</w:t>
      </w:r>
      <w:bookmarkEnd w:id="137"/>
      <w:bookmarkEnd w:id="138"/>
      <w:bookmarkEnd w:id="139"/>
      <w:bookmarkEnd w:id="140"/>
      <w:bookmarkEnd w:id="141"/>
    </w:p>
    <w:p w14:paraId="522AD9C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4.1投标人资格要求：见“</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w:t>
      </w:r>
    </w:p>
    <w:p w14:paraId="3B57853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lang w:val="zh-CN" w:eastAsia="zh-CN"/>
        </w:rPr>
        <w:t>”规定接受联合体投标的，还应遵守以下规定：</w:t>
      </w:r>
    </w:p>
    <w:p w14:paraId="512308F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1两个以上的自然人、法人或者其他组织可以组成一个联合体，以一个</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的身份共同参加政府采购。</w:t>
      </w:r>
      <w:r>
        <w:rPr>
          <w:rFonts w:hint="eastAsia" w:ascii="宋体" w:hAnsi="宋体" w:eastAsia="宋体" w:cs="宋体"/>
          <w:iCs/>
          <w:color w:val="auto"/>
          <w:kern w:val="2"/>
          <w:sz w:val="24"/>
          <w:szCs w:val="24"/>
          <w:highlight w:val="none"/>
          <w:shd w:val="clear" w:color="auto" w:fill="FFFFFF" w:themeFill="background1"/>
          <w:lang w:val="zh-CN" w:eastAsia="zh-CN" w:bidi="ar-SA"/>
        </w:rPr>
        <w:t>以联合体形式进行政府采购的，参加联合体的供应商均应当具备《</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iCs/>
          <w:color w:val="auto"/>
          <w:kern w:val="2"/>
          <w:sz w:val="24"/>
          <w:szCs w:val="24"/>
          <w:highlight w:val="none"/>
          <w:shd w:val="clear" w:color="auto" w:fill="FFFFFF" w:themeFill="background1"/>
          <w:lang w:val="zh-CN" w:eastAsia="zh-CN" w:bidi="ar-SA"/>
        </w:rPr>
        <w:t>》第二十二条规定的条件。</w:t>
      </w:r>
    </w:p>
    <w:p w14:paraId="7EFB49B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2.2</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联合体各方应按招标文件提供的格式签订联合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协议</w:t>
      </w:r>
      <w:r>
        <w:rPr>
          <w:rFonts w:hint="eastAsia" w:ascii="宋体" w:hAnsi="宋体" w:eastAsia="宋体" w:cs="宋体"/>
          <w:iCs/>
          <w:color w:val="auto"/>
          <w:kern w:val="2"/>
          <w:sz w:val="24"/>
          <w:szCs w:val="24"/>
          <w:highlight w:val="none"/>
          <w:shd w:val="clear" w:color="auto" w:fill="FFFFFF" w:themeFill="background1"/>
          <w:lang w:val="en-US" w:eastAsia="zh-CN" w:bidi="ar-SA"/>
        </w:rPr>
        <w:t>书</w:t>
      </w:r>
      <w:r>
        <w:rPr>
          <w:rFonts w:hint="eastAsia" w:ascii="宋体" w:hAnsi="宋体" w:eastAsia="宋体" w:cs="宋体"/>
          <w:iCs/>
          <w:color w:val="auto"/>
          <w:kern w:val="2"/>
          <w:sz w:val="24"/>
          <w:szCs w:val="24"/>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协议</w:t>
      </w:r>
      <w:r>
        <w:rPr>
          <w:rFonts w:hint="eastAsia" w:ascii="宋体" w:hAnsi="宋体" w:eastAsia="宋体" w:cs="宋体"/>
          <w:iCs/>
          <w:color w:val="auto"/>
          <w:kern w:val="2"/>
          <w:sz w:val="24"/>
          <w:szCs w:val="24"/>
          <w:highlight w:val="none"/>
          <w:shd w:val="clear" w:color="auto" w:fill="FFFFFF" w:themeFill="background1"/>
          <w:lang w:val="en-US" w:eastAsia="zh-CN" w:bidi="ar-SA"/>
        </w:rPr>
        <w:t>书</w:t>
      </w:r>
      <w:r>
        <w:rPr>
          <w:rFonts w:hint="eastAsia" w:ascii="宋体" w:hAnsi="宋体" w:eastAsia="宋体" w:cs="宋体"/>
          <w:iCs/>
          <w:color w:val="auto"/>
          <w:kern w:val="2"/>
          <w:sz w:val="24"/>
          <w:szCs w:val="24"/>
          <w:highlight w:val="none"/>
          <w:shd w:val="clear" w:color="auto" w:fill="FFFFFF" w:themeFill="background1"/>
          <w:lang w:val="zh-CN" w:eastAsia="zh-CN" w:bidi="ar-SA"/>
        </w:rPr>
        <w:t>作为投标文件的一部分提交</w:t>
      </w:r>
      <w:r>
        <w:rPr>
          <w:rFonts w:hint="eastAsia"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zh-CN" w:eastAsia="zh-CN" w:bidi="ar-SA"/>
        </w:rPr>
        <w:t>该协议书对联合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体所有成员</w:t>
      </w:r>
      <w:r>
        <w:rPr>
          <w:rFonts w:hint="eastAsia" w:ascii="宋体" w:hAnsi="宋体" w:eastAsia="宋体" w:cs="宋体"/>
          <w:iCs/>
          <w:color w:val="auto"/>
          <w:kern w:val="2"/>
          <w:sz w:val="24"/>
          <w:szCs w:val="24"/>
          <w:highlight w:val="none"/>
          <w:shd w:val="clear" w:color="auto" w:fill="FFFFFF" w:themeFill="background1"/>
          <w:lang w:val="zh-CN" w:eastAsia="zh-CN" w:bidi="ar-SA"/>
        </w:rPr>
        <w:t>均具有法律约束力。</w:t>
      </w:r>
    </w:p>
    <w:p w14:paraId="5343E5B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4.2.3</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21D444C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4</w:t>
      </w:r>
      <w:r>
        <w:rPr>
          <w:rFonts w:hint="eastAsia" w:ascii="宋体" w:hAnsi="宋体" w:eastAsia="宋体" w:cs="宋体"/>
          <w:iCs/>
          <w:color w:val="auto"/>
          <w:kern w:val="2"/>
          <w:sz w:val="24"/>
          <w:szCs w:val="24"/>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宋体" w:hAnsi="宋体" w:eastAsia="宋体" w:cs="宋体"/>
          <w:iCs/>
          <w:color w:val="auto"/>
          <w:kern w:val="2"/>
          <w:sz w:val="24"/>
          <w:szCs w:val="24"/>
          <w:highlight w:val="none"/>
          <w:shd w:val="clear" w:color="auto" w:fill="FFFFFF" w:themeFill="background1"/>
          <w:lang w:val="en-US" w:eastAsia="zh-CN" w:bidi="ar-SA"/>
        </w:rPr>
        <w:t>同一合同项下的</w:t>
      </w:r>
      <w:r>
        <w:rPr>
          <w:rFonts w:hint="eastAsia" w:ascii="宋体" w:hAnsi="宋体" w:eastAsia="宋体" w:cs="宋体"/>
          <w:iCs/>
          <w:color w:val="auto"/>
          <w:kern w:val="2"/>
          <w:sz w:val="24"/>
          <w:szCs w:val="24"/>
          <w:highlight w:val="none"/>
          <w:shd w:val="clear" w:color="auto" w:fill="FFFFFF" w:themeFill="background1"/>
          <w:lang w:val="zh-CN" w:eastAsia="zh-CN" w:bidi="ar-SA"/>
        </w:rPr>
        <w:t>投标，否则相关投标将被认定为</w:t>
      </w:r>
      <w:r>
        <w:rPr>
          <w:rFonts w:hint="eastAsia" w:ascii="宋体" w:hAnsi="宋体" w:eastAsia="宋体" w:cs="宋体"/>
          <w:b/>
          <w:bCs/>
          <w:iCs/>
          <w:color w:val="auto"/>
          <w:kern w:val="2"/>
          <w:sz w:val="24"/>
          <w:szCs w:val="24"/>
          <w:highlight w:val="none"/>
          <w:shd w:val="clear" w:color="auto" w:fill="FFFFFF" w:themeFill="background1"/>
          <w:lang w:val="zh-CN" w:eastAsia="zh-CN" w:bidi="ar-SA"/>
        </w:rPr>
        <w:t>投标无效</w:t>
      </w:r>
      <w:r>
        <w:rPr>
          <w:rFonts w:hint="eastAsia" w:ascii="宋体" w:hAnsi="宋体" w:eastAsia="宋体" w:cs="宋体"/>
          <w:iCs/>
          <w:color w:val="auto"/>
          <w:kern w:val="2"/>
          <w:sz w:val="24"/>
          <w:szCs w:val="24"/>
          <w:highlight w:val="none"/>
          <w:shd w:val="clear" w:color="auto" w:fill="FFFFFF" w:themeFill="background1"/>
          <w:lang w:val="zh-CN" w:eastAsia="zh-CN" w:bidi="ar-SA"/>
        </w:rPr>
        <w:t>。</w:t>
      </w:r>
    </w:p>
    <w:p w14:paraId="2E60D00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w:t>
      </w:r>
      <w:r>
        <w:rPr>
          <w:rFonts w:hint="eastAsia" w:ascii="宋体" w:hAnsi="宋体" w:eastAsia="宋体" w:cs="宋体"/>
          <w:iCs/>
          <w:color w:val="auto"/>
          <w:kern w:val="2"/>
          <w:sz w:val="24"/>
          <w:szCs w:val="24"/>
          <w:highlight w:val="none"/>
          <w:shd w:val="clear" w:color="auto" w:fill="FFFFFF" w:themeFill="background1"/>
          <w:lang w:val="zh-CN" w:eastAsia="zh-CN" w:bidi="ar-SA"/>
        </w:rPr>
        <w:t>.5大中型企业、其他自然人、法人或者非法人组织与小型、微型企业组成联合体共同参加投标</w:t>
      </w:r>
      <w:r>
        <w:rPr>
          <w:rFonts w:hint="eastAsia" w:ascii="宋体" w:hAnsi="宋体" w:eastAsia="宋体" w:cs="宋体"/>
          <w:iCs/>
          <w:color w:val="auto"/>
          <w:kern w:val="2"/>
          <w:sz w:val="24"/>
          <w:szCs w:val="24"/>
          <w:highlight w:val="none"/>
          <w:shd w:val="clear" w:color="auto" w:fill="FFFFFF" w:themeFill="background1"/>
          <w:lang w:val="en-US" w:eastAsia="zh-CN" w:bidi="ar-SA"/>
        </w:rPr>
        <w:t>的</w:t>
      </w:r>
      <w:r>
        <w:rPr>
          <w:rFonts w:hint="eastAsia" w:ascii="宋体" w:hAnsi="宋体" w:eastAsia="宋体" w:cs="宋体"/>
          <w:iCs/>
          <w:color w:val="auto"/>
          <w:kern w:val="2"/>
          <w:sz w:val="24"/>
          <w:szCs w:val="24"/>
          <w:highlight w:val="none"/>
          <w:shd w:val="clear" w:color="auto" w:fill="FFFFFF" w:themeFill="background1"/>
          <w:lang w:val="zh-CN" w:eastAsia="zh-CN" w:bidi="ar-SA"/>
        </w:rPr>
        <w:t>，联合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协议</w:t>
      </w:r>
      <w:r>
        <w:rPr>
          <w:rFonts w:hint="eastAsia" w:ascii="宋体" w:hAnsi="宋体" w:eastAsia="宋体" w:cs="宋体"/>
          <w:iCs/>
          <w:color w:val="auto"/>
          <w:kern w:val="2"/>
          <w:sz w:val="24"/>
          <w:szCs w:val="24"/>
          <w:highlight w:val="none"/>
          <w:shd w:val="clear" w:color="auto" w:fill="FFFFFF" w:themeFill="background1"/>
          <w:lang w:val="en-US" w:eastAsia="zh-CN" w:bidi="ar-SA"/>
        </w:rPr>
        <w:t>书</w:t>
      </w:r>
      <w:r>
        <w:rPr>
          <w:rFonts w:hint="eastAsia" w:ascii="宋体" w:hAnsi="宋体" w:eastAsia="宋体" w:cs="宋体"/>
          <w:iCs/>
          <w:color w:val="auto"/>
          <w:kern w:val="2"/>
          <w:sz w:val="24"/>
          <w:szCs w:val="24"/>
          <w:highlight w:val="none"/>
          <w:shd w:val="clear" w:color="auto" w:fill="FFFFFF" w:themeFill="background1"/>
          <w:lang w:val="zh-CN" w:eastAsia="zh-CN" w:bidi="ar-SA"/>
        </w:rPr>
        <w:t>中应写明小型、微型企业的合同金额占到联合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投标</w:t>
      </w:r>
      <w:r>
        <w:rPr>
          <w:rFonts w:hint="eastAsia" w:ascii="宋体" w:hAnsi="宋体" w:eastAsia="宋体" w:cs="宋体"/>
          <w:iCs/>
          <w:color w:val="auto"/>
          <w:kern w:val="2"/>
          <w:sz w:val="24"/>
          <w:szCs w:val="24"/>
          <w:highlight w:val="none"/>
          <w:shd w:val="clear" w:color="auto" w:fill="FFFFFF" w:themeFill="background1"/>
          <w:lang w:val="en-US" w:eastAsia="zh-CN" w:bidi="ar-SA"/>
        </w:rPr>
        <w:t>合同</w:t>
      </w:r>
      <w:r>
        <w:rPr>
          <w:rFonts w:hint="eastAsia" w:ascii="宋体" w:hAnsi="宋体" w:eastAsia="宋体" w:cs="宋体"/>
          <w:iCs/>
          <w:color w:val="auto"/>
          <w:kern w:val="2"/>
          <w:sz w:val="24"/>
          <w:szCs w:val="24"/>
          <w:highlight w:val="none"/>
          <w:shd w:val="clear" w:color="auto" w:fill="FFFFFF" w:themeFill="background1"/>
          <w:lang w:val="zh-CN" w:eastAsia="zh-CN" w:bidi="ar-SA"/>
        </w:rPr>
        <w:t>总金额的比例。</w:t>
      </w:r>
    </w:p>
    <w:p w14:paraId="7127D16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zh-CN" w:eastAsia="zh-CN" w:bidi="ar-SA"/>
        </w:rPr>
        <w:t>4.2</w:t>
      </w:r>
      <w:r>
        <w:rPr>
          <w:rFonts w:hint="eastAsia" w:ascii="宋体" w:hAnsi="宋体" w:eastAsia="宋体" w:cs="宋体"/>
          <w:iCs/>
          <w:color w:val="auto"/>
          <w:kern w:val="2"/>
          <w:sz w:val="24"/>
          <w:szCs w:val="24"/>
          <w:highlight w:val="none"/>
          <w:shd w:val="clear" w:color="auto" w:fill="FFFFFF" w:themeFill="background1"/>
          <w:lang w:val="en-US" w:eastAsia="zh-CN" w:bidi="ar-SA"/>
        </w:rPr>
        <w:t>.6</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联合体中标</w:t>
      </w:r>
      <w:r>
        <w:rPr>
          <w:rFonts w:hint="eastAsia" w:ascii="宋体" w:hAnsi="宋体" w:eastAsia="宋体" w:cs="宋体"/>
          <w:iCs/>
          <w:color w:val="auto"/>
          <w:kern w:val="2"/>
          <w:sz w:val="24"/>
          <w:szCs w:val="24"/>
          <w:highlight w:val="none"/>
          <w:shd w:val="clear" w:color="auto" w:fill="FFFFFF" w:themeFill="background1"/>
          <w:lang w:val="en-US" w:eastAsia="zh-CN" w:bidi="ar-SA"/>
        </w:rPr>
        <w:t>的</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采购</w:t>
      </w:r>
      <w:r>
        <w:rPr>
          <w:rFonts w:hint="eastAsia" w:ascii="宋体" w:hAnsi="宋体" w:eastAsia="宋体" w:cs="宋体"/>
          <w:iCs/>
          <w:color w:val="auto"/>
          <w:kern w:val="2"/>
          <w:sz w:val="24"/>
          <w:szCs w:val="24"/>
          <w:highlight w:val="none"/>
          <w:shd w:val="clear" w:color="auto" w:fill="FFFFFF" w:themeFill="background1"/>
          <w:lang w:val="zh-CN" w:eastAsia="zh-CN" w:bidi="ar-SA"/>
        </w:rPr>
        <w:t>合同应由</w:t>
      </w:r>
      <w:r>
        <w:rPr>
          <w:rFonts w:hint="eastAsia" w:ascii="宋体" w:hAnsi="宋体" w:eastAsia="宋体" w:cs="宋体"/>
          <w:iCs/>
          <w:color w:val="auto"/>
          <w:kern w:val="2"/>
          <w:sz w:val="24"/>
          <w:szCs w:val="24"/>
          <w:highlight w:val="none"/>
          <w:shd w:val="clear" w:color="auto" w:fill="FFFFFF" w:themeFill="background1"/>
          <w:lang w:val="en-US" w:eastAsia="zh-CN" w:bidi="ar-SA"/>
        </w:rPr>
        <w:t>联合体</w:t>
      </w:r>
      <w:r>
        <w:rPr>
          <w:rFonts w:hint="eastAsia" w:ascii="宋体" w:hAnsi="宋体" w:eastAsia="宋体" w:cs="宋体"/>
          <w:iCs/>
          <w:color w:val="auto"/>
          <w:kern w:val="2"/>
          <w:sz w:val="24"/>
          <w:szCs w:val="24"/>
          <w:highlight w:val="none"/>
          <w:shd w:val="clear" w:color="auto" w:fill="FFFFFF" w:themeFill="background1"/>
          <w:lang w:val="zh-CN" w:eastAsia="zh-CN" w:bidi="ar-SA"/>
        </w:rPr>
        <w:t>各成员的合法授权代表签字</w:t>
      </w:r>
      <w:r>
        <w:rPr>
          <w:rFonts w:hint="eastAsia" w:ascii="宋体" w:hAnsi="宋体" w:eastAsia="宋体" w:cs="宋体"/>
          <w:iCs/>
          <w:color w:val="auto"/>
          <w:kern w:val="2"/>
          <w:sz w:val="24"/>
          <w:szCs w:val="24"/>
          <w:highlight w:val="none"/>
          <w:shd w:val="clear" w:color="auto" w:fill="FFFFFF" w:themeFill="background1"/>
          <w:lang w:val="en-US" w:eastAsia="zh-CN" w:bidi="ar-SA"/>
        </w:rPr>
        <w:t>及</w:t>
      </w:r>
      <w:r>
        <w:rPr>
          <w:rFonts w:hint="eastAsia" w:ascii="宋体" w:hAnsi="宋体" w:eastAsia="宋体" w:cs="宋体"/>
          <w:iCs/>
          <w:color w:val="auto"/>
          <w:kern w:val="2"/>
          <w:sz w:val="24"/>
          <w:szCs w:val="24"/>
          <w:highlight w:val="none"/>
          <w:shd w:val="clear" w:color="auto" w:fill="FFFFFF" w:themeFill="background1"/>
          <w:lang w:val="zh-CN" w:eastAsia="zh-CN" w:bidi="ar-SA"/>
        </w:rPr>
        <w:t>加盖</w:t>
      </w:r>
      <w:r>
        <w:rPr>
          <w:rFonts w:hint="eastAsia" w:ascii="宋体" w:hAnsi="宋体" w:eastAsia="宋体" w:cs="宋体"/>
          <w:iCs/>
          <w:color w:val="auto"/>
          <w:kern w:val="2"/>
          <w:sz w:val="24"/>
          <w:szCs w:val="24"/>
          <w:highlight w:val="none"/>
          <w:shd w:val="clear" w:color="auto" w:fill="FFFFFF" w:themeFill="background1"/>
          <w:lang w:val="en-US" w:eastAsia="zh-CN" w:bidi="ar-SA"/>
        </w:rPr>
        <w:t>联合体</w:t>
      </w:r>
      <w:r>
        <w:rPr>
          <w:rFonts w:hint="eastAsia" w:ascii="宋体" w:hAnsi="宋体" w:eastAsia="宋体" w:cs="宋体"/>
          <w:iCs/>
          <w:color w:val="auto"/>
          <w:kern w:val="2"/>
          <w:sz w:val="24"/>
          <w:szCs w:val="24"/>
          <w:highlight w:val="none"/>
          <w:shd w:val="clear" w:color="auto" w:fill="FFFFFF" w:themeFill="background1"/>
          <w:lang w:val="zh-CN" w:eastAsia="zh-CN" w:bidi="ar-SA"/>
        </w:rPr>
        <w:t>各成员公章，</w:t>
      </w:r>
      <w:r>
        <w:rPr>
          <w:rFonts w:hint="eastAsia" w:ascii="宋体" w:hAnsi="宋体" w:eastAsia="宋体" w:cs="宋体"/>
          <w:iCs/>
          <w:color w:val="auto"/>
          <w:kern w:val="2"/>
          <w:sz w:val="24"/>
          <w:szCs w:val="24"/>
          <w:highlight w:val="none"/>
          <w:shd w:val="clear" w:color="auto" w:fill="FFFFFF" w:themeFill="background1"/>
          <w:lang w:val="en-US" w:eastAsia="zh-CN" w:bidi="ar-SA"/>
        </w:rPr>
        <w:t>并</w:t>
      </w:r>
      <w:r>
        <w:rPr>
          <w:rFonts w:hint="eastAsia" w:ascii="宋体" w:hAnsi="宋体" w:eastAsia="宋体" w:cs="宋体"/>
          <w:iCs/>
          <w:color w:val="auto"/>
          <w:kern w:val="2"/>
          <w:sz w:val="24"/>
          <w:szCs w:val="24"/>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72C3CFE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zh-CN" w:eastAsia="zh-CN" w:bidi="ar-SA"/>
        </w:rPr>
        <w:t>4.2</w:t>
      </w:r>
      <w:r>
        <w:rPr>
          <w:rFonts w:hint="eastAsia" w:ascii="宋体" w:hAnsi="宋体" w:eastAsia="宋体" w:cs="宋体"/>
          <w:iCs/>
          <w:color w:val="auto"/>
          <w:kern w:val="2"/>
          <w:sz w:val="24"/>
          <w:szCs w:val="24"/>
          <w:highlight w:val="none"/>
          <w:shd w:val="clear" w:color="auto" w:fill="FFFFFF" w:themeFill="background1"/>
          <w:lang w:val="en-US" w:eastAsia="zh-CN" w:bidi="ar-SA"/>
        </w:rPr>
        <w:t>.7</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宋体"/>
          <w:iCs/>
          <w:color w:val="auto"/>
          <w:kern w:val="2"/>
          <w:sz w:val="24"/>
          <w:szCs w:val="24"/>
          <w:highlight w:val="none"/>
          <w:shd w:val="clear" w:color="auto" w:fill="FFFFFF" w:themeFill="background1"/>
          <w:lang w:val="en-US" w:eastAsia="zh-CN" w:bidi="ar-SA"/>
        </w:rPr>
        <w:t>人</w:t>
      </w:r>
      <w:r>
        <w:rPr>
          <w:rFonts w:hint="eastAsia" w:ascii="宋体" w:hAnsi="宋体" w:eastAsia="宋体" w:cs="宋体"/>
          <w:iCs/>
          <w:color w:val="auto"/>
          <w:kern w:val="2"/>
          <w:sz w:val="24"/>
          <w:szCs w:val="24"/>
          <w:highlight w:val="none"/>
          <w:shd w:val="clear" w:color="auto" w:fill="FFFFFF" w:themeFill="background1"/>
          <w:lang w:val="zh-CN" w:eastAsia="zh-CN" w:bidi="ar-SA"/>
        </w:rPr>
        <w:t>书面同意并且须遵守相关法律、法规、本次招标的全部相关规定。</w:t>
      </w:r>
    </w:p>
    <w:p w14:paraId="7D2803A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8</w:t>
      </w:r>
      <w:r>
        <w:rPr>
          <w:rFonts w:hint="eastAsia" w:ascii="宋体" w:hAnsi="宋体" w:eastAsia="宋体" w:cs="宋体"/>
          <w:iCs/>
          <w:color w:val="auto"/>
          <w:kern w:val="2"/>
          <w:sz w:val="24"/>
          <w:szCs w:val="24"/>
          <w:highlight w:val="none"/>
          <w:shd w:val="clear" w:color="auto" w:fill="FFFFFF" w:themeFill="background1"/>
          <w:lang w:val="zh-CN" w:eastAsia="zh-CN" w:bidi="ar-SA"/>
        </w:rPr>
        <w:t>对联合体投标的其他资格要求见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中的“二、</w:t>
      </w:r>
      <w:r>
        <w:rPr>
          <w:rFonts w:hint="eastAsia" w:ascii="宋体" w:hAnsi="宋体" w:eastAsia="宋体" w:cs="宋体"/>
          <w:iCs/>
          <w:color w:val="auto"/>
          <w:kern w:val="2"/>
          <w:sz w:val="24"/>
          <w:szCs w:val="24"/>
          <w:highlight w:val="none"/>
          <w:shd w:val="clear" w:color="auto" w:fill="FFFFFF" w:themeFill="background1"/>
          <w:lang w:val="en-US" w:eastAsia="zh-CN" w:bidi="ar-SA"/>
        </w:rPr>
        <w:t>申请人的</w:t>
      </w:r>
      <w:r>
        <w:rPr>
          <w:rFonts w:hint="eastAsia" w:ascii="宋体" w:hAnsi="宋体" w:eastAsia="宋体" w:cs="宋体"/>
          <w:iCs/>
          <w:color w:val="auto"/>
          <w:kern w:val="2"/>
          <w:sz w:val="24"/>
          <w:szCs w:val="24"/>
          <w:highlight w:val="none"/>
          <w:shd w:val="clear" w:color="auto" w:fill="FFFFFF" w:themeFill="background1"/>
          <w:lang w:val="zh-CN" w:eastAsia="zh-CN" w:bidi="ar-SA"/>
        </w:rPr>
        <w:t>资格</w:t>
      </w:r>
      <w:r>
        <w:rPr>
          <w:rFonts w:hint="eastAsia" w:ascii="宋体" w:hAnsi="宋体" w:eastAsia="宋体" w:cs="宋体"/>
          <w:iCs/>
          <w:color w:val="auto"/>
          <w:kern w:val="2"/>
          <w:sz w:val="24"/>
          <w:szCs w:val="24"/>
          <w:highlight w:val="none"/>
          <w:shd w:val="clear" w:color="auto" w:fill="FFFFFF" w:themeFill="background1"/>
          <w:lang w:val="en-US" w:eastAsia="zh-CN" w:bidi="ar-SA"/>
        </w:rPr>
        <w:t>要求”</w:t>
      </w:r>
      <w:r>
        <w:rPr>
          <w:rFonts w:hint="eastAsia" w:ascii="宋体" w:hAnsi="宋体" w:eastAsia="宋体" w:cs="宋体"/>
          <w:iCs/>
          <w:color w:val="auto"/>
          <w:kern w:val="2"/>
          <w:sz w:val="24"/>
          <w:szCs w:val="24"/>
          <w:highlight w:val="none"/>
          <w:shd w:val="clear" w:color="auto" w:fill="FFFFFF" w:themeFill="background1"/>
          <w:lang w:val="zh-CN" w:eastAsia="zh-CN" w:bidi="ar-SA"/>
        </w:rPr>
        <w:t>。</w:t>
      </w:r>
    </w:p>
    <w:p w14:paraId="4DE6446D">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42" w:name="_Toc18213"/>
      <w:bookmarkStart w:id="143" w:name="_Toc1799"/>
      <w:bookmarkStart w:id="144" w:name="_Toc19194"/>
      <w:bookmarkStart w:id="145" w:name="_Toc163492827"/>
      <w:r>
        <w:rPr>
          <w:rFonts w:hint="eastAsia" w:ascii="宋体" w:hAnsi="宋体" w:eastAsia="宋体" w:cs="宋体"/>
          <w:b/>
          <w:bCs/>
          <w:color w:val="auto"/>
          <w:kern w:val="2"/>
          <w:sz w:val="24"/>
          <w:szCs w:val="24"/>
          <w:highlight w:val="none"/>
          <w:lang w:val="en-US" w:eastAsia="zh-CN" w:bidi="ar-SA"/>
        </w:rPr>
        <w:t>5.费用承担</w:t>
      </w:r>
      <w:bookmarkEnd w:id="142"/>
      <w:bookmarkEnd w:id="143"/>
      <w:bookmarkEnd w:id="144"/>
      <w:bookmarkEnd w:id="145"/>
    </w:p>
    <w:p w14:paraId="3C6741ED">
      <w:pPr>
        <w:pStyle w:val="40"/>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不论投标的结果如何，投标人应承担所有与准备和参加投标有关的费用。</w:t>
      </w:r>
    </w:p>
    <w:p w14:paraId="0CE9ACA3">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46" w:name="_Toc163492828"/>
      <w:bookmarkStart w:id="147" w:name="_Toc19870"/>
      <w:bookmarkStart w:id="148" w:name="_Toc12320"/>
      <w:bookmarkStart w:id="149" w:name="_Toc140132761"/>
      <w:bookmarkStart w:id="150" w:name="_Toc29375"/>
      <w:r>
        <w:rPr>
          <w:rFonts w:hint="eastAsia" w:ascii="宋体" w:hAnsi="宋体" w:eastAsia="宋体" w:cs="宋体"/>
          <w:b/>
          <w:bCs/>
          <w:color w:val="auto"/>
          <w:kern w:val="2"/>
          <w:sz w:val="24"/>
          <w:szCs w:val="24"/>
          <w:highlight w:val="none"/>
          <w:lang w:val="en-US" w:eastAsia="zh-CN" w:bidi="ar-SA"/>
        </w:rPr>
        <w:t>6.保密</w:t>
      </w:r>
      <w:bookmarkEnd w:id="146"/>
      <w:bookmarkEnd w:id="147"/>
      <w:bookmarkEnd w:id="148"/>
      <w:bookmarkEnd w:id="149"/>
      <w:bookmarkEnd w:id="150"/>
    </w:p>
    <w:p w14:paraId="7CBA93F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参与招标投标活动的各方应对招标文件和投标文件中的商业和技术等秘密保密，否则应承担相应的法律责任。</w:t>
      </w:r>
    </w:p>
    <w:p w14:paraId="2947ABF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2 </w:t>
      </w:r>
      <w:r>
        <w:rPr>
          <w:rFonts w:hint="eastAsia" w:ascii="宋体" w:hAnsi="宋体" w:eastAsia="宋体" w:cs="宋体"/>
          <w:color w:val="auto"/>
          <w:kern w:val="2"/>
          <w:sz w:val="24"/>
          <w:szCs w:val="24"/>
          <w:highlight w:val="none"/>
        </w:rPr>
        <w:t>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8BD9605">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3 </w:t>
      </w:r>
      <w:r>
        <w:rPr>
          <w:rFonts w:hint="eastAsia" w:ascii="宋体" w:hAnsi="宋体" w:eastAsia="宋体" w:cs="宋体"/>
          <w:color w:val="auto"/>
          <w:kern w:val="2"/>
          <w:sz w:val="24"/>
          <w:szCs w:val="24"/>
          <w:highlight w:val="none"/>
        </w:rPr>
        <w:t>采购代理机构有权将投标人提供的所有资料向有关政府部门或评审</w:t>
      </w:r>
      <w:r>
        <w:rPr>
          <w:rFonts w:hint="eastAsia" w:ascii="宋体" w:hAnsi="宋体" w:eastAsia="宋体" w:cs="宋体"/>
          <w:color w:val="auto"/>
          <w:kern w:val="2"/>
          <w:sz w:val="24"/>
          <w:szCs w:val="24"/>
          <w:highlight w:val="none"/>
          <w:lang w:val="en-US" w:eastAsia="zh-CN"/>
        </w:rPr>
        <w:t>投标文件</w:t>
      </w:r>
      <w:r>
        <w:rPr>
          <w:rFonts w:hint="eastAsia" w:ascii="宋体" w:hAnsi="宋体" w:eastAsia="宋体" w:cs="宋体"/>
          <w:color w:val="auto"/>
          <w:kern w:val="2"/>
          <w:sz w:val="24"/>
          <w:szCs w:val="24"/>
          <w:highlight w:val="none"/>
        </w:rPr>
        <w:t>的有关人员披露。</w:t>
      </w:r>
    </w:p>
    <w:p w14:paraId="0EE6357E">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4 各级人民政府财政部门对政府采购活动进行监督检查，有权查阅、复制有关文件、资料，相关单位和人员应当予以配合</w:t>
      </w:r>
      <w:r>
        <w:rPr>
          <w:rFonts w:hint="eastAsia" w:ascii="宋体" w:hAnsi="宋体" w:eastAsia="宋体" w:cs="宋体"/>
          <w:color w:val="auto"/>
          <w:kern w:val="2"/>
          <w:sz w:val="24"/>
          <w:szCs w:val="24"/>
          <w:highlight w:val="none"/>
        </w:rPr>
        <w:t>。</w:t>
      </w:r>
    </w:p>
    <w:p w14:paraId="284B114B">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51" w:name="_Toc2247"/>
      <w:bookmarkStart w:id="152" w:name="_Toc140132762"/>
      <w:bookmarkStart w:id="153" w:name="_Toc23819"/>
      <w:bookmarkStart w:id="154" w:name="_Toc489"/>
      <w:bookmarkStart w:id="155" w:name="_Toc163492829"/>
      <w:r>
        <w:rPr>
          <w:rFonts w:hint="eastAsia" w:ascii="宋体" w:hAnsi="宋体" w:eastAsia="宋体" w:cs="宋体"/>
          <w:b/>
          <w:bCs/>
          <w:color w:val="auto"/>
          <w:kern w:val="2"/>
          <w:sz w:val="24"/>
          <w:szCs w:val="24"/>
          <w:highlight w:val="none"/>
          <w:lang w:val="en-US" w:eastAsia="zh-CN" w:bidi="ar-SA"/>
        </w:rPr>
        <w:t>7.语言文字</w:t>
      </w:r>
      <w:bookmarkEnd w:id="151"/>
      <w:bookmarkEnd w:id="152"/>
      <w:bookmarkEnd w:id="153"/>
      <w:bookmarkEnd w:id="154"/>
      <w:bookmarkEnd w:id="155"/>
    </w:p>
    <w:p w14:paraId="2514093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7.1招标投标</w:t>
      </w:r>
      <w:r>
        <w:rPr>
          <w:rFonts w:hint="eastAsia" w:ascii="宋体" w:hAnsi="宋体" w:eastAsia="宋体" w:cs="宋体"/>
          <w:color w:val="auto"/>
          <w:sz w:val="24"/>
          <w:szCs w:val="24"/>
          <w:highlight w:val="none"/>
          <w:lang w:val="en-US" w:eastAsia="zh-CN"/>
        </w:rPr>
        <w:t>过程</w:t>
      </w:r>
      <w:r>
        <w:rPr>
          <w:rFonts w:hint="eastAsia" w:ascii="宋体" w:hAnsi="宋体" w:eastAsia="宋体" w:cs="宋体"/>
          <w:color w:val="auto"/>
          <w:sz w:val="24"/>
          <w:szCs w:val="24"/>
          <w:highlight w:val="none"/>
        </w:rPr>
        <w:t>文件使用的语言文字为中文。专用术语使用外文的，应附有中文注释。</w:t>
      </w:r>
      <w:r>
        <w:rPr>
          <w:rFonts w:hint="eastAsia" w:ascii="宋体" w:hAnsi="宋体" w:eastAsia="宋体" w:cs="宋体"/>
          <w:color w:val="auto"/>
          <w:sz w:val="24"/>
          <w:szCs w:val="24"/>
          <w:highlight w:val="none"/>
          <w:lang w:val="en-US" w:eastAsia="zh-CN"/>
        </w:rPr>
        <w:t>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F336166">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56" w:name="_Toc163492830"/>
      <w:bookmarkStart w:id="157" w:name="_Toc23417"/>
      <w:bookmarkStart w:id="158" w:name="_Toc140132763"/>
      <w:bookmarkStart w:id="159" w:name="_Toc18687"/>
      <w:bookmarkStart w:id="160" w:name="_Toc9364"/>
      <w:r>
        <w:rPr>
          <w:rFonts w:hint="eastAsia" w:ascii="宋体" w:hAnsi="宋体" w:eastAsia="宋体" w:cs="宋体"/>
          <w:b/>
          <w:bCs/>
          <w:color w:val="auto"/>
          <w:kern w:val="2"/>
          <w:sz w:val="24"/>
          <w:szCs w:val="24"/>
          <w:highlight w:val="none"/>
          <w:lang w:val="en-US" w:eastAsia="zh-CN" w:bidi="ar-SA"/>
        </w:rPr>
        <w:t>8.计量单位</w:t>
      </w:r>
      <w:bookmarkEnd w:id="156"/>
      <w:bookmarkEnd w:id="157"/>
      <w:bookmarkEnd w:id="158"/>
      <w:bookmarkEnd w:id="159"/>
      <w:bookmarkEnd w:id="160"/>
    </w:p>
    <w:p w14:paraId="45A7AE5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8.1所有计量均采用中华人民共和国法定计量单位。</w:t>
      </w:r>
    </w:p>
    <w:p w14:paraId="099F3EF6">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61" w:name="_Toc140132764"/>
      <w:bookmarkStart w:id="162" w:name="_Toc31192"/>
      <w:bookmarkStart w:id="163" w:name="_Toc11023"/>
      <w:bookmarkStart w:id="164" w:name="_Toc163492831"/>
      <w:bookmarkStart w:id="165" w:name="_Toc11937"/>
      <w:r>
        <w:rPr>
          <w:rFonts w:hint="eastAsia" w:ascii="宋体" w:hAnsi="宋体" w:eastAsia="宋体" w:cs="宋体"/>
          <w:b/>
          <w:bCs/>
          <w:color w:val="auto"/>
          <w:kern w:val="2"/>
          <w:sz w:val="24"/>
          <w:szCs w:val="24"/>
          <w:highlight w:val="none"/>
          <w:lang w:val="en-US" w:eastAsia="zh-CN" w:bidi="ar-SA"/>
        </w:rPr>
        <w:t>9.现场考察和答疑会</w:t>
      </w:r>
      <w:bookmarkEnd w:id="161"/>
      <w:bookmarkEnd w:id="162"/>
      <w:bookmarkEnd w:id="163"/>
      <w:bookmarkEnd w:id="164"/>
      <w:bookmarkEnd w:id="165"/>
    </w:p>
    <w:p w14:paraId="5A8B8C4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166" w:name="_Hlk143529198"/>
      <w:r>
        <w:rPr>
          <w:rFonts w:hint="eastAsia" w:ascii="宋体" w:hAnsi="宋体" w:eastAsia="宋体" w:cs="宋体"/>
          <w:color w:val="auto"/>
          <w:sz w:val="24"/>
          <w:szCs w:val="24"/>
          <w:highlight w:val="none"/>
        </w:rPr>
        <w:t xml:space="preserve">9.1 “投标人须知前附表”规定组织现场考察的，采购代理机构按“投标人须知前附表”规定的时间、地点组织投标人项目现场考察。 </w:t>
      </w:r>
    </w:p>
    <w:p w14:paraId="5F8A235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投标人现场考察发生的费用自理。</w:t>
      </w:r>
    </w:p>
    <w:p w14:paraId="199A48B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在现场考察中，因投标人自身原因发生的人员伤亡和财产损失，由投标人自行负责。</w:t>
      </w:r>
    </w:p>
    <w:p w14:paraId="6F1F6A2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采购人在现场考察中介绍的项目场地和相关的周边环境情况，仅供投标人在编制投标文件时参考，采购人和采购代理机构不对投标人据此作出的判断和决策负责。</w:t>
      </w:r>
    </w:p>
    <w:p w14:paraId="0E249AE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“投标人须知前附表”规定召开答疑会的，采购代理机构按“投标人须知前附表”规定的时间和地点召开答疑会，澄清投标人提出的问题。</w:t>
      </w:r>
    </w:p>
    <w:p w14:paraId="0094384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9.6 由于未参加现场考察或未参加标前答疑会而导致对项目实际情况不了解，影响投标文件编制、投标报价准确性、综合因素响应不全面等问题的，由投标人自行承担不利评审后果。</w:t>
      </w:r>
    </w:p>
    <w:bookmarkEnd w:id="166"/>
    <w:p w14:paraId="015C1ED3">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67" w:name="_Toc155185858"/>
      <w:bookmarkStart w:id="168" w:name="_Toc28644"/>
      <w:bookmarkStart w:id="169" w:name="_Toc24524"/>
      <w:bookmarkStart w:id="170" w:name="_Toc163492833"/>
      <w:bookmarkStart w:id="171" w:name="_Toc3693"/>
      <w:bookmarkStart w:id="172" w:name="_Toc155185871"/>
      <w:r>
        <w:rPr>
          <w:rFonts w:hint="eastAsia" w:ascii="宋体" w:hAnsi="宋体" w:eastAsia="宋体" w:cs="宋体"/>
          <w:b/>
          <w:bCs/>
          <w:color w:val="auto"/>
          <w:kern w:val="2"/>
          <w:sz w:val="24"/>
          <w:szCs w:val="24"/>
          <w:highlight w:val="none"/>
          <w:lang w:val="en-US" w:eastAsia="zh-CN" w:bidi="ar-SA"/>
        </w:rPr>
        <w:t>10.电子投标说明</w:t>
      </w:r>
      <w:bookmarkEnd w:id="167"/>
      <w:bookmarkEnd w:id="168"/>
      <w:bookmarkEnd w:id="169"/>
      <w:bookmarkEnd w:id="170"/>
      <w:bookmarkEnd w:id="171"/>
      <w:r>
        <w:rPr>
          <w:rFonts w:hint="eastAsia" w:ascii="宋体" w:hAnsi="宋体" w:eastAsia="宋体" w:cs="宋体"/>
          <w:b/>
          <w:bCs/>
          <w:color w:val="auto"/>
          <w:kern w:val="2"/>
          <w:sz w:val="24"/>
          <w:szCs w:val="24"/>
          <w:highlight w:val="none"/>
          <w:lang w:val="en-US" w:eastAsia="zh-CN" w:bidi="ar-SA"/>
        </w:rPr>
        <w:t xml:space="preserve">   </w:t>
      </w:r>
    </w:p>
    <w:p w14:paraId="1885013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10.1 </w:t>
      </w:r>
      <w:r>
        <w:rPr>
          <w:rFonts w:hint="eastAsia" w:ascii="宋体" w:hAnsi="宋体" w:eastAsia="宋体" w:cs="宋体"/>
          <w:color w:val="auto"/>
          <w:sz w:val="24"/>
          <w:szCs w:val="24"/>
          <w:highlight w:val="none"/>
        </w:rPr>
        <w:t>本次采购采用电子交易方式，电子交易平台为</w:t>
      </w:r>
      <w:r>
        <w:rPr>
          <w:rFonts w:hint="eastAsia" w:cs="宋体"/>
          <w:color w:val="auto"/>
          <w:sz w:val="24"/>
          <w:szCs w:val="24"/>
          <w:highlight w:val="none"/>
          <w:lang w:val="en-US" w:eastAsia="zh-CN"/>
        </w:rPr>
        <w:t>新疆</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val="hr-HR"/>
        </w:rPr>
        <w:t>：</w:t>
      </w:r>
      <w:r>
        <w:rPr>
          <w:rFonts w:hint="eastAsia" w:ascii="宋体" w:hAnsi="宋体" w:eastAsia="宋体"/>
          <w:color w:val="auto"/>
          <w:sz w:val="24"/>
          <w:highlight w:val="none"/>
          <w:lang w:val="hr-HR"/>
        </w:rPr>
        <w:t>http://www.ccgp-xinjiang.gov.cn/</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。投标人参与本项目电子交易活动前，应</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政</w:t>
      </w:r>
      <w:r>
        <w:rPr>
          <w:rFonts w:hint="eastAsia" w:ascii="宋体" w:hAnsi="宋体" w:eastAsia="宋体" w:cs="宋体"/>
          <w:color w:val="auto"/>
          <w:sz w:val="24"/>
          <w:szCs w:val="24"/>
          <w:highlight w:val="none"/>
          <w:lang w:val="en-US" w:eastAsia="zh-CN"/>
        </w:rPr>
        <w:t>采</w:t>
      </w:r>
      <w:r>
        <w:rPr>
          <w:rFonts w:hint="eastAsia" w:ascii="宋体" w:hAnsi="宋体" w:eastAsia="宋体" w:cs="宋体"/>
          <w:color w:val="auto"/>
          <w:sz w:val="24"/>
          <w:szCs w:val="24"/>
          <w:highlight w:val="none"/>
          <w:lang w:val="en-US"/>
        </w:rPr>
        <w:t>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注册</w:t>
      </w:r>
      <w:r>
        <w:rPr>
          <w:rFonts w:hint="eastAsia" w:ascii="宋体" w:hAnsi="宋体" w:eastAsia="宋体" w:cs="宋体"/>
          <w:color w:val="auto"/>
          <w:sz w:val="24"/>
          <w:szCs w:val="24"/>
          <w:highlight w:val="none"/>
          <w:lang w:val="en-US" w:eastAsia="zh-CN"/>
        </w:rPr>
        <w:t>供应商账号</w:t>
      </w:r>
      <w:r>
        <w:rPr>
          <w:rFonts w:hint="eastAsia" w:ascii="宋体" w:hAnsi="宋体" w:eastAsia="宋体" w:cs="宋体"/>
          <w:color w:val="auto"/>
          <w:sz w:val="24"/>
          <w:szCs w:val="24"/>
          <w:highlight w:val="none"/>
        </w:rPr>
        <w:t>。编制电子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文件前还需</w:t>
      </w:r>
      <w:r>
        <w:rPr>
          <w:rFonts w:hint="eastAsia" w:ascii="宋体" w:hAnsi="宋体" w:eastAsia="宋体" w:cs="宋体"/>
          <w:color w:val="auto"/>
          <w:sz w:val="24"/>
          <w:szCs w:val="24"/>
          <w:highlight w:val="none"/>
          <w:lang w:val="en-US" w:eastAsia="zh-CN"/>
        </w:rPr>
        <w:t>申领CA证书并绑定帐号。投标人应充分考虑完成平台注册、申领CA证书等所需的时间。</w:t>
      </w:r>
      <w:r>
        <w:rPr>
          <w:rFonts w:hint="eastAsia" w:ascii="宋体" w:hAnsi="宋体" w:eastAsia="宋体" w:cs="宋体"/>
          <w:color w:val="auto"/>
          <w:sz w:val="24"/>
          <w:szCs w:val="24"/>
          <w:highlight w:val="none"/>
          <w:lang w:val="zh-CN" w:eastAsia="zh-CN"/>
        </w:rPr>
        <w:t>潜在投标人领取文件须提前完成注册、CA证书和电子签章申领和绑定、下载投标客户端。因未办理CA数字证书、CA证书故障、操作不当等原因造成无法投标或投标失败等后果由投标人自行承担。</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登录</w:t>
      </w:r>
      <w:r>
        <w:rPr>
          <w:rFonts w:hint="eastAsia" w:cs="宋体"/>
          <w:color w:val="auto"/>
          <w:sz w:val="24"/>
          <w:szCs w:val="24"/>
          <w:highlight w:val="none"/>
          <w:lang w:val="en-US" w:eastAsia="zh-CN"/>
        </w:rPr>
        <w:t>新疆</w:t>
      </w:r>
      <w:r>
        <w:rPr>
          <w:rFonts w:hint="eastAsia" w:ascii="宋体" w:hAnsi="宋体" w:eastAsia="宋体" w:cs="宋体"/>
          <w:color w:val="auto"/>
          <w:sz w:val="24"/>
          <w:szCs w:val="24"/>
          <w:highlight w:val="none"/>
          <w:lang w:val="zh-CN" w:eastAsia="zh-CN"/>
        </w:rPr>
        <w:t>政府采购网“供应商注册”—“新疆政府采购供应商入驻登记”—“立即登记”进行自助注册绑定。</w:t>
      </w:r>
    </w:p>
    <w:p w14:paraId="091665A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投标人将</w:t>
      </w:r>
      <w:r>
        <w:rPr>
          <w:rFonts w:hint="eastAsia" w:cs="宋体"/>
          <w:color w:val="auto"/>
          <w:sz w:val="24"/>
          <w:szCs w:val="24"/>
          <w:highlight w:val="none"/>
          <w:lang w:val="en-US" w:eastAsia="zh-CN"/>
        </w:rPr>
        <w:t>新疆</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平台电子交易客户端下载、安装完成后，可通过账号密码或CA登录客户端进行</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制作。在使用政采云投标客户端时，建议使用WIN7及以上操作系统。</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登录</w:t>
      </w:r>
      <w:r>
        <w:rPr>
          <w:rFonts w:hint="eastAsia" w:cs="宋体"/>
          <w:color w:val="auto"/>
          <w:sz w:val="24"/>
          <w:szCs w:val="24"/>
          <w:highlight w:val="none"/>
          <w:lang w:val="en-US" w:eastAsia="zh-CN"/>
        </w:rPr>
        <w:t>新疆</w:t>
      </w:r>
      <w:r>
        <w:rPr>
          <w:rFonts w:hint="eastAsia" w:ascii="宋体" w:hAnsi="宋体" w:eastAsia="宋体" w:cs="宋体"/>
          <w:color w:val="auto"/>
          <w:sz w:val="24"/>
          <w:szCs w:val="24"/>
          <w:highlight w:val="none"/>
        </w:rPr>
        <w:t>政府采购网“下载专区”—“电子招投标客户端下载”下载相关客户端，如有问题可拨打政采云客户服务热线95763进行咨询。</w:t>
      </w:r>
    </w:p>
    <w:p w14:paraId="1A54E8F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加密的电子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递交截止时间前通过政采云平台上传完成。逾期上传或者未上传指定地点的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，不予受理。</w:t>
      </w:r>
    </w:p>
    <w:p w14:paraId="02317D0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投标人在开标前须提前配置好电脑</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浏览器，开标时请使用制作加密电子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的CA锁进行解密及报价确认。本项目</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解密时间</w:t>
      </w:r>
      <w:r>
        <w:rPr>
          <w:rFonts w:hint="eastAsia" w:ascii="宋体" w:hAnsi="宋体" w:eastAsia="宋体" w:cs="宋体"/>
          <w:color w:val="auto"/>
          <w:sz w:val="24"/>
          <w:szCs w:val="24"/>
          <w:highlight w:val="none"/>
          <w:lang w:val="en-US" w:eastAsia="zh-CN"/>
        </w:rPr>
        <w:t>详见“投标人须知前附表”</w:t>
      </w:r>
      <w:r>
        <w:rPr>
          <w:rFonts w:hint="eastAsia" w:ascii="宋体" w:hAnsi="宋体" w:eastAsia="宋体" w:cs="宋体"/>
          <w:color w:val="auto"/>
          <w:sz w:val="24"/>
          <w:szCs w:val="24"/>
          <w:highlight w:val="none"/>
        </w:rPr>
        <w:t>，如因自身原因导致无法正常解密，后果由投标人自行承担。</w:t>
      </w:r>
    </w:p>
    <w:p w14:paraId="6EDA716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如遇“</w:t>
      </w:r>
      <w:r>
        <w:rPr>
          <w:rFonts w:hint="eastAsia" w:cs="宋体"/>
          <w:color w:val="auto"/>
          <w:sz w:val="24"/>
          <w:szCs w:val="24"/>
          <w:highlight w:val="none"/>
          <w:lang w:val="en-US" w:eastAsia="zh-CN"/>
        </w:rPr>
        <w:t>新疆</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val="hr-HR"/>
        </w:rPr>
        <w:t>：</w:t>
      </w:r>
      <w:r>
        <w:rPr>
          <w:rFonts w:hint="eastAsia" w:ascii="宋体" w:hAnsi="宋体" w:eastAsia="宋体"/>
          <w:color w:val="auto"/>
          <w:sz w:val="24"/>
          <w:highlight w:val="none"/>
          <w:lang w:val="hr-HR"/>
        </w:rPr>
        <w:t>http://www.ccgp-xinjiang.gov.cn/</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”电子交易规则调整，以最新要求为准。</w:t>
      </w:r>
    </w:p>
    <w:p w14:paraId="733157B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10.6 电子交易系统咨询：投标人应当充分考虑到电子投标可能会发生的各种问题和风险，特别是投标文件签署、提交等问题，可按照“第一章 招标公告”的联系方式咨询相关人员。</w:t>
      </w:r>
    </w:p>
    <w:p w14:paraId="06DEE05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10.7 由于本项目采用电子招标方式，潜在投标人的名单将在提交投标文件截止时间后才会解密。因此，采购人或采购代理机构无法通过传统的传真或邮件方式，将招标文件的澄清或修改内容逐一通知到每位已获取招标文件的潜在投标人。为确保信息的及时性和准确性，澄清或修改的内容将仅在政采云平台以更正公告的形式发布。潜在投标人需密切关注该网站，及时查看并下载相关更正公告。若因潜在投标人未能及时查看或下载相关更正公告，而导致的一切后果，将由潜在投标人自行承担。</w:t>
      </w:r>
    </w:p>
    <w:p w14:paraId="7A306C00">
      <w:pPr>
        <w:pStyle w:val="8"/>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73" w:name="_Toc26264"/>
      <w:bookmarkStart w:id="174" w:name="_Toc163492834"/>
      <w:bookmarkStart w:id="175" w:name="_Toc28416"/>
      <w:bookmarkStart w:id="176" w:name="_Toc2746"/>
      <w:r>
        <w:rPr>
          <w:rFonts w:hint="eastAsia" w:ascii="宋体" w:hAnsi="宋体" w:eastAsia="宋体" w:cs="宋体"/>
          <w:b/>
          <w:bCs/>
          <w:color w:val="auto"/>
          <w:kern w:val="2"/>
          <w:sz w:val="24"/>
          <w:szCs w:val="24"/>
          <w:highlight w:val="none"/>
          <w:lang w:val="en-US" w:eastAsia="zh-CN" w:bidi="ar-SA"/>
        </w:rPr>
        <w:t>（二）招标文件</w:t>
      </w:r>
      <w:bookmarkEnd w:id="172"/>
      <w:bookmarkEnd w:id="173"/>
      <w:bookmarkEnd w:id="174"/>
      <w:bookmarkEnd w:id="175"/>
      <w:bookmarkEnd w:id="176"/>
    </w:p>
    <w:p w14:paraId="08A2C6A4">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77" w:name="_Toc21231"/>
      <w:bookmarkStart w:id="178" w:name="_Toc24748"/>
      <w:bookmarkStart w:id="179" w:name="_Toc8199"/>
      <w:bookmarkStart w:id="180" w:name="_Toc163492835"/>
      <w:bookmarkStart w:id="181" w:name="_Toc140132768"/>
      <w:r>
        <w:rPr>
          <w:rFonts w:hint="eastAsia" w:ascii="宋体" w:hAnsi="宋体" w:eastAsia="宋体" w:cs="宋体"/>
          <w:b/>
          <w:bCs/>
          <w:color w:val="auto"/>
          <w:kern w:val="2"/>
          <w:sz w:val="24"/>
          <w:szCs w:val="24"/>
          <w:highlight w:val="none"/>
          <w:lang w:val="en-US" w:eastAsia="zh-CN" w:bidi="ar-SA"/>
        </w:rPr>
        <w:t>11.招标文件的组成</w:t>
      </w:r>
      <w:bookmarkEnd w:id="177"/>
      <w:bookmarkEnd w:id="178"/>
      <w:bookmarkEnd w:id="179"/>
      <w:bookmarkEnd w:id="180"/>
      <w:bookmarkEnd w:id="181"/>
    </w:p>
    <w:p w14:paraId="0FCCC62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.1本招标文件包括下列文件及根据本章第9款、第1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款对招标文件所作的澄清或者修改。</w:t>
      </w:r>
    </w:p>
    <w:p w14:paraId="5876B8A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val="en-US" w:eastAsia="zh-CN"/>
        </w:rPr>
        <w:t>招标公告</w:t>
      </w:r>
    </w:p>
    <w:p w14:paraId="626801D6">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投标人须知</w:t>
      </w:r>
    </w:p>
    <w:p w14:paraId="5E339F1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采购需求</w:t>
      </w:r>
    </w:p>
    <w:p w14:paraId="750A6D4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资格审查</w:t>
      </w:r>
    </w:p>
    <w:p w14:paraId="08BF935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3F57501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合同草案</w:t>
      </w:r>
    </w:p>
    <w:p w14:paraId="5855AFA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投标文件的格式</w:t>
      </w:r>
    </w:p>
    <w:p w14:paraId="78CADEE1">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82" w:name="_Toc19359"/>
      <w:bookmarkStart w:id="183" w:name="_Toc23749"/>
      <w:bookmarkStart w:id="184" w:name="_Toc1043"/>
      <w:bookmarkStart w:id="185" w:name="_Toc140132769"/>
      <w:bookmarkStart w:id="186" w:name="_Toc163492836"/>
      <w:r>
        <w:rPr>
          <w:rFonts w:hint="eastAsia" w:ascii="宋体" w:hAnsi="宋体" w:eastAsia="宋体" w:cs="宋体"/>
          <w:b/>
          <w:bCs/>
          <w:color w:val="auto"/>
          <w:kern w:val="2"/>
          <w:sz w:val="24"/>
          <w:szCs w:val="24"/>
          <w:highlight w:val="none"/>
          <w:lang w:val="en-US" w:eastAsia="zh-CN" w:bidi="ar-SA"/>
        </w:rPr>
        <w:t>12.招标文件的询问、澄清或者修改</w:t>
      </w:r>
      <w:bookmarkEnd w:id="182"/>
      <w:bookmarkEnd w:id="183"/>
      <w:bookmarkEnd w:id="184"/>
      <w:bookmarkEnd w:id="185"/>
      <w:bookmarkEnd w:id="186"/>
    </w:p>
    <w:p w14:paraId="3A36B8C0">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投标人对采购项目有疑问的，可以按照“投标人须知前附表”中的规定提出询问。提出后，请投标人及时通过交易平台“答疑文件下载”栏目查看答疑文件或澄清文件。必要时，采购代理机构将组织相关专家召开答疑会，如召开，答疑会安排另行通知。采购人或采购代理机构将在收到询问后依法予以答复。对招标文件询问的答复，在必要时将以澄清形式推送给每个获取招标文件的潜在投标人(答复中不包括问题的来源)。</w:t>
      </w:r>
    </w:p>
    <w:p w14:paraId="56F4138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投标人在规定的时间内未对招标文件提出疑问或要求澄清的，采购代理机构将视其为同意，对在“投标人须知前附表”中“</w:t>
      </w:r>
      <w:r>
        <w:rPr>
          <w:rFonts w:hint="eastAsia" w:ascii="宋体" w:hAnsi="宋体" w:eastAsia="宋体" w:cs="宋体"/>
          <w:color w:val="auto"/>
          <w:sz w:val="24"/>
          <w:szCs w:val="24"/>
          <w:highlight w:val="none"/>
          <w:lang w:val="en-US" w:eastAsia="zh-CN"/>
        </w:rPr>
        <w:t>提出询问的</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之</w:t>
      </w:r>
      <w:r>
        <w:rPr>
          <w:rFonts w:hint="eastAsia" w:ascii="宋体" w:hAnsi="宋体" w:eastAsia="宋体" w:cs="宋体"/>
          <w:color w:val="auto"/>
          <w:sz w:val="24"/>
          <w:szCs w:val="24"/>
          <w:highlight w:val="none"/>
        </w:rPr>
        <w:t>后就招标文件内容提出的疑问及澄清要求将不予受理。</w:t>
      </w:r>
    </w:p>
    <w:p w14:paraId="4A5FAB8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采购人或者采购代理机构可以对已发出的招标文件进行必要的澄清或者修改。澄清或修改的内容为招标文件的组成部分，并对所有获取招标文件的潜在投标人具有约束力。</w:t>
      </w:r>
    </w:p>
    <w:p w14:paraId="1EB83C80">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招标文件的澄清或者修改以当面交接、邮寄、传真或电子邮件、网站披露等其中至少一种方式，发给所有领取招标文件的</w:t>
      </w:r>
      <w:r>
        <w:rPr>
          <w:rFonts w:hint="eastAsia" w:ascii="宋体" w:hAnsi="宋体" w:eastAsia="宋体" w:cs="宋体"/>
          <w:color w:val="auto"/>
          <w:sz w:val="24"/>
          <w:szCs w:val="24"/>
          <w:highlight w:val="none"/>
          <w:lang w:val="en-US" w:eastAsia="zh-CN"/>
        </w:rPr>
        <w:t>潜在</w:t>
      </w:r>
      <w:r>
        <w:rPr>
          <w:rFonts w:hint="eastAsia" w:ascii="宋体" w:hAnsi="宋体" w:eastAsia="宋体" w:cs="宋体"/>
          <w:color w:val="auto"/>
          <w:sz w:val="24"/>
          <w:szCs w:val="24"/>
          <w:highlight w:val="none"/>
        </w:rPr>
        <w:t>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F274E6E">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投标人须知”所称“书面形式”包括系统消息、政府采购</w:t>
      </w:r>
      <w:r>
        <w:rPr>
          <w:rFonts w:hint="eastAsia" w:ascii="宋体" w:hAnsi="宋体" w:eastAsia="宋体" w:cs="宋体"/>
          <w:color w:val="auto"/>
          <w:sz w:val="24"/>
          <w:szCs w:val="24"/>
          <w:highlight w:val="none"/>
          <w:lang w:val="en-US" w:eastAsia="zh-CN"/>
        </w:rPr>
        <w:t>云平台</w:t>
      </w:r>
      <w:r>
        <w:rPr>
          <w:rFonts w:hint="eastAsia" w:ascii="宋体" w:hAnsi="宋体" w:eastAsia="宋体" w:cs="宋体"/>
          <w:color w:val="auto"/>
          <w:sz w:val="24"/>
          <w:szCs w:val="24"/>
          <w:highlight w:val="none"/>
        </w:rPr>
        <w:t>发布的公告。</w:t>
      </w:r>
    </w:p>
    <w:p w14:paraId="1E6D774C">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采购代理机构一旦对招标文件作出了澄清、修改，即刻发生效力，采购代理机构有关的澄清、修改文件，将作为招标文件的组成部分，对所有现实的或潜在的投标人均具有约束力，而无论是否已经实际收到上述文件。同时，采购代理机构和投标人的权利及义务将受到新的截止期的约束。</w:t>
      </w:r>
    </w:p>
    <w:p w14:paraId="39FCE417">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采购代理机构对招标文件作出的澄清、修改在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578320B0">
      <w:pPr>
        <w:pStyle w:val="8"/>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87" w:name="_Toc28118"/>
      <w:bookmarkStart w:id="188" w:name="_Toc155185872"/>
      <w:bookmarkStart w:id="189" w:name="_Toc163492837"/>
      <w:bookmarkStart w:id="190" w:name="_Toc10238"/>
      <w:bookmarkStart w:id="191" w:name="_Toc21031"/>
      <w:r>
        <w:rPr>
          <w:rFonts w:hint="eastAsia" w:ascii="宋体" w:hAnsi="宋体" w:eastAsia="宋体" w:cs="宋体"/>
          <w:b/>
          <w:bCs/>
          <w:color w:val="auto"/>
          <w:kern w:val="2"/>
          <w:sz w:val="24"/>
          <w:szCs w:val="24"/>
          <w:highlight w:val="none"/>
          <w:lang w:val="en-US" w:eastAsia="zh-CN" w:bidi="ar-SA"/>
        </w:rPr>
        <w:t>（三）投标文件</w:t>
      </w:r>
      <w:bookmarkEnd w:id="187"/>
      <w:bookmarkEnd w:id="188"/>
      <w:bookmarkEnd w:id="189"/>
      <w:bookmarkEnd w:id="190"/>
      <w:bookmarkEnd w:id="191"/>
    </w:p>
    <w:p w14:paraId="67D7EC68">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92" w:name="_Toc25559"/>
      <w:bookmarkStart w:id="193" w:name="_Toc31491"/>
      <w:bookmarkStart w:id="194" w:name="_Toc10645"/>
      <w:bookmarkStart w:id="195" w:name="_Toc163492838"/>
      <w:r>
        <w:rPr>
          <w:rFonts w:hint="eastAsia" w:ascii="宋体" w:hAnsi="宋体" w:eastAsia="宋体" w:cs="宋体"/>
          <w:b/>
          <w:bCs/>
          <w:color w:val="auto"/>
          <w:kern w:val="2"/>
          <w:sz w:val="24"/>
          <w:szCs w:val="24"/>
          <w:highlight w:val="none"/>
          <w:lang w:val="en-US" w:eastAsia="zh-CN" w:bidi="ar-SA"/>
        </w:rPr>
        <w:t>13.投标文件的组成</w:t>
      </w:r>
      <w:bookmarkEnd w:id="192"/>
      <w:bookmarkEnd w:id="193"/>
      <w:bookmarkEnd w:id="194"/>
      <w:bookmarkEnd w:id="195"/>
    </w:p>
    <w:p w14:paraId="174A0A3D">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bookmarkStart w:id="196" w:name="_Toc140132772"/>
      <w:bookmarkStart w:id="197" w:name="_Toc163492839"/>
      <w:r>
        <w:rPr>
          <w:rFonts w:hint="eastAsia" w:ascii="宋体" w:hAnsi="宋体" w:eastAsia="宋体" w:cs="宋体"/>
          <w:color w:val="auto"/>
          <w:kern w:val="2"/>
          <w:sz w:val="24"/>
          <w:szCs w:val="24"/>
          <w:highlight w:val="none"/>
          <w:lang w:val="en-US" w:eastAsia="zh-CN"/>
        </w:rPr>
        <w:t>13</w:t>
      </w:r>
      <w:r>
        <w:rPr>
          <w:rFonts w:hint="eastAsia" w:ascii="宋体" w:hAnsi="宋体" w:eastAsia="宋体" w:cs="宋体"/>
          <w:color w:val="auto"/>
          <w:kern w:val="2"/>
          <w:sz w:val="24"/>
          <w:szCs w:val="24"/>
          <w:highlight w:val="none"/>
        </w:rPr>
        <w:t>.1投标人应完整地按招标文件提供的投标文件格式及要求编写投标文件，具体内容详见</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 xml:space="preserve">第七章 </w:t>
      </w:r>
      <w:r>
        <w:rPr>
          <w:rFonts w:hint="eastAsia" w:ascii="宋体" w:hAnsi="宋体" w:eastAsia="宋体" w:cs="宋体"/>
          <w:color w:val="auto"/>
          <w:kern w:val="2"/>
          <w:sz w:val="24"/>
          <w:szCs w:val="24"/>
          <w:highlight w:val="none"/>
        </w:rPr>
        <w:t>投标文件格式</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的相关内容。</w:t>
      </w:r>
    </w:p>
    <w:p w14:paraId="3BB3A0B7">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13.2</w:t>
      </w:r>
      <w:r>
        <w:rPr>
          <w:rFonts w:hint="eastAsia" w:ascii="宋体" w:hAnsi="宋体" w:eastAsia="宋体" w:cs="宋体"/>
          <w:color w:val="auto"/>
          <w:kern w:val="2"/>
          <w:sz w:val="24"/>
          <w:szCs w:val="24"/>
          <w:highlight w:val="none"/>
        </w:rPr>
        <w:t>投标人应提交招标文件要求的证明文件，证明其投标内容符合招标文件规定</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该证明文件是投标文件的一部分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证明文件</w:t>
      </w:r>
      <w:r>
        <w:rPr>
          <w:rFonts w:hint="eastAsia" w:ascii="宋体" w:hAnsi="宋体" w:eastAsia="宋体" w:cs="宋体"/>
          <w:color w:val="auto"/>
          <w:kern w:val="2"/>
          <w:sz w:val="24"/>
          <w:szCs w:val="24"/>
          <w:highlight w:val="none"/>
          <w:lang w:val="en-US" w:eastAsia="zh-CN"/>
        </w:rPr>
        <w:t>形式</w:t>
      </w:r>
      <w:r>
        <w:rPr>
          <w:rFonts w:hint="eastAsia" w:ascii="宋体" w:hAnsi="宋体" w:eastAsia="宋体" w:cs="宋体"/>
          <w:color w:val="auto"/>
          <w:kern w:val="2"/>
          <w:sz w:val="24"/>
          <w:szCs w:val="24"/>
          <w:highlight w:val="none"/>
        </w:rPr>
        <w:t>可以是文字资料、图纸和数据</w:t>
      </w:r>
      <w:bookmarkStart w:id="198" w:name="_Hlk11703583"/>
      <w:r>
        <w:rPr>
          <w:rFonts w:hint="eastAsia" w:ascii="宋体" w:hAnsi="宋体" w:eastAsia="宋体" w:cs="宋体"/>
          <w:color w:val="auto"/>
          <w:kern w:val="2"/>
          <w:sz w:val="24"/>
          <w:szCs w:val="24"/>
          <w:highlight w:val="none"/>
          <w:lang w:val="en-US" w:eastAsia="zh-CN"/>
        </w:rPr>
        <w:t>等。</w:t>
      </w:r>
    </w:p>
    <w:bookmarkEnd w:id="198"/>
    <w:p w14:paraId="781BBAEB">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13.3</w:t>
      </w:r>
      <w:r>
        <w:rPr>
          <w:rFonts w:hint="eastAsia" w:ascii="宋体" w:hAnsi="宋体" w:eastAsia="宋体" w:cs="宋体"/>
          <w:color w:val="auto"/>
          <w:kern w:val="2"/>
          <w:sz w:val="24"/>
          <w:szCs w:val="24"/>
          <w:highlight w:val="none"/>
        </w:rPr>
        <w:t>为保证公平公正，除非</w:t>
      </w:r>
      <w:r>
        <w:rPr>
          <w:rFonts w:hint="eastAsia" w:ascii="宋体" w:hAnsi="宋体" w:eastAsia="宋体" w:cs="宋体"/>
          <w:color w:val="auto"/>
          <w:kern w:val="2"/>
          <w:sz w:val="24"/>
          <w:szCs w:val="24"/>
          <w:highlight w:val="none"/>
          <w:lang w:val="en-US" w:eastAsia="zh-CN"/>
        </w:rPr>
        <w:t>本招标文件</w:t>
      </w:r>
      <w:r>
        <w:rPr>
          <w:rFonts w:hint="eastAsia" w:ascii="宋体" w:hAnsi="宋体" w:eastAsia="宋体" w:cs="宋体"/>
          <w:color w:val="auto"/>
          <w:kern w:val="2"/>
          <w:sz w:val="24"/>
          <w:szCs w:val="24"/>
          <w:highlight w:val="none"/>
        </w:rPr>
        <w:t>另有规定或说明，投标人对同一项目投标时，不得同时提供备选投标方案。</w:t>
      </w:r>
    </w:p>
    <w:p w14:paraId="2DB5A9E4">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99" w:name="_Toc27765"/>
      <w:bookmarkStart w:id="200" w:name="_Toc12829"/>
      <w:bookmarkStart w:id="201" w:name="_Toc24665"/>
      <w:r>
        <w:rPr>
          <w:rFonts w:hint="eastAsia" w:ascii="宋体" w:hAnsi="宋体" w:eastAsia="宋体" w:cs="宋体"/>
          <w:b/>
          <w:bCs/>
          <w:color w:val="auto"/>
          <w:kern w:val="2"/>
          <w:sz w:val="24"/>
          <w:szCs w:val="24"/>
          <w:highlight w:val="none"/>
          <w:lang w:val="en-US" w:eastAsia="zh-CN" w:bidi="ar-SA"/>
        </w:rPr>
        <w:t>14.投标报价</w:t>
      </w:r>
      <w:bookmarkEnd w:id="196"/>
      <w:bookmarkEnd w:id="197"/>
      <w:bookmarkEnd w:id="199"/>
      <w:bookmarkEnd w:id="200"/>
      <w:bookmarkEnd w:id="201"/>
    </w:p>
    <w:p w14:paraId="3BD2CDC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 xml:space="preserve">.1 </w:t>
      </w:r>
      <w:r>
        <w:rPr>
          <w:rFonts w:hint="eastAsia" w:ascii="宋体" w:hAnsi="宋体" w:eastAsia="宋体" w:cs="宋体"/>
          <w:snapToGrid w:val="0"/>
          <w:color w:val="auto"/>
          <w:sz w:val="24"/>
          <w:szCs w:val="24"/>
          <w:highlight w:val="none"/>
          <w:lang w:val="zh-CN"/>
        </w:rPr>
        <w:t>投标人的报价均应以人民币进行报价。</w:t>
      </w:r>
    </w:p>
    <w:p w14:paraId="6CC0054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.2 投标人应按照本招标文件规定的报价方式进行报价，投标报价中不得包含招标文件要求以外的内容，否则，在评标时不予核减。投标报价中也不得遗漏招标文件所要求的内容，否则其</w:t>
      </w:r>
      <w:r>
        <w:rPr>
          <w:rFonts w:hint="eastAsia" w:ascii="宋体" w:hAnsi="宋体" w:eastAsia="宋体" w:cs="宋体"/>
          <w:b/>
          <w:bCs/>
          <w:snapToGrid w:val="0"/>
          <w:color w:val="auto"/>
          <w:sz w:val="24"/>
          <w:szCs w:val="24"/>
          <w:highlight w:val="none"/>
        </w:rPr>
        <w:t>投标无效</w:t>
      </w:r>
      <w:r>
        <w:rPr>
          <w:rFonts w:hint="eastAsia" w:ascii="宋体" w:hAnsi="宋体" w:eastAsia="宋体" w:cs="宋体"/>
          <w:snapToGrid w:val="0"/>
          <w:color w:val="auto"/>
          <w:sz w:val="24"/>
          <w:szCs w:val="24"/>
          <w:highlight w:val="none"/>
        </w:rPr>
        <w:t>。</w:t>
      </w:r>
    </w:p>
    <w:p w14:paraId="1197AD09">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kern w:val="2"/>
          <w:sz w:val="24"/>
          <w:szCs w:val="24"/>
          <w:highlight w:val="none"/>
          <w:lang w:val="en-US" w:eastAsia="zh-CN"/>
        </w:rPr>
        <w:t>14.3</w:t>
      </w:r>
      <w:r>
        <w:rPr>
          <w:rFonts w:hint="eastAsia" w:ascii="宋体" w:hAnsi="宋体" w:eastAsia="宋体" w:cs="宋体"/>
          <w:snapToGrid w:val="0"/>
          <w:color w:val="auto"/>
          <w:sz w:val="24"/>
          <w:szCs w:val="24"/>
          <w:highlight w:val="none"/>
          <w:lang w:val="en-US" w:eastAsia="zh-CN"/>
        </w:rPr>
        <w:t>投标人的报价应包括为完成本项目所发生的一切费用和税费，采购人将不再支付报价以外的任何费用。只要投报了一个确定数额的总价，无论分项价格是否全部填报了相应的金额或免费字样，报价应被视为已经包含了但并不限于本次招标全部采购需求所应提供的服务，以及伴随的货物和工程等的费用和所需缴纳的所有价格、税、费。在其他情况下，由于分项报价填报不完整、不清楚或存在其他任何失误，所导致的任何不利后果均应当由投标人自行承担</w:t>
      </w:r>
      <w:r>
        <w:rPr>
          <w:rFonts w:hint="eastAsia" w:ascii="宋体" w:hAnsi="宋体" w:eastAsia="宋体" w:cs="宋体"/>
          <w:snapToGrid w:val="0"/>
          <w:color w:val="auto"/>
          <w:sz w:val="24"/>
          <w:szCs w:val="24"/>
          <w:highlight w:val="none"/>
        </w:rPr>
        <w:t>。</w:t>
      </w:r>
    </w:p>
    <w:p w14:paraId="29AAB874">
      <w:pPr>
        <w:pStyle w:val="1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14.4投标人的报价应包括但不限于按照招标文件要求完成本项目的全部相关费用。</w:t>
      </w:r>
    </w:p>
    <w:p w14:paraId="049AF5FA">
      <w:pPr>
        <w:ind w:firstLine="480" w:firstLineChars="200"/>
        <w:rPr>
          <w:rFonts w:hint="eastAsia" w:ascii="宋体" w:hAnsi="宋体" w:eastAsia="宋体" w:cs="宋体"/>
          <w:snapToGrid w:val="0"/>
          <w:color w:val="auto"/>
          <w:sz w:val="24"/>
          <w:szCs w:val="24"/>
          <w:highlight w:val="none"/>
          <w:lang w:val="zh-CN"/>
        </w:rPr>
      </w:pPr>
      <w:r>
        <w:rPr>
          <w:rFonts w:hint="eastAsia" w:ascii="宋体" w:hAnsi="宋体" w:eastAsia="宋体" w:cs="宋体"/>
          <w:color w:val="auto"/>
          <w:kern w:val="2"/>
          <w:sz w:val="24"/>
          <w:szCs w:val="24"/>
          <w:highlight w:val="none"/>
          <w:lang w:val="en-US" w:eastAsia="zh-CN" w:bidi="ar-SA"/>
        </w:rPr>
        <w:t>14.5 投标人须严格按照分项报价表规定的内容填写服务单价以及其他事项。</w:t>
      </w:r>
      <w:r>
        <w:rPr>
          <w:rFonts w:hint="eastAsia" w:ascii="宋体" w:hAnsi="宋体" w:eastAsia="宋体" w:cs="宋体"/>
          <w:snapToGrid w:val="0"/>
          <w:color w:val="auto"/>
          <w:sz w:val="24"/>
          <w:szCs w:val="24"/>
          <w:highlight w:val="none"/>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应包括在投标人提交的投标报价中。</w:t>
      </w:r>
    </w:p>
    <w:p w14:paraId="058EFD12">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14.6 投标人在投标文件中注明免费的项目将视为包含在投标报价中。</w:t>
      </w:r>
    </w:p>
    <w:p w14:paraId="6DF8B2FA">
      <w:pPr>
        <w:pStyle w:val="14"/>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14.7 每一种采购内容只允许</w:t>
      </w:r>
      <w:r>
        <w:rPr>
          <w:rFonts w:hint="eastAsia" w:ascii="宋体" w:hAnsi="宋体" w:eastAsia="宋体" w:cs="宋体"/>
          <w:snapToGrid w:val="0"/>
          <w:color w:val="auto"/>
          <w:sz w:val="24"/>
          <w:szCs w:val="24"/>
          <w:highlight w:val="none"/>
        </w:rPr>
        <w:t>有一个报价，否则其</w:t>
      </w:r>
      <w:r>
        <w:rPr>
          <w:rFonts w:hint="eastAsia" w:ascii="宋体" w:hAnsi="宋体" w:eastAsia="宋体" w:cs="宋体"/>
          <w:b/>
          <w:bCs/>
          <w:snapToGrid w:val="0"/>
          <w:color w:val="auto"/>
          <w:sz w:val="24"/>
          <w:szCs w:val="24"/>
          <w:highlight w:val="none"/>
        </w:rPr>
        <w:t>投标无效</w:t>
      </w:r>
      <w:r>
        <w:rPr>
          <w:rFonts w:hint="eastAsia" w:ascii="宋体" w:hAnsi="宋体" w:eastAsia="宋体" w:cs="宋体"/>
          <w:snapToGrid w:val="0"/>
          <w:color w:val="auto"/>
          <w:sz w:val="24"/>
          <w:szCs w:val="24"/>
          <w:highlight w:val="none"/>
        </w:rPr>
        <w:t>。</w:t>
      </w:r>
      <w:r>
        <w:rPr>
          <w:rFonts w:hint="eastAsia" w:ascii="宋体" w:hAnsi="宋体" w:eastAsia="宋体" w:cs="宋体"/>
          <w:color w:val="auto"/>
          <w:kern w:val="2"/>
          <w:sz w:val="24"/>
          <w:szCs w:val="24"/>
          <w:highlight w:val="none"/>
        </w:rPr>
        <w:t>除非招标文件另有规定，不接受可选择或可调整的投标方案和报价，任何有选择的或可调整的投标方案和报价将被视为非</w:t>
      </w:r>
      <w:r>
        <w:rPr>
          <w:rFonts w:hint="eastAsia" w:ascii="宋体" w:hAnsi="宋体" w:eastAsia="宋体" w:cs="宋体"/>
          <w:color w:val="auto"/>
          <w:kern w:val="2"/>
          <w:sz w:val="24"/>
          <w:szCs w:val="24"/>
          <w:highlight w:val="none"/>
          <w:lang w:val="en-US" w:eastAsia="zh-CN"/>
        </w:rPr>
        <w:t>实质性</w:t>
      </w:r>
      <w:r>
        <w:rPr>
          <w:rFonts w:hint="eastAsia" w:ascii="宋体" w:hAnsi="宋体" w:eastAsia="宋体" w:cs="宋体"/>
          <w:color w:val="auto"/>
          <w:kern w:val="2"/>
          <w:sz w:val="24"/>
          <w:szCs w:val="24"/>
          <w:highlight w:val="none"/>
        </w:rPr>
        <w:t>响应</w:t>
      </w:r>
      <w:r>
        <w:rPr>
          <w:rFonts w:hint="eastAsia" w:ascii="宋体" w:hAnsi="宋体" w:eastAsia="宋体" w:cs="宋体"/>
          <w:color w:val="auto"/>
          <w:kern w:val="2"/>
          <w:sz w:val="24"/>
          <w:szCs w:val="24"/>
          <w:highlight w:val="none"/>
          <w:lang w:val="en-US" w:eastAsia="zh-CN"/>
        </w:rPr>
        <w:t>招标文件,其</w:t>
      </w:r>
      <w:r>
        <w:rPr>
          <w:rFonts w:hint="eastAsia" w:ascii="宋体" w:hAnsi="宋体" w:eastAsia="宋体" w:cs="宋体"/>
          <w:b/>
          <w:bCs/>
          <w:color w:val="auto"/>
          <w:kern w:val="2"/>
          <w:sz w:val="24"/>
          <w:szCs w:val="24"/>
          <w:highlight w:val="none"/>
          <w:lang w:eastAsia="zh-CN"/>
        </w:rPr>
        <w:t>投标无效</w:t>
      </w:r>
      <w:r>
        <w:rPr>
          <w:rFonts w:hint="eastAsia" w:ascii="宋体" w:hAnsi="宋体" w:eastAsia="宋体" w:cs="宋体"/>
          <w:color w:val="auto"/>
          <w:kern w:val="2"/>
          <w:sz w:val="24"/>
          <w:szCs w:val="24"/>
          <w:highlight w:val="none"/>
        </w:rPr>
        <w:t>。</w:t>
      </w:r>
    </w:p>
    <w:p w14:paraId="192E0BF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投标报价不得超过“</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”中规定的最高投标限价</w:t>
      </w:r>
      <w:r>
        <w:rPr>
          <w:rFonts w:hint="eastAsia" w:ascii="宋体" w:hAnsi="宋体" w:eastAsia="宋体" w:cs="宋体"/>
          <w:color w:val="auto"/>
          <w:sz w:val="24"/>
          <w:szCs w:val="24"/>
          <w:highlight w:val="none"/>
          <w:lang w:val="en-US" w:eastAsia="zh-CN"/>
        </w:rPr>
        <w:t>或者预算金额</w:t>
      </w:r>
      <w:r>
        <w:rPr>
          <w:rFonts w:hint="eastAsia" w:ascii="宋体" w:hAnsi="宋体" w:eastAsia="宋体" w:cs="宋体"/>
          <w:color w:val="auto"/>
          <w:sz w:val="24"/>
          <w:szCs w:val="24"/>
          <w:highlight w:val="none"/>
        </w:rPr>
        <w:t>，否则评标委员会将</w:t>
      </w:r>
      <w:r>
        <w:rPr>
          <w:rFonts w:hint="eastAsia" w:ascii="宋体" w:hAnsi="宋体" w:eastAsia="宋体" w:cs="宋体"/>
          <w:b w:val="0"/>
          <w:bCs w:val="0"/>
          <w:color w:val="auto"/>
          <w:sz w:val="24"/>
          <w:szCs w:val="24"/>
          <w:highlight w:val="none"/>
          <w:lang w:val="en-US" w:eastAsia="zh-CN"/>
        </w:rPr>
        <w:t>对</w:t>
      </w:r>
      <w:r>
        <w:rPr>
          <w:rFonts w:hint="eastAsia" w:ascii="宋体" w:hAnsi="宋体" w:eastAsia="宋体" w:cs="宋体"/>
          <w:b w:val="0"/>
          <w:bCs w:val="0"/>
          <w:color w:val="auto"/>
          <w:sz w:val="24"/>
          <w:szCs w:val="24"/>
          <w:highlight w:val="none"/>
        </w:rPr>
        <w:t>其</w:t>
      </w:r>
      <w:r>
        <w:rPr>
          <w:rFonts w:hint="eastAsia" w:ascii="宋体" w:hAnsi="宋体" w:eastAsia="宋体" w:cs="宋体"/>
          <w:b w:val="0"/>
          <w:bCs w:val="0"/>
          <w:color w:val="auto"/>
          <w:sz w:val="24"/>
          <w:szCs w:val="24"/>
          <w:highlight w:val="none"/>
          <w:lang w:val="en-US" w:eastAsia="zh-CN"/>
        </w:rPr>
        <w:t>作</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val="en-US" w:eastAsia="zh-CN"/>
        </w:rPr>
        <w:t>处理</w:t>
      </w:r>
      <w:r>
        <w:rPr>
          <w:rFonts w:hint="eastAsia" w:ascii="宋体" w:hAnsi="宋体" w:eastAsia="宋体" w:cs="宋体"/>
          <w:color w:val="auto"/>
          <w:sz w:val="24"/>
          <w:szCs w:val="24"/>
          <w:highlight w:val="none"/>
        </w:rPr>
        <w:t>。</w:t>
      </w:r>
    </w:p>
    <w:p w14:paraId="1DC40C77">
      <w:pPr>
        <w:pStyle w:val="57"/>
        <w:pageBreakBefore w:val="0"/>
        <w:shd w:val="clear" w:color="auto" w:fill="auto"/>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9 </w:t>
      </w:r>
      <w:r>
        <w:rPr>
          <w:rFonts w:hint="eastAsia" w:ascii="宋体" w:hAnsi="宋体" w:eastAsia="宋体" w:cs="宋体"/>
          <w:color w:val="auto"/>
          <w:kern w:val="2"/>
          <w:sz w:val="24"/>
          <w:szCs w:val="24"/>
          <w:highlight w:val="none"/>
        </w:rPr>
        <w:t>投标人对投标报价若有说明应在投标文件中显著处注明。</w:t>
      </w:r>
    </w:p>
    <w:p w14:paraId="69F7C97A">
      <w:pPr>
        <w:pStyle w:val="57"/>
        <w:pageBreakBefore w:val="0"/>
        <w:shd w:val="clear" w:color="auto" w:fill="auto"/>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除政策性文件规定以外，投标人所报价格在合同实施期间不因市场变化因素而变动。</w:t>
      </w:r>
    </w:p>
    <w:p w14:paraId="3D2E52CC">
      <w:pPr>
        <w:pStyle w:val="57"/>
        <w:pageBreakBefore w:val="0"/>
        <w:shd w:val="clear" w:color="auto" w:fill="auto"/>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10 </w:t>
      </w:r>
      <w:r>
        <w:rPr>
          <w:rFonts w:hint="eastAsia" w:ascii="宋体" w:hAnsi="宋体" w:eastAsia="宋体" w:cs="宋体"/>
          <w:color w:val="auto"/>
          <w:kern w:val="2"/>
          <w:sz w:val="24"/>
          <w:szCs w:val="24"/>
          <w:highlight w:val="none"/>
        </w:rPr>
        <w:t>最低报价不能作为中标的保证。</w:t>
      </w:r>
    </w:p>
    <w:p w14:paraId="4F55CD6E">
      <w:pPr>
        <w:pStyle w:val="1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14.11</w:t>
      </w:r>
      <w:r>
        <w:rPr>
          <w:rFonts w:hint="eastAsia" w:ascii="宋体" w:hAnsi="宋体" w:eastAsia="宋体" w:cs="宋体"/>
          <w:color w:val="auto"/>
          <w:kern w:val="0"/>
          <w:sz w:val="24"/>
          <w:szCs w:val="24"/>
          <w:highlight w:val="none"/>
          <w:lang w:val="en-US" w:eastAsia="zh-CN" w:bidi="ar"/>
        </w:rPr>
        <w:t>采购人不得向投标人索要或者接受其给予的赠品、回扣或者与采购无关的其他商品、服务。</w:t>
      </w:r>
    </w:p>
    <w:p w14:paraId="691BBD09">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02" w:name="_Toc9162"/>
      <w:bookmarkStart w:id="203" w:name="_Toc24048"/>
      <w:bookmarkStart w:id="204" w:name="_Toc24520"/>
      <w:bookmarkStart w:id="205" w:name="_Toc140132773"/>
      <w:bookmarkStart w:id="206" w:name="_Toc163492840"/>
      <w:r>
        <w:rPr>
          <w:rFonts w:hint="eastAsia" w:ascii="宋体" w:hAnsi="宋体" w:eastAsia="宋体" w:cs="宋体"/>
          <w:b/>
          <w:bCs/>
          <w:color w:val="auto"/>
          <w:kern w:val="2"/>
          <w:sz w:val="24"/>
          <w:szCs w:val="24"/>
          <w:highlight w:val="none"/>
          <w:lang w:val="en-US" w:eastAsia="zh-CN" w:bidi="ar-SA"/>
        </w:rPr>
        <w:t>15.投标有效期</w:t>
      </w:r>
      <w:bookmarkEnd w:id="202"/>
      <w:bookmarkEnd w:id="203"/>
      <w:bookmarkEnd w:id="204"/>
      <w:bookmarkEnd w:id="205"/>
      <w:bookmarkEnd w:id="206"/>
    </w:p>
    <w:p w14:paraId="13B2B164">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 </w:t>
      </w:r>
      <w:r>
        <w:rPr>
          <w:rFonts w:hint="eastAsia" w:ascii="宋体" w:hAnsi="宋体" w:eastAsia="宋体" w:cs="宋体"/>
          <w:color w:val="auto"/>
          <w:kern w:val="0"/>
          <w:sz w:val="24"/>
          <w:szCs w:val="24"/>
          <w:highlight w:val="none"/>
          <w:lang w:val="en"/>
        </w:rPr>
        <w:t>投标有效期</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val="en-US" w:eastAsia="zh-CN"/>
        </w:rPr>
        <w:t xml:space="preserve">第二章 </w:t>
      </w:r>
      <w:r>
        <w:rPr>
          <w:rFonts w:hint="eastAsia" w:ascii="宋体" w:hAnsi="宋体" w:eastAsia="宋体" w:cs="宋体"/>
          <w:color w:val="auto"/>
          <w:sz w:val="24"/>
          <w:szCs w:val="24"/>
          <w:highlight w:val="none"/>
        </w:rPr>
        <w:t>投标人须知前附表”，投标人承诺的投标有效期</w:t>
      </w:r>
      <w:r>
        <w:rPr>
          <w:rFonts w:hint="eastAsia" w:ascii="宋体" w:hAnsi="宋体" w:eastAsia="宋体" w:cs="宋体"/>
          <w:snapToGrid w:val="0"/>
          <w:color w:val="auto"/>
          <w:sz w:val="24"/>
          <w:szCs w:val="24"/>
          <w:highlight w:val="none"/>
          <w:lang w:val="zh-CN" w:eastAsia="zh-CN"/>
        </w:rPr>
        <w:t>少于</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val="zh-CN" w:eastAsia="zh-CN"/>
        </w:rPr>
        <w:t>文件规定期限的，其</w:t>
      </w:r>
      <w:r>
        <w:rPr>
          <w:rFonts w:hint="eastAsia" w:ascii="宋体" w:hAnsi="宋体" w:eastAsia="宋体" w:cs="宋体"/>
          <w:b/>
          <w:bCs/>
          <w:snapToGrid w:val="0"/>
          <w:color w:val="auto"/>
          <w:sz w:val="24"/>
          <w:szCs w:val="24"/>
          <w:highlight w:val="none"/>
          <w:lang w:val="en-US" w:eastAsia="zh-CN"/>
        </w:rPr>
        <w:t>投标</w:t>
      </w:r>
      <w:r>
        <w:rPr>
          <w:rFonts w:hint="eastAsia" w:ascii="宋体" w:hAnsi="宋体" w:eastAsia="宋体" w:cs="宋体"/>
          <w:b/>
          <w:bCs/>
          <w:snapToGrid w:val="0"/>
          <w:color w:val="auto"/>
          <w:sz w:val="24"/>
          <w:szCs w:val="24"/>
          <w:highlight w:val="none"/>
          <w:lang w:val="zh-CN" w:eastAsia="zh-CN"/>
        </w:rPr>
        <w:t>无效</w:t>
      </w:r>
      <w:r>
        <w:rPr>
          <w:rFonts w:hint="eastAsia" w:ascii="宋体" w:hAnsi="宋体" w:eastAsia="宋体" w:cs="宋体"/>
          <w:snapToGrid w:val="0"/>
          <w:color w:val="auto"/>
          <w:sz w:val="24"/>
          <w:szCs w:val="24"/>
          <w:highlight w:val="none"/>
          <w:lang w:val="zh-CN" w:eastAsia="zh-CN"/>
        </w:rPr>
        <w:t>。</w:t>
      </w:r>
    </w:p>
    <w:p w14:paraId="6D112F8D">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 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4457FE8E">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特殊情况下，在原投标文件有效期截止之前，采购代理机构或采购人可要求投标人延长投标有效期。需要延长投标有效期时，采购代理机构或采购人将以书面形式通知所有投标人，投标人应以书面形式答复是否同意延长投标有效期。</w:t>
      </w:r>
    </w:p>
    <w:p w14:paraId="2EF7720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投标人同意延长的，</w:t>
      </w:r>
      <w:r>
        <w:rPr>
          <w:rFonts w:hint="eastAsia" w:ascii="宋体" w:hAnsi="宋体" w:eastAsia="宋体" w:cs="宋体"/>
          <w:color w:val="auto"/>
          <w:kern w:val="2"/>
          <w:sz w:val="24"/>
          <w:szCs w:val="24"/>
          <w:highlight w:val="none"/>
          <w:lang w:val="en-US" w:eastAsia="zh-CN"/>
        </w:rPr>
        <w:t>其</w:t>
      </w:r>
      <w:r>
        <w:rPr>
          <w:rFonts w:hint="eastAsia" w:ascii="宋体" w:hAnsi="宋体" w:eastAsia="宋体" w:cs="宋体"/>
          <w:color w:val="auto"/>
          <w:kern w:val="2"/>
          <w:sz w:val="24"/>
          <w:szCs w:val="24"/>
          <w:highlight w:val="none"/>
        </w:rPr>
        <w:t>投标保证金的有效期也相应延长</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但</w:t>
      </w:r>
      <w:r>
        <w:rPr>
          <w:rFonts w:hint="eastAsia" w:ascii="宋体" w:hAnsi="宋体" w:eastAsia="宋体" w:cs="宋体"/>
          <w:color w:val="auto"/>
          <w:sz w:val="24"/>
          <w:szCs w:val="24"/>
          <w:highlight w:val="none"/>
        </w:rPr>
        <w:t>不得要求或被允许修改或撤销其投标文件；</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拒绝延长的，其投标文件在原投标有效期满后将不再有效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但其提交的投标保证金可予以退还</w:t>
      </w:r>
      <w:r>
        <w:rPr>
          <w:rFonts w:hint="eastAsia" w:ascii="宋体" w:hAnsi="宋体" w:eastAsia="宋体" w:cs="宋体"/>
          <w:color w:val="auto"/>
          <w:sz w:val="24"/>
          <w:szCs w:val="24"/>
          <w:highlight w:val="none"/>
        </w:rPr>
        <w:t>。</w:t>
      </w:r>
    </w:p>
    <w:p w14:paraId="51F7C8DB">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07" w:name="_Toc9620"/>
      <w:bookmarkStart w:id="208" w:name="_Toc163492841"/>
      <w:bookmarkStart w:id="209" w:name="_Toc17887"/>
      <w:bookmarkStart w:id="210" w:name="_Toc140132774"/>
      <w:bookmarkStart w:id="211" w:name="_Toc21362"/>
      <w:r>
        <w:rPr>
          <w:rFonts w:hint="eastAsia" w:ascii="宋体" w:hAnsi="宋体" w:eastAsia="宋体" w:cs="宋体"/>
          <w:b/>
          <w:bCs/>
          <w:color w:val="auto"/>
          <w:kern w:val="2"/>
          <w:sz w:val="24"/>
          <w:szCs w:val="24"/>
          <w:highlight w:val="none"/>
          <w:lang w:val="en-US" w:eastAsia="zh-CN" w:bidi="ar-SA"/>
        </w:rPr>
        <w:t>16.投标文件的编制</w:t>
      </w:r>
      <w:bookmarkEnd w:id="207"/>
      <w:bookmarkEnd w:id="208"/>
      <w:bookmarkEnd w:id="209"/>
      <w:bookmarkEnd w:id="210"/>
      <w:bookmarkEnd w:id="211"/>
    </w:p>
    <w:p w14:paraId="523C51E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.1投标文件应在供应商客户端中进行编制，在投标文件中要求加盖印章的，除有特殊说明之外，</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使用电子签章签署。</w:t>
      </w:r>
    </w:p>
    <w:p w14:paraId="540601F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bookmarkStart w:id="212" w:name="_Hlk143528557"/>
      <w:r>
        <w:rPr>
          <w:rFonts w:hint="eastAsia" w:ascii="宋体" w:hAnsi="宋体" w:eastAsia="宋体" w:cs="宋体"/>
          <w:color w:val="auto"/>
          <w:sz w:val="24"/>
          <w:szCs w:val="24"/>
          <w:highlight w:val="none"/>
        </w:rPr>
        <w:t>2投标人在供应商客户端中按照供应商客户端中的格式要求填写响应内容后，生成投标文件。投标人须按照招标文件的要求使用电子签章对要求加盖印章的部分逐一进行签章。</w:t>
      </w:r>
      <w:bookmarkEnd w:id="212"/>
    </w:p>
    <w:p w14:paraId="1A7BD12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投标人应详细阅读招标文件的全部内容。投标文件须对招标文件中的内容作出实质性和完整的响应，如果投标文件填报的内容不详，或没有提供招标文件中所要求的全部资料及数据，将可能</w:t>
      </w:r>
      <w:r>
        <w:rPr>
          <w:rFonts w:hint="eastAsia" w:ascii="宋体" w:hAnsi="宋体" w:eastAsia="宋体" w:cs="宋体"/>
          <w:b/>
          <w:bCs/>
          <w:color w:val="auto"/>
          <w:sz w:val="24"/>
          <w:szCs w:val="24"/>
          <w:highlight w:val="none"/>
        </w:rPr>
        <w:t>导致</w:t>
      </w:r>
      <w:r>
        <w:rPr>
          <w:rFonts w:hint="eastAsia" w:ascii="宋体" w:hAnsi="宋体" w:eastAsia="宋体" w:cs="宋体"/>
          <w:b/>
          <w:bCs/>
          <w:color w:val="auto"/>
          <w:sz w:val="24"/>
          <w:szCs w:val="24"/>
          <w:highlight w:val="none"/>
          <w:lang w:val="en-US" w:eastAsia="zh-CN"/>
        </w:rPr>
        <w:t>其</w:t>
      </w:r>
      <w:r>
        <w:rPr>
          <w:rFonts w:hint="eastAsia"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color w:val="auto"/>
          <w:sz w:val="24"/>
          <w:szCs w:val="24"/>
          <w:highlight w:val="none"/>
        </w:rPr>
        <w:t>。</w:t>
      </w:r>
    </w:p>
    <w:p w14:paraId="7A6BB4B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投标文件须严格按照</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招标文件第</w:t>
      </w:r>
      <w:r>
        <w:rPr>
          <w:rFonts w:hint="eastAsia" w:ascii="宋体" w:hAnsi="宋体" w:eastAsia="宋体" w:cs="宋体"/>
          <w:color w:val="auto"/>
          <w:sz w:val="24"/>
          <w:szCs w:val="24"/>
          <w:highlight w:val="none"/>
          <w:lang w:val="en-US" w:eastAsia="zh-CN"/>
        </w:rPr>
        <w:t>七章</w:t>
      </w:r>
      <w:r>
        <w:rPr>
          <w:rFonts w:hint="eastAsia" w:ascii="宋体" w:hAnsi="宋体" w:eastAsia="宋体" w:cs="宋体"/>
          <w:color w:val="auto"/>
          <w:sz w:val="24"/>
          <w:szCs w:val="24"/>
          <w:highlight w:val="none"/>
        </w:rPr>
        <w:t>规定的格式提交，并按规定的统一格式逐项填写，不准有空项；无相应内容可填的项，应填写“无”、“未测试”、“没有相应指标”等明确的回答文字。由于编排混乱导致投标文件被误读或查找不到，其责任由投标人承担。</w:t>
      </w:r>
    </w:p>
    <w:p w14:paraId="4B72F25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开标一览表为在开标</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唱标的内容，要求按格式统一填写，不得自行增减内容。</w:t>
      </w:r>
    </w:p>
    <w:p w14:paraId="499D705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w:t>
      </w:r>
      <w:r>
        <w:rPr>
          <w:rFonts w:hint="eastAsia" w:ascii="宋体" w:hAnsi="宋体" w:eastAsia="宋体" w:cs="宋体"/>
          <w:color w:val="auto"/>
          <w:sz w:val="24"/>
          <w:szCs w:val="24"/>
          <w:highlight w:val="none"/>
          <w:lang w:val="en-US" w:eastAsia="zh-CN"/>
        </w:rPr>
        <w:t>按</w:t>
      </w:r>
      <w:r>
        <w:rPr>
          <w:rFonts w:hint="eastAsia" w:ascii="宋体" w:hAnsi="宋体" w:eastAsia="宋体" w:cs="宋体"/>
          <w:b/>
          <w:bCs/>
          <w:color w:val="auto"/>
          <w:sz w:val="24"/>
          <w:szCs w:val="24"/>
          <w:highlight w:val="none"/>
          <w:lang w:val="en-US" w:eastAsia="zh-CN"/>
        </w:rPr>
        <w:t>无效投标</w:t>
      </w:r>
      <w:r>
        <w:rPr>
          <w:rFonts w:hint="eastAsia" w:ascii="宋体" w:hAnsi="宋体" w:eastAsia="宋体" w:cs="宋体"/>
          <w:color w:val="auto"/>
          <w:sz w:val="24"/>
          <w:szCs w:val="24"/>
          <w:highlight w:val="none"/>
        </w:rPr>
        <w:t>处理。</w:t>
      </w:r>
    </w:p>
    <w:p w14:paraId="7DBECB0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投标人必须保证投标文件所提供的全部资料真实可靠，并接受采购</w:t>
      </w:r>
      <w:r>
        <w:rPr>
          <w:rFonts w:hint="eastAsia" w:ascii="宋体" w:hAnsi="宋体" w:eastAsia="宋体" w:cs="宋体"/>
          <w:color w:val="auto"/>
          <w:sz w:val="24"/>
          <w:szCs w:val="24"/>
          <w:highlight w:val="none"/>
          <w:lang w:val="en-US" w:eastAsia="zh-CN"/>
        </w:rPr>
        <w:t>人、采购</w:t>
      </w:r>
      <w:r>
        <w:rPr>
          <w:rFonts w:hint="eastAsia" w:ascii="宋体" w:hAnsi="宋体" w:eastAsia="宋体" w:cs="宋体"/>
          <w:color w:val="auto"/>
          <w:sz w:val="24"/>
          <w:szCs w:val="24"/>
          <w:highlight w:val="none"/>
        </w:rPr>
        <w:t>代理机构或评标委员会对其中任何资料进一步审查的要求。</w:t>
      </w:r>
    </w:p>
    <w:p w14:paraId="7AE3718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cs="宋体"/>
          <w:b/>
          <w:bCs/>
          <w:color w:val="auto"/>
          <w:sz w:val="24"/>
          <w:szCs w:val="24"/>
          <w:highlight w:val="none"/>
        </w:rPr>
        <w:t>无效投标</w:t>
      </w:r>
      <w:r>
        <w:rPr>
          <w:rFonts w:hint="eastAsia" w:ascii="宋体" w:hAnsi="宋体" w:eastAsia="宋体" w:cs="宋体"/>
          <w:color w:val="auto"/>
          <w:sz w:val="24"/>
          <w:szCs w:val="24"/>
          <w:highlight w:val="none"/>
        </w:rPr>
        <w:t>处理。</w:t>
      </w:r>
    </w:p>
    <w:p w14:paraId="323B93DE">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16.9电子投标文件的编制</w:t>
      </w:r>
    </w:p>
    <w:p w14:paraId="072DFFA4">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16.9.1电子投标文件需按招标文件要求进行制作编制。投标文件制作时，不同内容按标签提示制作导入，按照招标文件中明确的投标文件目录和格式进行编制，保证目录清晰、内容完整；           </w:t>
      </w:r>
    </w:p>
    <w:p w14:paraId="51F1928B">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16.9.2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宋体" w:hAnsi="宋体" w:eastAsia="宋体" w:cs="宋体"/>
          <w:b/>
          <w:bCs/>
          <w:iCs/>
          <w:color w:val="auto"/>
          <w:kern w:val="2"/>
          <w:sz w:val="24"/>
          <w:szCs w:val="24"/>
          <w:highlight w:val="none"/>
          <w:shd w:val="clear" w:color="auto" w:fill="FFFFFF" w:themeFill="background1"/>
          <w:lang w:val="en-US" w:eastAsia="zh-CN" w:bidi="ar-SA"/>
        </w:rPr>
        <w:t>其投标无效</w:t>
      </w: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w:t>
      </w:r>
    </w:p>
    <w:p w14:paraId="6B2E6D6A">
      <w:pPr>
        <w:pStyle w:val="8"/>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13" w:name="_Toc22756"/>
      <w:bookmarkStart w:id="214" w:name="_Toc20626"/>
      <w:bookmarkStart w:id="215" w:name="_Toc163492842"/>
      <w:bookmarkStart w:id="216" w:name="_Toc10210"/>
      <w:bookmarkStart w:id="217" w:name="_Toc155185873"/>
      <w:r>
        <w:rPr>
          <w:rFonts w:hint="eastAsia" w:ascii="宋体" w:hAnsi="宋体" w:eastAsia="宋体" w:cs="宋体"/>
          <w:b/>
          <w:bCs/>
          <w:color w:val="auto"/>
          <w:kern w:val="2"/>
          <w:sz w:val="24"/>
          <w:szCs w:val="24"/>
          <w:highlight w:val="none"/>
          <w:lang w:val="en-US" w:eastAsia="zh-CN" w:bidi="ar-SA"/>
        </w:rPr>
        <w:t>（四）投标</w:t>
      </w:r>
      <w:bookmarkEnd w:id="213"/>
      <w:bookmarkEnd w:id="214"/>
      <w:bookmarkEnd w:id="215"/>
      <w:bookmarkEnd w:id="216"/>
      <w:bookmarkEnd w:id="217"/>
    </w:p>
    <w:p w14:paraId="386CC8EA">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18" w:name="_Toc16487"/>
      <w:bookmarkStart w:id="219" w:name="_Toc27659"/>
      <w:bookmarkStart w:id="220" w:name="_Toc32654"/>
      <w:bookmarkStart w:id="221" w:name="_Toc163492843"/>
      <w:r>
        <w:rPr>
          <w:rFonts w:hint="eastAsia" w:ascii="宋体" w:hAnsi="宋体" w:eastAsia="宋体" w:cs="宋体"/>
          <w:b/>
          <w:bCs/>
          <w:color w:val="auto"/>
          <w:kern w:val="2"/>
          <w:sz w:val="24"/>
          <w:szCs w:val="24"/>
          <w:highlight w:val="none"/>
          <w:lang w:val="en-US" w:eastAsia="zh-CN" w:bidi="ar-SA"/>
        </w:rPr>
        <w:t>17.投标保证金</w:t>
      </w:r>
      <w:bookmarkEnd w:id="218"/>
      <w:bookmarkEnd w:id="219"/>
      <w:bookmarkEnd w:id="220"/>
    </w:p>
    <w:p w14:paraId="1182B9BB">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17.1投标人应按照招标文件“第二章 投标人须知前附表”规定的金额及要求提交投标保证金。投标人自愿超额缴纳投标保证金的，投标文件不做无效处理。</w:t>
      </w:r>
    </w:p>
    <w:p w14:paraId="370C7C1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17.2提交投标保证金可采用的形式：政府采购法律法规接受的支票、汇票、本票、网上银行支付或者金融机构、担保机构出具的保函等非现金形式。</w:t>
      </w:r>
      <w:r>
        <w:rPr>
          <w:rFonts w:hint="eastAsia" w:ascii="宋体" w:hAnsi="宋体" w:eastAsia="宋体" w:cs="宋体"/>
          <w:color w:val="auto"/>
          <w:kern w:val="2"/>
          <w:sz w:val="24"/>
          <w:szCs w:val="24"/>
          <w:highlight w:val="none"/>
          <w:lang w:val="en-US" w:eastAsia="zh-CN" w:bidi="ar-SA"/>
        </w:rPr>
        <w:t>投标人未按照招标文件要求提交投标保证金的，其</w:t>
      </w:r>
      <w:r>
        <w:rPr>
          <w:rFonts w:hint="eastAsia" w:ascii="宋体" w:hAnsi="宋体" w:eastAsia="宋体" w:cs="宋体"/>
          <w:b/>
          <w:bCs/>
          <w:color w:val="auto"/>
          <w:kern w:val="2"/>
          <w:sz w:val="24"/>
          <w:szCs w:val="24"/>
          <w:highlight w:val="none"/>
          <w:lang w:val="en-US" w:eastAsia="zh-CN" w:bidi="ar-SA"/>
        </w:rPr>
        <w:t>投标无效</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投标保证金有效期同投标有效期。</w:t>
      </w:r>
    </w:p>
    <w:p w14:paraId="54BD0912">
      <w:pPr>
        <w:pStyle w:val="14"/>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17.3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其</w:t>
      </w:r>
      <w:r>
        <w:rPr>
          <w:rFonts w:hint="eastAsia" w:ascii="宋体" w:hAnsi="宋体" w:eastAsia="宋体" w:cs="宋体"/>
          <w:b/>
          <w:bCs/>
          <w:color w:val="auto"/>
          <w:kern w:val="2"/>
          <w:sz w:val="24"/>
          <w:szCs w:val="24"/>
          <w:highlight w:val="none"/>
          <w:lang w:val="en-US" w:eastAsia="zh-CN"/>
        </w:rPr>
        <w:t>投标无效</w:t>
      </w:r>
      <w:r>
        <w:rPr>
          <w:rFonts w:hint="eastAsia" w:ascii="宋体" w:hAnsi="宋体" w:eastAsia="宋体" w:cs="宋体"/>
          <w:color w:val="auto"/>
          <w:kern w:val="2"/>
          <w:sz w:val="24"/>
          <w:szCs w:val="24"/>
          <w:highlight w:val="none"/>
          <w:lang w:val="en-US" w:eastAsia="zh-CN"/>
        </w:rPr>
        <w:t>。</w:t>
      </w:r>
    </w:p>
    <w:p w14:paraId="27BA1101">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17.4 投标人为联合体的，可以由联合体中的一方或者多方共同提交投标保证金，其提交的投标保证金对联合体各方均具有约束力。 </w:t>
      </w:r>
    </w:p>
    <w:p w14:paraId="45878AFC">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17.5采购人或者采购代理机构应当在采购活动结束后及时退还投标人的投标保证金，采用银行保函、担保机构担保函等形式递交的投标保证金，经投标人同意后采购人、采购代理机构可以不再退还，但因投标人自身原因导致无法及时退还的除外。未中标投标人的投标保证金应当自中标通知书发出之日起5个工作日内退还，中标投标人的投标保证金应当自采购合同签订之日起5个工作日内退还。 </w:t>
      </w:r>
    </w:p>
    <w:p w14:paraId="6CFB121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17.6 投标人在投标截止时间前撤回已提交的投标文件的，自收到投标人书面撤回通知之日起5个工作日内，退还已收取的投标保证金，但因投标人自身原因导致无法及时退还的除外。 </w:t>
      </w:r>
    </w:p>
    <w:p w14:paraId="5EB3FE3B">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17.7 终止招标项目已经收取投标保证金的，自终止采购活动后5个工作日内退还已收取的投标保证金及其在银行产生的孳息。</w:t>
      </w:r>
    </w:p>
    <w:p w14:paraId="0B6A028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17.8 有下列情形之一的，采购人或采购代理机构可以不予退还投标保证金,</w:t>
      </w:r>
      <w:r>
        <w:rPr>
          <w:rFonts w:hint="eastAsia" w:ascii="宋体" w:hAnsi="宋体" w:eastAsia="宋体" w:cs="宋体"/>
          <w:color w:val="auto"/>
          <w:kern w:val="2"/>
          <w:sz w:val="24"/>
          <w:szCs w:val="24"/>
          <w:highlight w:val="none"/>
        </w:rPr>
        <w:t>情节严重的将其列入不良记录名单</w:t>
      </w: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w:t>
      </w:r>
    </w:p>
    <w:p w14:paraId="02F7ADEB">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17.8.1 </w:t>
      </w:r>
      <w:r>
        <w:rPr>
          <w:rFonts w:hint="eastAsia" w:ascii="宋体" w:hAnsi="宋体" w:eastAsia="宋体" w:cs="宋体"/>
          <w:color w:val="auto"/>
          <w:kern w:val="2"/>
          <w:sz w:val="24"/>
          <w:szCs w:val="24"/>
          <w:highlight w:val="none"/>
        </w:rPr>
        <w:t>开标后在投标有效期内，投标人撤</w:t>
      </w:r>
      <w:r>
        <w:rPr>
          <w:rFonts w:hint="eastAsia" w:ascii="宋体" w:hAnsi="宋体" w:eastAsia="宋体" w:cs="宋体"/>
          <w:color w:val="auto"/>
          <w:kern w:val="2"/>
          <w:sz w:val="24"/>
          <w:szCs w:val="24"/>
          <w:highlight w:val="none"/>
          <w:lang w:val="en-US" w:eastAsia="zh-CN"/>
        </w:rPr>
        <w:t>销</w:t>
      </w:r>
      <w:r>
        <w:rPr>
          <w:rFonts w:hint="eastAsia" w:ascii="宋体" w:hAnsi="宋体" w:eastAsia="宋体" w:cs="宋体"/>
          <w:color w:val="auto"/>
          <w:kern w:val="2"/>
          <w:sz w:val="24"/>
          <w:szCs w:val="24"/>
          <w:highlight w:val="none"/>
        </w:rPr>
        <w:t>其投标</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w:t>
      </w: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w:t>
      </w:r>
    </w:p>
    <w:p w14:paraId="36FC9D74">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17.8.2 </w:t>
      </w:r>
      <w:r>
        <w:rPr>
          <w:rFonts w:hint="eastAsia" w:ascii="宋体" w:hAnsi="宋体" w:eastAsia="宋体" w:cs="宋体"/>
          <w:color w:val="auto"/>
          <w:kern w:val="2"/>
          <w:sz w:val="24"/>
          <w:szCs w:val="24"/>
          <w:highlight w:val="none"/>
        </w:rPr>
        <w:t>中标后无正当理由不与采购人签订合同的；</w:t>
      </w:r>
    </w:p>
    <w:p w14:paraId="3694295C">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17.8.3 </w:t>
      </w:r>
      <w:r>
        <w:rPr>
          <w:rFonts w:hint="eastAsia" w:ascii="宋体" w:hAnsi="宋体" w:eastAsia="宋体" w:cs="宋体"/>
          <w:color w:val="auto"/>
          <w:kern w:val="2"/>
          <w:sz w:val="24"/>
          <w:szCs w:val="24"/>
          <w:highlight w:val="none"/>
        </w:rPr>
        <w:t>中标人与采购人订立背离合同实质性内容的其他协议；</w:t>
      </w:r>
    </w:p>
    <w:p w14:paraId="54583F23">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17.8.</w:t>
      </w: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将中标项目转让给他人，或者在投标文件中未说明，且未经采购</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同意，将中标项目分包给他人的；</w:t>
      </w:r>
    </w:p>
    <w:p w14:paraId="433DB211">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17.8.</w:t>
      </w:r>
      <w:r>
        <w:rPr>
          <w:rFonts w:hint="eastAsia" w:ascii="宋体" w:hAnsi="宋体" w:eastAsia="宋体" w:cs="宋体"/>
          <w:color w:val="auto"/>
          <w:kern w:val="2"/>
          <w:sz w:val="24"/>
          <w:szCs w:val="24"/>
          <w:highlight w:val="none"/>
        </w:rPr>
        <w:t>5</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存在串通投标行为的；</w:t>
      </w:r>
    </w:p>
    <w:p w14:paraId="0A3E2CC4">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17.8.</w:t>
      </w:r>
      <w:r>
        <w:rPr>
          <w:rFonts w:hint="eastAsia" w:ascii="宋体" w:hAnsi="宋体" w:eastAsia="宋体" w:cs="宋体"/>
          <w:color w:val="auto"/>
          <w:kern w:val="2"/>
          <w:sz w:val="24"/>
          <w:szCs w:val="24"/>
          <w:highlight w:val="none"/>
        </w:rPr>
        <w:t>6</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存在弄虚作假或提供虚假材料谋取中标的；</w:t>
      </w:r>
    </w:p>
    <w:p w14:paraId="3CBF915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17.8.</w:t>
      </w:r>
      <w:r>
        <w:rPr>
          <w:rFonts w:hint="eastAsia" w:ascii="宋体" w:hAnsi="宋体" w:eastAsia="宋体" w:cs="宋体"/>
          <w:color w:val="auto"/>
          <w:kern w:val="2"/>
          <w:sz w:val="24"/>
          <w:szCs w:val="24"/>
          <w:highlight w:val="none"/>
        </w:rPr>
        <w:t>7</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投标人其他未按招标文件规定和合同约定履行义务的行为。</w:t>
      </w:r>
    </w:p>
    <w:p w14:paraId="330E240F">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17.9如开标时投标人对本单位投标保证金缴纳情况有疑义，投标人应在开标结束前向采购人提交书面申请核实保证金缴纳情况。由银行或保险公司核实后出具书面材料予以答复。</w:t>
      </w:r>
    </w:p>
    <w:p w14:paraId="071DFFA7">
      <w:pPr>
        <w:pStyle w:val="57"/>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17.10为支持和促进中小企业发展，进一步发挥政府采购政策功能，鼓励投标供应商使用电子保函代替现金缴纳投标保证金，在线完成保函的申请、审核、开票、出函等环节，投标企业注意区分办理保函类型，并确认投标有效期，如采用政采云电子保函，可</w:t>
      </w:r>
      <w:r>
        <w:rPr>
          <w:rFonts w:hint="eastAsia" w:ascii="宋体" w:hAnsi="宋体" w:eastAsia="宋体" w:cstheme="minorBidi"/>
          <w:iCs/>
          <w:color w:val="auto"/>
          <w:kern w:val="2"/>
          <w:sz w:val="24"/>
          <w:szCs w:val="22"/>
          <w:highlight w:val="none"/>
          <w:shd w:val="clear" w:color="auto" w:fill="FFFFFF" w:themeFill="background1"/>
          <w:lang w:val="en-US" w:eastAsia="zh-CN" w:bidi="ar-SA"/>
        </w:rPr>
        <w:t>登录“新疆政府采购网”—顶部通栏“政采贷”快捷模块查看。金融服务支撑热线：</w:t>
      </w:r>
      <w:r>
        <w:rPr>
          <w:rFonts w:hint="eastAsia" w:ascii="宋体" w:hAnsi="宋体" w:eastAsia="宋体" w:cstheme="minorBidi"/>
          <w:b/>
          <w:bCs/>
          <w:iCs/>
          <w:color w:val="auto"/>
          <w:kern w:val="2"/>
          <w:sz w:val="24"/>
          <w:szCs w:val="22"/>
          <w:highlight w:val="none"/>
          <w:shd w:val="clear" w:color="auto" w:fill="FFFFFF" w:themeFill="background1"/>
          <w:lang w:val="en-US" w:eastAsia="zh-CN" w:bidi="ar-SA"/>
        </w:rPr>
        <w:t>0991-2661159</w:t>
      </w:r>
      <w:r>
        <w:rPr>
          <w:rFonts w:hint="eastAsia" w:ascii="宋体" w:hAnsi="宋体" w:eastAsia="宋体" w:cs="宋体"/>
          <w:b/>
          <w:bCs/>
          <w:iCs/>
          <w:color w:val="auto"/>
          <w:kern w:val="2"/>
          <w:sz w:val="24"/>
          <w:szCs w:val="24"/>
          <w:highlight w:val="none"/>
          <w:shd w:val="clear" w:color="auto" w:fill="FFFFFF" w:themeFill="background1"/>
          <w:lang w:val="en-US" w:eastAsia="zh-CN" w:bidi="ar-SA"/>
        </w:rPr>
        <w:t xml:space="preserve"> </w:t>
      </w: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w:t>
      </w:r>
    </w:p>
    <w:p w14:paraId="3586E853">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22" w:name="_Toc11437"/>
      <w:bookmarkStart w:id="223" w:name="_Toc27604"/>
      <w:bookmarkStart w:id="224" w:name="_Toc22547"/>
      <w:r>
        <w:rPr>
          <w:rFonts w:hint="eastAsia" w:ascii="宋体" w:hAnsi="宋体" w:eastAsia="宋体" w:cs="宋体"/>
          <w:b/>
          <w:bCs/>
          <w:color w:val="auto"/>
          <w:kern w:val="2"/>
          <w:sz w:val="24"/>
          <w:szCs w:val="24"/>
          <w:highlight w:val="none"/>
          <w:lang w:val="en-US" w:eastAsia="zh-CN" w:bidi="ar-SA"/>
        </w:rPr>
        <w:t>18.投标文件的加密</w:t>
      </w:r>
      <w:bookmarkEnd w:id="221"/>
      <w:bookmarkEnd w:id="222"/>
      <w:bookmarkEnd w:id="223"/>
      <w:bookmarkEnd w:id="224"/>
    </w:p>
    <w:p w14:paraId="7CFFC076">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u w:val="single"/>
        </w:rPr>
      </w:pPr>
      <w:bookmarkStart w:id="225" w:name="_Hlk14353186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.1投标人在供应商客户端中生成投标文件并完成签章之后，使用CA证书在供应商客户端中对投标文件进行加密。</w:t>
      </w:r>
    </w:p>
    <w:p w14:paraId="20075D69">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.2投标人应在供应商客户端中对加密的投标文件进行解密验证，以防止投标文件加密异常，在开标时无法解密。</w:t>
      </w:r>
    </w:p>
    <w:p w14:paraId="60E8495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投标人应保证加密投标文件的CA证书有效期在开标时间之前。若CA证书有效期临近开标时间，建议投标人提前办理CA证书续期，以免开标时无法进行解密。</w:t>
      </w:r>
    </w:p>
    <w:p w14:paraId="4D80B003">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w:t>
      </w:r>
      <w:r>
        <w:rPr>
          <w:rFonts w:hint="eastAsia" w:ascii="宋体" w:hAnsi="宋体" w:eastAsia="宋体" w:cs="宋体"/>
          <w:color w:val="auto"/>
          <w:sz w:val="24"/>
          <w:szCs w:val="24"/>
          <w:highlight w:val="none"/>
          <w:lang w:val="en-US" w:eastAsia="zh-CN"/>
        </w:rPr>
        <w:t>止</w:t>
      </w:r>
      <w:r>
        <w:rPr>
          <w:rFonts w:hint="eastAsia" w:ascii="宋体" w:hAnsi="宋体" w:eastAsia="宋体" w:cs="宋体"/>
          <w:color w:val="auto"/>
          <w:sz w:val="24"/>
          <w:szCs w:val="24"/>
          <w:highlight w:val="none"/>
        </w:rPr>
        <w:t>时间前通过</w:t>
      </w:r>
      <w:r>
        <w:rPr>
          <w:rFonts w:hint="eastAsia" w:cs="宋体"/>
          <w:color w:val="auto"/>
          <w:sz w:val="24"/>
          <w:szCs w:val="24"/>
          <w:highlight w:val="none"/>
          <w:lang w:val="en-US" w:eastAsia="zh-CN"/>
        </w:rPr>
        <w:t>新疆</w:t>
      </w:r>
      <w:r>
        <w:rPr>
          <w:rFonts w:hint="eastAsia" w:ascii="宋体" w:hAnsi="宋体" w:eastAsia="宋体" w:cs="宋体"/>
          <w:color w:val="auto"/>
          <w:sz w:val="24"/>
          <w:szCs w:val="24"/>
          <w:highlight w:val="none"/>
        </w:rPr>
        <w:t>政府采购网（</w:t>
      </w:r>
      <w:r>
        <w:rPr>
          <w:rFonts w:hint="eastAsia" w:eastAsia="宋体" w:cs="仿宋_GB2312"/>
          <w:color w:val="auto"/>
          <w:sz w:val="24"/>
          <w:szCs w:val="24"/>
          <w:highlight w:val="none"/>
        </w:rPr>
        <w:t>http://www.ccgp-xinjiang.gov.cn/</w:t>
      </w:r>
      <w:r>
        <w:rPr>
          <w:rFonts w:hint="eastAsia" w:ascii="宋体" w:hAnsi="宋体" w:eastAsia="宋体" w:cs="宋体"/>
          <w:color w:val="auto"/>
          <w:sz w:val="24"/>
          <w:szCs w:val="24"/>
          <w:highlight w:val="none"/>
        </w:rPr>
        <w:t>）的”政采云登录入口”登录后，将加密电子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（为.jmbs后缀格式）上传到对应项目的指定位置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投标人认为有必要提交的其他资料请于投标截止时间前一并提交。</w:t>
      </w:r>
    </w:p>
    <w:p w14:paraId="7FD09881">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如果投标人未按上述要求</w:t>
      </w:r>
      <w:r>
        <w:rPr>
          <w:rFonts w:hint="eastAsia" w:ascii="宋体" w:hAnsi="宋体" w:eastAsia="宋体" w:cs="宋体"/>
          <w:color w:val="auto"/>
          <w:sz w:val="24"/>
          <w:szCs w:val="24"/>
          <w:highlight w:val="none"/>
          <w:lang w:val="en-US" w:eastAsia="zh-CN"/>
        </w:rPr>
        <w:t>加密并上传</w:t>
      </w:r>
      <w:r>
        <w:rPr>
          <w:rFonts w:hint="eastAsia" w:ascii="宋体" w:hAnsi="宋体" w:eastAsia="宋体" w:cs="宋体"/>
          <w:color w:val="auto"/>
          <w:sz w:val="24"/>
          <w:szCs w:val="24"/>
          <w:highlight w:val="none"/>
        </w:rPr>
        <w:t>，采购代理机构对投标文件的误投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无法解密、传输错误等问题</w:t>
      </w:r>
      <w:r>
        <w:rPr>
          <w:rFonts w:hint="eastAsia" w:ascii="宋体" w:hAnsi="宋体" w:eastAsia="宋体" w:cs="宋体"/>
          <w:color w:val="auto"/>
          <w:sz w:val="24"/>
          <w:szCs w:val="24"/>
          <w:highlight w:val="none"/>
        </w:rPr>
        <w:t>概不负责。对由此造成</w:t>
      </w:r>
      <w:r>
        <w:rPr>
          <w:rFonts w:hint="eastAsia" w:ascii="宋体" w:hAnsi="宋体" w:eastAsia="宋体" w:cs="宋体"/>
          <w:color w:val="auto"/>
          <w:sz w:val="24"/>
          <w:szCs w:val="24"/>
          <w:highlight w:val="none"/>
          <w:lang w:val="en-US" w:eastAsia="zh-CN"/>
        </w:rPr>
        <w:t>无法正常开启</w:t>
      </w:r>
      <w:r>
        <w:rPr>
          <w:rFonts w:hint="eastAsia" w:ascii="宋体" w:hAnsi="宋体" w:eastAsia="宋体" w:cs="宋体"/>
          <w:color w:val="auto"/>
          <w:sz w:val="24"/>
          <w:szCs w:val="24"/>
          <w:highlight w:val="none"/>
        </w:rPr>
        <w:t>的投标文件，采购代理机构有权予以拒绝，并退回投标人。</w:t>
      </w:r>
    </w:p>
    <w:p w14:paraId="23051441">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本项目采用不见面开标，无需提供电子投标文件U盘。</w:t>
      </w:r>
    </w:p>
    <w:bookmarkEnd w:id="225"/>
    <w:p w14:paraId="31ED663E">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26" w:name="_Toc140132777"/>
      <w:bookmarkStart w:id="227" w:name="_Toc18403"/>
      <w:bookmarkStart w:id="228" w:name="_Toc18936"/>
      <w:bookmarkStart w:id="229" w:name="_Toc163492844"/>
      <w:bookmarkStart w:id="230" w:name="_Toc13225"/>
      <w:r>
        <w:rPr>
          <w:rFonts w:hint="eastAsia" w:ascii="宋体" w:hAnsi="宋体" w:eastAsia="宋体" w:cs="宋体"/>
          <w:b/>
          <w:bCs/>
          <w:color w:val="auto"/>
          <w:kern w:val="2"/>
          <w:sz w:val="24"/>
          <w:szCs w:val="24"/>
          <w:highlight w:val="none"/>
          <w:lang w:val="en-US" w:eastAsia="zh-CN" w:bidi="ar-SA"/>
        </w:rPr>
        <w:t>19.投标文件的递交</w:t>
      </w:r>
      <w:bookmarkEnd w:id="226"/>
      <w:r>
        <w:rPr>
          <w:rFonts w:hint="eastAsia" w:ascii="宋体" w:hAnsi="宋体" w:eastAsia="宋体" w:cs="宋体"/>
          <w:b/>
          <w:bCs/>
          <w:color w:val="auto"/>
          <w:kern w:val="2"/>
          <w:sz w:val="24"/>
          <w:szCs w:val="24"/>
          <w:highlight w:val="none"/>
          <w:lang w:val="en-US" w:eastAsia="zh-CN" w:bidi="ar-SA"/>
        </w:rPr>
        <w:t>（上传）</w:t>
      </w:r>
      <w:bookmarkEnd w:id="227"/>
      <w:bookmarkEnd w:id="228"/>
      <w:bookmarkEnd w:id="229"/>
      <w:bookmarkEnd w:id="230"/>
    </w:p>
    <w:p w14:paraId="68ADD5D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bookmarkStart w:id="231" w:name="_Hlk143531977"/>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投标人应在“</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”规定的投标截止时间前递交（上传）投标文件。</w:t>
      </w:r>
    </w:p>
    <w:p w14:paraId="0686D9A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投标人递交（上传）投标文件的地点见“</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w:t>
      </w:r>
    </w:p>
    <w:p w14:paraId="6AE6974A">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.3投标人应充分评估集中同时投标带来的网络影响，尽量避开投标高峰时间，错峰进行电子投标。投标人递交全部的投标文件后可在政采云平台（项目采购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投标文件上传）中获取投标文件递交回执单。</w:t>
      </w:r>
    </w:p>
    <w:p w14:paraId="66FB688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.4 投标人应在供应商客户端中下载未加密且完成签章的投标文件妥善保存，以便启动应急开标程序时使用。</w:t>
      </w:r>
    </w:p>
    <w:p w14:paraId="4469D50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.5投标人所递交的投标文件不予退还。</w:t>
      </w:r>
    </w:p>
    <w:bookmarkEnd w:id="231"/>
    <w:p w14:paraId="6AD70963">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32" w:name="_Toc19314"/>
      <w:bookmarkStart w:id="233" w:name="_Toc9803"/>
      <w:bookmarkStart w:id="234" w:name="_Toc163492845"/>
      <w:bookmarkStart w:id="235" w:name="_Toc19457"/>
      <w:r>
        <w:rPr>
          <w:rFonts w:hint="eastAsia" w:ascii="宋体" w:hAnsi="宋体" w:eastAsia="宋体" w:cs="宋体"/>
          <w:b/>
          <w:bCs/>
          <w:color w:val="auto"/>
          <w:kern w:val="2"/>
          <w:sz w:val="24"/>
          <w:szCs w:val="24"/>
          <w:highlight w:val="none"/>
          <w:lang w:val="en-US" w:eastAsia="zh-CN" w:bidi="ar-SA"/>
        </w:rPr>
        <w:t>20.拒收</w:t>
      </w:r>
      <w:bookmarkEnd w:id="232"/>
      <w:bookmarkEnd w:id="233"/>
      <w:bookmarkEnd w:id="234"/>
      <w:bookmarkEnd w:id="235"/>
    </w:p>
    <w:p w14:paraId="163AD542">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 超过投标文件提交截止时间</w:t>
      </w:r>
      <w:bookmarkStart w:id="236" w:name="_Hlk143532404"/>
      <w:r>
        <w:rPr>
          <w:rFonts w:hint="eastAsia" w:ascii="宋体" w:hAnsi="宋体" w:eastAsia="宋体" w:cs="宋体"/>
          <w:color w:val="auto"/>
          <w:sz w:val="24"/>
          <w:szCs w:val="24"/>
          <w:highlight w:val="none"/>
        </w:rPr>
        <w:t>或者不按照本章要求加密的投标文件，交易系统应当拒收</w:t>
      </w:r>
      <w:bookmarkEnd w:id="236"/>
      <w:r>
        <w:rPr>
          <w:rFonts w:hint="eastAsia" w:ascii="宋体" w:hAnsi="宋体" w:eastAsia="宋体" w:cs="宋体"/>
          <w:color w:val="auto"/>
          <w:sz w:val="24"/>
          <w:szCs w:val="24"/>
          <w:highlight w:val="none"/>
        </w:rPr>
        <w:t>。</w:t>
      </w:r>
    </w:p>
    <w:p w14:paraId="03561218">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37" w:name="_Toc20710"/>
      <w:bookmarkStart w:id="238" w:name="_Toc31714"/>
      <w:bookmarkStart w:id="239" w:name="_Toc140132778"/>
      <w:bookmarkStart w:id="240" w:name="_Toc17912"/>
      <w:bookmarkStart w:id="241" w:name="_Toc163492846"/>
      <w:r>
        <w:rPr>
          <w:rFonts w:hint="eastAsia" w:ascii="宋体" w:hAnsi="宋体" w:eastAsia="宋体" w:cs="宋体"/>
          <w:b/>
          <w:bCs/>
          <w:color w:val="auto"/>
          <w:kern w:val="2"/>
          <w:sz w:val="24"/>
          <w:szCs w:val="24"/>
          <w:highlight w:val="none"/>
          <w:lang w:val="en-US" w:eastAsia="zh-CN" w:bidi="ar-SA"/>
        </w:rPr>
        <w:t>21.投标文件的修改与撤回</w:t>
      </w:r>
      <w:bookmarkEnd w:id="237"/>
      <w:bookmarkEnd w:id="238"/>
      <w:bookmarkEnd w:id="239"/>
      <w:bookmarkEnd w:id="240"/>
      <w:bookmarkEnd w:id="241"/>
    </w:p>
    <w:p w14:paraId="7DBF29E0">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bookmarkStart w:id="242" w:name="_Hlk143532466"/>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递交截止时间之前，可在</w:t>
      </w:r>
      <w:r>
        <w:rPr>
          <w:rFonts w:hint="eastAsia" w:cs="宋体"/>
          <w:color w:val="auto"/>
          <w:sz w:val="24"/>
          <w:szCs w:val="24"/>
          <w:highlight w:val="none"/>
          <w:lang w:val="en-US" w:eastAsia="zh-CN"/>
        </w:rPr>
        <w:t>新疆</w:t>
      </w:r>
      <w:r>
        <w:rPr>
          <w:rFonts w:hint="eastAsia" w:ascii="宋体" w:hAnsi="宋体" w:eastAsia="宋体" w:cs="宋体"/>
          <w:color w:val="auto"/>
          <w:sz w:val="24"/>
          <w:szCs w:val="24"/>
          <w:highlight w:val="none"/>
        </w:rPr>
        <w:t>政府采购电子交易云平台上随时撤回已上传的电子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，将修改好的电子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递交截止时间前重新上传到</w:t>
      </w:r>
      <w:r>
        <w:rPr>
          <w:rFonts w:hint="eastAsia" w:cs="宋体"/>
          <w:color w:val="auto"/>
          <w:sz w:val="24"/>
          <w:szCs w:val="24"/>
          <w:highlight w:val="none"/>
          <w:lang w:val="en-US" w:eastAsia="zh-CN"/>
        </w:rPr>
        <w:t>新疆</w:t>
      </w:r>
      <w:r>
        <w:rPr>
          <w:rFonts w:hint="eastAsia" w:ascii="宋体" w:hAnsi="宋体" w:eastAsia="宋体" w:cs="宋体"/>
          <w:color w:val="auto"/>
          <w:sz w:val="24"/>
          <w:szCs w:val="24"/>
          <w:highlight w:val="none"/>
        </w:rPr>
        <w:t>政府采购电子交易云平台的</w:t>
      </w:r>
      <w:r>
        <w:rPr>
          <w:rFonts w:hint="eastAsia" w:ascii="宋体" w:hAnsi="宋体" w:eastAsia="宋体" w:cs="宋体"/>
          <w:color w:val="auto"/>
          <w:sz w:val="24"/>
          <w:szCs w:val="24"/>
          <w:highlight w:val="none"/>
          <w:lang w:val="en-US" w:eastAsia="zh-CN"/>
        </w:rPr>
        <w:t>指</w:t>
      </w:r>
      <w:r>
        <w:rPr>
          <w:rFonts w:hint="eastAsia" w:ascii="宋体" w:hAnsi="宋体" w:eastAsia="宋体" w:cs="宋体"/>
          <w:color w:val="auto"/>
          <w:sz w:val="24"/>
          <w:szCs w:val="24"/>
          <w:highlight w:val="none"/>
        </w:rPr>
        <w:t>定位置。</w:t>
      </w:r>
    </w:p>
    <w:bookmarkEnd w:id="242"/>
    <w:p w14:paraId="20434D8C">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43" w:name="_Toc163492847"/>
      <w:bookmarkStart w:id="244" w:name="_Toc155185874"/>
      <w:bookmarkStart w:id="245" w:name="_Toc6030"/>
      <w:bookmarkStart w:id="246" w:name="_Toc18728"/>
      <w:bookmarkStart w:id="247" w:name="_Toc20864"/>
      <w:r>
        <w:rPr>
          <w:rFonts w:hint="eastAsia" w:ascii="宋体" w:hAnsi="宋体" w:eastAsia="宋体" w:cs="宋体"/>
          <w:b/>
          <w:bCs/>
          <w:color w:val="auto"/>
          <w:kern w:val="2"/>
          <w:sz w:val="24"/>
          <w:szCs w:val="24"/>
          <w:highlight w:val="none"/>
          <w:lang w:val="en-US" w:eastAsia="zh-CN" w:bidi="ar-SA"/>
        </w:rPr>
        <w:t>22.实物样品</w:t>
      </w:r>
      <w:bookmarkEnd w:id="243"/>
      <w:bookmarkEnd w:id="244"/>
      <w:bookmarkEnd w:id="245"/>
      <w:bookmarkEnd w:id="246"/>
      <w:bookmarkEnd w:id="247"/>
    </w:p>
    <w:p w14:paraId="52D4EAF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.1“投标人须知前附表”要求提供样品的，样品的具体要求及评审详见“第三章 采购需求”和“第五章 评标</w:t>
      </w:r>
      <w:r>
        <w:rPr>
          <w:rFonts w:hint="eastAsia" w:ascii="宋体" w:hAnsi="宋体" w:eastAsia="宋体" w:cs="宋体"/>
          <w:snapToGrid w:val="0"/>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2D6ED3FC">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.2样品退还：未中标的投标人应</w:t>
      </w:r>
      <w:r>
        <w:rPr>
          <w:rFonts w:hint="eastAsia" w:ascii="宋体" w:hAnsi="宋体" w:eastAsia="宋体" w:cs="宋体"/>
          <w:color w:val="auto"/>
          <w:sz w:val="24"/>
          <w:szCs w:val="24"/>
          <w:highlight w:val="none"/>
          <w:lang w:val="en-US" w:eastAsia="zh-CN"/>
        </w:rPr>
        <w:t>按照</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自行联系采购人取回投标样品；中标人的样品由采购人进行保管、封存，并作为履约验收的参考（招标文件另有规定的从其规定）。</w:t>
      </w:r>
    </w:p>
    <w:p w14:paraId="7DD3C31F">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48" w:name="_Toc30367"/>
      <w:bookmarkStart w:id="249" w:name="_Toc155185875"/>
      <w:bookmarkStart w:id="250" w:name="_Toc3586"/>
      <w:bookmarkStart w:id="251" w:name="_Toc163492848"/>
      <w:bookmarkStart w:id="252" w:name="_Toc11533"/>
      <w:r>
        <w:rPr>
          <w:rFonts w:hint="eastAsia" w:ascii="宋体" w:hAnsi="宋体" w:eastAsia="宋体" w:cs="宋体"/>
          <w:b/>
          <w:bCs/>
          <w:color w:val="auto"/>
          <w:kern w:val="2"/>
          <w:sz w:val="24"/>
          <w:szCs w:val="24"/>
          <w:highlight w:val="none"/>
          <w:lang w:val="en-US" w:eastAsia="zh-CN" w:bidi="ar-SA"/>
        </w:rPr>
        <w:t>23.演示</w:t>
      </w:r>
      <w:bookmarkEnd w:id="248"/>
      <w:bookmarkEnd w:id="249"/>
      <w:bookmarkEnd w:id="250"/>
      <w:bookmarkEnd w:id="251"/>
      <w:bookmarkEnd w:id="252"/>
    </w:p>
    <w:p w14:paraId="1A234B3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.1要求投标人进行演示的，演示要求详见“投标人须知前附表”。</w:t>
      </w:r>
    </w:p>
    <w:p w14:paraId="527E903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.2演示的评审详见“第三章 采购需求”和“第五章 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44828689">
      <w:pPr>
        <w:pStyle w:val="8"/>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53" w:name="_Toc140132779"/>
      <w:bookmarkStart w:id="254" w:name="_Toc163492849"/>
      <w:bookmarkStart w:id="255" w:name="_Toc23023"/>
      <w:bookmarkStart w:id="256" w:name="_Toc8231"/>
      <w:bookmarkStart w:id="257" w:name="_Toc155185876"/>
      <w:bookmarkStart w:id="258" w:name="_Toc13245"/>
      <w:r>
        <w:rPr>
          <w:rFonts w:hint="eastAsia" w:ascii="宋体" w:hAnsi="宋体" w:eastAsia="宋体" w:cs="宋体"/>
          <w:b/>
          <w:bCs/>
          <w:color w:val="auto"/>
          <w:kern w:val="2"/>
          <w:sz w:val="24"/>
          <w:szCs w:val="24"/>
          <w:highlight w:val="none"/>
          <w:lang w:val="en-US" w:eastAsia="zh-CN" w:bidi="ar-SA"/>
        </w:rPr>
        <w:t>（五）开标</w:t>
      </w:r>
      <w:bookmarkEnd w:id="253"/>
      <w:bookmarkEnd w:id="254"/>
      <w:bookmarkEnd w:id="255"/>
      <w:bookmarkEnd w:id="256"/>
      <w:bookmarkEnd w:id="257"/>
      <w:bookmarkEnd w:id="258"/>
    </w:p>
    <w:p w14:paraId="1705A8FF">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59" w:name="_Toc163492850"/>
      <w:bookmarkStart w:id="260" w:name="_Toc21393"/>
      <w:bookmarkStart w:id="261" w:name="_Toc22613"/>
      <w:bookmarkStart w:id="262" w:name="_Toc8612"/>
      <w:bookmarkStart w:id="263" w:name="_Toc140132780"/>
      <w:r>
        <w:rPr>
          <w:rFonts w:hint="eastAsia" w:ascii="宋体" w:hAnsi="宋体" w:eastAsia="宋体" w:cs="宋体"/>
          <w:b/>
          <w:bCs/>
          <w:color w:val="auto"/>
          <w:kern w:val="2"/>
          <w:sz w:val="24"/>
          <w:szCs w:val="24"/>
          <w:highlight w:val="none"/>
          <w:lang w:val="en-US" w:eastAsia="zh-CN" w:bidi="ar-SA"/>
        </w:rPr>
        <w:t>24.开标会议</w:t>
      </w:r>
      <w:bookmarkEnd w:id="259"/>
      <w:bookmarkEnd w:id="260"/>
      <w:bookmarkEnd w:id="261"/>
      <w:bookmarkEnd w:id="262"/>
      <w:bookmarkEnd w:id="263"/>
    </w:p>
    <w:p w14:paraId="43376441">
      <w:pPr>
        <w:keepNext w:val="0"/>
        <w:keepLines w:val="0"/>
        <w:pageBreakBefore w:val="0"/>
        <w:widowControl w:val="0"/>
        <w:kinsoku/>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lang w:eastAsia="zh-CN"/>
        </w:rPr>
      </w:pPr>
      <w:bookmarkStart w:id="264" w:name="_Toc14013278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开标会按“</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”规定的开标时间和地点准时举行，采购人、采购代理机构邀请所有投标人准时参加开标会。投标人应按照</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的要求参与</w:t>
      </w:r>
      <w:r>
        <w:rPr>
          <w:rFonts w:hint="eastAsia" w:ascii="宋体" w:hAnsi="宋体" w:eastAsia="宋体" w:cs="宋体"/>
          <w:color w:val="auto"/>
          <w:sz w:val="24"/>
          <w:szCs w:val="24"/>
          <w:highlight w:val="none"/>
          <w:lang w:val="en-US" w:eastAsia="zh-CN"/>
        </w:rPr>
        <w:t>不见面开标</w:t>
      </w:r>
      <w:r>
        <w:rPr>
          <w:rFonts w:hint="eastAsia" w:ascii="宋体" w:hAnsi="宋体" w:eastAsia="宋体" w:cs="宋体"/>
          <w:color w:val="auto"/>
          <w:sz w:val="24"/>
          <w:szCs w:val="24"/>
          <w:highlight w:val="none"/>
        </w:rPr>
        <w:t>。</w:t>
      </w:r>
    </w:p>
    <w:p w14:paraId="60A061F0">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bookmarkEnd w:id="264"/>
      <w:r>
        <w:rPr>
          <w:rFonts w:hint="eastAsia" w:ascii="宋体" w:hAnsi="宋体" w:eastAsia="宋体" w:cs="宋体"/>
          <w:color w:val="auto"/>
          <w:kern w:val="2"/>
          <w:sz w:val="24"/>
          <w:szCs w:val="24"/>
          <w:highlight w:val="none"/>
        </w:rPr>
        <w:t>采购代理机构按照招标文件规定的时间、地点主持开标。采购人在规定的</w:t>
      </w:r>
      <w:r>
        <w:rPr>
          <w:rFonts w:hint="eastAsia" w:ascii="宋体" w:hAnsi="宋体" w:eastAsia="宋体" w:cs="宋体"/>
          <w:color w:val="auto"/>
          <w:kern w:val="2"/>
          <w:sz w:val="24"/>
          <w:szCs w:val="24"/>
          <w:highlight w:val="none"/>
          <w:lang w:eastAsia="zh-CN"/>
        </w:rPr>
        <w:t>投标文件</w:t>
      </w:r>
      <w:r>
        <w:rPr>
          <w:rFonts w:hint="eastAsia" w:ascii="宋体" w:hAnsi="宋体" w:eastAsia="宋体" w:cs="宋体"/>
          <w:color w:val="auto"/>
          <w:kern w:val="2"/>
          <w:sz w:val="24"/>
          <w:szCs w:val="24"/>
          <w:highlight w:val="none"/>
        </w:rPr>
        <w:t>递交截止时间（开标时间）和地点进行不见面远程开标。</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的法定代表人或其委托代理人无需到达开标现场，仅需在任意地点通过</w:t>
      </w:r>
      <w:r>
        <w:rPr>
          <w:rFonts w:hint="eastAsia" w:cs="宋体"/>
          <w:color w:val="auto"/>
          <w:kern w:val="2"/>
          <w:sz w:val="24"/>
          <w:szCs w:val="24"/>
          <w:highlight w:val="none"/>
          <w:lang w:val="en-US" w:eastAsia="zh-CN"/>
        </w:rPr>
        <w:t>新疆</w:t>
      </w:r>
      <w:r>
        <w:rPr>
          <w:rFonts w:hint="eastAsia" w:ascii="宋体" w:hAnsi="宋体" w:eastAsia="宋体" w:cs="宋体"/>
          <w:color w:val="auto"/>
          <w:kern w:val="2"/>
          <w:sz w:val="24"/>
          <w:szCs w:val="24"/>
          <w:highlight w:val="none"/>
          <w:lang w:val="en-US" w:eastAsia="zh-CN"/>
        </w:rPr>
        <w:t>政府采购电子交易云平台（网址：</w:t>
      </w:r>
      <w:r>
        <w:rPr>
          <w:rFonts w:hint="eastAsia" w:eastAsia="宋体" w:cs="仿宋_GB2312"/>
          <w:color w:val="auto"/>
          <w:sz w:val="24"/>
          <w:szCs w:val="24"/>
          <w:highlight w:val="none"/>
        </w:rPr>
        <w:t>http://www.ccgp-xinjiang.gov.cn/</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的</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政采云登录入口”登录后，进入“政采云远程开标大厅”参加开标会议，并使用CA密钥完成远程解密、提疑澄清、开标唱标、结果公布等交互环节。</w:t>
      </w:r>
    </w:p>
    <w:p w14:paraId="4F83B05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 xml:space="preserve">24.3开标过程将宣布投标人名称、投标价格和招标文件规定的需要宣布的其他内容并进行记录，并由参加开标的各投标人确认。投标人未在规定时间内提 出疑义或确认一览表的，视同认可开标结果。 </w:t>
      </w:r>
    </w:p>
    <w:p w14:paraId="63FB5E60">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65" w:name="_Toc140132783"/>
      <w:bookmarkStart w:id="266" w:name="_Toc22024"/>
      <w:bookmarkStart w:id="267" w:name="_Toc30858"/>
      <w:bookmarkStart w:id="268" w:name="_Toc6135"/>
      <w:bookmarkStart w:id="269" w:name="_Toc163492852"/>
      <w:r>
        <w:rPr>
          <w:rFonts w:hint="eastAsia" w:ascii="宋体" w:hAnsi="宋体" w:eastAsia="宋体" w:cs="宋体"/>
          <w:b/>
          <w:bCs/>
          <w:color w:val="auto"/>
          <w:kern w:val="2"/>
          <w:sz w:val="24"/>
          <w:szCs w:val="24"/>
          <w:highlight w:val="none"/>
          <w:lang w:val="en-US" w:eastAsia="zh-CN" w:bidi="ar-SA"/>
        </w:rPr>
        <w:t>25.开标程序</w:t>
      </w:r>
      <w:bookmarkEnd w:id="265"/>
      <w:bookmarkEnd w:id="266"/>
      <w:bookmarkEnd w:id="267"/>
      <w:bookmarkEnd w:id="268"/>
      <w:bookmarkEnd w:id="269"/>
    </w:p>
    <w:p w14:paraId="60F7948B">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投标人不足3家的，不得开标。</w:t>
      </w:r>
    </w:p>
    <w:p w14:paraId="5B4EFA66">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评标委员会成员不得参加开标活动。</w:t>
      </w:r>
    </w:p>
    <w:p w14:paraId="6EDD80B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.3主持人按下列程序进行开标：</w:t>
      </w:r>
    </w:p>
    <w:p w14:paraId="02BF7803">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（1）宣布开标会纪律；</w:t>
      </w:r>
    </w:p>
    <w:p w14:paraId="06FE8596">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（2）介绍参加开标会的单位和人员；</w:t>
      </w:r>
    </w:p>
    <w:p w14:paraId="69CFC68B">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（3）发起投标文件解密。投标人应在“投标人须知前附表”规定的时间内使用加密投标文件的CA证书在系统中完成投标文件的解密；</w:t>
      </w:r>
    </w:p>
    <w:p w14:paraId="30C058B0">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（4）解密完成后，系统自动显示投标人名称、投标价格和招标文件规定的需要宣布的其他内容；</w:t>
      </w:r>
    </w:p>
    <w:p w14:paraId="102D4E44">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（5）系统自动生成开标记录表，供应商应在线对开标记录进行签署确认</w:t>
      </w:r>
      <w:r>
        <w:rPr>
          <w:rFonts w:hint="eastAsia" w:ascii="宋体" w:hAnsi="宋体" w:eastAsia="宋体" w:cs="宋体"/>
          <w:color w:val="auto"/>
          <w:sz w:val="24"/>
          <w:szCs w:val="24"/>
          <w:highlight w:val="none"/>
          <w:lang w:val="en-US" w:eastAsia="zh-CN"/>
        </w:rPr>
        <w:t>；</w:t>
      </w:r>
    </w:p>
    <w:p w14:paraId="1E68785D">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（6）开标会结束。</w:t>
      </w:r>
      <w:bookmarkStart w:id="270" w:name="_Toc163492853"/>
      <w:bookmarkStart w:id="271" w:name="_Toc140132784"/>
    </w:p>
    <w:p w14:paraId="459D358F">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72" w:name="_Toc8830"/>
      <w:bookmarkStart w:id="273" w:name="_Toc8444"/>
      <w:bookmarkStart w:id="274" w:name="_Toc6699"/>
      <w:r>
        <w:rPr>
          <w:rFonts w:hint="eastAsia" w:ascii="宋体" w:hAnsi="宋体" w:eastAsia="宋体" w:cs="宋体"/>
          <w:b/>
          <w:bCs/>
          <w:color w:val="auto"/>
          <w:kern w:val="2"/>
          <w:sz w:val="24"/>
          <w:szCs w:val="24"/>
          <w:highlight w:val="none"/>
          <w:lang w:val="en-US" w:eastAsia="zh-CN" w:bidi="ar-SA"/>
        </w:rPr>
        <w:t>26.开标疑义及回避情形</w:t>
      </w:r>
      <w:bookmarkEnd w:id="270"/>
      <w:bookmarkEnd w:id="271"/>
      <w:bookmarkEnd w:id="272"/>
      <w:bookmarkEnd w:id="273"/>
      <w:bookmarkEnd w:id="274"/>
    </w:p>
    <w:p w14:paraId="04573EB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4E69EE0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.2投标人未参加开标的，视同认可开标结果。</w:t>
      </w:r>
    </w:p>
    <w:p w14:paraId="55D243EF">
      <w:pPr>
        <w:pStyle w:val="8"/>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75" w:name="_Toc155185877"/>
      <w:bookmarkStart w:id="276" w:name="_Toc163492854"/>
      <w:bookmarkStart w:id="277" w:name="_Toc15018"/>
      <w:bookmarkStart w:id="278" w:name="_Toc9049"/>
      <w:bookmarkStart w:id="279" w:name="_Toc22271"/>
      <w:bookmarkStart w:id="280" w:name="_Toc140132785"/>
      <w:r>
        <w:rPr>
          <w:rFonts w:hint="eastAsia" w:ascii="宋体" w:hAnsi="宋体" w:eastAsia="宋体" w:cs="宋体"/>
          <w:b/>
          <w:bCs/>
          <w:color w:val="auto"/>
          <w:kern w:val="2"/>
          <w:sz w:val="24"/>
          <w:szCs w:val="24"/>
          <w:highlight w:val="none"/>
          <w:lang w:val="en-US" w:eastAsia="zh-CN" w:bidi="ar-SA"/>
        </w:rPr>
        <w:t>（六）资格审查</w:t>
      </w:r>
      <w:bookmarkEnd w:id="275"/>
      <w:bookmarkEnd w:id="276"/>
      <w:bookmarkEnd w:id="277"/>
      <w:bookmarkEnd w:id="278"/>
      <w:bookmarkEnd w:id="279"/>
      <w:bookmarkEnd w:id="280"/>
    </w:p>
    <w:p w14:paraId="2C1B5FD6">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81" w:name="_Toc9539"/>
      <w:bookmarkStart w:id="282" w:name="_Toc163492855"/>
      <w:bookmarkStart w:id="283" w:name="_Toc507"/>
      <w:bookmarkStart w:id="284" w:name="_Toc16245"/>
      <w:r>
        <w:rPr>
          <w:rFonts w:hint="eastAsia" w:ascii="宋体" w:hAnsi="宋体" w:eastAsia="宋体" w:cs="宋体"/>
          <w:b/>
          <w:bCs/>
          <w:color w:val="auto"/>
          <w:kern w:val="2"/>
          <w:sz w:val="24"/>
          <w:szCs w:val="24"/>
          <w:highlight w:val="none"/>
          <w:lang w:val="en-US" w:eastAsia="zh-CN" w:bidi="ar-SA"/>
        </w:rPr>
        <w:t>27.资格审查及审查主体</w:t>
      </w:r>
      <w:bookmarkEnd w:id="281"/>
      <w:bookmarkEnd w:id="282"/>
      <w:bookmarkEnd w:id="283"/>
      <w:bookmarkEnd w:id="284"/>
    </w:p>
    <w:p w14:paraId="3F6E8AD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285" w:name="_Toc140132786"/>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bookmarkEnd w:id="285"/>
      <w:r>
        <w:rPr>
          <w:rFonts w:hint="eastAsia" w:ascii="宋体" w:hAnsi="宋体" w:eastAsia="宋体" w:cs="宋体"/>
          <w:color w:val="auto"/>
          <w:sz w:val="24"/>
          <w:szCs w:val="24"/>
          <w:highlight w:val="none"/>
        </w:rPr>
        <w:t>开标结束后，采购人或者采购代理机构应当依法对投标人的资格进行审查。</w:t>
      </w:r>
    </w:p>
    <w:p w14:paraId="6F7626D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286" w:name="_Toc140132787"/>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.2资格审查按“第四章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资格审查”的规定进行。</w:t>
      </w:r>
      <w:bookmarkEnd w:id="286"/>
    </w:p>
    <w:p w14:paraId="44D43B8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287" w:name="_Toc140132788"/>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.3资格审查结束后，应及时对资格审查结果进行复核，对资格审查错误进行及时纠正并记录。</w:t>
      </w:r>
      <w:bookmarkEnd w:id="287"/>
    </w:p>
    <w:p w14:paraId="272F167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27.4</w:t>
      </w:r>
      <w:r>
        <w:rPr>
          <w:rFonts w:hint="eastAsia" w:ascii="宋体" w:hAnsi="宋体" w:eastAsia="宋体" w:cs="宋体"/>
          <w:color w:val="auto"/>
          <w:sz w:val="24"/>
          <w:szCs w:val="24"/>
          <w:highlight w:val="none"/>
        </w:rPr>
        <w:t>资格审查合格投标人不足3家的，不得评标。</w:t>
      </w:r>
    </w:p>
    <w:p w14:paraId="7A1F7D21">
      <w:pPr>
        <w:pStyle w:val="8"/>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88" w:name="_Toc3464"/>
      <w:bookmarkStart w:id="289" w:name="_Toc163492856"/>
      <w:bookmarkStart w:id="290" w:name="_Toc155185878"/>
      <w:bookmarkStart w:id="291" w:name="_Toc9489"/>
      <w:bookmarkStart w:id="292" w:name="_Toc11390"/>
      <w:bookmarkStart w:id="293" w:name="_Toc140132789"/>
      <w:r>
        <w:rPr>
          <w:rFonts w:hint="eastAsia" w:ascii="宋体" w:hAnsi="宋体" w:eastAsia="宋体" w:cs="宋体"/>
          <w:b/>
          <w:bCs/>
          <w:color w:val="auto"/>
          <w:kern w:val="2"/>
          <w:sz w:val="24"/>
          <w:szCs w:val="24"/>
          <w:highlight w:val="none"/>
          <w:lang w:val="en-US" w:eastAsia="zh-CN" w:bidi="ar-SA"/>
        </w:rPr>
        <w:t>（七）评标</w:t>
      </w:r>
      <w:bookmarkEnd w:id="288"/>
      <w:bookmarkEnd w:id="289"/>
      <w:bookmarkEnd w:id="290"/>
      <w:bookmarkEnd w:id="291"/>
      <w:bookmarkEnd w:id="292"/>
      <w:bookmarkEnd w:id="293"/>
    </w:p>
    <w:p w14:paraId="7EBE7ABE">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4" w:name="_Toc13920"/>
      <w:bookmarkStart w:id="295" w:name="_Toc140132790"/>
      <w:bookmarkStart w:id="296" w:name="_Toc163492857"/>
      <w:bookmarkStart w:id="297" w:name="_Toc195"/>
      <w:bookmarkStart w:id="298" w:name="_Toc14310"/>
      <w:r>
        <w:rPr>
          <w:rFonts w:hint="eastAsia" w:ascii="宋体" w:hAnsi="宋体" w:eastAsia="宋体" w:cs="宋体"/>
          <w:b/>
          <w:bCs/>
          <w:color w:val="auto"/>
          <w:kern w:val="2"/>
          <w:sz w:val="24"/>
          <w:szCs w:val="24"/>
          <w:highlight w:val="none"/>
          <w:lang w:val="en-US" w:eastAsia="zh-CN" w:bidi="ar-SA"/>
        </w:rPr>
        <w:t>28.评标委员会</w:t>
      </w:r>
      <w:bookmarkEnd w:id="294"/>
      <w:bookmarkEnd w:id="295"/>
      <w:bookmarkEnd w:id="296"/>
      <w:bookmarkEnd w:id="297"/>
      <w:bookmarkEnd w:id="298"/>
    </w:p>
    <w:p w14:paraId="1EA2B13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评标由采购人依法组建的评标委员会负责。评标委员会由采购人代表和评审专家组成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成员人数应当为5</w:t>
      </w:r>
      <w:r>
        <w:rPr>
          <w:rFonts w:hint="eastAsia" w:ascii="宋体" w:hAnsi="宋体" w:eastAsia="宋体" w:cs="宋体"/>
          <w:color w:val="auto"/>
          <w:sz w:val="24"/>
          <w:szCs w:val="24"/>
          <w:highlight w:val="none"/>
        </w:rPr>
        <w:t>人以上单数，其中</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专家不</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少于</w:t>
      </w:r>
      <w:r>
        <w:rPr>
          <w:rFonts w:hint="eastAsia" w:ascii="宋体" w:hAnsi="宋体" w:eastAsia="宋体" w:cs="宋体"/>
          <w:color w:val="auto"/>
          <w:sz w:val="24"/>
          <w:szCs w:val="24"/>
          <w:highlight w:val="none"/>
          <w:lang w:val="en-US" w:eastAsia="zh-CN"/>
        </w:rPr>
        <w:t>成员总数的</w:t>
      </w:r>
      <w:r>
        <w:rPr>
          <w:rFonts w:hint="eastAsia" w:ascii="宋体" w:hAnsi="宋体" w:eastAsia="宋体" w:cs="宋体"/>
          <w:color w:val="auto"/>
          <w:sz w:val="24"/>
          <w:szCs w:val="24"/>
          <w:highlight w:val="none"/>
        </w:rPr>
        <w:t>三分之二。</w:t>
      </w:r>
      <w:r>
        <w:rPr>
          <w:rFonts w:hint="eastAsia" w:ascii="宋体" w:hAnsi="宋体" w:eastAsia="宋体" w:cs="宋体"/>
          <w:color w:val="auto"/>
          <w:sz w:val="24"/>
          <w:szCs w:val="24"/>
          <w:highlight w:val="none"/>
          <w:lang w:val="en-US" w:eastAsia="zh-CN"/>
        </w:rPr>
        <w:t>采购人或者采购代理机构应当从省级以上财政部门设立的政府采购评审专家库中，通过随机方式抽取评审专家。</w:t>
      </w:r>
    </w:p>
    <w:p w14:paraId="32DE780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28.2 采购项目符合下列情形之一的，评标委员会成员人数应当为7人以上单数：</w:t>
      </w:r>
    </w:p>
    <w:p w14:paraId="05C639B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（1）采购预算金额在1000万元以上；</w:t>
      </w:r>
    </w:p>
    <w:p w14:paraId="67DFE62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（2）技术复杂；</w:t>
      </w:r>
    </w:p>
    <w:p w14:paraId="6B9FB10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（3）社会影响较大。</w:t>
      </w:r>
    </w:p>
    <w:p w14:paraId="4590A67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28.3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16E9280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28.4评标委员会成员名单在评标结果公告前应当保密。</w:t>
      </w:r>
    </w:p>
    <w:p w14:paraId="2F8842E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28.5评标中因评标委员会成员缺席、回避或者健康等特殊原因导致评标委员会组成不符合本办法规定的，采购人或者采购代理机构应当依法补足后继续评标。被更换的评标委员会成员所作出的评标意见无效。</w:t>
      </w:r>
    </w:p>
    <w:p w14:paraId="28948BF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28.6无法及时补足评标委员会成员的，采购人或者采购代理机构应当停止评标活动，封存所有投标文件和开标、评标资料，依法重新组建评标委员会进行评标。原评标委员会所作出的评标意见无效。</w:t>
      </w:r>
    </w:p>
    <w:p w14:paraId="320EF10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评标委员会成员有下列情形之一的，应当回避：</w:t>
      </w:r>
    </w:p>
    <w:p w14:paraId="5366671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（1）参加采购活动前3年内与投标人存在劳动关系；</w:t>
      </w:r>
    </w:p>
    <w:p w14:paraId="4B33BA4E">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（2）参加采购活动前3年内担任投标人的董事、监事；</w:t>
      </w:r>
    </w:p>
    <w:p w14:paraId="271CA22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（3）参加采购活动前3年内是投标人的控股股东或实际控制人；</w:t>
      </w:r>
    </w:p>
    <w:p w14:paraId="0F31540C">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（4）与投标人的法定代表人或者负责人有夫妻、直系血亲、三代以内旁系血亲或者近姻亲关系；</w:t>
      </w:r>
    </w:p>
    <w:p w14:paraId="20FB9B7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（5）与投标人有其他可能影响采购活动公平、公正进行的关系。</w:t>
      </w:r>
    </w:p>
    <w:p w14:paraId="25BEA5A7">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9" w:name="_Toc7854"/>
      <w:bookmarkStart w:id="300" w:name="_Toc163492858"/>
      <w:bookmarkStart w:id="301" w:name="_Toc140132791"/>
      <w:bookmarkStart w:id="302" w:name="_Toc167"/>
      <w:bookmarkStart w:id="303" w:name="_Toc4052"/>
      <w:r>
        <w:rPr>
          <w:rFonts w:hint="eastAsia" w:ascii="宋体" w:hAnsi="宋体" w:eastAsia="宋体" w:cs="宋体"/>
          <w:b/>
          <w:bCs/>
          <w:color w:val="auto"/>
          <w:kern w:val="2"/>
          <w:sz w:val="24"/>
          <w:szCs w:val="24"/>
          <w:highlight w:val="none"/>
          <w:lang w:val="en-US" w:eastAsia="zh-CN" w:bidi="ar-SA"/>
        </w:rPr>
        <w:t>29.评标</w:t>
      </w:r>
      <w:bookmarkEnd w:id="299"/>
      <w:bookmarkEnd w:id="300"/>
      <w:bookmarkEnd w:id="301"/>
      <w:bookmarkEnd w:id="302"/>
      <w:bookmarkEnd w:id="303"/>
    </w:p>
    <w:p w14:paraId="6D0B095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评标方法分为综合评分法和</w:t>
      </w:r>
      <w:r>
        <w:rPr>
          <w:rFonts w:hint="eastAsia" w:ascii="宋体" w:hAnsi="宋体" w:eastAsia="宋体" w:cs="宋体"/>
          <w:color w:val="auto"/>
          <w:sz w:val="24"/>
          <w:szCs w:val="24"/>
          <w:highlight w:val="none"/>
        </w:rPr>
        <w:t>最低评标价法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本项目评标</w:t>
      </w:r>
      <w:r>
        <w:rPr>
          <w:rFonts w:hint="eastAsia" w:ascii="宋体" w:hAnsi="宋体" w:eastAsia="宋体" w:cs="宋体"/>
          <w:color w:val="auto"/>
          <w:sz w:val="24"/>
          <w:szCs w:val="24"/>
          <w:highlight w:val="none"/>
          <w:lang w:val="en-US" w:eastAsia="zh-CN"/>
        </w:rPr>
        <w:t>方法详见</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sz w:val="24"/>
          <w:szCs w:val="24"/>
          <w:highlight w:val="none"/>
          <w:lang w:eastAsia="zh-CN"/>
        </w:rPr>
        <w:t>。</w:t>
      </w:r>
    </w:p>
    <w:p w14:paraId="2BC22B3E">
      <w:pPr>
        <w:pStyle w:val="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9.1.1</w:t>
      </w:r>
      <w:r>
        <w:rPr>
          <w:rFonts w:hint="eastAsia" w:ascii="宋体" w:hAnsi="宋体" w:eastAsia="宋体" w:cs="宋体"/>
          <w:color w:val="auto"/>
          <w:sz w:val="24"/>
          <w:szCs w:val="24"/>
          <w:highlight w:val="none"/>
        </w:rPr>
        <w:t>综合评分法，是指投标文件满足招标文件全部实质性要求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且按照评审因素的量化指标评审得分最高的投标人为中标候选人的评标方法。</w:t>
      </w:r>
    </w:p>
    <w:p w14:paraId="0E3867EE">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29.1.2.</w:t>
      </w:r>
      <w:r>
        <w:rPr>
          <w:rFonts w:hint="eastAsia" w:ascii="宋体" w:hAnsi="宋体" w:eastAsia="宋体" w:cs="宋体"/>
          <w:color w:val="auto"/>
          <w:sz w:val="24"/>
          <w:szCs w:val="24"/>
          <w:highlight w:val="none"/>
        </w:rPr>
        <w:t>最低评标价法，是指投标文件满足招标文件全部实质性要求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且投标报价最低的投标人为中标候选人的评标方法。</w:t>
      </w:r>
    </w:p>
    <w:p w14:paraId="418DE4C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评标委员会按照“第五章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规定对投标文件进行评审。“第五章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法及标准”没有规定的方法、评审因素和标准，不作为评标依据。</w:t>
      </w:r>
    </w:p>
    <w:p w14:paraId="1A9007D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评标委员会按“投标人须知前附表”规定的中标候选人数量在评标报告中向采购人推荐中标候选人。</w:t>
      </w:r>
    </w:p>
    <w:p w14:paraId="1E63454C">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29.4 开标之后，直到签订合同止，凡是属于审查、澄清、评价和比较投标的有关资料以及定标意向等，均不得向投标人或者其他与评标无关的人员透露。</w:t>
      </w:r>
    </w:p>
    <w:p w14:paraId="57927CBE">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29.5 在确定中标人之前，投标人试图在投标文件审查、澄清、比较和评标时对评标委员会、采购人和采购代理机构施加任何影响都可能导致其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32A3200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29.6 电子招投标的应急措施</w:t>
      </w:r>
    </w:p>
    <w:p w14:paraId="52525CD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29.6.1电子开标、评标如出现下列原因，导致系统无法正常运行或无法正常评标时，应采取应急措施。</w:t>
      </w:r>
    </w:p>
    <w:p w14:paraId="3D99F56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（1）系统服务器发生故障，无法访问或无法使用系统；</w:t>
      </w:r>
    </w:p>
    <w:p w14:paraId="518B308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（2）系统的软件或数据库出现错误，不能进行正常操作；</w:t>
      </w:r>
    </w:p>
    <w:p w14:paraId="657BA7B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（3）系统发现有安全漏洞，有潜在的泄密危险；</w:t>
      </w:r>
    </w:p>
    <w:p w14:paraId="26B1539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（4）病毒发作或受到外来病毒的攻击；</w:t>
      </w:r>
    </w:p>
    <w:p w14:paraId="6BCA43D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（5）出现其他不可抗拒的客观原因造成开评标系统无法正常使用。</w:t>
      </w:r>
    </w:p>
    <w:p w14:paraId="2BA3CE0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出现上述情况时，应对未开标的暂停开标。已在系统内开标、评标的立即停止。采取应急措施时，必须对原有资料及信息作出妥善保密处理。</w:t>
      </w:r>
    </w:p>
    <w:p w14:paraId="791CC4F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29.6.2因系统原因导致投标人均无法解密电子投标文件时，采购代理机构可在开标现场直接导入投标人在投标截止时间前递交的未加密的电子投标文件进行开标、评标。</w:t>
      </w:r>
    </w:p>
    <w:p w14:paraId="28CD45E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29.7 投标人瑕疵滞后发现的处理规则</w:t>
      </w:r>
    </w:p>
    <w:p w14:paraId="11E85EA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29.7.1无论基于何种原因，各项本应作</w:t>
      </w:r>
      <w:r>
        <w:rPr>
          <w:rFonts w:hint="eastAsia" w:ascii="宋体" w:hAnsi="宋体" w:eastAsia="宋体" w:cs="宋体"/>
          <w:b/>
          <w:bCs/>
          <w:color w:val="auto"/>
          <w:sz w:val="24"/>
          <w:szCs w:val="24"/>
          <w:highlight w:val="none"/>
          <w:lang w:val="en-US" w:eastAsia="zh-CN"/>
        </w:rPr>
        <w:t>无效投标</w:t>
      </w:r>
      <w:r>
        <w:rPr>
          <w:rFonts w:hint="eastAsia" w:ascii="宋体" w:hAnsi="宋体" w:eastAsia="宋体" w:cs="宋体"/>
          <w:color w:val="auto"/>
          <w:sz w:val="24"/>
          <w:szCs w:val="24"/>
          <w:highlight w:val="none"/>
          <w:lang w:val="en-US" w:eastAsia="zh-CN"/>
        </w:rPr>
        <w:t>处理的情形即便未被及时发现而使该投标人进入初审、综合评审或其他后续程序，包括已经签订合同的情形，一旦该投标人的投标作无效投标处理或该投标人的此前评议结果被取消，其现有的位置将被其他投标人依序替代，相关的一切损失均由该投标人承担。</w:t>
      </w:r>
    </w:p>
    <w:p w14:paraId="34027149">
      <w:pPr>
        <w:pStyle w:val="8"/>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04" w:name="_Toc16712"/>
      <w:bookmarkStart w:id="305" w:name="_Toc24173"/>
      <w:bookmarkStart w:id="306" w:name="_Toc140132792"/>
      <w:bookmarkStart w:id="307" w:name="_Toc163492859"/>
      <w:bookmarkStart w:id="308" w:name="_Toc11591"/>
      <w:bookmarkStart w:id="309" w:name="_Toc155185879"/>
      <w:r>
        <w:rPr>
          <w:rFonts w:hint="eastAsia" w:ascii="宋体" w:hAnsi="宋体" w:eastAsia="宋体" w:cs="宋体"/>
          <w:b/>
          <w:bCs/>
          <w:color w:val="auto"/>
          <w:kern w:val="2"/>
          <w:sz w:val="24"/>
          <w:szCs w:val="24"/>
          <w:highlight w:val="none"/>
          <w:lang w:val="en-US" w:eastAsia="zh-CN" w:bidi="ar-SA"/>
        </w:rPr>
        <w:t>（八）中标</w:t>
      </w:r>
      <w:bookmarkEnd w:id="304"/>
      <w:bookmarkEnd w:id="305"/>
      <w:bookmarkEnd w:id="306"/>
      <w:bookmarkEnd w:id="307"/>
      <w:bookmarkEnd w:id="308"/>
      <w:bookmarkEnd w:id="309"/>
    </w:p>
    <w:p w14:paraId="37B6B950">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10" w:name="_Toc11832"/>
      <w:bookmarkStart w:id="311" w:name="_Toc163492860"/>
      <w:bookmarkStart w:id="312" w:name="_Toc140132793"/>
      <w:bookmarkStart w:id="313" w:name="_Toc18980"/>
      <w:bookmarkStart w:id="314" w:name="_Toc5728"/>
      <w:r>
        <w:rPr>
          <w:rFonts w:hint="eastAsia" w:ascii="宋体" w:hAnsi="宋体" w:eastAsia="宋体" w:cs="宋体"/>
          <w:b/>
          <w:bCs/>
          <w:color w:val="auto"/>
          <w:kern w:val="2"/>
          <w:sz w:val="24"/>
          <w:szCs w:val="24"/>
          <w:highlight w:val="none"/>
          <w:lang w:val="en-US" w:eastAsia="zh-CN" w:bidi="ar-SA"/>
        </w:rPr>
        <w:t>30.确定中标人</w:t>
      </w:r>
      <w:bookmarkEnd w:id="310"/>
      <w:bookmarkEnd w:id="311"/>
      <w:bookmarkEnd w:id="312"/>
      <w:bookmarkEnd w:id="313"/>
      <w:bookmarkEnd w:id="314"/>
    </w:p>
    <w:p w14:paraId="23CC2B81">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30.1</w:t>
      </w:r>
      <w:r>
        <w:rPr>
          <w:rFonts w:hint="eastAsia" w:ascii="宋体" w:hAnsi="宋体" w:eastAsia="宋体" w:cs="宋体"/>
          <w:color w:val="auto"/>
          <w:kern w:val="0"/>
          <w:sz w:val="24"/>
          <w:szCs w:val="24"/>
          <w:highlight w:val="none"/>
          <w:lang w:val="en-US" w:eastAsia="zh-CN" w:bidi="ar"/>
        </w:rPr>
        <w:t>采购人将在评标报告确定的中标候选人名单中按顺序确定中标人，中标候选人并列的，按照</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kern w:val="0"/>
          <w:sz w:val="24"/>
          <w:szCs w:val="24"/>
          <w:highlight w:val="none"/>
          <w:lang w:val="en-US" w:eastAsia="zh-CN" w:bidi="ar"/>
        </w:rPr>
        <w:t>确定中标人；招标文件未规定的，采取随机抽取的方式确定。采购人是否委托评标委员会直接确定中标人，见</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kern w:val="0"/>
          <w:sz w:val="24"/>
          <w:szCs w:val="24"/>
          <w:highlight w:val="none"/>
          <w:lang w:val="en-US" w:eastAsia="zh-CN" w:bidi="ar"/>
        </w:rPr>
        <w:t>。</w:t>
      </w:r>
    </w:p>
    <w:p w14:paraId="18971451">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15" w:name="_Toc140132794"/>
      <w:bookmarkStart w:id="316" w:name="_Toc6680"/>
      <w:bookmarkStart w:id="317" w:name="_Toc15642"/>
      <w:bookmarkStart w:id="318" w:name="_Toc163492861"/>
      <w:bookmarkStart w:id="319" w:name="_Toc16181"/>
      <w:r>
        <w:rPr>
          <w:rFonts w:hint="eastAsia" w:ascii="宋体" w:hAnsi="宋体" w:eastAsia="宋体" w:cs="宋体"/>
          <w:b/>
          <w:bCs/>
          <w:color w:val="auto"/>
          <w:kern w:val="2"/>
          <w:sz w:val="24"/>
          <w:szCs w:val="24"/>
          <w:highlight w:val="none"/>
          <w:lang w:val="en-US" w:eastAsia="zh-CN" w:bidi="ar-SA"/>
        </w:rPr>
        <w:t>31.中标结果公告</w:t>
      </w:r>
      <w:bookmarkEnd w:id="315"/>
      <w:bookmarkEnd w:id="316"/>
      <w:bookmarkEnd w:id="317"/>
      <w:bookmarkEnd w:id="318"/>
      <w:bookmarkEnd w:id="319"/>
    </w:p>
    <w:p w14:paraId="5975ECA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采购代理机构应当自中标人确定之日起2个工作日内，在</w:t>
      </w:r>
      <w:r>
        <w:rPr>
          <w:rFonts w:hint="eastAsia" w:ascii="宋体" w:hAnsi="宋体" w:eastAsia="宋体" w:cs="宋体"/>
          <w:color w:val="auto"/>
          <w:sz w:val="24"/>
          <w:szCs w:val="24"/>
          <w:highlight w:val="none"/>
          <w:lang w:val="en-US" w:eastAsia="zh-CN"/>
        </w:rPr>
        <w:t>发布招标公告的同一</w:t>
      </w:r>
      <w:r>
        <w:rPr>
          <w:rFonts w:hint="eastAsia" w:ascii="宋体" w:hAnsi="宋体" w:eastAsia="宋体" w:cs="宋体"/>
          <w:color w:val="auto"/>
          <w:sz w:val="24"/>
          <w:szCs w:val="24"/>
          <w:highlight w:val="none"/>
        </w:rPr>
        <w:t>媒体上发布中标结果公告，</w:t>
      </w:r>
      <w:r>
        <w:rPr>
          <w:rFonts w:hint="eastAsia" w:ascii="宋体" w:hAnsi="宋体" w:eastAsia="宋体" w:cs="宋体"/>
          <w:color w:val="auto"/>
          <w:sz w:val="24"/>
          <w:szCs w:val="24"/>
          <w:highlight w:val="none"/>
          <w:lang w:val="en-US" w:eastAsia="zh-CN"/>
        </w:rPr>
        <w:t>同时向中标人</w:t>
      </w:r>
      <w:r>
        <w:rPr>
          <w:rFonts w:hint="eastAsia" w:ascii="宋体" w:hAnsi="宋体" w:eastAsia="宋体" w:cs="宋体"/>
          <w:color w:val="auto"/>
          <w:sz w:val="24"/>
          <w:szCs w:val="24"/>
          <w:highlight w:val="none"/>
        </w:rPr>
        <w:t>发出中标通知书</w:t>
      </w:r>
      <w:r>
        <w:rPr>
          <w:rFonts w:hint="eastAsia" w:ascii="宋体" w:hAnsi="宋体" w:eastAsia="宋体" w:cs="宋体"/>
          <w:color w:val="auto"/>
          <w:sz w:val="24"/>
          <w:szCs w:val="24"/>
          <w:highlight w:val="none"/>
          <w:lang w:eastAsia="zh-CN"/>
        </w:rPr>
        <w:t>。招标文件随中标结果同时公告，</w:t>
      </w:r>
      <w:r>
        <w:rPr>
          <w:rFonts w:hint="eastAsia" w:ascii="宋体" w:hAnsi="宋体" w:eastAsia="宋体" w:cs="宋体"/>
          <w:color w:val="auto"/>
          <w:sz w:val="24"/>
          <w:szCs w:val="24"/>
          <w:highlight w:val="none"/>
        </w:rPr>
        <w:t>中标结果公告期限为1个工作日。</w:t>
      </w:r>
    </w:p>
    <w:p w14:paraId="5352A1FC">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中标供应商为中小企业</w:t>
      </w:r>
      <w:r>
        <w:rPr>
          <w:rFonts w:hint="eastAsia" w:ascii="宋体" w:hAnsi="宋体" w:eastAsia="宋体" w:cs="宋体"/>
          <w:bCs/>
          <w:color w:val="auto"/>
          <w:sz w:val="24"/>
          <w:szCs w:val="24"/>
          <w:highlight w:val="none"/>
          <w:lang w:val="en-US" w:eastAsia="zh-CN"/>
        </w:rPr>
        <w:t>享受中小企业扶持政策的</w:t>
      </w:r>
      <w:r>
        <w:rPr>
          <w:rFonts w:hint="eastAsia" w:ascii="宋体" w:hAnsi="宋体" w:eastAsia="宋体" w:cs="宋体"/>
          <w:bCs/>
          <w:color w:val="auto"/>
          <w:sz w:val="24"/>
          <w:szCs w:val="24"/>
          <w:highlight w:val="none"/>
          <w:lang w:eastAsia="zh-CN"/>
        </w:rPr>
        <w:t>，其“中小企业声明函”随中标结果同时公告。中标供应商为残疾人福利性单位的，其“残疾人福利性单位声明函”随中标结果同时公告。</w:t>
      </w:r>
    </w:p>
    <w:p w14:paraId="3302A7D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31.3</w:t>
      </w:r>
      <w:r>
        <w:rPr>
          <w:rFonts w:hint="eastAsia" w:ascii="宋体" w:hAnsi="宋体" w:eastAsia="宋体" w:cs="宋体"/>
          <w:color w:val="auto"/>
          <w:sz w:val="24"/>
          <w:szCs w:val="24"/>
          <w:highlight w:val="none"/>
        </w:rPr>
        <w:t>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24E8EB4D">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20" w:name="_Toc140132795"/>
      <w:bookmarkStart w:id="321" w:name="_Toc6353"/>
      <w:bookmarkStart w:id="322" w:name="_Toc19467"/>
      <w:bookmarkStart w:id="323" w:name="_Toc6163"/>
      <w:bookmarkStart w:id="324" w:name="_Toc163492862"/>
      <w:r>
        <w:rPr>
          <w:rFonts w:hint="eastAsia" w:ascii="宋体" w:hAnsi="宋体" w:eastAsia="宋体" w:cs="宋体"/>
          <w:b/>
          <w:bCs/>
          <w:color w:val="auto"/>
          <w:kern w:val="2"/>
          <w:sz w:val="24"/>
          <w:szCs w:val="24"/>
          <w:highlight w:val="none"/>
          <w:lang w:val="en-US" w:eastAsia="zh-CN" w:bidi="ar-SA"/>
        </w:rPr>
        <w:t>32.中标通知</w:t>
      </w:r>
      <w:bookmarkEnd w:id="320"/>
      <w:bookmarkEnd w:id="321"/>
      <w:bookmarkEnd w:id="322"/>
      <w:bookmarkEnd w:id="323"/>
      <w:bookmarkEnd w:id="324"/>
    </w:p>
    <w:p w14:paraId="41D33E1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2</w:t>
      </w:r>
      <w:r>
        <w:rPr>
          <w:rFonts w:hint="eastAsia" w:ascii="宋体" w:hAnsi="宋体" w:eastAsia="宋体" w:cs="宋体"/>
          <w:color w:val="auto"/>
          <w:sz w:val="24"/>
          <w:szCs w:val="24"/>
          <w:highlight w:val="none"/>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67E9F9A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32.2中标通知书对采购人和中标供应商均具有法律效力。中标通知书发出后，采购人改变中标结果的，或者中标供应商放弃中标项目的，应当依法承担法律责任。</w:t>
      </w:r>
    </w:p>
    <w:p w14:paraId="004C264E">
      <w:pPr>
        <w:pStyle w:val="8"/>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25" w:name="_Toc27187"/>
      <w:bookmarkStart w:id="326" w:name="_Toc812"/>
      <w:bookmarkStart w:id="327" w:name="_Toc30315"/>
      <w:bookmarkStart w:id="328" w:name="_Toc163492863"/>
      <w:r>
        <w:rPr>
          <w:rFonts w:hint="eastAsia" w:ascii="宋体" w:hAnsi="宋体" w:eastAsia="宋体" w:cs="宋体"/>
          <w:b/>
          <w:bCs/>
          <w:color w:val="auto"/>
          <w:kern w:val="2"/>
          <w:sz w:val="24"/>
          <w:szCs w:val="24"/>
          <w:highlight w:val="none"/>
          <w:lang w:val="en-US" w:eastAsia="zh-CN" w:bidi="ar-SA"/>
        </w:rPr>
        <w:t>（九）签订</w:t>
      </w:r>
      <w:bookmarkStart w:id="329" w:name="_Toc140132796"/>
      <w:bookmarkStart w:id="330" w:name="_Toc155185880"/>
      <w:r>
        <w:rPr>
          <w:rFonts w:hint="eastAsia" w:ascii="宋体" w:hAnsi="宋体" w:eastAsia="宋体" w:cs="宋体"/>
          <w:b/>
          <w:bCs/>
          <w:color w:val="auto"/>
          <w:kern w:val="2"/>
          <w:sz w:val="24"/>
          <w:szCs w:val="24"/>
          <w:highlight w:val="none"/>
          <w:lang w:val="en-US" w:eastAsia="zh-CN" w:bidi="ar-SA"/>
        </w:rPr>
        <w:t>合同</w:t>
      </w:r>
      <w:bookmarkEnd w:id="325"/>
      <w:bookmarkEnd w:id="326"/>
      <w:bookmarkEnd w:id="327"/>
      <w:bookmarkEnd w:id="328"/>
      <w:bookmarkEnd w:id="329"/>
      <w:bookmarkEnd w:id="330"/>
    </w:p>
    <w:p w14:paraId="547E6B99">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31" w:name="_Toc140132797"/>
      <w:bookmarkStart w:id="332" w:name="_Toc1439"/>
      <w:bookmarkStart w:id="333" w:name="_Toc21817"/>
      <w:bookmarkStart w:id="334" w:name="_Toc3030"/>
      <w:bookmarkStart w:id="335" w:name="_Toc163492864"/>
      <w:r>
        <w:rPr>
          <w:rFonts w:hint="eastAsia" w:ascii="宋体" w:hAnsi="宋体" w:eastAsia="宋体" w:cs="宋体"/>
          <w:b/>
          <w:bCs/>
          <w:color w:val="auto"/>
          <w:kern w:val="2"/>
          <w:sz w:val="24"/>
          <w:szCs w:val="24"/>
          <w:highlight w:val="none"/>
          <w:lang w:val="en-US" w:eastAsia="zh-CN" w:bidi="ar-SA"/>
        </w:rPr>
        <w:t>33.履约保证金</w:t>
      </w:r>
      <w:bookmarkEnd w:id="331"/>
      <w:bookmarkEnd w:id="332"/>
      <w:bookmarkEnd w:id="333"/>
      <w:bookmarkEnd w:id="334"/>
      <w:bookmarkEnd w:id="335"/>
    </w:p>
    <w:p w14:paraId="77717F0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sz w:val="24"/>
          <w:szCs w:val="24"/>
          <w:highlight w:val="none"/>
        </w:rPr>
        <w:t>.1在签订合同前，中标人应按“投标人须知前附表”规定的金额、担保形式和采购人认可的履约担保格式向采购人提交履约保证金。</w:t>
      </w:r>
    </w:p>
    <w:p w14:paraId="73BC7DA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sz w:val="24"/>
          <w:szCs w:val="24"/>
          <w:highlight w:val="none"/>
        </w:rPr>
        <w:t>.2中标人不能按本章第3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.1项要求提交履约担保的，视为放弃中标，给采购人造成损失的，中标人还应当承担民事责任。</w:t>
      </w:r>
    </w:p>
    <w:p w14:paraId="4B3DD6F8">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36" w:name="_Toc140132798"/>
      <w:bookmarkStart w:id="337" w:name="_Toc163492865"/>
      <w:bookmarkStart w:id="338" w:name="_Toc12603"/>
      <w:bookmarkStart w:id="339" w:name="_Toc1975"/>
      <w:bookmarkStart w:id="340" w:name="_Toc10817"/>
      <w:r>
        <w:rPr>
          <w:rFonts w:hint="eastAsia" w:ascii="宋体" w:hAnsi="宋体" w:eastAsia="宋体" w:cs="宋体"/>
          <w:b/>
          <w:bCs/>
          <w:color w:val="auto"/>
          <w:kern w:val="2"/>
          <w:sz w:val="24"/>
          <w:szCs w:val="24"/>
          <w:highlight w:val="none"/>
          <w:lang w:val="en-US" w:eastAsia="zh-CN" w:bidi="ar-SA"/>
        </w:rPr>
        <w:t>34.签订合同</w:t>
      </w:r>
      <w:bookmarkEnd w:id="336"/>
      <w:bookmarkEnd w:id="337"/>
      <w:bookmarkEnd w:id="338"/>
      <w:bookmarkEnd w:id="339"/>
      <w:bookmarkEnd w:id="340"/>
    </w:p>
    <w:p w14:paraId="77507EB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sz w:val="24"/>
          <w:szCs w:val="24"/>
          <w:highlight w:val="none"/>
        </w:rPr>
        <w:t>.1 采购人和中标人应当自中标通知书发出之日起</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天内，根据招标文件和中标人的投标文件订立书面合同。采购人因不可抗力原因迟延签订合同的，应当自不可抗力事由消除之日起7日内完成合同签订事宜。所签订的合同不得对招标文件和中标人投标文件作实质性修改。中标人无正当理由拒签合同，给采购人造成损失的，中标人还应当承担民事责任。</w:t>
      </w:r>
    </w:p>
    <w:p w14:paraId="72CF4FD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34.2 中标人拒绝与采购人签订合同的，采购人可以按照评标报告推荐的中标候选人名单排序，确定下一候选人为中标人，也可以重新开展政府采购活动。</w:t>
      </w:r>
    </w:p>
    <w:p w14:paraId="0D3421B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采购人和中标人不得向对方提出任何不合理的要求，作为签订合同的条件，双方不得私下订立背离合同实质性内容的协议。</w:t>
      </w:r>
    </w:p>
    <w:p w14:paraId="5551DDAE">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34.4 联合体中标的，联合体各方应当共同与采购人签订合同，就采购合同约定的事项向采购人承担连带责任。</w:t>
      </w:r>
    </w:p>
    <w:p w14:paraId="2BA187E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 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。中标人就采购项目和分包项目向采购人负责，分包供应商就分包项目承担责任。</w:t>
      </w:r>
      <w:r>
        <w:rPr>
          <w:rFonts w:hint="eastAsia" w:ascii="宋体" w:hAnsi="宋体" w:eastAsia="宋体" w:cs="宋体"/>
          <w:b/>
          <w:bCs/>
          <w:color w:val="auto"/>
          <w:sz w:val="24"/>
          <w:szCs w:val="24"/>
          <w:highlight w:val="none"/>
          <w:lang w:val="en-US" w:eastAsia="zh-CN"/>
        </w:rPr>
        <w:t>政府采购合同不能转包。</w:t>
      </w:r>
    </w:p>
    <w:p w14:paraId="13D12B8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采购合同履行中，采购人需追加与合同标的相同的</w:t>
      </w:r>
      <w:r>
        <w:rPr>
          <w:rFonts w:hint="eastAsia" w:ascii="宋体" w:hAnsi="宋体" w:eastAsia="宋体" w:cs="宋体"/>
          <w:color w:val="auto"/>
          <w:sz w:val="24"/>
          <w:szCs w:val="24"/>
          <w:highlight w:val="none"/>
          <w:lang w:val="en-US" w:eastAsia="zh-CN"/>
        </w:rPr>
        <w:t>货物、工程或者服务</w:t>
      </w:r>
      <w:r>
        <w:rPr>
          <w:rFonts w:hint="eastAsia" w:ascii="宋体" w:hAnsi="宋体" w:eastAsia="宋体" w:cs="宋体"/>
          <w:color w:val="auto"/>
          <w:sz w:val="24"/>
          <w:szCs w:val="24"/>
          <w:highlight w:val="none"/>
        </w:rPr>
        <w:t>的，在不改变合同其他条款的前提下，可以与中标人协商签订补充合同，但所有补充合同的采购金额不得超过原合同采购金额的百分之十。</w:t>
      </w:r>
    </w:p>
    <w:p w14:paraId="259D0E8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34.7 采购人应于签订合同之日起2个工作日内在政采云平台备案公示。</w:t>
      </w:r>
    </w:p>
    <w:p w14:paraId="12490EB6">
      <w:pPr>
        <w:pStyle w:val="8"/>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41" w:name="_Toc14069"/>
      <w:bookmarkStart w:id="342" w:name="_Toc155185881"/>
      <w:bookmarkStart w:id="343" w:name="_Toc22067"/>
      <w:bookmarkStart w:id="344" w:name="_Toc3645"/>
      <w:bookmarkStart w:id="345" w:name="_Toc140132799"/>
      <w:bookmarkStart w:id="346" w:name="_Toc163492866"/>
      <w:r>
        <w:rPr>
          <w:rFonts w:hint="eastAsia" w:ascii="宋体" w:hAnsi="宋体" w:eastAsia="宋体" w:cs="宋体"/>
          <w:b/>
          <w:bCs/>
          <w:color w:val="auto"/>
          <w:kern w:val="2"/>
          <w:sz w:val="24"/>
          <w:szCs w:val="24"/>
          <w:highlight w:val="none"/>
          <w:lang w:val="en-US" w:eastAsia="zh-CN" w:bidi="ar-SA"/>
        </w:rPr>
        <w:t>（十）质疑和投诉</w:t>
      </w:r>
      <w:bookmarkEnd w:id="341"/>
      <w:bookmarkEnd w:id="342"/>
      <w:bookmarkEnd w:id="343"/>
      <w:bookmarkEnd w:id="344"/>
      <w:bookmarkEnd w:id="345"/>
      <w:bookmarkEnd w:id="346"/>
    </w:p>
    <w:p w14:paraId="23BE6A9F">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47" w:name="_Toc6362"/>
      <w:bookmarkStart w:id="348" w:name="_Toc5521"/>
      <w:bookmarkStart w:id="349" w:name="_Toc17195"/>
      <w:bookmarkStart w:id="350" w:name="_Toc140132800"/>
      <w:bookmarkStart w:id="351" w:name="_Toc163492867"/>
      <w:r>
        <w:rPr>
          <w:rFonts w:hint="eastAsia" w:ascii="宋体" w:hAnsi="宋体" w:eastAsia="宋体" w:cs="宋体"/>
          <w:b/>
          <w:bCs/>
          <w:color w:val="auto"/>
          <w:kern w:val="2"/>
          <w:sz w:val="24"/>
          <w:szCs w:val="24"/>
          <w:highlight w:val="none"/>
          <w:lang w:val="en-US" w:eastAsia="zh-CN" w:bidi="ar-SA"/>
        </w:rPr>
        <w:t>35.质疑</w:t>
      </w:r>
      <w:bookmarkEnd w:id="347"/>
      <w:bookmarkEnd w:id="348"/>
      <w:bookmarkEnd w:id="349"/>
      <w:bookmarkEnd w:id="350"/>
      <w:bookmarkEnd w:id="351"/>
    </w:p>
    <w:p w14:paraId="097AA16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.1供应商认为采购文件、采购过程、中标结果使自己的权益受到损害的，可以在知道或者应知其权益受到损害之日起7个工作日内，以书面形式向采购人、采购代理机构提出质疑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详见“投标人须知前附表”</w:t>
      </w:r>
      <w:r>
        <w:rPr>
          <w:rFonts w:hint="eastAsia" w:ascii="宋体" w:hAnsi="宋体" w:eastAsia="宋体" w:cs="宋体"/>
          <w:color w:val="auto"/>
          <w:sz w:val="24"/>
          <w:szCs w:val="24"/>
          <w:highlight w:val="none"/>
        </w:rPr>
        <w:t>。供应商在法定质疑期内一次性提出针对同一采购程序环节的质疑。</w:t>
      </w:r>
    </w:p>
    <w:p w14:paraId="492A54F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.2提出质疑的供应商（以下简称质疑供应商）应当是参与所质疑项目采购活动的供应商。</w:t>
      </w:r>
    </w:p>
    <w:p w14:paraId="6503DC7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35.3</w:t>
      </w:r>
      <w:r>
        <w:rPr>
          <w:rFonts w:hint="eastAsia" w:ascii="宋体" w:hAnsi="宋体" w:eastAsia="宋体" w:cs="宋体"/>
          <w:color w:val="auto"/>
          <w:sz w:val="24"/>
          <w:szCs w:val="24"/>
          <w:highlight w:val="none"/>
        </w:rPr>
        <w:t>潜在供应商已依法获取其可质疑的采购文件的，可以对该文件提出质疑。对采购文件提出质疑的，应当在获取采购文件或者采购文件公告期限届满之日起7个工作日内提出。</w:t>
      </w:r>
    </w:p>
    <w:p w14:paraId="58321ED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35.4</w:t>
      </w:r>
      <w:r>
        <w:rPr>
          <w:rFonts w:hint="eastAsia" w:ascii="宋体" w:hAnsi="宋体" w:eastAsia="宋体" w:cs="宋体"/>
          <w:color w:val="auto"/>
          <w:sz w:val="24"/>
          <w:szCs w:val="24"/>
          <w:highlight w:val="none"/>
        </w:rPr>
        <w:t>供应商提出质疑应当提交质疑函和必要的证明材料。质疑函应当包括下列内容：</w:t>
      </w:r>
    </w:p>
    <w:p w14:paraId="682A84D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）供应商的姓名或者名称、地址、邮编、联系人及联系电话；</w:t>
      </w:r>
    </w:p>
    <w:p w14:paraId="388DB77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w:t>
      </w:r>
      <w:r>
        <w:rPr>
          <w:rFonts w:hint="eastAsia"/>
          <w:color w:val="auto"/>
          <w:sz w:val="24"/>
          <w:highlight w:val="none"/>
          <w:lang w:val="en-US" w:eastAsia="zh-CN"/>
        </w:rPr>
        <w:t>/包号</w:t>
      </w:r>
      <w:r>
        <w:rPr>
          <w:rFonts w:hint="eastAsia" w:ascii="宋体" w:hAnsi="宋体" w:eastAsia="宋体" w:cs="宋体"/>
          <w:color w:val="auto"/>
          <w:sz w:val="24"/>
          <w:szCs w:val="24"/>
          <w:highlight w:val="none"/>
        </w:rPr>
        <w:t>；</w:t>
      </w:r>
    </w:p>
    <w:p w14:paraId="7C9D471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）具体、明确的质疑事项和与质疑事项相关的请求；</w:t>
      </w:r>
    </w:p>
    <w:p w14:paraId="3C52874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）事实依据；</w:t>
      </w:r>
    </w:p>
    <w:p w14:paraId="3EEC5BF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）必要的法律依据；</w:t>
      </w:r>
    </w:p>
    <w:p w14:paraId="2E14DE4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）提出质疑的日期。</w:t>
      </w:r>
    </w:p>
    <w:p w14:paraId="553B627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供应商为自然人的，应当由本人签字；供应商为法人或者其他组织的，应当由法定代表人、主要负责人，或者其授权代表签字或者盖章，并加盖公章。</w:t>
      </w:r>
    </w:p>
    <w:p w14:paraId="5BBD16A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.5质疑函不符合上述要求的，采购人或代理机构应书面告知具体事项，质疑人应当按要求进行修改或补充，并在质疑有效期限内提交。</w:t>
      </w:r>
    </w:p>
    <w:p w14:paraId="4A4B924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w:t>
      </w: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6</w:t>
      </w:r>
      <w:r>
        <w:rPr>
          <w:rFonts w:hint="eastAsia" w:ascii="宋体" w:hAnsi="宋体" w:eastAsia="宋体" w:cs="宋体"/>
          <w:snapToGrid w:val="0"/>
          <w:color w:val="auto"/>
          <w:sz w:val="24"/>
          <w:szCs w:val="24"/>
          <w:highlight w:val="none"/>
        </w:rPr>
        <w:t>投标人进行虚假和恶意</w:t>
      </w:r>
      <w:r>
        <w:rPr>
          <w:rFonts w:hint="eastAsia" w:ascii="宋体" w:hAnsi="宋体" w:eastAsia="宋体" w:cs="宋体"/>
          <w:snapToGrid w:val="0"/>
          <w:color w:val="auto"/>
          <w:sz w:val="24"/>
          <w:szCs w:val="24"/>
          <w:highlight w:val="none"/>
          <w:lang w:val="en-US" w:eastAsia="zh-CN"/>
        </w:rPr>
        <w:t>质疑投诉</w:t>
      </w:r>
      <w:r>
        <w:rPr>
          <w:rFonts w:hint="eastAsia" w:ascii="宋体" w:hAnsi="宋体" w:eastAsia="宋体" w:cs="宋体"/>
          <w:snapToGrid w:val="0"/>
          <w:color w:val="auto"/>
          <w:sz w:val="24"/>
          <w:szCs w:val="24"/>
          <w:highlight w:val="none"/>
        </w:rPr>
        <w:t>的，采购代理机构将提请有关部门将其列入不良记录名单，在一至三年内禁止参加政府采购活动，并将处理决定在相关政府采购媒体上公布。</w:t>
      </w:r>
    </w:p>
    <w:p w14:paraId="184C71DC">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35.7</w:t>
      </w:r>
      <w:r>
        <w:rPr>
          <w:rFonts w:hint="eastAsia" w:ascii="宋体" w:hAnsi="宋体" w:eastAsia="宋体" w:cs="宋体"/>
          <w:color w:val="auto"/>
          <w:sz w:val="24"/>
          <w:szCs w:val="24"/>
          <w:highlight w:val="none"/>
        </w:rPr>
        <w:t>质疑函</w:t>
      </w:r>
      <w:r>
        <w:rPr>
          <w:rFonts w:hint="eastAsia" w:ascii="宋体" w:hAnsi="宋体" w:eastAsia="宋体" w:cs="宋体"/>
          <w:color w:val="auto"/>
          <w:sz w:val="24"/>
          <w:szCs w:val="24"/>
          <w:highlight w:val="none"/>
          <w:lang w:val="en-US" w:eastAsia="zh-CN"/>
        </w:rPr>
        <w:t>应当使用中文，并采用财政部门制定的范本。</w:t>
      </w:r>
    </w:p>
    <w:p w14:paraId="6E7964C0">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52" w:name="_Toc163492868"/>
      <w:bookmarkStart w:id="353" w:name="_Toc7060"/>
      <w:bookmarkStart w:id="354" w:name="_Toc30183"/>
      <w:bookmarkStart w:id="355" w:name="_Toc140132801"/>
      <w:bookmarkStart w:id="356" w:name="_Toc2308"/>
      <w:r>
        <w:rPr>
          <w:rFonts w:hint="eastAsia" w:ascii="宋体" w:hAnsi="宋体" w:eastAsia="宋体" w:cs="宋体"/>
          <w:b/>
          <w:bCs/>
          <w:color w:val="auto"/>
          <w:kern w:val="2"/>
          <w:sz w:val="24"/>
          <w:szCs w:val="24"/>
          <w:highlight w:val="none"/>
          <w:lang w:val="en-US" w:eastAsia="zh-CN" w:bidi="ar-SA"/>
        </w:rPr>
        <w:t>36.质疑答复</w:t>
      </w:r>
      <w:bookmarkEnd w:id="352"/>
      <w:bookmarkEnd w:id="353"/>
      <w:bookmarkEnd w:id="354"/>
      <w:bookmarkEnd w:id="355"/>
      <w:bookmarkEnd w:id="356"/>
    </w:p>
    <w:p w14:paraId="43D7F91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357" w:name="_Toc140132802"/>
      <w:bookmarkStart w:id="358" w:name="_Toc163492869"/>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.1采购人、采购代理机构不得拒收质疑供应商在法定质疑期内发出的质疑函，应当在收到质疑函后7个工作日内作出答复，并以书面形式通知质疑供应商和其他有关供应商。</w:t>
      </w:r>
    </w:p>
    <w:p w14:paraId="4E9D6E2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36.2供应商对评审过程、中标结果提出质疑的，采购人、采购代理机构可以组织原评标委员会协助答复质疑。</w:t>
      </w:r>
    </w:p>
    <w:p w14:paraId="0056DA5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质疑答复应当包括下列内容：</w:t>
      </w:r>
    </w:p>
    <w:p w14:paraId="34339C8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）质疑供应商的姓名或者名称；</w:t>
      </w:r>
    </w:p>
    <w:p w14:paraId="2F25172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）收到质疑函的日期、质疑项目名称及</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zh-CN" w:eastAsia="zh-CN"/>
        </w:rPr>
        <w:t>编号</w:t>
      </w:r>
      <w:r>
        <w:rPr>
          <w:rFonts w:hint="eastAsia"/>
          <w:color w:val="auto"/>
          <w:sz w:val="24"/>
          <w:highlight w:val="none"/>
          <w:lang w:val="en-US" w:eastAsia="zh-CN"/>
        </w:rPr>
        <w:t>/包号</w:t>
      </w:r>
      <w:r>
        <w:rPr>
          <w:rFonts w:hint="eastAsia" w:ascii="宋体" w:hAnsi="宋体" w:eastAsia="宋体" w:cs="宋体"/>
          <w:color w:val="auto"/>
          <w:sz w:val="24"/>
          <w:szCs w:val="24"/>
          <w:highlight w:val="none"/>
          <w:lang w:val="zh-CN" w:eastAsia="zh-CN"/>
        </w:rPr>
        <w:t>；</w:t>
      </w:r>
    </w:p>
    <w:p w14:paraId="1365ED7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）质疑事项、质疑答复的具体内容、事实依据和法律依据；</w:t>
      </w:r>
    </w:p>
    <w:p w14:paraId="3C71AFF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）告知质疑供应商依法投诉的权利；</w:t>
      </w:r>
    </w:p>
    <w:p w14:paraId="77F64A3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）质疑答复人名称；</w:t>
      </w:r>
    </w:p>
    <w:p w14:paraId="52743A2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）答复质疑的日期。</w:t>
      </w:r>
    </w:p>
    <w:p w14:paraId="56A5E1E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质疑答复的内容不得涉及商业秘密。</w:t>
      </w:r>
    </w:p>
    <w:p w14:paraId="631FD1E7">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59" w:name="_Toc8648"/>
      <w:bookmarkStart w:id="360" w:name="_Toc13241"/>
      <w:bookmarkStart w:id="361" w:name="_Toc4201"/>
      <w:r>
        <w:rPr>
          <w:rFonts w:hint="eastAsia" w:ascii="宋体" w:hAnsi="宋体" w:eastAsia="宋体" w:cs="宋体"/>
          <w:b/>
          <w:bCs/>
          <w:color w:val="auto"/>
          <w:kern w:val="2"/>
          <w:sz w:val="24"/>
          <w:szCs w:val="24"/>
          <w:highlight w:val="none"/>
          <w:lang w:val="en-US" w:eastAsia="zh-CN" w:bidi="ar-SA"/>
        </w:rPr>
        <w:t>37.投诉</w:t>
      </w:r>
      <w:bookmarkEnd w:id="357"/>
      <w:bookmarkEnd w:id="358"/>
      <w:bookmarkEnd w:id="359"/>
      <w:bookmarkEnd w:id="360"/>
      <w:bookmarkEnd w:id="361"/>
    </w:p>
    <w:p w14:paraId="34C5EAA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37.1</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w:t>
      </w:r>
      <w:r>
        <w:rPr>
          <w:rFonts w:hint="eastAsia" w:ascii="宋体" w:hAnsi="宋体" w:eastAsia="宋体" w:cs="宋体"/>
          <w:color w:val="auto"/>
          <w:sz w:val="24"/>
          <w:szCs w:val="24"/>
          <w:highlight w:val="none"/>
          <w:lang w:val="en-US" w:eastAsia="zh-CN"/>
        </w:rPr>
        <w:t>同级政府采购监督管理部门</w:t>
      </w:r>
      <w:r>
        <w:rPr>
          <w:rFonts w:hint="eastAsia" w:ascii="宋体" w:hAnsi="宋体" w:eastAsia="宋体" w:cs="宋体"/>
          <w:color w:val="auto"/>
          <w:sz w:val="24"/>
          <w:szCs w:val="24"/>
          <w:highlight w:val="none"/>
        </w:rPr>
        <w:t>提起投诉。</w:t>
      </w:r>
    </w:p>
    <w:p w14:paraId="7AE3C0F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37.2</w:t>
      </w:r>
      <w:r>
        <w:rPr>
          <w:rFonts w:hint="eastAsia" w:ascii="宋体" w:hAnsi="宋体" w:eastAsia="宋体" w:cs="宋体"/>
          <w:color w:val="auto"/>
          <w:sz w:val="24"/>
          <w:szCs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4954654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）投诉人和被投诉人的姓名或者名称、通讯地址、邮编、联系人及联系电话；</w:t>
      </w:r>
    </w:p>
    <w:p w14:paraId="1A65A10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）质疑和质疑答复情况说明及相关证明材料；</w:t>
      </w:r>
    </w:p>
    <w:p w14:paraId="675A6D9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）具体、明确的投诉事项和与投诉事项相关的投诉请求；</w:t>
      </w:r>
    </w:p>
    <w:p w14:paraId="4A0C159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）事实依据；</w:t>
      </w:r>
    </w:p>
    <w:p w14:paraId="4CFD3E0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）法律依据；</w:t>
      </w:r>
    </w:p>
    <w:p w14:paraId="35FA6A4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）提起投诉的日期。</w:t>
      </w:r>
    </w:p>
    <w:p w14:paraId="4FC7C3A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投诉人为自然人的，应当由本人签字；投诉人为法人或者其他组织的，应当由法定代表人、主要负责人，或者其授权代表签字或者盖章，并加盖公章。</w:t>
      </w:r>
    </w:p>
    <w:p w14:paraId="4DF335B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37.3</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质疑、</w:t>
      </w:r>
      <w:r>
        <w:rPr>
          <w:rFonts w:hint="eastAsia" w:ascii="宋体" w:hAnsi="宋体" w:eastAsia="宋体" w:cs="宋体"/>
          <w:color w:val="auto"/>
          <w:sz w:val="24"/>
          <w:szCs w:val="24"/>
          <w:highlight w:val="none"/>
        </w:rPr>
        <w:t>投诉</w:t>
      </w:r>
      <w:r>
        <w:rPr>
          <w:rFonts w:hint="eastAsia" w:ascii="宋体" w:hAnsi="宋体" w:eastAsia="宋体" w:cs="宋体"/>
          <w:color w:val="auto"/>
          <w:sz w:val="24"/>
          <w:szCs w:val="24"/>
          <w:highlight w:val="none"/>
          <w:lang w:val="en-US" w:eastAsia="zh-CN"/>
        </w:rPr>
        <w:t>应当有明确的请求和必要的证明材料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供应商投诉的事项不得超出</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质疑事项的范围，但基于质疑答复内容提出的投诉事项除外</w:t>
      </w:r>
      <w:r>
        <w:rPr>
          <w:rFonts w:hint="eastAsia" w:ascii="宋体" w:hAnsi="宋体" w:eastAsia="宋体" w:cs="宋体"/>
          <w:bCs/>
          <w:color w:val="auto"/>
          <w:sz w:val="24"/>
          <w:szCs w:val="24"/>
          <w:highlight w:val="none"/>
        </w:rPr>
        <w:t>。</w:t>
      </w:r>
    </w:p>
    <w:p w14:paraId="0C7738C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color w:val="auto"/>
          <w:sz w:val="24"/>
          <w:szCs w:val="24"/>
          <w:highlight w:val="none"/>
        </w:rPr>
      </w:pPr>
      <w:r>
        <w:rPr>
          <w:rFonts w:hint="eastAsia" w:ascii="宋体" w:hAnsi="宋体" w:eastAsia="宋体" w:cs="宋体"/>
          <w:snapToGrid w:val="0"/>
          <w:color w:val="auto"/>
          <w:sz w:val="24"/>
          <w:szCs w:val="24"/>
          <w:highlight w:val="none"/>
          <w:lang w:val="en-US" w:eastAsia="zh-CN"/>
        </w:rPr>
        <w:t>37.4</w:t>
      </w:r>
      <w:r>
        <w:rPr>
          <w:rFonts w:hint="eastAsia" w:ascii="宋体" w:hAnsi="宋体" w:eastAsia="宋体" w:cs="宋体"/>
          <w:color w:val="auto"/>
          <w:sz w:val="24"/>
          <w:szCs w:val="24"/>
          <w:highlight w:val="none"/>
          <w:lang w:val="en-US" w:eastAsia="zh-CN"/>
        </w:rPr>
        <w:t>投诉书应当使用中文，并采用财政部门制定的范本。</w:t>
      </w:r>
    </w:p>
    <w:p w14:paraId="076E00EB">
      <w:pPr>
        <w:pStyle w:val="8"/>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62" w:name="_Toc19407"/>
      <w:bookmarkStart w:id="363" w:name="_Toc25532"/>
      <w:bookmarkStart w:id="364" w:name="_Toc155185882"/>
      <w:bookmarkStart w:id="365" w:name="_Toc163492870"/>
      <w:bookmarkStart w:id="366" w:name="_Toc26619"/>
      <w:bookmarkStart w:id="367" w:name="_Toc140132803"/>
      <w:r>
        <w:rPr>
          <w:rFonts w:hint="eastAsia" w:ascii="宋体" w:hAnsi="宋体" w:eastAsia="宋体" w:cs="宋体"/>
          <w:b/>
          <w:bCs/>
          <w:color w:val="auto"/>
          <w:kern w:val="2"/>
          <w:sz w:val="24"/>
          <w:szCs w:val="24"/>
          <w:highlight w:val="none"/>
          <w:lang w:val="en-US" w:eastAsia="zh-CN" w:bidi="ar-SA"/>
        </w:rPr>
        <w:t>（十一）采购代理服务费</w:t>
      </w:r>
      <w:bookmarkEnd w:id="362"/>
      <w:bookmarkEnd w:id="363"/>
      <w:bookmarkEnd w:id="364"/>
      <w:bookmarkEnd w:id="365"/>
      <w:bookmarkEnd w:id="366"/>
      <w:bookmarkEnd w:id="367"/>
    </w:p>
    <w:p w14:paraId="3EF5B76A">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68" w:name="_Toc16634"/>
      <w:bookmarkStart w:id="369" w:name="_Toc21533"/>
      <w:bookmarkStart w:id="370" w:name="_Toc163492871"/>
      <w:bookmarkStart w:id="371" w:name="_Toc140132804"/>
      <w:bookmarkStart w:id="372" w:name="_Toc16138"/>
      <w:r>
        <w:rPr>
          <w:rFonts w:hint="eastAsia" w:ascii="宋体" w:hAnsi="宋体" w:eastAsia="宋体" w:cs="宋体"/>
          <w:b/>
          <w:bCs/>
          <w:color w:val="auto"/>
          <w:kern w:val="2"/>
          <w:sz w:val="24"/>
          <w:szCs w:val="24"/>
          <w:highlight w:val="none"/>
          <w:lang w:val="en-US" w:eastAsia="zh-CN" w:bidi="ar-SA"/>
        </w:rPr>
        <w:t>38.收取方式和标准</w:t>
      </w:r>
      <w:bookmarkEnd w:id="368"/>
      <w:bookmarkEnd w:id="369"/>
      <w:bookmarkEnd w:id="370"/>
      <w:bookmarkEnd w:id="371"/>
      <w:bookmarkEnd w:id="372"/>
    </w:p>
    <w:p w14:paraId="0FDD9E2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rPr>
        <w:t>.1采购代理机构按“投标人须知前附表”规定的方式和标准收取采购代理服务费。</w:t>
      </w:r>
    </w:p>
    <w:p w14:paraId="3ED844E1">
      <w:pPr>
        <w:pStyle w:val="8"/>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73" w:name="_Toc7566"/>
      <w:bookmarkStart w:id="374" w:name="_Toc155185883"/>
      <w:bookmarkStart w:id="375" w:name="_Toc163492872"/>
      <w:bookmarkStart w:id="376" w:name="_Toc140132805"/>
      <w:bookmarkStart w:id="377" w:name="_Toc26455"/>
      <w:bookmarkStart w:id="378" w:name="_Toc15853"/>
      <w:r>
        <w:rPr>
          <w:rFonts w:hint="eastAsia" w:ascii="宋体" w:hAnsi="宋体" w:eastAsia="宋体" w:cs="宋体"/>
          <w:b/>
          <w:bCs/>
          <w:color w:val="auto"/>
          <w:kern w:val="2"/>
          <w:sz w:val="24"/>
          <w:szCs w:val="24"/>
          <w:highlight w:val="none"/>
          <w:lang w:val="en-US" w:eastAsia="zh-CN" w:bidi="ar-SA"/>
        </w:rPr>
        <w:t>（十二）无效投标和废标</w:t>
      </w:r>
      <w:bookmarkEnd w:id="373"/>
      <w:bookmarkEnd w:id="374"/>
      <w:bookmarkEnd w:id="375"/>
      <w:bookmarkEnd w:id="376"/>
      <w:bookmarkEnd w:id="377"/>
      <w:bookmarkEnd w:id="378"/>
    </w:p>
    <w:p w14:paraId="25869235">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79" w:name="_Toc23298"/>
      <w:bookmarkStart w:id="380" w:name="_Toc140132806"/>
      <w:bookmarkStart w:id="381" w:name="_Toc9909"/>
      <w:bookmarkStart w:id="382" w:name="_Toc32022"/>
      <w:bookmarkStart w:id="383" w:name="_Toc163492873"/>
      <w:r>
        <w:rPr>
          <w:rFonts w:hint="eastAsia" w:ascii="宋体" w:hAnsi="宋体" w:eastAsia="宋体" w:cs="宋体"/>
          <w:b/>
          <w:bCs/>
          <w:color w:val="auto"/>
          <w:kern w:val="2"/>
          <w:sz w:val="24"/>
          <w:szCs w:val="24"/>
          <w:highlight w:val="none"/>
          <w:lang w:val="en-US" w:eastAsia="zh-CN" w:bidi="ar-SA"/>
        </w:rPr>
        <w:t>39.无效投标</w:t>
      </w:r>
      <w:bookmarkEnd w:id="379"/>
      <w:bookmarkEnd w:id="380"/>
      <w:bookmarkEnd w:id="381"/>
      <w:bookmarkEnd w:id="382"/>
      <w:bookmarkEnd w:id="383"/>
    </w:p>
    <w:p w14:paraId="0EBD130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rPr>
        <w:t>.1投标文件存在“第四章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资格审查”、“第五章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r>
        <w:rPr>
          <w:rFonts w:hint="eastAsia" w:ascii="宋体" w:hAnsi="宋体" w:eastAsia="宋体" w:cs="宋体"/>
          <w:color w:val="auto"/>
          <w:sz w:val="24"/>
          <w:szCs w:val="24"/>
          <w:highlight w:val="none"/>
          <w:lang w:val="en-US" w:eastAsia="zh-CN"/>
        </w:rPr>
        <w:t>及本招标文件</w:t>
      </w:r>
      <w:r>
        <w:rPr>
          <w:rFonts w:hint="eastAsia" w:ascii="宋体" w:hAnsi="宋体" w:eastAsia="宋体" w:cs="宋体"/>
          <w:color w:val="auto"/>
          <w:sz w:val="24"/>
          <w:szCs w:val="24"/>
          <w:highlight w:val="none"/>
        </w:rPr>
        <w:t>规定的投标无效情形的，其</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7306E47B">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4" w:name="_Toc18467"/>
      <w:bookmarkStart w:id="385" w:name="_Toc163492874"/>
      <w:bookmarkStart w:id="386" w:name="_Toc140132807"/>
      <w:bookmarkStart w:id="387" w:name="_Toc15799"/>
      <w:bookmarkStart w:id="388" w:name="_Toc3107"/>
      <w:r>
        <w:rPr>
          <w:rFonts w:hint="eastAsia" w:ascii="宋体" w:hAnsi="宋体" w:eastAsia="宋体" w:cs="宋体"/>
          <w:b/>
          <w:bCs/>
          <w:color w:val="auto"/>
          <w:kern w:val="2"/>
          <w:sz w:val="24"/>
          <w:szCs w:val="24"/>
          <w:highlight w:val="none"/>
          <w:lang w:val="en-US" w:eastAsia="zh-CN" w:bidi="ar-SA"/>
        </w:rPr>
        <w:t>40.废标</w:t>
      </w:r>
      <w:bookmarkEnd w:id="384"/>
      <w:bookmarkEnd w:id="385"/>
      <w:bookmarkEnd w:id="386"/>
      <w:bookmarkEnd w:id="387"/>
      <w:bookmarkEnd w:id="388"/>
    </w:p>
    <w:p w14:paraId="7B56974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.1在招标采购中出现有“第五章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r>
        <w:rPr>
          <w:rFonts w:hint="eastAsia" w:ascii="宋体" w:hAnsi="宋体" w:eastAsia="宋体" w:cs="宋体"/>
          <w:color w:val="auto"/>
          <w:sz w:val="24"/>
          <w:szCs w:val="24"/>
          <w:highlight w:val="none"/>
          <w:lang w:val="en-US" w:eastAsia="zh-CN"/>
        </w:rPr>
        <w:t>及本招标文件</w:t>
      </w:r>
      <w:r>
        <w:rPr>
          <w:rFonts w:hint="eastAsia" w:ascii="宋体" w:hAnsi="宋体" w:eastAsia="宋体" w:cs="宋体"/>
          <w:color w:val="auto"/>
          <w:sz w:val="24"/>
          <w:szCs w:val="24"/>
          <w:highlight w:val="none"/>
        </w:rPr>
        <w:t>规定的废标情形的，应予以</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lang w:eastAsia="zh-CN"/>
        </w:rPr>
        <w:t>。</w:t>
      </w:r>
    </w:p>
    <w:p w14:paraId="0C4DEC92">
      <w:pPr>
        <w:pStyle w:val="8"/>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9" w:name="_Toc163492875"/>
      <w:bookmarkStart w:id="390" w:name="_Toc140132766"/>
      <w:bookmarkStart w:id="391" w:name="_Toc16271"/>
      <w:bookmarkStart w:id="392" w:name="_Toc3516"/>
      <w:bookmarkStart w:id="393" w:name="_Toc22480"/>
      <w:bookmarkStart w:id="394" w:name="_Toc140132808"/>
      <w:bookmarkStart w:id="395" w:name="_Toc155185884"/>
      <w:r>
        <w:rPr>
          <w:rFonts w:hint="eastAsia" w:ascii="宋体" w:hAnsi="宋体" w:eastAsia="宋体" w:cs="宋体"/>
          <w:b/>
          <w:bCs/>
          <w:color w:val="auto"/>
          <w:kern w:val="2"/>
          <w:sz w:val="24"/>
          <w:szCs w:val="24"/>
          <w:highlight w:val="none"/>
          <w:lang w:val="en-US" w:eastAsia="zh-CN" w:bidi="ar-SA"/>
        </w:rPr>
        <w:t>（十三）落实政府采购政策</w:t>
      </w:r>
      <w:bookmarkEnd w:id="389"/>
      <w:bookmarkEnd w:id="390"/>
      <w:r>
        <w:rPr>
          <w:rFonts w:hint="eastAsia" w:ascii="宋体" w:hAnsi="宋体" w:eastAsia="宋体" w:cs="宋体"/>
          <w:b/>
          <w:bCs/>
          <w:color w:val="auto"/>
          <w:kern w:val="2"/>
          <w:sz w:val="24"/>
          <w:szCs w:val="24"/>
          <w:highlight w:val="none"/>
          <w:lang w:val="en-US" w:eastAsia="zh-CN" w:bidi="ar-SA"/>
        </w:rPr>
        <w:t>（包括但不限于下列具体政策要求）</w:t>
      </w:r>
      <w:bookmarkEnd w:id="391"/>
      <w:bookmarkEnd w:id="392"/>
      <w:bookmarkEnd w:id="393"/>
    </w:p>
    <w:p w14:paraId="5800BCE0">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96" w:name="_Toc12045"/>
      <w:bookmarkStart w:id="397" w:name="_Toc163492876"/>
      <w:bookmarkStart w:id="398" w:name="_Toc21216"/>
      <w:bookmarkStart w:id="399" w:name="_Toc23969"/>
      <w:r>
        <w:rPr>
          <w:rFonts w:hint="eastAsia" w:ascii="宋体" w:hAnsi="宋体" w:eastAsia="宋体" w:cs="宋体"/>
          <w:b/>
          <w:bCs/>
          <w:color w:val="auto"/>
          <w:kern w:val="2"/>
          <w:sz w:val="24"/>
          <w:szCs w:val="24"/>
          <w:highlight w:val="none"/>
          <w:lang w:val="en-US" w:eastAsia="zh-CN" w:bidi="ar-SA"/>
        </w:rPr>
        <w:t>41.支持国产和进口产品审批</w:t>
      </w:r>
      <w:bookmarkEnd w:id="396"/>
      <w:bookmarkEnd w:id="397"/>
      <w:bookmarkEnd w:id="398"/>
      <w:bookmarkEnd w:id="399"/>
    </w:p>
    <w:p w14:paraId="26D924D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w:t>
      </w: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t>.1除“投标人须知前附表”另有规定外，政府采购应当采购本国</w:t>
      </w:r>
      <w:r>
        <w:rPr>
          <w:rFonts w:hint="eastAsia" w:ascii="宋体" w:hAnsi="宋体" w:eastAsia="宋体" w:cs="宋体"/>
          <w:snapToGrid w:val="0"/>
          <w:color w:val="auto"/>
          <w:sz w:val="24"/>
          <w:szCs w:val="24"/>
          <w:highlight w:val="none"/>
          <w:lang w:val="en-US" w:eastAsia="zh-CN"/>
        </w:rPr>
        <w:t>货物、工程和服务</w:t>
      </w:r>
      <w:r>
        <w:rPr>
          <w:rFonts w:hint="eastAsia" w:ascii="宋体" w:hAnsi="宋体" w:eastAsia="宋体" w:cs="宋体"/>
          <w:snapToGrid w:val="0"/>
          <w:color w:val="auto"/>
          <w:sz w:val="24"/>
          <w:szCs w:val="24"/>
          <w:highlight w:val="none"/>
        </w:rPr>
        <w:t>，确需采购进口产品的，采购人应当按照</w:t>
      </w:r>
      <w:r>
        <w:rPr>
          <w:rFonts w:hint="eastAsia" w:ascii="宋体" w:hAnsi="宋体" w:eastAsia="宋体" w:cs="宋体"/>
          <w:snapToGrid w:val="0"/>
          <w:color w:val="auto"/>
          <w:sz w:val="24"/>
          <w:szCs w:val="24"/>
          <w:highlight w:val="none"/>
          <w:lang w:val="en-US" w:eastAsia="zh-CN"/>
        </w:rPr>
        <w:t>《政府采购进口产品管理办法》（财库〔2007〕119 号文）、</w:t>
      </w:r>
      <w:r>
        <w:rPr>
          <w:rFonts w:hint="eastAsia" w:ascii="宋体" w:hAnsi="宋体" w:eastAsia="宋体" w:cs="宋体"/>
          <w:snapToGrid w:val="0"/>
          <w:color w:val="auto"/>
          <w:sz w:val="24"/>
          <w:szCs w:val="24"/>
          <w:highlight w:val="none"/>
        </w:rPr>
        <w:t>《关于政府采购进口产品管理有关问题的通知》（财办库〔2008〕248号）规定执行（进口产品审批制，科研院所监管部门另有规定的从其规定）。项目若涉及采购进口产品的，具体要求详见“第三章 采购需求”。</w:t>
      </w:r>
    </w:p>
    <w:p w14:paraId="201F13F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41.2进口产品指通过中国海关报关验放进入中国境内且产自关境外的产品，包括已经进入中国境内的进口产品。 </w:t>
      </w:r>
    </w:p>
    <w:p w14:paraId="0C404CE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41.3若采购需求中写明允许采购进口产品，投标人应保证所投产品可履行合法报通关手续进入中国关境内。</w:t>
      </w:r>
    </w:p>
    <w:p w14:paraId="50A8DE9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41.4若采购需求中未写明允许采购进口产品，如投标人所投产品为进口产品，其投标将被认定为</w:t>
      </w:r>
      <w:r>
        <w:rPr>
          <w:rFonts w:hint="eastAsia" w:ascii="宋体" w:hAnsi="宋体" w:eastAsia="宋体" w:cs="宋体"/>
          <w:b/>
          <w:bCs/>
          <w:snapToGrid w:val="0"/>
          <w:color w:val="auto"/>
          <w:sz w:val="24"/>
          <w:szCs w:val="24"/>
          <w:highlight w:val="none"/>
          <w:lang w:val="en-US" w:eastAsia="zh-CN"/>
        </w:rPr>
        <w:t>投标无效</w:t>
      </w:r>
      <w:r>
        <w:rPr>
          <w:rFonts w:hint="eastAsia" w:ascii="宋体" w:hAnsi="宋体" w:eastAsia="宋体" w:cs="宋体"/>
          <w:snapToGrid w:val="0"/>
          <w:color w:val="auto"/>
          <w:sz w:val="24"/>
          <w:szCs w:val="24"/>
          <w:highlight w:val="none"/>
          <w:lang w:val="en-US" w:eastAsia="zh-CN"/>
        </w:rPr>
        <w:t>。</w:t>
      </w:r>
    </w:p>
    <w:p w14:paraId="6764F885">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0" w:name="_Toc3349"/>
      <w:bookmarkStart w:id="401" w:name="_Toc13373"/>
      <w:bookmarkStart w:id="402" w:name="_Toc17933"/>
      <w:bookmarkStart w:id="403" w:name="_Toc163492877"/>
      <w:r>
        <w:rPr>
          <w:rFonts w:hint="eastAsia" w:ascii="宋体" w:hAnsi="宋体" w:eastAsia="宋体" w:cs="宋体"/>
          <w:b/>
          <w:bCs/>
          <w:color w:val="auto"/>
          <w:kern w:val="2"/>
          <w:sz w:val="24"/>
          <w:szCs w:val="24"/>
          <w:highlight w:val="none"/>
          <w:lang w:val="en-US" w:eastAsia="zh-CN" w:bidi="ar-SA"/>
        </w:rPr>
        <w:t>42.中小企业、监狱企业及残疾人福利性单位</w:t>
      </w:r>
      <w:bookmarkEnd w:id="400"/>
      <w:bookmarkEnd w:id="401"/>
      <w:bookmarkEnd w:id="402"/>
      <w:bookmarkEnd w:id="403"/>
    </w:p>
    <w:p w14:paraId="6CF3C24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42</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 xml:space="preserve">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 </w:t>
      </w:r>
    </w:p>
    <w:p w14:paraId="775C315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42</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ascii="宋体" w:hAnsi="宋体" w:eastAsia="宋体" w:cs="宋体"/>
          <w:snapToGrid w:val="0"/>
          <w:color w:val="auto"/>
          <w:sz w:val="24"/>
          <w:szCs w:val="24"/>
          <w:highlight w:val="none"/>
          <w:lang w:eastAsia="zh-CN"/>
        </w:rPr>
        <w:t>需享受中小企业相关政策的，且</w:t>
      </w:r>
      <w:r>
        <w:rPr>
          <w:rFonts w:hint="eastAsia" w:ascii="宋体" w:hAnsi="宋体" w:eastAsia="宋体" w:cs="宋体"/>
          <w:snapToGrid w:val="0"/>
          <w:color w:val="auto"/>
          <w:sz w:val="24"/>
          <w:szCs w:val="24"/>
          <w:highlight w:val="none"/>
        </w:rPr>
        <w:t>符合上述文件规定的，</w:t>
      </w:r>
      <w:r>
        <w:rPr>
          <w:rFonts w:hint="eastAsia" w:ascii="宋体" w:hAnsi="宋体" w:eastAsia="宋体" w:cs="宋体"/>
          <w:snapToGrid w:val="0"/>
          <w:color w:val="auto"/>
          <w:sz w:val="24"/>
          <w:szCs w:val="24"/>
          <w:highlight w:val="none"/>
          <w:lang w:eastAsia="zh-CN"/>
        </w:rPr>
        <w:t>应按本</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eastAsia="zh-CN"/>
        </w:rPr>
        <w:t>文件规定格式</w:t>
      </w:r>
      <w:r>
        <w:rPr>
          <w:rFonts w:hint="eastAsia" w:ascii="宋体" w:hAnsi="宋体" w:eastAsia="宋体" w:cs="宋体"/>
          <w:snapToGrid w:val="0"/>
          <w:color w:val="auto"/>
          <w:sz w:val="24"/>
          <w:szCs w:val="24"/>
          <w:highlight w:val="none"/>
        </w:rPr>
        <w:t>提供</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中小企业声明函</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rPr>
        <w:t>监狱企业证明文件</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残疾人福利性单位声明函</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，评审时，</w:t>
      </w:r>
      <w:r>
        <w:rPr>
          <w:rFonts w:hint="eastAsia" w:ascii="宋体" w:hAnsi="宋体" w:eastAsia="宋体" w:cs="宋体"/>
          <w:snapToGrid w:val="0"/>
          <w:color w:val="auto"/>
          <w:sz w:val="24"/>
          <w:szCs w:val="24"/>
          <w:highlight w:val="none"/>
          <w:lang w:val="en-US" w:eastAsia="zh-CN"/>
        </w:rPr>
        <w:t>评标委员会</w:t>
      </w:r>
      <w:r>
        <w:rPr>
          <w:rFonts w:hint="eastAsia" w:ascii="宋体" w:hAnsi="宋体" w:eastAsia="宋体" w:cs="宋体"/>
          <w:snapToGrid w:val="0"/>
          <w:color w:val="auto"/>
          <w:sz w:val="24"/>
          <w:szCs w:val="24"/>
          <w:highlight w:val="none"/>
        </w:rPr>
        <w:t>将依据</w:t>
      </w:r>
      <w:r>
        <w:rPr>
          <w:rFonts w:hint="eastAsia" w:ascii="宋体" w:hAnsi="宋体" w:eastAsia="宋体" w:cs="宋体"/>
          <w:snapToGrid w:val="0"/>
          <w:color w:val="auto"/>
          <w:sz w:val="24"/>
          <w:szCs w:val="24"/>
          <w:highlight w:val="none"/>
          <w:lang w:eastAsia="zh-CN"/>
        </w:rPr>
        <w:t>本</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eastAsia="zh-CN"/>
        </w:rPr>
        <w:t>文件</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投标人</w:t>
      </w:r>
      <w:r>
        <w:rPr>
          <w:rFonts w:hint="eastAsia" w:ascii="宋体" w:hAnsi="宋体" w:eastAsia="宋体" w:cs="宋体"/>
          <w:snapToGrid w:val="0"/>
          <w:color w:val="auto"/>
          <w:sz w:val="24"/>
          <w:szCs w:val="24"/>
          <w:highlight w:val="none"/>
        </w:rPr>
        <w:t>须知前附表”规定的报价扣除比例，对供应商报价进行价格扣除，用扣除后的价格参与评审</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eastAsia="zh-CN"/>
        </w:rPr>
        <w:t>公告中明确项目专门面向中小企业采购的，“</w:t>
      </w:r>
      <w:r>
        <w:rPr>
          <w:rFonts w:hint="eastAsia" w:ascii="宋体" w:hAnsi="宋体" w:eastAsia="宋体" w:cs="宋体"/>
          <w:snapToGrid w:val="0"/>
          <w:color w:val="auto"/>
          <w:sz w:val="24"/>
          <w:szCs w:val="24"/>
          <w:highlight w:val="none"/>
        </w:rPr>
        <w:t>中小企业声明函</w:t>
      </w:r>
      <w:r>
        <w:rPr>
          <w:rFonts w:hint="eastAsia" w:ascii="宋体" w:hAnsi="宋体" w:eastAsia="宋体" w:cs="宋体"/>
          <w:snapToGrid w:val="0"/>
          <w:color w:val="auto"/>
          <w:sz w:val="24"/>
          <w:szCs w:val="24"/>
          <w:highlight w:val="none"/>
          <w:lang w:eastAsia="zh-CN"/>
        </w:rPr>
        <w:t>”为资格要求文件，</w:t>
      </w:r>
      <w:r>
        <w:rPr>
          <w:rFonts w:hint="eastAsia" w:ascii="宋体" w:hAnsi="宋体" w:eastAsia="宋体" w:cs="宋体"/>
          <w:snapToGrid w:val="0"/>
          <w:color w:val="auto"/>
          <w:sz w:val="24"/>
          <w:szCs w:val="24"/>
          <w:highlight w:val="none"/>
        </w:rPr>
        <w:t>供应商</w:t>
      </w:r>
      <w:r>
        <w:rPr>
          <w:rFonts w:hint="eastAsia" w:ascii="宋体" w:hAnsi="宋体" w:eastAsia="宋体" w:cs="宋体"/>
          <w:snapToGrid w:val="0"/>
          <w:color w:val="auto"/>
          <w:sz w:val="24"/>
          <w:szCs w:val="24"/>
          <w:highlight w:val="none"/>
          <w:lang w:eastAsia="zh-CN"/>
        </w:rPr>
        <w:t>参与</w:t>
      </w:r>
      <w:r>
        <w:rPr>
          <w:rFonts w:hint="eastAsia" w:ascii="宋体" w:hAnsi="宋体" w:eastAsia="宋体" w:cs="宋体"/>
          <w:snapToGrid w:val="0"/>
          <w:color w:val="auto"/>
          <w:sz w:val="24"/>
          <w:szCs w:val="24"/>
          <w:highlight w:val="none"/>
          <w:lang w:val="en-US" w:eastAsia="zh-CN"/>
        </w:rPr>
        <w:t>投标</w:t>
      </w:r>
      <w:r>
        <w:rPr>
          <w:rFonts w:hint="eastAsia" w:ascii="宋体" w:hAnsi="宋体" w:eastAsia="宋体" w:cs="宋体"/>
          <w:snapToGrid w:val="0"/>
          <w:color w:val="auto"/>
          <w:sz w:val="24"/>
          <w:szCs w:val="24"/>
          <w:highlight w:val="none"/>
          <w:lang w:eastAsia="zh-CN"/>
        </w:rPr>
        <w:t>须按本</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eastAsia="zh-CN"/>
        </w:rPr>
        <w:t>文件规定格式</w:t>
      </w:r>
      <w:r>
        <w:rPr>
          <w:rFonts w:hint="eastAsia" w:ascii="宋体" w:hAnsi="宋体" w:eastAsia="宋体" w:cs="宋体"/>
          <w:snapToGrid w:val="0"/>
          <w:color w:val="auto"/>
          <w:sz w:val="24"/>
          <w:szCs w:val="24"/>
          <w:highlight w:val="none"/>
        </w:rPr>
        <w:t>提供</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中小企业声明函</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rPr>
        <w:t>监狱企业证明文件</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残疾人福利性单位声明函</w:t>
      </w:r>
      <w:r>
        <w:rPr>
          <w:rFonts w:hint="eastAsia" w:ascii="宋体" w:hAnsi="宋体" w:eastAsia="宋体" w:cs="宋体"/>
          <w:snapToGrid w:val="0"/>
          <w:color w:val="auto"/>
          <w:sz w:val="24"/>
          <w:szCs w:val="24"/>
          <w:highlight w:val="none"/>
          <w:lang w:eastAsia="zh-CN"/>
        </w:rPr>
        <w:t>”等作为资格证明文件。</w:t>
      </w:r>
      <w:r>
        <w:rPr>
          <w:rFonts w:hint="eastAsia" w:ascii="宋体" w:hAnsi="宋体" w:eastAsia="宋体" w:cs="宋体"/>
          <w:snapToGrid w:val="0"/>
          <w:color w:val="auto"/>
          <w:sz w:val="24"/>
          <w:szCs w:val="24"/>
          <w:highlight w:val="none"/>
          <w:lang w:val="en-US" w:eastAsia="zh-CN"/>
        </w:rPr>
        <w:t xml:space="preserve"> </w:t>
      </w:r>
    </w:p>
    <w:p w14:paraId="743E5E0E">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42.3 供应商提供的货物、工程或者服务符合下列情形的，享受中小企业扶持政策： </w:t>
      </w:r>
    </w:p>
    <w:p w14:paraId="07E7A00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（1）在货物采购项目中，货物由中小企业制造，即货物由中小企业生产且使用该中小企业商号或者注册商标； </w:t>
      </w:r>
    </w:p>
    <w:p w14:paraId="128FB5A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（2）在工程采购项目中，工程由中小企业承建，即工程施工单位为中小企业； </w:t>
      </w:r>
    </w:p>
    <w:p w14:paraId="4557B96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（3）在服务采购项目中，服务由中小企业承接，即提供服务的人员为中小企业依照《中华人民共和国劳动合同法》订立劳动合同的从业人员。</w:t>
      </w:r>
    </w:p>
    <w:p w14:paraId="5C38B69F">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42.4 在服务采购项目中，供应商提供的服务既有中小企业承接，也有大型企业承接的，不享受中小企业扶持政策。 </w:t>
      </w:r>
    </w:p>
    <w:p w14:paraId="31F905A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42.5 以联合体形式参加政府采购活动，联合体各方均为中小企业的，联合体视同中小企业。其中，联合体各方均为小微企业的，联合体视同小微企业。</w:t>
      </w:r>
    </w:p>
    <w:p w14:paraId="589A89E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42.6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EF9D90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2EADF7D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42.7.1 安置的残疾人占本单位在职职工人数的比例不低于 25% （含 25%），并且安置的残疾人人数不少于 10 人（含 10人）； </w:t>
      </w:r>
    </w:p>
    <w:p w14:paraId="5B128E6C">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42.7.2 依法与安置的每位残疾人签订了1年以上（含1年）的劳动合同或服务协议； </w:t>
      </w:r>
    </w:p>
    <w:p w14:paraId="750299D4">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42.7.3 为安置的每位残疾人按月足额缴纳了基本养老保险、基本医疗保险、失业保险、工伤保险和生育保险等社会保险费； </w:t>
      </w:r>
    </w:p>
    <w:p w14:paraId="5494926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42.7.4 通过银行等金融机构向安置的每位残疾人，按月支付了不低于单位所在区县适用的经省级人民政府批准的月最低工资标准的工资； </w:t>
      </w:r>
    </w:p>
    <w:p w14:paraId="6AD696D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42.7.5 提供本单位制造的货物、承担的工程或者服务（以下简称产品），或者提供其他残疾人福利性单位制造的货物（不包括使用非残疾人福利性单位注册商标的货物）； </w:t>
      </w:r>
    </w:p>
    <w:p w14:paraId="6F6930A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 </w:t>
      </w:r>
    </w:p>
    <w:p w14:paraId="50A69BF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42.8 本项目是否专门面向中小企业预留采购份额见“第一章 </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snapToGrid w:val="0"/>
          <w:color w:val="auto"/>
          <w:sz w:val="24"/>
          <w:szCs w:val="24"/>
          <w:highlight w:val="none"/>
          <w:lang w:val="en-US" w:eastAsia="zh-CN"/>
        </w:rPr>
        <w:t>”。    42.9 采购标的对应的中小企业划分标准所属行业见“投标人须知前附表”。    42.10 小微企业价格评审优惠的政策调整：见“投标人须知前附表”及“第五章 评标方法及标准”。</w:t>
      </w:r>
    </w:p>
    <w:p w14:paraId="17DD5FF7">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4" w:name="_Toc23996"/>
      <w:bookmarkStart w:id="405" w:name="_Toc5861"/>
      <w:bookmarkStart w:id="406" w:name="_Toc15890"/>
      <w:bookmarkStart w:id="407" w:name="_Toc163492878"/>
      <w:r>
        <w:rPr>
          <w:rFonts w:hint="eastAsia" w:ascii="宋体" w:hAnsi="宋体" w:eastAsia="宋体" w:cs="宋体"/>
          <w:b/>
          <w:bCs/>
          <w:color w:val="auto"/>
          <w:kern w:val="2"/>
          <w:sz w:val="24"/>
          <w:szCs w:val="24"/>
          <w:highlight w:val="none"/>
          <w:lang w:val="en-US" w:eastAsia="zh-CN" w:bidi="ar-SA"/>
        </w:rPr>
        <w:t>43.政府采购节能产品、环境标志产品</w:t>
      </w:r>
      <w:bookmarkEnd w:id="404"/>
      <w:bookmarkEnd w:id="405"/>
      <w:bookmarkEnd w:id="406"/>
      <w:bookmarkEnd w:id="407"/>
    </w:p>
    <w:p w14:paraId="741E7E7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号）、《关于印发环境标志产品政府采购品目清单的通知》（财库〔2019〕18号）、《关于印发节能产品政府采购品目清单的通知》（财库〔2019〕19号）的规定。</w:t>
      </w:r>
    </w:p>
    <w:p w14:paraId="2EC4C51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43.2 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25CFE0EE">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43.3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snapToGrid w:val="0"/>
          <w:color w:val="auto"/>
          <w:sz w:val="24"/>
          <w:szCs w:val="24"/>
          <w:highlight w:val="none"/>
          <w:lang w:val="en-US" w:eastAsia="zh-CN"/>
        </w:rPr>
        <w:t>投标无效</w:t>
      </w:r>
      <w:r>
        <w:rPr>
          <w:rFonts w:hint="eastAsia" w:ascii="宋体" w:hAnsi="宋体" w:eastAsia="宋体" w:cs="宋体"/>
          <w:snapToGrid w:val="0"/>
          <w:color w:val="auto"/>
          <w:sz w:val="24"/>
          <w:szCs w:val="24"/>
          <w:highlight w:val="none"/>
          <w:lang w:val="en-US" w:eastAsia="zh-CN"/>
        </w:rPr>
        <w:t xml:space="preserve">。 </w:t>
      </w:r>
    </w:p>
    <w:p w14:paraId="04E599F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43.4 非政府强制采购的节能产品或环境标志产品，依据品目清单和认证证书实施政府优先采购。优先采购的具体规定见“第五章 评标方法及标准”（如涉及）。</w:t>
      </w:r>
    </w:p>
    <w:p w14:paraId="51B3D92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43.5 </w:t>
      </w:r>
      <w:r>
        <w:rPr>
          <w:rFonts w:hint="eastAsia" w:ascii="宋体" w:hAnsi="宋体" w:eastAsia="宋体" w:cs="宋体"/>
          <w:snapToGrid w:val="0"/>
          <w:color w:val="auto"/>
          <w:sz w:val="24"/>
          <w:szCs w:val="24"/>
          <w:highlight w:val="none"/>
        </w:rPr>
        <w:t>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已作为投标时强制性要求不再给予</w:t>
      </w:r>
      <w:r>
        <w:rPr>
          <w:rFonts w:hint="eastAsia" w:ascii="宋体" w:hAnsi="宋体" w:eastAsia="宋体" w:cs="宋体"/>
          <w:snapToGrid w:val="0"/>
          <w:color w:val="auto"/>
          <w:sz w:val="24"/>
          <w:szCs w:val="24"/>
          <w:highlight w:val="none"/>
          <w:lang w:val="en-US" w:eastAsia="zh-CN"/>
        </w:rPr>
        <w:t>价格评审优惠</w:t>
      </w:r>
      <w:r>
        <w:rPr>
          <w:rFonts w:hint="eastAsia" w:ascii="宋体" w:hAnsi="宋体" w:eastAsia="宋体" w:cs="宋体"/>
          <w:snapToGrid w:val="0"/>
          <w:color w:val="auto"/>
          <w:sz w:val="24"/>
          <w:szCs w:val="24"/>
          <w:highlight w:val="none"/>
        </w:rPr>
        <w:t>，未提供认证证书的视为</w:t>
      </w:r>
      <w:r>
        <w:rPr>
          <w:rFonts w:hint="eastAsia" w:ascii="宋体" w:hAnsi="宋体" w:eastAsia="宋体" w:cs="宋体"/>
          <w:b/>
          <w:bCs/>
          <w:snapToGrid w:val="0"/>
          <w:color w:val="auto"/>
          <w:sz w:val="24"/>
          <w:szCs w:val="24"/>
          <w:highlight w:val="none"/>
          <w:lang w:val="en-US" w:eastAsia="zh-CN"/>
        </w:rPr>
        <w:t>投标</w:t>
      </w:r>
      <w:r>
        <w:rPr>
          <w:rFonts w:hint="eastAsia" w:ascii="宋体" w:hAnsi="宋体" w:eastAsia="宋体" w:cs="宋体"/>
          <w:b/>
          <w:bCs/>
          <w:snapToGrid w:val="0"/>
          <w:color w:val="auto"/>
          <w:sz w:val="24"/>
          <w:szCs w:val="24"/>
          <w:highlight w:val="none"/>
        </w:rPr>
        <w:t>无效</w:t>
      </w:r>
      <w:r>
        <w:rPr>
          <w:rFonts w:hint="eastAsia" w:ascii="宋体" w:hAnsi="宋体" w:eastAsia="宋体" w:cs="宋体"/>
          <w:snapToGrid w:val="0"/>
          <w:color w:val="auto"/>
          <w:sz w:val="24"/>
          <w:szCs w:val="24"/>
          <w:highlight w:val="none"/>
        </w:rPr>
        <w:t>。属于</w:t>
      </w:r>
      <w:r>
        <w:rPr>
          <w:rFonts w:hint="eastAsia" w:ascii="宋体" w:hAnsi="宋体" w:eastAsia="宋体" w:cs="宋体"/>
          <w:snapToGrid w:val="0"/>
          <w:color w:val="auto"/>
          <w:sz w:val="24"/>
          <w:szCs w:val="24"/>
          <w:highlight w:val="none"/>
          <w:lang w:val="en-US" w:eastAsia="zh-CN"/>
        </w:rPr>
        <w:t>优先采购</w:t>
      </w:r>
      <w:r>
        <w:rPr>
          <w:rFonts w:hint="eastAsia" w:ascii="宋体" w:hAnsi="宋体" w:eastAsia="宋体" w:cs="宋体"/>
          <w:snapToGrid w:val="0"/>
          <w:color w:val="auto"/>
          <w:sz w:val="24"/>
          <w:szCs w:val="24"/>
          <w:highlight w:val="none"/>
        </w:rPr>
        <w:t>节能产品政府采购品目清单、环境标志产品政府采购品目清单</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创新产品</w:t>
      </w:r>
      <w:r>
        <w:rPr>
          <w:rFonts w:hint="eastAsia" w:ascii="宋体" w:hAnsi="宋体" w:eastAsia="宋体" w:cs="宋体"/>
          <w:snapToGrid w:val="0"/>
          <w:color w:val="auto"/>
          <w:sz w:val="24"/>
          <w:szCs w:val="24"/>
          <w:highlight w:val="none"/>
        </w:rPr>
        <w:t>范围的，按照“</w:t>
      </w:r>
      <w:r>
        <w:rPr>
          <w:rFonts w:hint="eastAsia" w:ascii="宋体" w:hAnsi="宋体" w:eastAsia="宋体" w:cs="宋体"/>
          <w:color w:val="auto"/>
          <w:sz w:val="24"/>
          <w:szCs w:val="24"/>
          <w:highlight w:val="none"/>
          <w:lang w:val="en-US" w:eastAsia="zh-CN"/>
        </w:rPr>
        <w:t>第五章 评标方法及标准</w:t>
      </w:r>
      <w:r>
        <w:rPr>
          <w:rFonts w:hint="eastAsia" w:ascii="宋体" w:hAnsi="宋体" w:eastAsia="宋体" w:cs="宋体"/>
          <w:snapToGrid w:val="0"/>
          <w:color w:val="auto"/>
          <w:sz w:val="24"/>
          <w:szCs w:val="24"/>
          <w:highlight w:val="none"/>
        </w:rPr>
        <w:t>”中相关规定</w:t>
      </w:r>
      <w:r>
        <w:rPr>
          <w:rFonts w:hint="eastAsia" w:ascii="宋体" w:hAnsi="宋体" w:eastAsia="宋体" w:cs="宋体"/>
          <w:color w:val="auto"/>
          <w:sz w:val="24"/>
          <w:szCs w:val="24"/>
          <w:highlight w:val="none"/>
          <w:lang w:val="en-US" w:eastAsia="zh-CN"/>
        </w:rPr>
        <w:t>在评审时给予价格评审优惠，具体详见</w:t>
      </w:r>
      <w:r>
        <w:rPr>
          <w:rFonts w:hint="eastAsia" w:ascii="宋体" w:hAnsi="宋体" w:eastAsia="宋体" w:cs="宋体"/>
          <w:snapToGrid w:val="0"/>
          <w:color w:val="auto"/>
          <w:sz w:val="24"/>
          <w:szCs w:val="24"/>
          <w:highlight w:val="none"/>
          <w:lang w:val="en-US" w:eastAsia="zh-CN"/>
        </w:rPr>
        <w:t>“投标人须知前附表”及</w:t>
      </w:r>
      <w:r>
        <w:rPr>
          <w:rFonts w:hint="eastAsia" w:ascii="宋体" w:hAnsi="宋体" w:eastAsia="宋体" w:cs="宋体"/>
          <w:color w:val="auto"/>
          <w:sz w:val="24"/>
          <w:szCs w:val="24"/>
          <w:highlight w:val="none"/>
          <w:lang w:val="en-US" w:eastAsia="zh-CN"/>
        </w:rPr>
        <w:t>“第五章 评标方法及标准”</w:t>
      </w:r>
      <w:r>
        <w:rPr>
          <w:rFonts w:hint="eastAsia" w:ascii="宋体" w:hAnsi="宋体" w:eastAsia="宋体" w:cs="宋体"/>
          <w:color w:val="auto"/>
          <w:sz w:val="24"/>
          <w:szCs w:val="24"/>
          <w:highlight w:val="none"/>
        </w:rPr>
        <w:t>。</w:t>
      </w:r>
    </w:p>
    <w:p w14:paraId="5F04C72A">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8" w:name="_Toc22896"/>
      <w:bookmarkStart w:id="409" w:name="_Toc5777"/>
      <w:bookmarkStart w:id="410" w:name="_Toc8054"/>
      <w:bookmarkStart w:id="411" w:name="_Toc163492879"/>
      <w:r>
        <w:rPr>
          <w:rFonts w:hint="eastAsia" w:ascii="宋体" w:hAnsi="宋体" w:eastAsia="宋体" w:cs="宋体"/>
          <w:b/>
          <w:bCs/>
          <w:color w:val="auto"/>
          <w:kern w:val="2"/>
          <w:sz w:val="24"/>
          <w:szCs w:val="24"/>
          <w:highlight w:val="none"/>
          <w:lang w:val="en-US" w:eastAsia="zh-CN" w:bidi="ar-SA"/>
        </w:rPr>
        <w:t>44.正版软件</w:t>
      </w:r>
      <w:bookmarkEnd w:id="408"/>
      <w:bookmarkEnd w:id="409"/>
      <w:bookmarkEnd w:id="410"/>
      <w:r>
        <w:rPr>
          <w:rFonts w:hint="eastAsia" w:ascii="宋体" w:hAnsi="宋体" w:eastAsia="宋体" w:cs="宋体"/>
          <w:b/>
          <w:bCs/>
          <w:color w:val="auto"/>
          <w:kern w:val="2"/>
          <w:sz w:val="24"/>
          <w:szCs w:val="24"/>
          <w:highlight w:val="none"/>
          <w:lang w:val="en-US" w:eastAsia="zh-CN" w:bidi="ar-SA"/>
        </w:rPr>
        <w:t xml:space="preserve">  </w:t>
      </w:r>
    </w:p>
    <w:p w14:paraId="415973C1">
      <w:pPr>
        <w:pStyle w:val="40"/>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44.1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snapToGrid w:val="0"/>
          <w:color w:val="auto"/>
          <w:sz w:val="24"/>
          <w:szCs w:val="24"/>
          <w:highlight w:val="none"/>
          <w:lang w:val="en-US" w:eastAsia="zh-CN"/>
        </w:rPr>
        <w:t>投标无效</w:t>
      </w:r>
      <w:r>
        <w:rPr>
          <w:rFonts w:hint="eastAsia" w:ascii="宋体" w:hAnsi="宋体" w:eastAsia="宋体" w:cs="宋体"/>
          <w:snapToGrid w:val="0"/>
          <w:color w:val="auto"/>
          <w:sz w:val="24"/>
          <w:szCs w:val="24"/>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7504E40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号）、《国务院办公厅关于印发政府机关使用正版软件管理办法的通知》国办发〔2013〕88号。</w:t>
      </w:r>
    </w:p>
    <w:p w14:paraId="139B1CB1">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12" w:name="_Toc15694"/>
      <w:bookmarkStart w:id="413" w:name="_Toc27611"/>
      <w:bookmarkStart w:id="414" w:name="_Toc7834"/>
      <w:r>
        <w:rPr>
          <w:rFonts w:hint="eastAsia" w:ascii="宋体" w:hAnsi="宋体" w:eastAsia="宋体" w:cs="宋体"/>
          <w:b/>
          <w:bCs/>
          <w:color w:val="auto"/>
          <w:kern w:val="2"/>
          <w:sz w:val="24"/>
          <w:szCs w:val="24"/>
          <w:highlight w:val="none"/>
          <w:lang w:val="en-US" w:eastAsia="zh-CN" w:bidi="ar-SA"/>
        </w:rPr>
        <w:t>45.网络安全专用产品</w:t>
      </w:r>
      <w:bookmarkEnd w:id="412"/>
      <w:bookmarkEnd w:id="413"/>
      <w:bookmarkEnd w:id="414"/>
      <w:r>
        <w:rPr>
          <w:rFonts w:hint="eastAsia" w:ascii="宋体" w:hAnsi="宋体" w:eastAsia="宋体" w:cs="宋体"/>
          <w:b/>
          <w:bCs/>
          <w:color w:val="auto"/>
          <w:kern w:val="2"/>
          <w:sz w:val="24"/>
          <w:szCs w:val="24"/>
          <w:highlight w:val="none"/>
          <w:lang w:val="en-US" w:eastAsia="zh-CN" w:bidi="ar-SA"/>
        </w:rPr>
        <w:t xml:space="preserve">   </w:t>
      </w:r>
    </w:p>
    <w:p w14:paraId="13C0877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45.1本项目中如涉及网络关键设备或网络安全专用产品的，应严格执行国家互联网信息办公室、工业和信息化部、公安部、财政部和国家认证认可监督管理委员会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575DAF1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45.2本项目中如涉及国家强制性产品认证证书（CCC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 </w:t>
      </w:r>
    </w:p>
    <w:p w14:paraId="567E703D">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15" w:name="_Toc11862"/>
      <w:bookmarkStart w:id="416" w:name="_Toc27892"/>
      <w:bookmarkStart w:id="417" w:name="_Toc5974"/>
      <w:r>
        <w:rPr>
          <w:rFonts w:hint="eastAsia" w:ascii="宋体" w:hAnsi="宋体" w:eastAsia="宋体" w:cs="宋体"/>
          <w:b/>
          <w:bCs/>
          <w:color w:val="auto"/>
          <w:kern w:val="2"/>
          <w:sz w:val="24"/>
          <w:szCs w:val="24"/>
          <w:highlight w:val="none"/>
          <w:lang w:val="en-US" w:eastAsia="zh-CN" w:bidi="ar-SA"/>
        </w:rPr>
        <w:t>46.采购需求标准</w:t>
      </w:r>
      <w:bookmarkEnd w:id="415"/>
      <w:bookmarkEnd w:id="416"/>
      <w:bookmarkEnd w:id="417"/>
      <w:r>
        <w:rPr>
          <w:rFonts w:hint="eastAsia" w:ascii="宋体" w:hAnsi="宋体" w:eastAsia="宋体" w:cs="宋体"/>
          <w:b/>
          <w:bCs/>
          <w:color w:val="auto"/>
          <w:kern w:val="2"/>
          <w:sz w:val="24"/>
          <w:szCs w:val="24"/>
          <w:highlight w:val="none"/>
          <w:lang w:val="en-US" w:eastAsia="zh-CN" w:bidi="ar-SA"/>
        </w:rPr>
        <w:t xml:space="preserve">   </w:t>
      </w:r>
    </w:p>
    <w:p w14:paraId="77C63652">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46.1 商品包装、快递包装政府采购需求标准（试行） </w:t>
      </w:r>
    </w:p>
    <w:p w14:paraId="3DA9478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号），本项目如涉及商品包装和快递包装的，则其具体要求见第三章《采购需求》。 </w:t>
      </w:r>
    </w:p>
    <w:p w14:paraId="27B020C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46.2 绿色数据中心政府采购需求标准（试行） </w:t>
      </w:r>
    </w:p>
    <w:p w14:paraId="1617383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为加快数据中心绿色转型，根据财政部 生态环境部 工业和信息化部关于印发《绿色数据中心政府采购需求标准（试行）》的通知（财库〔2023〕7 号），本项目如涉及绿色数据中心，则具体要求见第三章《采购需求》。 </w:t>
      </w:r>
    </w:p>
    <w:p w14:paraId="752FA93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46.3台式计算机政府采购需求标准</w:t>
      </w:r>
    </w:p>
    <w:p w14:paraId="3830872B">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工业和信息化部关于印发《台式计算机政府采购需求标准（2023年版）》的通知（财库〔2023〕29号），本项目如涉及台式计算机采购，则具体要求见第三章《采购需求》。</w:t>
      </w:r>
    </w:p>
    <w:p w14:paraId="3E8B3153">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46.4便携式计算机政府采购需求标准</w:t>
      </w:r>
    </w:p>
    <w:p w14:paraId="2DDABA79">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工业和信息化部关于印发《便携式计算机政府采购需求标准（2023年版）》的通知（财库〔2023〕30号），本项目如涉及便携式计算机采购，则具体要求见第三章《采购需求》。</w:t>
      </w:r>
    </w:p>
    <w:p w14:paraId="385FE90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46.5一体式计算机政府采购需求标准</w:t>
      </w:r>
    </w:p>
    <w:p w14:paraId="30E8139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工业和信息化部关于印发《一体式计算机政府采购需求标准（2023年版）》的通知（财库〔2023〕31号），本项目如涉及一体式计算机采购，则具体要求见第三章《采购需求》。</w:t>
      </w:r>
    </w:p>
    <w:p w14:paraId="07FD3B3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46.6工作站政府采购需求标准</w:t>
      </w:r>
    </w:p>
    <w:p w14:paraId="23F8A15A">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工业和信息化部关于印发《工作站政府采购需求标准（2023年版）》的通知（财库〔2023〕32号），本项目如涉及工作站采购，则具体要求见第三章《采购需求》。</w:t>
      </w:r>
    </w:p>
    <w:p w14:paraId="6FE6E6D6">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46.7通用服务器政府采购需求标准</w:t>
      </w:r>
    </w:p>
    <w:p w14:paraId="2DC5EFFC">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工业和信息化部关于印发《通用服务器政府采购需求标准（2023年版）》的通知（财库〔2023〕33号），本项目如涉及通用服务器采购，则具体要求见第三章《采购需求》。</w:t>
      </w:r>
    </w:p>
    <w:p w14:paraId="5822E47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46.8操作系统政府采购需求标准</w:t>
      </w:r>
    </w:p>
    <w:p w14:paraId="0C0F87EE">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工业和信息化部关于印发《操作系统政府采购需求标准（2023年版）》的通知（财库〔2023〕34号），本项目如涉及操作系统采购，则具体要求见第三章《采购需求》。</w:t>
      </w:r>
    </w:p>
    <w:p w14:paraId="1177BDB0">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46.9数据库政府采购需求标准</w:t>
      </w:r>
    </w:p>
    <w:p w14:paraId="45BE4E61">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工业和信息化部关于印发《数据库政府采购需求标准（2023年版）》的通知（财库〔2023〕35号），本项目如涉及数据库采购，则具体要求见第三章《采购需求》。</w:t>
      </w:r>
    </w:p>
    <w:p w14:paraId="116745F5">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46.10物业管理服务政府采购需求标准（办公场所类）（试行）</w:t>
      </w:r>
    </w:p>
    <w:p w14:paraId="0169F24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采购需求》。</w:t>
      </w:r>
    </w:p>
    <w:p w14:paraId="07C1DA2C">
      <w:pPr>
        <w:pStyle w:val="8"/>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18" w:name="_Toc18589"/>
      <w:bookmarkStart w:id="419" w:name="_Toc27566"/>
      <w:bookmarkStart w:id="420" w:name="_Toc17357"/>
      <w:r>
        <w:rPr>
          <w:rFonts w:hint="eastAsia" w:ascii="宋体" w:hAnsi="宋体" w:eastAsia="宋体" w:cs="宋体"/>
          <w:b/>
          <w:bCs/>
          <w:color w:val="auto"/>
          <w:kern w:val="2"/>
          <w:sz w:val="24"/>
          <w:szCs w:val="24"/>
          <w:highlight w:val="none"/>
          <w:lang w:val="en-US" w:eastAsia="zh-CN" w:bidi="ar-SA"/>
        </w:rPr>
        <w:t>（十四）政府采购合同融资政策</w:t>
      </w:r>
      <w:bookmarkEnd w:id="394"/>
      <w:bookmarkEnd w:id="395"/>
      <w:bookmarkEnd w:id="411"/>
      <w:bookmarkEnd w:id="418"/>
      <w:bookmarkEnd w:id="419"/>
      <w:bookmarkEnd w:id="420"/>
    </w:p>
    <w:p w14:paraId="7CF32745">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21" w:name="_Toc16609"/>
      <w:bookmarkStart w:id="422" w:name="_Toc10372"/>
      <w:bookmarkStart w:id="423" w:name="_Toc10283"/>
      <w:bookmarkStart w:id="424" w:name="_Toc163492880"/>
      <w:r>
        <w:rPr>
          <w:rFonts w:hint="eastAsia" w:ascii="宋体" w:hAnsi="宋体" w:eastAsia="宋体" w:cs="宋体"/>
          <w:b/>
          <w:bCs/>
          <w:color w:val="auto"/>
          <w:kern w:val="2"/>
          <w:sz w:val="24"/>
          <w:szCs w:val="24"/>
          <w:highlight w:val="none"/>
          <w:lang w:val="en-US" w:eastAsia="zh-CN" w:bidi="ar-SA"/>
        </w:rPr>
        <w:t>47.政府采购合同融资政策</w:t>
      </w:r>
      <w:bookmarkEnd w:id="421"/>
      <w:bookmarkEnd w:id="422"/>
      <w:bookmarkEnd w:id="423"/>
      <w:bookmarkEnd w:id="424"/>
    </w:p>
    <w:p w14:paraId="2F90869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.1政府采购合同融资政策：见投标人须知前附表。</w:t>
      </w:r>
    </w:p>
    <w:p w14:paraId="198FC626">
      <w:pPr>
        <w:pStyle w:val="8"/>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25" w:name="_Toc25511"/>
      <w:bookmarkStart w:id="426" w:name="_Toc21672"/>
      <w:bookmarkStart w:id="427" w:name="_Toc6921"/>
      <w:bookmarkStart w:id="428" w:name="_Toc163492881"/>
      <w:r>
        <w:rPr>
          <w:rFonts w:hint="eastAsia" w:ascii="宋体" w:hAnsi="宋体" w:eastAsia="宋体" w:cs="宋体"/>
          <w:b/>
          <w:bCs/>
          <w:color w:val="auto"/>
          <w:kern w:val="2"/>
          <w:sz w:val="24"/>
          <w:szCs w:val="24"/>
          <w:highlight w:val="none"/>
          <w:lang w:val="en-US" w:eastAsia="zh-CN" w:bidi="ar-SA"/>
        </w:rPr>
        <w:t>（十五）其他</w:t>
      </w:r>
      <w:bookmarkEnd w:id="425"/>
      <w:bookmarkEnd w:id="426"/>
      <w:bookmarkEnd w:id="427"/>
      <w:bookmarkEnd w:id="428"/>
    </w:p>
    <w:p w14:paraId="370F802C">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29" w:name="_Toc163492882"/>
      <w:bookmarkStart w:id="430" w:name="_Toc28158"/>
      <w:bookmarkStart w:id="431" w:name="_Toc19852"/>
      <w:bookmarkStart w:id="432" w:name="_Toc1148"/>
      <w:r>
        <w:rPr>
          <w:rFonts w:hint="eastAsia" w:ascii="宋体" w:hAnsi="宋体" w:eastAsia="宋体" w:cs="宋体"/>
          <w:b/>
          <w:bCs/>
          <w:color w:val="auto"/>
          <w:kern w:val="2"/>
          <w:sz w:val="24"/>
          <w:szCs w:val="24"/>
          <w:highlight w:val="none"/>
          <w:lang w:val="en-US" w:eastAsia="zh-CN" w:bidi="ar-SA"/>
        </w:rPr>
        <w:t>48.需要补充的其他内容</w:t>
      </w:r>
      <w:bookmarkEnd w:id="429"/>
      <w:bookmarkEnd w:id="430"/>
      <w:bookmarkEnd w:id="431"/>
      <w:bookmarkEnd w:id="432"/>
    </w:p>
    <w:p w14:paraId="3251640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.1需要补充的其他内容：见投标人须知前附表。</w:t>
      </w:r>
    </w:p>
    <w:p w14:paraId="1BD29CBA">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33" w:name="_Toc746"/>
      <w:bookmarkStart w:id="434" w:name="_Toc163492883"/>
      <w:bookmarkStart w:id="435" w:name="_Toc24080"/>
      <w:bookmarkStart w:id="436" w:name="_Toc155185886"/>
      <w:bookmarkStart w:id="437" w:name="_Toc11583"/>
      <w:bookmarkStart w:id="438" w:name="_Toc140132810"/>
      <w:r>
        <w:rPr>
          <w:rFonts w:hint="eastAsia" w:ascii="宋体" w:hAnsi="宋体" w:eastAsia="宋体" w:cs="宋体"/>
          <w:b/>
          <w:bCs/>
          <w:color w:val="auto"/>
          <w:kern w:val="2"/>
          <w:sz w:val="24"/>
          <w:szCs w:val="24"/>
          <w:highlight w:val="none"/>
          <w:lang w:val="en-US" w:eastAsia="zh-CN" w:bidi="ar-SA"/>
        </w:rPr>
        <w:t>49.适用法律</w:t>
      </w:r>
      <w:bookmarkEnd w:id="433"/>
      <w:bookmarkEnd w:id="434"/>
      <w:bookmarkEnd w:id="435"/>
      <w:bookmarkEnd w:id="436"/>
      <w:bookmarkEnd w:id="437"/>
      <w:bookmarkEnd w:id="438"/>
    </w:p>
    <w:p w14:paraId="0953B8AD">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49</w:t>
      </w:r>
      <w:r>
        <w:rPr>
          <w:rFonts w:hint="eastAsia" w:ascii="宋体" w:hAnsi="宋体" w:eastAsia="宋体" w:cs="宋体"/>
          <w:snapToGrid w:val="0"/>
          <w:color w:val="auto"/>
          <w:sz w:val="24"/>
          <w:szCs w:val="24"/>
          <w:highlight w:val="none"/>
        </w:rPr>
        <w:t>.1采购人、采购代理机构及投标人的一切采购活动均适用《中华人民共和国政府采购法》、《中华人民共和国政府采购法实施条例》、《政府采购货物和服务招标投标管理办法》（财政部令第87号）及相关法律法规。</w:t>
      </w:r>
    </w:p>
    <w:p w14:paraId="6AD32247">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rPr>
        <w:t>49</w:t>
      </w:r>
      <w:r>
        <w:rPr>
          <w:rFonts w:hint="eastAsia" w:ascii="宋体" w:hAnsi="宋体" w:eastAsia="宋体" w:cs="宋体"/>
          <w:snapToGrid w:val="0"/>
          <w:color w:val="auto"/>
          <w:sz w:val="24"/>
          <w:szCs w:val="24"/>
          <w:highlight w:val="none"/>
        </w:rPr>
        <w:t>.2政府采购合同的履行、违约责任和解决争议的方法等适用《中华人民共和国民法典》。</w:t>
      </w:r>
    </w:p>
    <w:p w14:paraId="468836B9">
      <w:pPr>
        <w:pStyle w:val="9"/>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39" w:name="_Toc7856"/>
      <w:bookmarkStart w:id="440" w:name="_Toc155185887"/>
      <w:bookmarkStart w:id="441" w:name="_Toc17546"/>
      <w:bookmarkStart w:id="442" w:name="_Toc17601"/>
      <w:bookmarkStart w:id="443" w:name="_Toc163492884"/>
      <w:r>
        <w:rPr>
          <w:rFonts w:hint="eastAsia" w:ascii="宋体" w:hAnsi="宋体" w:eastAsia="宋体" w:cs="宋体"/>
          <w:b/>
          <w:bCs/>
          <w:color w:val="auto"/>
          <w:kern w:val="2"/>
          <w:sz w:val="24"/>
          <w:szCs w:val="24"/>
          <w:highlight w:val="none"/>
          <w:lang w:val="en-US" w:eastAsia="zh-CN" w:bidi="ar-SA"/>
        </w:rPr>
        <w:t>50.解释权</w:t>
      </w:r>
      <w:bookmarkEnd w:id="439"/>
      <w:bookmarkEnd w:id="440"/>
      <w:bookmarkEnd w:id="441"/>
      <w:bookmarkEnd w:id="442"/>
      <w:bookmarkEnd w:id="443"/>
    </w:p>
    <w:p w14:paraId="5C6D27F8">
      <w:pPr>
        <w:pStyle w:val="4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50</w:t>
      </w:r>
      <w:r>
        <w:rPr>
          <w:rFonts w:hint="eastAsia" w:ascii="宋体" w:hAnsi="宋体" w:eastAsia="宋体" w:cs="宋体"/>
          <w:snapToGrid w:val="0"/>
          <w:color w:val="auto"/>
          <w:sz w:val="24"/>
          <w:szCs w:val="24"/>
          <w:highlight w:val="none"/>
        </w:rPr>
        <w:t>.1本招标文件最终解释权归采购人或采购代理机构所有。</w:t>
      </w:r>
    </w:p>
    <w:p w14:paraId="3C497DAE">
      <w:pPr>
        <w:pStyle w:val="40"/>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5FD6489E">
      <w:pPr>
        <w:pStyle w:val="40"/>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53956D8C">
      <w:pPr>
        <w:pStyle w:val="40"/>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76853F8C">
      <w:pPr>
        <w:pStyle w:val="40"/>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4B168E8B">
      <w:pPr>
        <w:pStyle w:val="40"/>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334BC83B">
      <w:pPr>
        <w:pStyle w:val="40"/>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5833B9FA">
      <w:pPr>
        <w:pStyle w:val="40"/>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7F68D20B">
      <w:pPr>
        <w:pStyle w:val="40"/>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7D4392D3">
      <w:pPr>
        <w:pStyle w:val="6"/>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sectPr>
          <w:pgSz w:w="11906" w:h="16838"/>
          <w:pgMar w:top="1440" w:right="1800" w:bottom="1440" w:left="1800" w:header="851" w:footer="765"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444" w:name="_Toc155185888"/>
      <w:bookmarkStart w:id="445" w:name="_Toc21746"/>
    </w:p>
    <w:p w14:paraId="70704BD1">
      <w:pPr>
        <w:pStyle w:val="6"/>
        <w:bidi w:val="0"/>
        <w:rPr>
          <w:rFonts w:hint="eastAsia" w:ascii="宋体" w:hAnsi="宋体" w:eastAsia="宋体" w:cs="宋体"/>
          <w:highlight w:val="none"/>
          <w:lang w:val="en-US" w:eastAsia="zh-CN"/>
        </w:rPr>
      </w:pPr>
      <w:bookmarkStart w:id="446" w:name="_Toc5938"/>
      <w:bookmarkStart w:id="447" w:name="_Toc1640"/>
      <w:r>
        <w:rPr>
          <w:rFonts w:hint="eastAsia" w:ascii="宋体" w:hAnsi="宋体" w:eastAsia="宋体" w:cs="宋体"/>
          <w:highlight w:val="none"/>
          <w:lang w:val="en-US" w:eastAsia="zh-CN"/>
        </w:rPr>
        <w:t>第三章 采购需求</w:t>
      </w:r>
      <w:bookmarkEnd w:id="444"/>
      <w:bookmarkEnd w:id="445"/>
      <w:bookmarkEnd w:id="446"/>
      <w:bookmarkEnd w:id="447"/>
    </w:p>
    <w:p w14:paraId="29301D36">
      <w:pPr>
        <w:ind w:firstLine="480" w:firstLineChars="200"/>
        <w:rPr>
          <w:rFonts w:hint="eastAsia" w:eastAsia="宋体"/>
          <w:highlight w:val="none"/>
          <w:lang w:eastAsia="zh-CN"/>
        </w:rPr>
      </w:pPr>
      <w:r>
        <w:rPr>
          <w:rFonts w:hint="eastAsia" w:eastAsia="宋体"/>
          <w:highlight w:val="none"/>
          <w:lang w:eastAsia="zh-CN"/>
        </w:rPr>
        <w:t>参照 JJF 1214-2008《长度基线场校准规范》，对新疆维吾尔自治区乌鲁木齐县</w:t>
      </w:r>
      <w:r>
        <w:rPr>
          <w:rFonts w:hint="eastAsia"/>
          <w:highlight w:val="none"/>
          <w:lang w:eastAsia="zh-CN"/>
        </w:rPr>
        <w:t>水西沟镇</w:t>
      </w:r>
      <w:r>
        <w:rPr>
          <w:rFonts w:hint="eastAsia" w:eastAsia="宋体"/>
          <w:highlight w:val="none"/>
          <w:lang w:eastAsia="zh-CN"/>
        </w:rPr>
        <w:t>小东沟村南山国家精密比长基线场进行溯源校准，并可溯源至国家长度基准。对长约1.7km基线进行校准。给出相邻边的基线水平距离和对应的不确定度，并给出高差。</w:t>
      </w:r>
    </w:p>
    <w:p w14:paraId="011C0F8F">
      <w:pPr>
        <w:rPr>
          <w:rFonts w:hint="eastAsia" w:eastAsia="宋体"/>
          <w:b/>
          <w:bCs/>
          <w:highlight w:val="none"/>
          <w:lang w:eastAsia="zh-CN"/>
        </w:rPr>
      </w:pPr>
      <w:r>
        <w:rPr>
          <w:rFonts w:hint="eastAsia"/>
          <w:b/>
          <w:bCs/>
          <w:highlight w:val="none"/>
          <w:lang w:val="en-US" w:eastAsia="zh-CN"/>
        </w:rPr>
        <w:t>一、</w:t>
      </w:r>
      <w:r>
        <w:rPr>
          <w:rFonts w:hint="eastAsia" w:eastAsia="宋体"/>
          <w:b/>
          <w:bCs/>
          <w:highlight w:val="none"/>
          <w:lang w:eastAsia="zh-CN"/>
        </w:rPr>
        <w:t>溯源服务内容：</w:t>
      </w:r>
    </w:p>
    <w:p w14:paraId="32D45457">
      <w:pPr>
        <w:ind w:firstLine="480" w:firstLineChars="200"/>
        <w:rPr>
          <w:rFonts w:hint="eastAsia" w:eastAsia="宋体"/>
          <w:highlight w:val="none"/>
          <w:lang w:eastAsia="zh-CN"/>
        </w:rPr>
      </w:pPr>
      <w:r>
        <w:rPr>
          <w:rFonts w:hint="eastAsia"/>
          <w:highlight w:val="none"/>
          <w:lang w:val="en-US" w:eastAsia="zh-CN"/>
        </w:rPr>
        <w:t>1、</w:t>
      </w:r>
      <w:r>
        <w:rPr>
          <w:rFonts w:hint="eastAsia" w:eastAsia="宋体"/>
          <w:highlight w:val="none"/>
          <w:lang w:eastAsia="zh-CN"/>
        </w:rPr>
        <w:t>比长基线场测量1条长度1776米共计23个观测墩</w:t>
      </w:r>
    </w:p>
    <w:p w14:paraId="7304E669">
      <w:pPr>
        <w:ind w:firstLine="480" w:firstLineChars="200"/>
        <w:rPr>
          <w:rFonts w:hint="eastAsia" w:eastAsia="宋体"/>
          <w:highlight w:val="none"/>
          <w:lang w:eastAsia="zh-CN"/>
        </w:rPr>
      </w:pPr>
      <w:r>
        <w:rPr>
          <w:rFonts w:hint="eastAsia"/>
          <w:highlight w:val="none"/>
          <w:lang w:val="en-US" w:eastAsia="zh-CN"/>
        </w:rPr>
        <w:t>2、</w:t>
      </w:r>
      <w:r>
        <w:rPr>
          <w:rFonts w:hint="eastAsia" w:eastAsia="宋体"/>
          <w:highlight w:val="none"/>
          <w:lang w:eastAsia="zh-CN"/>
        </w:rPr>
        <w:t>超短7个观测墩，12条边。</w:t>
      </w:r>
    </w:p>
    <w:p w14:paraId="07220041">
      <w:pPr>
        <w:rPr>
          <w:rFonts w:hint="eastAsia" w:eastAsia="宋体"/>
          <w:b/>
          <w:bCs/>
          <w:highlight w:val="none"/>
          <w:lang w:eastAsia="zh-CN"/>
        </w:rPr>
      </w:pPr>
      <w:r>
        <w:rPr>
          <w:rFonts w:hint="eastAsia"/>
          <w:b/>
          <w:bCs/>
          <w:highlight w:val="none"/>
          <w:lang w:val="en-US" w:eastAsia="zh-CN"/>
        </w:rPr>
        <w:t>二、</w:t>
      </w:r>
      <w:r>
        <w:rPr>
          <w:rFonts w:hint="eastAsia" w:eastAsia="宋体"/>
          <w:b/>
          <w:bCs/>
          <w:highlight w:val="none"/>
          <w:lang w:eastAsia="zh-CN"/>
        </w:rPr>
        <w:t>服务参数：</w:t>
      </w:r>
    </w:p>
    <w:p w14:paraId="1A24D9C3">
      <w:pPr>
        <w:rPr>
          <w:rFonts w:hint="eastAsia" w:eastAsia="宋体"/>
          <w:b/>
          <w:bCs/>
          <w:highlight w:val="none"/>
          <w:lang w:eastAsia="zh-CN"/>
        </w:rPr>
      </w:pPr>
      <w:r>
        <w:rPr>
          <w:rFonts w:hint="eastAsia"/>
          <w:b/>
          <w:bCs/>
          <w:highlight w:val="none"/>
          <w:lang w:val="en-US" w:eastAsia="zh-CN"/>
        </w:rPr>
        <w:t>（一）</w:t>
      </w:r>
      <w:r>
        <w:rPr>
          <w:rFonts w:hint="eastAsia" w:eastAsia="宋体"/>
          <w:b/>
          <w:bCs/>
          <w:highlight w:val="none"/>
          <w:lang w:eastAsia="zh-CN"/>
        </w:rPr>
        <w:t>溯源方法：</w:t>
      </w:r>
    </w:p>
    <w:p w14:paraId="16A1DCD2">
      <w:pPr>
        <w:ind w:firstLine="480" w:firstLineChars="200"/>
        <w:rPr>
          <w:rFonts w:hint="eastAsia" w:eastAsia="宋体"/>
          <w:highlight w:val="none"/>
          <w:lang w:eastAsia="zh-CN"/>
        </w:rPr>
      </w:pPr>
      <w:r>
        <w:rPr>
          <w:rFonts w:hint="eastAsia"/>
          <w:highlight w:val="none"/>
          <w:lang w:val="en-US" w:eastAsia="zh-CN"/>
        </w:rPr>
        <w:t>1、</w:t>
      </w:r>
      <w:r>
        <w:rPr>
          <w:rFonts w:hint="eastAsia" w:eastAsia="宋体"/>
          <w:highlight w:val="none"/>
          <w:lang w:eastAsia="zh-CN"/>
        </w:rPr>
        <w:t>溯源过程使用相关测量设备及其配套设施，且在整个项目环节中协调场地，保障整个项目顺利进行。</w:t>
      </w:r>
    </w:p>
    <w:p w14:paraId="0434D297">
      <w:pPr>
        <w:rPr>
          <w:rFonts w:hint="eastAsia"/>
          <w:b/>
          <w:bCs/>
          <w:highlight w:val="none"/>
          <w:lang w:val="en-US" w:eastAsia="zh-CN"/>
        </w:rPr>
      </w:pPr>
      <w:r>
        <w:rPr>
          <w:rFonts w:hint="eastAsia"/>
          <w:b/>
          <w:bCs/>
          <w:highlight w:val="none"/>
          <w:lang w:val="en-US" w:eastAsia="zh-CN"/>
        </w:rPr>
        <w:t>（二）溯源精度：</w:t>
      </w:r>
    </w:p>
    <w:p w14:paraId="0CE8E169">
      <w:pPr>
        <w:ind w:firstLine="480" w:firstLineChars="200"/>
        <w:rPr>
          <w:rFonts w:hint="eastAsia" w:eastAsia="宋体"/>
          <w:highlight w:val="none"/>
          <w:lang w:eastAsia="zh-CN"/>
        </w:rPr>
      </w:pPr>
      <w:r>
        <w:rPr>
          <w:rFonts w:hint="eastAsia" w:eastAsia="宋体"/>
          <w:highlight w:val="none"/>
          <w:lang w:eastAsia="zh-CN"/>
        </w:rPr>
        <w:t>1、比长基线相邻两测点的水平距离，其测量不确定度U ≤±(0.4 mm+1×10-6D ) ,(k=2)；</w:t>
      </w:r>
    </w:p>
    <w:p w14:paraId="1C112023">
      <w:pPr>
        <w:ind w:firstLine="480" w:firstLineChars="200"/>
        <w:rPr>
          <w:rFonts w:hint="eastAsia" w:eastAsia="宋体"/>
          <w:highlight w:val="none"/>
          <w:lang w:eastAsia="zh-CN"/>
        </w:rPr>
      </w:pPr>
      <w:r>
        <w:rPr>
          <w:rFonts w:hint="eastAsia" w:eastAsia="宋体"/>
          <w:highlight w:val="none"/>
          <w:lang w:eastAsia="zh-CN"/>
        </w:rPr>
        <w:t>2、超短基线场扩展不确定度：</w:t>
      </w:r>
    </w:p>
    <w:p w14:paraId="6D009F88">
      <w:pPr>
        <w:ind w:firstLine="480" w:firstLineChars="200"/>
        <w:rPr>
          <w:rFonts w:hint="eastAsia" w:eastAsia="宋体"/>
          <w:highlight w:val="none"/>
          <w:lang w:eastAsia="zh-CN"/>
        </w:rPr>
      </w:pPr>
      <w:r>
        <w:rPr>
          <w:rFonts w:hint="eastAsia" w:eastAsia="宋体"/>
          <w:highlight w:val="none"/>
          <w:lang w:eastAsia="zh-CN"/>
        </w:rPr>
        <w:t xml:space="preserve">      U≤1.0mm优于0.3mm（(k=2）；</w:t>
      </w:r>
    </w:p>
    <w:p w14:paraId="34736A07">
      <w:pPr>
        <w:ind w:firstLine="480" w:firstLineChars="200"/>
        <w:rPr>
          <w:rFonts w:hint="eastAsia" w:eastAsia="宋体"/>
          <w:highlight w:val="none"/>
          <w:lang w:eastAsia="zh-CN"/>
        </w:rPr>
      </w:pPr>
      <w:r>
        <w:rPr>
          <w:rFonts w:hint="eastAsia" w:eastAsia="宋体"/>
          <w:highlight w:val="none"/>
          <w:lang w:eastAsia="zh-CN"/>
        </w:rPr>
        <w:t>3、短基线扩展测量不确定度：</w:t>
      </w:r>
    </w:p>
    <w:p w14:paraId="70530FDC">
      <w:pPr>
        <w:ind w:firstLine="480" w:firstLineChars="200"/>
        <w:rPr>
          <w:rFonts w:hint="eastAsia" w:eastAsia="宋体"/>
          <w:highlight w:val="none"/>
          <w:lang w:eastAsia="zh-CN"/>
        </w:rPr>
      </w:pPr>
      <w:r>
        <w:rPr>
          <w:rFonts w:hint="eastAsia" w:eastAsia="宋体"/>
          <w:highlight w:val="none"/>
          <w:lang w:eastAsia="zh-CN"/>
        </w:rPr>
        <w:t xml:space="preserve">      U≤1.0mm+1×10-6  *D（(k=2）；</w:t>
      </w:r>
    </w:p>
    <w:p w14:paraId="57C8A8DB">
      <w:pPr>
        <w:ind w:firstLine="480" w:firstLineChars="200"/>
        <w:rPr>
          <w:rFonts w:hint="eastAsia" w:eastAsia="宋体"/>
          <w:highlight w:val="none"/>
          <w:lang w:eastAsia="zh-CN"/>
        </w:rPr>
      </w:pPr>
      <w:r>
        <w:rPr>
          <w:rFonts w:hint="eastAsia" w:eastAsia="宋体"/>
          <w:highlight w:val="none"/>
          <w:lang w:eastAsia="zh-CN"/>
        </w:rPr>
        <w:t xml:space="preserve">     短基线点位高差标准差≤3.0mm</w:t>
      </w:r>
    </w:p>
    <w:p w14:paraId="547AED12">
      <w:pPr>
        <w:ind w:firstLine="480" w:firstLineChars="200"/>
        <w:rPr>
          <w:rFonts w:hint="eastAsia" w:eastAsia="宋体"/>
          <w:highlight w:val="none"/>
          <w:lang w:eastAsia="zh-CN"/>
        </w:rPr>
      </w:pPr>
      <w:r>
        <w:rPr>
          <w:rFonts w:hint="eastAsia" w:eastAsia="宋体"/>
          <w:highlight w:val="none"/>
          <w:lang w:eastAsia="zh-CN"/>
        </w:rPr>
        <w:t>4、GNSS中长基线场标准差：</w:t>
      </w:r>
    </w:p>
    <w:p w14:paraId="2C699090">
      <w:pPr>
        <w:ind w:firstLine="480" w:firstLineChars="200"/>
        <w:rPr>
          <w:rFonts w:hint="eastAsia" w:eastAsia="宋体"/>
          <w:highlight w:val="none"/>
          <w:lang w:eastAsia="zh-CN"/>
        </w:rPr>
      </w:pPr>
      <w:r>
        <w:rPr>
          <w:rFonts w:hint="eastAsia" w:eastAsia="宋体"/>
          <w:highlight w:val="none"/>
          <w:lang w:eastAsia="zh-CN"/>
        </w:rPr>
        <w:t xml:space="preserve">    ≤3.0mm+1×10-8  *D；</w:t>
      </w:r>
    </w:p>
    <w:p w14:paraId="176FC126">
      <w:pPr>
        <w:ind w:firstLine="480" w:firstLineChars="200"/>
        <w:rPr>
          <w:rFonts w:hint="eastAsia" w:eastAsia="宋体"/>
          <w:highlight w:val="none"/>
          <w:lang w:eastAsia="zh-CN"/>
        </w:rPr>
      </w:pPr>
      <w:r>
        <w:rPr>
          <w:rFonts w:hint="eastAsia" w:eastAsia="宋体"/>
          <w:highlight w:val="none"/>
          <w:lang w:eastAsia="zh-CN"/>
        </w:rPr>
        <w:t xml:space="preserve">   点位具备地心地固坐标系下的坐标，坐标测量标准差≤0.10m（水平）和≤0.15m（高程）。</w:t>
      </w:r>
    </w:p>
    <w:p w14:paraId="6401552E">
      <w:pPr>
        <w:pStyle w:val="58"/>
        <w:pageBreakBefore w:val="0"/>
        <w:shd w:val="clear" w:color="auto" w:fill="auto"/>
        <w:kinsoku/>
        <w:wordWrap/>
        <w:overflowPunct/>
        <w:topLinePunct w:val="0"/>
        <w:bidi w:val="0"/>
        <w:spacing w:line="360" w:lineRule="auto"/>
        <w:rPr>
          <w:rFonts w:hint="eastAsia" w:ascii="宋体" w:hAnsi="宋体" w:eastAsia="宋体" w:cs="宋体"/>
          <w:color w:val="auto"/>
          <w:sz w:val="24"/>
          <w:highlight w:val="none"/>
        </w:rPr>
      </w:pPr>
    </w:p>
    <w:p w14:paraId="1EC5B892">
      <w:pPr>
        <w:pStyle w:val="58"/>
        <w:pageBreakBefore w:val="0"/>
        <w:shd w:val="clear" w:color="auto" w:fill="auto"/>
        <w:kinsoku/>
        <w:wordWrap/>
        <w:overflowPunct/>
        <w:topLinePunct w:val="0"/>
        <w:bidi w:val="0"/>
        <w:spacing w:line="360" w:lineRule="auto"/>
        <w:ind w:firstLine="424" w:firstLineChars="177"/>
        <w:rPr>
          <w:rFonts w:hint="eastAsia" w:ascii="宋体" w:hAnsi="宋体" w:eastAsia="宋体" w:cs="宋体"/>
          <w:color w:val="auto"/>
          <w:sz w:val="24"/>
          <w:highlight w:val="none"/>
        </w:rPr>
      </w:pPr>
    </w:p>
    <w:p w14:paraId="11B227F7">
      <w:pPr>
        <w:pStyle w:val="6"/>
        <w:bidi w:val="0"/>
        <w:jc w:val="center"/>
        <w:rPr>
          <w:rFonts w:hint="eastAsia" w:ascii="宋体" w:hAnsi="宋体" w:eastAsia="宋体" w:cs="宋体"/>
          <w:highlight w:val="none"/>
          <w:lang w:val="en-US" w:eastAsia="zh-CN"/>
        </w:rPr>
      </w:pPr>
      <w:bookmarkStart w:id="448" w:name="_Toc17715"/>
      <w:bookmarkStart w:id="449" w:name="_Toc9106"/>
      <w:bookmarkStart w:id="450" w:name="_Toc155185895"/>
      <w:bookmarkStart w:id="451" w:name="_Toc16371"/>
      <w:r>
        <w:rPr>
          <w:rFonts w:hint="eastAsia" w:ascii="宋体" w:hAnsi="宋体" w:eastAsia="宋体" w:cs="宋体"/>
          <w:highlight w:val="none"/>
          <w:lang w:val="en-US" w:eastAsia="zh-CN"/>
        </w:rPr>
        <w:t>第四章 资格审查</w:t>
      </w:r>
      <w:bookmarkEnd w:id="448"/>
      <w:bookmarkEnd w:id="449"/>
      <w:bookmarkEnd w:id="450"/>
      <w:bookmarkEnd w:id="451"/>
    </w:p>
    <w:p w14:paraId="2133133E">
      <w:pPr>
        <w:pStyle w:val="7"/>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color w:val="auto"/>
          <w:sz w:val="28"/>
          <w:szCs w:val="28"/>
          <w:highlight w:val="none"/>
          <w:lang w:val="zh-CN" w:eastAsia="zh-CN"/>
        </w:rPr>
      </w:pPr>
      <w:bookmarkStart w:id="452" w:name="_Toc31801"/>
      <w:r>
        <w:rPr>
          <w:rFonts w:hint="eastAsia"/>
          <w:color w:val="auto"/>
          <w:sz w:val="28"/>
          <w:szCs w:val="28"/>
          <w:highlight w:val="none"/>
          <w:lang w:val="en-US" w:eastAsia="zh-CN"/>
        </w:rPr>
        <w:t>一、资格审查程序</w:t>
      </w:r>
      <w:bookmarkEnd w:id="452"/>
      <w:r>
        <w:rPr>
          <w:rFonts w:hint="eastAsia"/>
          <w:color w:val="auto"/>
          <w:sz w:val="28"/>
          <w:szCs w:val="28"/>
          <w:highlight w:val="none"/>
          <w:lang w:val="en-US" w:eastAsia="zh-CN"/>
        </w:rPr>
        <w:t xml:space="preserve"> </w:t>
      </w:r>
    </w:p>
    <w:p w14:paraId="4E4090D3">
      <w:pPr>
        <w:pStyle w:val="40"/>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color w:val="auto"/>
          <w:highlight w:val="none"/>
        </w:rPr>
      </w:pPr>
      <w:r>
        <w:rPr>
          <w:rFonts w:hint="eastAsia"/>
          <w:color w:val="auto"/>
          <w:highlight w:val="none"/>
          <w:lang w:val="en-US" w:eastAsia="zh-CN"/>
        </w:rPr>
        <w:t xml:space="preserve">1 开标结束后，采购人或采购代理机构将根据《资格审查要求》中的规定，对投标人进行资格审查，并形成资格审查结果。 </w:t>
      </w:r>
    </w:p>
    <w:p w14:paraId="62799CDE">
      <w:pPr>
        <w:pStyle w:val="40"/>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color w:val="auto"/>
          <w:highlight w:val="none"/>
        </w:rPr>
      </w:pPr>
      <w:r>
        <w:rPr>
          <w:rFonts w:hint="default"/>
          <w:color w:val="auto"/>
          <w:highlight w:val="none"/>
          <w:lang w:val="en-US" w:eastAsia="zh-CN"/>
        </w:rPr>
        <w:t xml:space="preserve">2 </w:t>
      </w:r>
      <w:r>
        <w:rPr>
          <w:rFonts w:hint="eastAsia"/>
          <w:color w:val="auto"/>
          <w:highlight w:val="none"/>
          <w:lang w:val="en-US" w:eastAsia="zh-CN"/>
        </w:rPr>
        <w:t>投标人《资格证明文件》有任何一项不符合《资格审查要求》的，资格审查不合格，其</w:t>
      </w:r>
      <w:r>
        <w:rPr>
          <w:rFonts w:hint="eastAsia"/>
          <w:b/>
          <w:bCs/>
          <w:color w:val="auto"/>
          <w:highlight w:val="none"/>
          <w:lang w:val="en-US" w:eastAsia="zh-CN"/>
        </w:rPr>
        <w:t>投标无效</w:t>
      </w:r>
      <w:r>
        <w:rPr>
          <w:rFonts w:hint="eastAsia"/>
          <w:color w:val="auto"/>
          <w:highlight w:val="none"/>
          <w:lang w:val="en-US" w:eastAsia="zh-CN"/>
        </w:rPr>
        <w:t xml:space="preserve">。 </w:t>
      </w:r>
    </w:p>
    <w:p w14:paraId="37E914D8">
      <w:pPr>
        <w:pStyle w:val="40"/>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color w:val="auto"/>
          <w:highlight w:val="none"/>
        </w:rPr>
      </w:pPr>
      <w:r>
        <w:rPr>
          <w:rFonts w:hint="eastAsia"/>
          <w:color w:val="auto"/>
          <w:highlight w:val="none"/>
          <w:lang w:val="en-US" w:eastAsia="zh-CN"/>
        </w:rPr>
        <w:t>3</w:t>
      </w:r>
      <w:r>
        <w:rPr>
          <w:rFonts w:hint="default"/>
          <w:color w:val="auto"/>
          <w:highlight w:val="none"/>
          <w:lang w:val="en-US" w:eastAsia="zh-CN"/>
        </w:rPr>
        <w:t xml:space="preserve"> </w:t>
      </w:r>
      <w:r>
        <w:rPr>
          <w:rFonts w:hint="eastAsia"/>
          <w:color w:val="auto"/>
          <w:highlight w:val="none"/>
          <w:lang w:val="en-US" w:eastAsia="zh-CN"/>
        </w:rPr>
        <w:t xml:space="preserve">资格审查合格的投标人不足 </w:t>
      </w:r>
      <w:r>
        <w:rPr>
          <w:rFonts w:hint="default"/>
          <w:color w:val="auto"/>
          <w:highlight w:val="none"/>
          <w:lang w:val="en-US" w:eastAsia="zh-CN"/>
        </w:rPr>
        <w:t xml:space="preserve">3 </w:t>
      </w:r>
      <w:r>
        <w:rPr>
          <w:rFonts w:hint="eastAsia"/>
          <w:color w:val="auto"/>
          <w:highlight w:val="none"/>
          <w:lang w:val="en-US" w:eastAsia="zh-CN"/>
        </w:rPr>
        <w:t xml:space="preserve">家的，不进行评标。 </w:t>
      </w:r>
    </w:p>
    <w:p w14:paraId="1720E868">
      <w:pPr>
        <w:pStyle w:val="7"/>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color w:val="auto"/>
          <w:sz w:val="28"/>
          <w:szCs w:val="28"/>
          <w:highlight w:val="none"/>
          <w:lang w:val="en-US" w:eastAsia="zh-CN"/>
        </w:rPr>
      </w:pPr>
      <w:bookmarkStart w:id="453" w:name="_Toc19754"/>
      <w:r>
        <w:rPr>
          <w:rFonts w:hint="eastAsia"/>
          <w:color w:val="auto"/>
          <w:sz w:val="28"/>
          <w:szCs w:val="28"/>
          <w:highlight w:val="none"/>
          <w:lang w:val="en-US" w:eastAsia="zh-CN"/>
        </w:rPr>
        <w:t>二、资格审查要求</w:t>
      </w:r>
      <w:bookmarkEnd w:id="453"/>
      <w:r>
        <w:rPr>
          <w:rFonts w:hint="eastAsia"/>
          <w:color w:val="auto"/>
          <w:sz w:val="28"/>
          <w:szCs w:val="28"/>
          <w:highlight w:val="none"/>
          <w:lang w:val="en-US" w:eastAsia="zh-CN"/>
        </w:rPr>
        <w:t xml:space="preserve"> </w:t>
      </w:r>
    </w:p>
    <w:tbl>
      <w:tblPr>
        <w:tblStyle w:val="33"/>
        <w:tblW w:w="10890" w:type="dxa"/>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45"/>
        <w:gridCol w:w="6885"/>
        <w:gridCol w:w="450"/>
        <w:gridCol w:w="495"/>
        <w:gridCol w:w="510"/>
      </w:tblGrid>
      <w:tr w14:paraId="488B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05" w:type="dxa"/>
            <w:vMerge w:val="restart"/>
            <w:noWrap w:val="0"/>
            <w:vAlign w:val="center"/>
          </w:tcPr>
          <w:p w14:paraId="25BA5661">
            <w:pPr>
              <w:spacing w:line="360" w:lineRule="auto"/>
              <w:jc w:val="center"/>
              <w:rPr>
                <w:rFonts w:hint="eastAsia" w:ascii="宋体" w:hAnsi="宋体" w:cs="仿宋"/>
                <w:b/>
                <w:spacing w:val="-2"/>
                <w:sz w:val="24"/>
                <w:highlight w:val="none"/>
              </w:rPr>
            </w:pPr>
            <w:r>
              <w:rPr>
                <w:rFonts w:hint="eastAsia" w:ascii="宋体" w:hAnsi="宋体" w:cs="仿宋"/>
                <w:b/>
                <w:spacing w:val="-2"/>
                <w:sz w:val="24"/>
                <w:highlight w:val="none"/>
              </w:rPr>
              <w:t>序号</w:t>
            </w:r>
          </w:p>
        </w:tc>
        <w:tc>
          <w:tcPr>
            <w:tcW w:w="1845" w:type="dxa"/>
            <w:vMerge w:val="restart"/>
            <w:noWrap w:val="0"/>
            <w:vAlign w:val="center"/>
          </w:tcPr>
          <w:p w14:paraId="1F60459C">
            <w:pPr>
              <w:spacing w:line="360" w:lineRule="auto"/>
              <w:jc w:val="center"/>
              <w:rPr>
                <w:rFonts w:hint="eastAsia" w:ascii="宋体" w:hAnsi="宋体" w:cs="仿宋"/>
                <w:b/>
                <w:spacing w:val="-2"/>
                <w:sz w:val="24"/>
                <w:highlight w:val="none"/>
              </w:rPr>
            </w:pPr>
            <w:r>
              <w:rPr>
                <w:rFonts w:hint="eastAsia" w:ascii="宋体" w:hAnsi="宋体" w:cs="仿宋"/>
                <w:b/>
                <w:spacing w:val="-2"/>
                <w:sz w:val="24"/>
                <w:highlight w:val="none"/>
              </w:rPr>
              <w:t>评审内容</w:t>
            </w:r>
          </w:p>
        </w:tc>
        <w:tc>
          <w:tcPr>
            <w:tcW w:w="6885" w:type="dxa"/>
            <w:vMerge w:val="restart"/>
            <w:noWrap w:val="0"/>
            <w:vAlign w:val="center"/>
          </w:tcPr>
          <w:p w14:paraId="68159111">
            <w:pPr>
              <w:spacing w:line="360" w:lineRule="auto"/>
              <w:jc w:val="center"/>
              <w:rPr>
                <w:rFonts w:hint="eastAsia" w:ascii="宋体" w:hAnsi="宋体" w:cs="仿宋"/>
                <w:b/>
                <w:spacing w:val="-2"/>
                <w:sz w:val="24"/>
                <w:highlight w:val="none"/>
              </w:rPr>
            </w:pPr>
            <w:r>
              <w:rPr>
                <w:rFonts w:hint="eastAsia" w:ascii="宋体" w:hAnsi="宋体" w:cs="仿宋"/>
                <w:b/>
                <w:spacing w:val="-2"/>
                <w:sz w:val="24"/>
                <w:highlight w:val="none"/>
              </w:rPr>
              <w:t>评审合格标准</w:t>
            </w:r>
          </w:p>
        </w:tc>
        <w:tc>
          <w:tcPr>
            <w:tcW w:w="1455" w:type="dxa"/>
            <w:gridSpan w:val="3"/>
            <w:noWrap w:val="0"/>
            <w:vAlign w:val="bottom"/>
          </w:tcPr>
          <w:p w14:paraId="405A68D6">
            <w:pPr>
              <w:spacing w:line="360" w:lineRule="auto"/>
              <w:jc w:val="center"/>
              <w:rPr>
                <w:rFonts w:hint="eastAsia" w:ascii="宋体" w:hAnsi="宋体" w:cs="仿宋"/>
                <w:b/>
                <w:spacing w:val="-2"/>
                <w:sz w:val="24"/>
                <w:highlight w:val="none"/>
              </w:rPr>
            </w:pPr>
            <w:r>
              <w:rPr>
                <w:rFonts w:hint="eastAsia" w:ascii="宋体" w:hAnsi="宋体" w:cs="仿宋"/>
                <w:b/>
                <w:spacing w:val="-2"/>
                <w:sz w:val="24"/>
                <w:highlight w:val="none"/>
              </w:rPr>
              <w:t>投标人名称</w:t>
            </w:r>
          </w:p>
        </w:tc>
      </w:tr>
      <w:tr w14:paraId="27E5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05" w:type="dxa"/>
            <w:vMerge w:val="continue"/>
            <w:noWrap w:val="0"/>
            <w:vAlign w:val="bottom"/>
          </w:tcPr>
          <w:p w14:paraId="771A7EB0">
            <w:pPr>
              <w:spacing w:line="360" w:lineRule="auto"/>
              <w:jc w:val="center"/>
              <w:rPr>
                <w:rFonts w:hint="eastAsia" w:ascii="宋体" w:hAnsi="宋体" w:cs="仿宋"/>
                <w:b/>
                <w:spacing w:val="-2"/>
                <w:sz w:val="24"/>
                <w:highlight w:val="none"/>
              </w:rPr>
            </w:pPr>
          </w:p>
        </w:tc>
        <w:tc>
          <w:tcPr>
            <w:tcW w:w="1845" w:type="dxa"/>
            <w:vMerge w:val="continue"/>
            <w:noWrap w:val="0"/>
            <w:vAlign w:val="bottom"/>
          </w:tcPr>
          <w:p w14:paraId="2F65DDA9">
            <w:pPr>
              <w:spacing w:line="360" w:lineRule="auto"/>
              <w:jc w:val="center"/>
              <w:rPr>
                <w:rFonts w:hint="eastAsia" w:ascii="宋体" w:hAnsi="宋体" w:cs="仿宋"/>
                <w:b/>
                <w:spacing w:val="-2"/>
                <w:sz w:val="24"/>
                <w:highlight w:val="none"/>
              </w:rPr>
            </w:pPr>
          </w:p>
        </w:tc>
        <w:tc>
          <w:tcPr>
            <w:tcW w:w="6885" w:type="dxa"/>
            <w:vMerge w:val="continue"/>
            <w:noWrap w:val="0"/>
            <w:vAlign w:val="bottom"/>
          </w:tcPr>
          <w:p w14:paraId="083CF0C9">
            <w:pPr>
              <w:spacing w:line="360" w:lineRule="auto"/>
              <w:jc w:val="center"/>
              <w:rPr>
                <w:rFonts w:hint="eastAsia" w:ascii="宋体" w:hAnsi="宋体" w:cs="仿宋"/>
                <w:b/>
                <w:spacing w:val="-2"/>
                <w:sz w:val="24"/>
                <w:highlight w:val="none"/>
              </w:rPr>
            </w:pPr>
          </w:p>
        </w:tc>
        <w:tc>
          <w:tcPr>
            <w:tcW w:w="450" w:type="dxa"/>
            <w:noWrap w:val="0"/>
            <w:vAlign w:val="bottom"/>
          </w:tcPr>
          <w:p w14:paraId="0E220532">
            <w:pPr>
              <w:spacing w:line="360" w:lineRule="auto"/>
              <w:jc w:val="center"/>
              <w:rPr>
                <w:rFonts w:hint="eastAsia" w:ascii="宋体" w:hAnsi="宋体" w:cs="仿宋"/>
                <w:b/>
                <w:spacing w:val="-2"/>
                <w:sz w:val="24"/>
                <w:highlight w:val="none"/>
              </w:rPr>
            </w:pPr>
          </w:p>
        </w:tc>
        <w:tc>
          <w:tcPr>
            <w:tcW w:w="495" w:type="dxa"/>
            <w:noWrap w:val="0"/>
            <w:vAlign w:val="top"/>
          </w:tcPr>
          <w:p w14:paraId="29852A39">
            <w:pPr>
              <w:spacing w:line="360" w:lineRule="auto"/>
              <w:jc w:val="center"/>
              <w:rPr>
                <w:rFonts w:hint="eastAsia" w:ascii="宋体" w:hAnsi="宋体" w:cs="仿宋"/>
                <w:b/>
                <w:spacing w:val="-2"/>
                <w:sz w:val="24"/>
                <w:highlight w:val="none"/>
              </w:rPr>
            </w:pPr>
          </w:p>
        </w:tc>
        <w:tc>
          <w:tcPr>
            <w:tcW w:w="510" w:type="dxa"/>
            <w:noWrap w:val="0"/>
            <w:vAlign w:val="top"/>
          </w:tcPr>
          <w:p w14:paraId="0A4B895B">
            <w:pPr>
              <w:spacing w:line="360" w:lineRule="auto"/>
              <w:jc w:val="center"/>
              <w:rPr>
                <w:rFonts w:hint="eastAsia" w:ascii="宋体" w:hAnsi="宋体" w:cs="仿宋"/>
                <w:b/>
                <w:spacing w:val="-2"/>
                <w:sz w:val="24"/>
                <w:highlight w:val="none"/>
              </w:rPr>
            </w:pPr>
          </w:p>
        </w:tc>
      </w:tr>
      <w:tr w14:paraId="297E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9" w:hRule="atLeast"/>
        </w:trPr>
        <w:tc>
          <w:tcPr>
            <w:tcW w:w="705" w:type="dxa"/>
            <w:noWrap w:val="0"/>
            <w:vAlign w:val="center"/>
          </w:tcPr>
          <w:p w14:paraId="14C0C32C">
            <w:pPr>
              <w:spacing w:line="360" w:lineRule="auto"/>
              <w:jc w:val="center"/>
              <w:rPr>
                <w:rFonts w:hint="eastAsia" w:ascii="宋体" w:hAnsi="宋体" w:cs="仿宋"/>
                <w:spacing w:val="-2"/>
                <w:sz w:val="24"/>
                <w:highlight w:val="none"/>
              </w:rPr>
            </w:pPr>
            <w:r>
              <w:rPr>
                <w:rFonts w:hint="eastAsia" w:ascii="宋体" w:hAnsi="宋体" w:cs="仿宋"/>
                <w:spacing w:val="-2"/>
                <w:sz w:val="24"/>
                <w:highlight w:val="none"/>
              </w:rPr>
              <w:t>1</w:t>
            </w:r>
          </w:p>
        </w:tc>
        <w:tc>
          <w:tcPr>
            <w:tcW w:w="1845" w:type="dxa"/>
            <w:noWrap w:val="0"/>
            <w:vAlign w:val="center"/>
          </w:tcPr>
          <w:p w14:paraId="7BB3AAA2">
            <w:pPr>
              <w:spacing w:line="360" w:lineRule="auto"/>
              <w:jc w:val="center"/>
              <w:rPr>
                <w:rFonts w:hint="eastAsia" w:ascii="宋体" w:hAnsi="宋体" w:cs="仿宋"/>
                <w:spacing w:val="-2"/>
                <w:sz w:val="24"/>
                <w:highlight w:val="none"/>
              </w:rPr>
            </w:pPr>
            <w:r>
              <w:rPr>
                <w:rFonts w:ascii="宋体" w:hAnsi="宋体" w:cs="仿宋"/>
                <w:sz w:val="24"/>
                <w:highlight w:val="none"/>
              </w:rPr>
              <w:t>营业执照等证明</w:t>
            </w:r>
          </w:p>
        </w:tc>
        <w:tc>
          <w:tcPr>
            <w:tcW w:w="6885" w:type="dxa"/>
            <w:noWrap w:val="0"/>
            <w:vAlign w:val="top"/>
          </w:tcPr>
          <w:p w14:paraId="66A56943">
            <w:pPr>
              <w:spacing w:line="360" w:lineRule="auto"/>
              <w:jc w:val="left"/>
              <w:rPr>
                <w:rFonts w:hint="eastAsia" w:ascii="宋体" w:hAnsi="宋体" w:cs="仿宋"/>
                <w:spacing w:val="-2"/>
                <w:sz w:val="24"/>
                <w:highlight w:val="none"/>
              </w:rPr>
            </w:pPr>
            <w:r>
              <w:rPr>
                <w:rFonts w:hint="eastAsia" w:ascii="宋体" w:hAnsi="宋体" w:cs="仿宋"/>
                <w:spacing w:val="-2"/>
                <w:sz w:val="24"/>
                <w:highlight w:val="none"/>
                <w:lang w:val="en-US" w:eastAsia="zh-CN"/>
              </w:rPr>
              <w:t>投标人为企业（包括合伙企业）的，应提供有效的“营业执照”；</w:t>
            </w:r>
            <w:r>
              <w:rPr>
                <w:rFonts w:hint="eastAsia" w:ascii="宋体" w:hAnsi="宋体" w:cs="仿宋"/>
                <w:spacing w:val="-2"/>
                <w:sz w:val="24"/>
                <w:highlight w:val="none"/>
                <w:lang w:val="en-US" w:eastAsia="zh-CN"/>
              </w:rPr>
              <w:br w:type="textWrapping"/>
            </w:r>
            <w:r>
              <w:rPr>
                <w:rFonts w:hint="eastAsia" w:ascii="宋体" w:hAnsi="宋体" w:cs="仿宋"/>
                <w:spacing w:val="-2"/>
                <w:sz w:val="24"/>
                <w:highlight w:val="none"/>
                <w:lang w:val="en-US" w:eastAsia="zh-CN"/>
              </w:rPr>
              <w:t>投标人为事业单位的，应供有效的“事业单位法人证书”；</w:t>
            </w:r>
            <w:r>
              <w:rPr>
                <w:rFonts w:hint="eastAsia" w:ascii="宋体" w:hAnsi="宋体" w:cs="仿宋"/>
                <w:spacing w:val="-2"/>
                <w:sz w:val="24"/>
                <w:highlight w:val="none"/>
                <w:lang w:val="en-US" w:eastAsia="zh-CN"/>
              </w:rPr>
              <w:br w:type="textWrapping"/>
            </w:r>
            <w:r>
              <w:rPr>
                <w:rFonts w:hint="eastAsia" w:ascii="宋体" w:hAnsi="宋体" w:cs="仿宋"/>
                <w:spacing w:val="-2"/>
                <w:sz w:val="24"/>
                <w:highlight w:val="none"/>
                <w:lang w:val="en-US" w:eastAsia="zh-CN"/>
              </w:rPr>
              <w:t>投标人是非企业机构的，应供有效的“执业许可证”、“登记证书”等证明文件；</w:t>
            </w:r>
            <w:r>
              <w:rPr>
                <w:rFonts w:hint="eastAsia" w:ascii="宋体" w:hAnsi="宋体" w:cs="仿宋"/>
                <w:spacing w:val="-2"/>
                <w:sz w:val="24"/>
                <w:highlight w:val="none"/>
                <w:lang w:val="en-US" w:eastAsia="zh-CN"/>
              </w:rPr>
              <w:br w:type="textWrapping"/>
            </w:r>
            <w:r>
              <w:rPr>
                <w:rFonts w:hint="eastAsia" w:ascii="宋体" w:hAnsi="宋体" w:cs="仿宋"/>
                <w:spacing w:val="-2"/>
                <w:sz w:val="24"/>
                <w:highlight w:val="none"/>
                <w:lang w:val="en-US" w:eastAsia="zh-CN"/>
              </w:rPr>
              <w:t>投标人是个体工商户的，应供有效的“个体工商户营业执照”；</w:t>
            </w:r>
            <w:r>
              <w:rPr>
                <w:rFonts w:hint="eastAsia" w:ascii="宋体" w:hAnsi="宋体" w:cs="仿宋"/>
                <w:spacing w:val="-2"/>
                <w:sz w:val="24"/>
                <w:highlight w:val="none"/>
                <w:lang w:val="en-US" w:eastAsia="zh-CN"/>
              </w:rPr>
              <w:br w:type="textWrapping"/>
            </w:r>
            <w:r>
              <w:rPr>
                <w:rFonts w:hint="eastAsia" w:ascii="宋体" w:hAnsi="宋体" w:cs="仿宋"/>
                <w:spacing w:val="-2"/>
                <w:sz w:val="24"/>
                <w:highlight w:val="none"/>
                <w:lang w:val="en-US" w:eastAsia="zh-CN"/>
              </w:rPr>
              <w:t>投标人是自然人的，应供有效的自然人身份证明。</w:t>
            </w:r>
            <w:r>
              <w:rPr>
                <w:rFonts w:hint="eastAsia" w:ascii="宋体" w:hAnsi="宋体" w:cs="仿宋"/>
                <w:spacing w:val="-2"/>
                <w:sz w:val="24"/>
                <w:highlight w:val="none"/>
                <w:lang w:val="en-US" w:eastAsia="zh-CN"/>
              </w:rPr>
              <w:br w:type="textWrapping"/>
            </w:r>
            <w:r>
              <w:rPr>
                <w:rFonts w:hint="eastAsia" w:ascii="宋体" w:hAnsi="宋体" w:cs="仿宋"/>
                <w:spacing w:val="-2"/>
                <w:sz w:val="24"/>
                <w:highlight w:val="none"/>
                <w:lang w:val="en-US" w:eastAsia="zh-CN"/>
              </w:rPr>
              <w:t>分支机构参加投标的，应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450" w:type="dxa"/>
            <w:noWrap w:val="0"/>
            <w:vAlign w:val="top"/>
          </w:tcPr>
          <w:p w14:paraId="7FA5116B">
            <w:pPr>
              <w:spacing w:line="360" w:lineRule="auto"/>
              <w:jc w:val="left"/>
              <w:rPr>
                <w:rFonts w:hint="eastAsia" w:ascii="宋体" w:hAnsi="宋体" w:cs="仿宋"/>
                <w:spacing w:val="-2"/>
                <w:sz w:val="24"/>
                <w:highlight w:val="none"/>
              </w:rPr>
            </w:pPr>
          </w:p>
        </w:tc>
        <w:tc>
          <w:tcPr>
            <w:tcW w:w="495" w:type="dxa"/>
            <w:noWrap w:val="0"/>
            <w:vAlign w:val="top"/>
          </w:tcPr>
          <w:p w14:paraId="57FBE00B">
            <w:pPr>
              <w:spacing w:line="360" w:lineRule="auto"/>
              <w:jc w:val="left"/>
              <w:rPr>
                <w:rFonts w:hint="eastAsia" w:ascii="宋体" w:hAnsi="宋体" w:cs="仿宋"/>
                <w:spacing w:val="-2"/>
                <w:sz w:val="24"/>
                <w:highlight w:val="none"/>
              </w:rPr>
            </w:pPr>
          </w:p>
        </w:tc>
        <w:tc>
          <w:tcPr>
            <w:tcW w:w="510" w:type="dxa"/>
            <w:noWrap w:val="0"/>
            <w:vAlign w:val="top"/>
          </w:tcPr>
          <w:p w14:paraId="2C7677FE">
            <w:pPr>
              <w:spacing w:line="360" w:lineRule="auto"/>
              <w:jc w:val="left"/>
              <w:rPr>
                <w:rFonts w:hint="eastAsia" w:ascii="宋体" w:hAnsi="宋体" w:cs="仿宋"/>
                <w:spacing w:val="-2"/>
                <w:sz w:val="24"/>
                <w:highlight w:val="none"/>
              </w:rPr>
            </w:pPr>
          </w:p>
        </w:tc>
      </w:tr>
      <w:tr w14:paraId="356D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5" w:type="dxa"/>
            <w:noWrap w:val="0"/>
            <w:vAlign w:val="center"/>
          </w:tcPr>
          <w:p w14:paraId="50341869">
            <w:pPr>
              <w:spacing w:line="360" w:lineRule="auto"/>
              <w:jc w:val="center"/>
              <w:rPr>
                <w:rFonts w:hint="eastAsia" w:ascii="宋体" w:hAnsi="宋体" w:cs="仿宋"/>
                <w:spacing w:val="-2"/>
                <w:sz w:val="24"/>
                <w:highlight w:val="none"/>
              </w:rPr>
            </w:pPr>
            <w:r>
              <w:rPr>
                <w:rFonts w:hint="eastAsia" w:ascii="宋体" w:hAnsi="宋体" w:cs="仿宋"/>
                <w:spacing w:val="-2"/>
                <w:sz w:val="24"/>
                <w:highlight w:val="none"/>
              </w:rPr>
              <w:t>2</w:t>
            </w:r>
          </w:p>
        </w:tc>
        <w:tc>
          <w:tcPr>
            <w:tcW w:w="1845" w:type="dxa"/>
            <w:noWrap w:val="0"/>
            <w:vAlign w:val="center"/>
          </w:tcPr>
          <w:p w14:paraId="799F7420">
            <w:pPr>
              <w:spacing w:line="360" w:lineRule="auto"/>
              <w:jc w:val="center"/>
              <w:rPr>
                <w:rFonts w:hint="eastAsia" w:ascii="宋体" w:hAnsi="宋体" w:cs="仿宋"/>
                <w:sz w:val="24"/>
                <w:highlight w:val="none"/>
              </w:rPr>
            </w:pPr>
            <w:r>
              <w:rPr>
                <w:rFonts w:hint="eastAsia" w:ascii="宋体" w:hAnsi="宋体" w:cs="仿宋"/>
                <w:sz w:val="24"/>
                <w:highlight w:val="none"/>
              </w:rPr>
              <w:t>法定代表人身份证明书及</w:t>
            </w:r>
            <w:r>
              <w:rPr>
                <w:rFonts w:ascii="宋体" w:hAnsi="宋体" w:cs="仿宋"/>
                <w:sz w:val="24"/>
                <w:highlight w:val="none"/>
              </w:rPr>
              <w:t>法定代表人授权书</w:t>
            </w:r>
          </w:p>
        </w:tc>
        <w:tc>
          <w:tcPr>
            <w:tcW w:w="6885" w:type="dxa"/>
            <w:noWrap w:val="0"/>
            <w:vAlign w:val="top"/>
          </w:tcPr>
          <w:p w14:paraId="36D4E828">
            <w:pPr>
              <w:spacing w:line="360" w:lineRule="auto"/>
              <w:jc w:val="left"/>
              <w:rPr>
                <w:rFonts w:ascii="宋体" w:hAnsi="宋体" w:cs="仿宋"/>
                <w:spacing w:val="-2"/>
                <w:sz w:val="24"/>
                <w:highlight w:val="none"/>
              </w:rPr>
            </w:pPr>
            <w:r>
              <w:rPr>
                <w:rFonts w:hint="eastAsia" w:ascii="宋体" w:hAnsi="宋体" w:cs="仿宋"/>
                <w:spacing w:val="-2"/>
                <w:sz w:val="24"/>
                <w:highlight w:val="none"/>
              </w:rPr>
              <w:t>（1）</w:t>
            </w:r>
            <w:r>
              <w:rPr>
                <w:rFonts w:ascii="宋体" w:hAnsi="宋体" w:cs="仿宋"/>
                <w:spacing w:val="-2"/>
                <w:sz w:val="24"/>
                <w:highlight w:val="none"/>
              </w:rPr>
              <w:t>按</w:t>
            </w:r>
            <w:r>
              <w:rPr>
                <w:rFonts w:hint="eastAsia" w:ascii="宋体" w:hAnsi="宋体" w:cs="仿宋"/>
                <w:spacing w:val="-2"/>
                <w:sz w:val="24"/>
                <w:highlight w:val="none"/>
                <w:lang w:val="en-US" w:eastAsia="zh-CN"/>
              </w:rPr>
              <w:t>招标</w:t>
            </w:r>
            <w:r>
              <w:rPr>
                <w:rFonts w:ascii="宋体" w:hAnsi="宋体" w:cs="仿宋"/>
                <w:spacing w:val="-2"/>
                <w:sz w:val="24"/>
                <w:highlight w:val="none"/>
              </w:rPr>
              <w:t>文件规定的格式填写、签署和盖章；</w:t>
            </w:r>
          </w:p>
          <w:p w14:paraId="3CD27199">
            <w:pPr>
              <w:spacing w:line="360" w:lineRule="auto"/>
              <w:jc w:val="left"/>
              <w:rPr>
                <w:rFonts w:hint="eastAsia" w:ascii="宋体" w:hAnsi="宋体" w:cs="仿宋"/>
                <w:spacing w:val="-2"/>
                <w:sz w:val="24"/>
                <w:highlight w:val="none"/>
              </w:rPr>
            </w:pPr>
            <w:r>
              <w:rPr>
                <w:rFonts w:hint="eastAsia" w:ascii="宋体" w:hAnsi="宋体" w:cs="仿宋"/>
                <w:spacing w:val="-2"/>
                <w:sz w:val="24"/>
                <w:highlight w:val="none"/>
              </w:rPr>
              <w:t>（2）法定代表人身份证明书附完整的</w:t>
            </w:r>
            <w:r>
              <w:rPr>
                <w:rFonts w:ascii="宋体" w:hAnsi="宋体" w:cs="仿宋"/>
                <w:spacing w:val="-2"/>
                <w:sz w:val="24"/>
                <w:highlight w:val="none"/>
              </w:rPr>
              <w:t>法定代表人身份证复印件</w:t>
            </w:r>
            <w:r>
              <w:rPr>
                <w:rFonts w:hint="eastAsia" w:ascii="宋体" w:hAnsi="宋体" w:cs="仿宋"/>
                <w:spacing w:val="-2"/>
                <w:sz w:val="24"/>
                <w:highlight w:val="none"/>
              </w:rPr>
              <w:t>，并</w:t>
            </w:r>
            <w:r>
              <w:rPr>
                <w:rFonts w:ascii="宋体" w:hAnsi="宋体" w:cs="仿宋"/>
                <w:spacing w:val="-2"/>
                <w:sz w:val="24"/>
                <w:highlight w:val="none"/>
              </w:rPr>
              <w:t>加盖公章</w:t>
            </w:r>
            <w:r>
              <w:rPr>
                <w:rFonts w:hint="eastAsia" w:ascii="宋体" w:hAnsi="宋体" w:cs="仿宋"/>
                <w:spacing w:val="-2"/>
                <w:sz w:val="24"/>
                <w:highlight w:val="none"/>
              </w:rPr>
              <w:t>；</w:t>
            </w:r>
          </w:p>
          <w:p w14:paraId="40ACA96C">
            <w:pPr>
              <w:spacing w:line="360" w:lineRule="auto"/>
              <w:jc w:val="left"/>
              <w:rPr>
                <w:rFonts w:hint="eastAsia" w:ascii="宋体" w:hAnsi="宋体" w:cs="仿宋"/>
                <w:spacing w:val="-2"/>
                <w:sz w:val="24"/>
                <w:highlight w:val="none"/>
              </w:rPr>
            </w:pPr>
            <w:r>
              <w:rPr>
                <w:rFonts w:hint="eastAsia" w:ascii="宋体" w:hAnsi="宋体" w:cs="仿宋"/>
                <w:spacing w:val="-2"/>
                <w:sz w:val="24"/>
                <w:highlight w:val="none"/>
              </w:rPr>
              <w:t>（3）法定代表人授权委托书</w:t>
            </w:r>
            <w:r>
              <w:rPr>
                <w:rFonts w:ascii="宋体" w:hAnsi="宋体" w:cs="仿宋"/>
                <w:spacing w:val="-2"/>
                <w:sz w:val="24"/>
                <w:highlight w:val="none"/>
              </w:rPr>
              <w:t>附完整的法定代表人身份证复印件、被授权人身份证复印件，</w:t>
            </w:r>
            <w:r>
              <w:rPr>
                <w:rFonts w:hint="eastAsia" w:ascii="宋体" w:hAnsi="宋体" w:cs="仿宋"/>
                <w:spacing w:val="-2"/>
                <w:sz w:val="24"/>
                <w:highlight w:val="none"/>
              </w:rPr>
              <w:t>并</w:t>
            </w:r>
            <w:r>
              <w:rPr>
                <w:rFonts w:ascii="宋体" w:hAnsi="宋体" w:cs="仿宋"/>
                <w:spacing w:val="-2"/>
                <w:sz w:val="24"/>
                <w:highlight w:val="none"/>
              </w:rPr>
              <w:t>加盖公章；</w:t>
            </w:r>
          </w:p>
        </w:tc>
        <w:tc>
          <w:tcPr>
            <w:tcW w:w="450" w:type="dxa"/>
            <w:noWrap w:val="0"/>
            <w:vAlign w:val="top"/>
          </w:tcPr>
          <w:p w14:paraId="71CCDF16">
            <w:pPr>
              <w:spacing w:line="360" w:lineRule="auto"/>
              <w:jc w:val="left"/>
              <w:rPr>
                <w:rFonts w:hint="eastAsia" w:ascii="宋体" w:hAnsi="宋体" w:cs="仿宋"/>
                <w:spacing w:val="-2"/>
                <w:sz w:val="24"/>
                <w:highlight w:val="none"/>
              </w:rPr>
            </w:pPr>
          </w:p>
        </w:tc>
        <w:tc>
          <w:tcPr>
            <w:tcW w:w="495" w:type="dxa"/>
            <w:noWrap w:val="0"/>
            <w:vAlign w:val="top"/>
          </w:tcPr>
          <w:p w14:paraId="11F466B1">
            <w:pPr>
              <w:spacing w:line="360" w:lineRule="auto"/>
              <w:jc w:val="left"/>
              <w:rPr>
                <w:rFonts w:hint="eastAsia" w:ascii="宋体" w:hAnsi="宋体" w:cs="仿宋"/>
                <w:spacing w:val="-2"/>
                <w:sz w:val="24"/>
                <w:highlight w:val="none"/>
              </w:rPr>
            </w:pPr>
          </w:p>
        </w:tc>
        <w:tc>
          <w:tcPr>
            <w:tcW w:w="510" w:type="dxa"/>
            <w:noWrap w:val="0"/>
            <w:vAlign w:val="top"/>
          </w:tcPr>
          <w:p w14:paraId="740C9DFA">
            <w:pPr>
              <w:spacing w:line="360" w:lineRule="auto"/>
              <w:jc w:val="left"/>
              <w:rPr>
                <w:rFonts w:hint="eastAsia" w:ascii="宋体" w:hAnsi="宋体" w:cs="仿宋"/>
                <w:spacing w:val="-2"/>
                <w:sz w:val="24"/>
                <w:highlight w:val="none"/>
              </w:rPr>
            </w:pPr>
          </w:p>
        </w:tc>
      </w:tr>
      <w:tr w14:paraId="4B3B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05" w:type="dxa"/>
            <w:noWrap w:val="0"/>
            <w:vAlign w:val="center"/>
          </w:tcPr>
          <w:p w14:paraId="6C05BFBD">
            <w:pPr>
              <w:spacing w:line="360" w:lineRule="auto"/>
              <w:jc w:val="center"/>
              <w:rPr>
                <w:rFonts w:hint="eastAsia" w:ascii="宋体" w:hAnsi="宋体" w:cs="仿宋"/>
                <w:spacing w:val="-2"/>
                <w:sz w:val="24"/>
                <w:highlight w:val="none"/>
              </w:rPr>
            </w:pPr>
            <w:r>
              <w:rPr>
                <w:rFonts w:hint="eastAsia" w:ascii="宋体" w:hAnsi="宋体" w:cs="仿宋"/>
                <w:spacing w:val="-2"/>
                <w:sz w:val="24"/>
                <w:highlight w:val="none"/>
              </w:rPr>
              <w:t>3</w:t>
            </w:r>
          </w:p>
        </w:tc>
        <w:tc>
          <w:tcPr>
            <w:tcW w:w="1845" w:type="dxa"/>
            <w:noWrap w:val="0"/>
            <w:vAlign w:val="center"/>
          </w:tcPr>
          <w:p w14:paraId="6FD3B444">
            <w:pPr>
              <w:spacing w:line="360" w:lineRule="auto"/>
              <w:jc w:val="center"/>
              <w:rPr>
                <w:rFonts w:hint="eastAsia" w:ascii="宋体" w:hAnsi="宋体" w:cs="仿宋"/>
                <w:spacing w:val="-2"/>
                <w:sz w:val="24"/>
                <w:highlight w:val="none"/>
              </w:rPr>
            </w:pPr>
            <w:r>
              <w:rPr>
                <w:rFonts w:hint="eastAsia" w:ascii="宋体" w:hAnsi="宋体" w:cs="仿宋"/>
                <w:sz w:val="24"/>
                <w:highlight w:val="none"/>
              </w:rPr>
              <w:t>具有良好的商业信誉和健全的财务会计制度</w:t>
            </w:r>
          </w:p>
        </w:tc>
        <w:tc>
          <w:tcPr>
            <w:tcW w:w="6885" w:type="dxa"/>
            <w:noWrap w:val="0"/>
            <w:vAlign w:val="top"/>
          </w:tcPr>
          <w:p w14:paraId="15BEA7B2">
            <w:pPr>
              <w:spacing w:line="360" w:lineRule="auto"/>
              <w:jc w:val="left"/>
              <w:rPr>
                <w:rFonts w:ascii="宋体" w:hAnsi="宋体" w:cs="仿宋"/>
                <w:spacing w:val="-2"/>
                <w:sz w:val="24"/>
                <w:highlight w:val="none"/>
              </w:rPr>
            </w:pPr>
            <w:r>
              <w:rPr>
                <w:rFonts w:ascii="宋体" w:hAnsi="宋体" w:cs="仿宋"/>
                <w:spacing w:val="-2"/>
                <w:sz w:val="24"/>
                <w:highlight w:val="none"/>
              </w:rPr>
              <w:t>（1）提供</w:t>
            </w:r>
            <w:r>
              <w:rPr>
                <w:rFonts w:hint="eastAsia" w:ascii="宋体" w:hAnsi="宋体" w:cs="宋体"/>
                <w:sz w:val="24"/>
                <w:highlight w:val="none"/>
                <w:lang w:eastAsia="zh-CN"/>
              </w:rPr>
              <w:t>202</w:t>
            </w:r>
            <w:r>
              <w:rPr>
                <w:rFonts w:hint="eastAsia" w:cs="宋体"/>
                <w:sz w:val="24"/>
                <w:highlight w:val="none"/>
                <w:lang w:val="en-US" w:eastAsia="zh-CN"/>
              </w:rPr>
              <w:t>3</w:t>
            </w:r>
            <w:r>
              <w:rPr>
                <w:rFonts w:hint="eastAsia" w:ascii="宋体" w:hAnsi="宋体" w:cs="宋体"/>
                <w:sz w:val="24"/>
                <w:highlight w:val="none"/>
                <w:lang w:eastAsia="zh-CN"/>
              </w:rPr>
              <w:t>年度至今任意一年的财务</w:t>
            </w:r>
            <w:r>
              <w:rPr>
                <w:rFonts w:hint="eastAsia" w:cs="宋体"/>
                <w:sz w:val="24"/>
                <w:highlight w:val="none"/>
                <w:lang w:val="en-US" w:eastAsia="zh-CN"/>
              </w:rPr>
              <w:t>审计</w:t>
            </w:r>
            <w:r>
              <w:rPr>
                <w:rFonts w:hint="eastAsia" w:ascii="宋体" w:hAnsi="宋体" w:cs="宋体"/>
                <w:sz w:val="24"/>
                <w:highlight w:val="none"/>
                <w:lang w:eastAsia="zh-CN"/>
              </w:rPr>
              <w:t>报告或财务报表或银行出具的资信证明</w:t>
            </w:r>
            <w:r>
              <w:rPr>
                <w:rFonts w:hint="eastAsia" w:ascii="宋体" w:hAnsi="宋体" w:cs="仿宋"/>
                <w:spacing w:val="-2"/>
                <w:sz w:val="24"/>
                <w:highlight w:val="none"/>
              </w:rPr>
              <w:t>；</w:t>
            </w:r>
          </w:p>
          <w:p w14:paraId="4D568E9E">
            <w:pPr>
              <w:spacing w:line="360" w:lineRule="auto"/>
              <w:jc w:val="left"/>
              <w:rPr>
                <w:rFonts w:hint="eastAsia" w:ascii="宋体" w:hAnsi="宋体" w:cs="仿宋"/>
                <w:spacing w:val="-2"/>
                <w:sz w:val="24"/>
                <w:highlight w:val="none"/>
              </w:rPr>
            </w:pPr>
            <w:r>
              <w:rPr>
                <w:rFonts w:ascii="宋体" w:hAnsi="宋体" w:cs="仿宋"/>
                <w:spacing w:val="-2"/>
                <w:sz w:val="24"/>
                <w:highlight w:val="none"/>
              </w:rPr>
              <w:t>（2）复印件加盖</w:t>
            </w:r>
            <w:r>
              <w:rPr>
                <w:rFonts w:hint="eastAsia" w:ascii="宋体" w:hAnsi="宋体" w:cs="仿宋"/>
                <w:spacing w:val="-2"/>
                <w:sz w:val="24"/>
                <w:highlight w:val="none"/>
              </w:rPr>
              <w:t>投标人</w:t>
            </w:r>
            <w:r>
              <w:rPr>
                <w:rFonts w:ascii="宋体" w:hAnsi="宋体" w:cs="仿宋"/>
                <w:spacing w:val="-2"/>
                <w:sz w:val="24"/>
                <w:highlight w:val="none"/>
              </w:rPr>
              <w:t xml:space="preserve">公章； </w:t>
            </w:r>
          </w:p>
        </w:tc>
        <w:tc>
          <w:tcPr>
            <w:tcW w:w="450" w:type="dxa"/>
            <w:noWrap w:val="0"/>
            <w:vAlign w:val="top"/>
          </w:tcPr>
          <w:p w14:paraId="1572F068">
            <w:pPr>
              <w:spacing w:line="360" w:lineRule="auto"/>
              <w:jc w:val="left"/>
              <w:rPr>
                <w:rFonts w:hint="eastAsia" w:ascii="宋体" w:hAnsi="宋体" w:cs="仿宋"/>
                <w:spacing w:val="-2"/>
                <w:sz w:val="24"/>
                <w:highlight w:val="none"/>
              </w:rPr>
            </w:pPr>
          </w:p>
        </w:tc>
        <w:tc>
          <w:tcPr>
            <w:tcW w:w="495" w:type="dxa"/>
            <w:noWrap w:val="0"/>
            <w:vAlign w:val="top"/>
          </w:tcPr>
          <w:p w14:paraId="7014463C">
            <w:pPr>
              <w:spacing w:line="360" w:lineRule="auto"/>
              <w:jc w:val="left"/>
              <w:rPr>
                <w:rFonts w:hint="eastAsia" w:ascii="宋体" w:hAnsi="宋体" w:cs="仿宋"/>
                <w:spacing w:val="-2"/>
                <w:sz w:val="24"/>
                <w:highlight w:val="none"/>
              </w:rPr>
            </w:pPr>
          </w:p>
        </w:tc>
        <w:tc>
          <w:tcPr>
            <w:tcW w:w="510" w:type="dxa"/>
            <w:noWrap w:val="0"/>
            <w:vAlign w:val="top"/>
          </w:tcPr>
          <w:p w14:paraId="3D561BC2">
            <w:pPr>
              <w:spacing w:line="360" w:lineRule="auto"/>
              <w:jc w:val="left"/>
              <w:rPr>
                <w:rFonts w:hint="eastAsia" w:ascii="宋体" w:hAnsi="宋体" w:cs="仿宋"/>
                <w:spacing w:val="-2"/>
                <w:sz w:val="24"/>
                <w:highlight w:val="none"/>
              </w:rPr>
            </w:pPr>
          </w:p>
        </w:tc>
      </w:tr>
      <w:tr w14:paraId="6252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705" w:type="dxa"/>
            <w:noWrap w:val="0"/>
            <w:vAlign w:val="center"/>
          </w:tcPr>
          <w:p w14:paraId="227A7C0E">
            <w:pPr>
              <w:spacing w:line="360" w:lineRule="auto"/>
              <w:jc w:val="center"/>
              <w:rPr>
                <w:rFonts w:hint="eastAsia" w:ascii="宋体" w:hAnsi="宋体" w:cs="仿宋"/>
                <w:spacing w:val="-2"/>
                <w:sz w:val="24"/>
                <w:highlight w:val="none"/>
              </w:rPr>
            </w:pPr>
            <w:r>
              <w:rPr>
                <w:rFonts w:hint="eastAsia" w:ascii="宋体" w:hAnsi="宋体" w:cs="仿宋"/>
                <w:spacing w:val="-2"/>
                <w:sz w:val="24"/>
                <w:highlight w:val="none"/>
              </w:rPr>
              <w:t>4</w:t>
            </w:r>
          </w:p>
        </w:tc>
        <w:tc>
          <w:tcPr>
            <w:tcW w:w="1845" w:type="dxa"/>
            <w:noWrap w:val="0"/>
            <w:vAlign w:val="center"/>
          </w:tcPr>
          <w:p w14:paraId="4BDDB831">
            <w:pPr>
              <w:spacing w:line="360" w:lineRule="auto"/>
              <w:jc w:val="center"/>
              <w:rPr>
                <w:rFonts w:hint="eastAsia" w:ascii="宋体" w:hAnsi="宋体" w:cs="仿宋"/>
                <w:sz w:val="24"/>
                <w:highlight w:val="none"/>
              </w:rPr>
            </w:pPr>
            <w:r>
              <w:rPr>
                <w:rFonts w:hint="eastAsia" w:ascii="宋体" w:hAnsi="宋体" w:cs="仿宋"/>
                <w:sz w:val="24"/>
                <w:highlight w:val="none"/>
              </w:rPr>
              <w:t>具有履行合同所必需的设备和专业技术能力</w:t>
            </w:r>
          </w:p>
        </w:tc>
        <w:tc>
          <w:tcPr>
            <w:tcW w:w="6885" w:type="dxa"/>
            <w:noWrap w:val="0"/>
            <w:vAlign w:val="center"/>
          </w:tcPr>
          <w:p w14:paraId="41784BA8">
            <w:pPr>
              <w:spacing w:line="360" w:lineRule="auto"/>
              <w:jc w:val="left"/>
              <w:rPr>
                <w:rFonts w:hint="eastAsia" w:ascii="宋体" w:hAnsi="宋体" w:cs="仿宋"/>
                <w:spacing w:val="-2"/>
                <w:sz w:val="24"/>
                <w:highlight w:val="none"/>
              </w:rPr>
            </w:pPr>
            <w:r>
              <w:rPr>
                <w:rFonts w:hint="eastAsia" w:ascii="宋体" w:hAnsi="宋体" w:cs="仿宋"/>
                <w:spacing w:val="-2"/>
                <w:sz w:val="24"/>
                <w:highlight w:val="none"/>
              </w:rPr>
              <w:t>提供了可充分满足履行合同所需设备和专业技术能力的承诺（格式自拟）</w:t>
            </w:r>
          </w:p>
        </w:tc>
        <w:tc>
          <w:tcPr>
            <w:tcW w:w="450" w:type="dxa"/>
            <w:noWrap w:val="0"/>
            <w:vAlign w:val="top"/>
          </w:tcPr>
          <w:p w14:paraId="605B611A">
            <w:pPr>
              <w:spacing w:line="360" w:lineRule="auto"/>
              <w:jc w:val="left"/>
              <w:rPr>
                <w:rFonts w:hint="eastAsia" w:ascii="宋体" w:hAnsi="宋体" w:cs="仿宋"/>
                <w:spacing w:val="-2"/>
                <w:sz w:val="24"/>
                <w:highlight w:val="none"/>
              </w:rPr>
            </w:pPr>
          </w:p>
        </w:tc>
        <w:tc>
          <w:tcPr>
            <w:tcW w:w="495" w:type="dxa"/>
            <w:noWrap w:val="0"/>
            <w:vAlign w:val="top"/>
          </w:tcPr>
          <w:p w14:paraId="6D515E6C">
            <w:pPr>
              <w:spacing w:line="360" w:lineRule="auto"/>
              <w:jc w:val="left"/>
              <w:rPr>
                <w:rFonts w:hint="eastAsia" w:ascii="宋体" w:hAnsi="宋体" w:cs="仿宋"/>
                <w:spacing w:val="-2"/>
                <w:sz w:val="24"/>
                <w:highlight w:val="none"/>
              </w:rPr>
            </w:pPr>
          </w:p>
        </w:tc>
        <w:tc>
          <w:tcPr>
            <w:tcW w:w="510" w:type="dxa"/>
            <w:noWrap w:val="0"/>
            <w:vAlign w:val="top"/>
          </w:tcPr>
          <w:p w14:paraId="7E4C52B2">
            <w:pPr>
              <w:spacing w:line="360" w:lineRule="auto"/>
              <w:jc w:val="left"/>
              <w:rPr>
                <w:rFonts w:hint="eastAsia" w:ascii="宋体" w:hAnsi="宋体" w:cs="仿宋"/>
                <w:spacing w:val="-2"/>
                <w:sz w:val="24"/>
                <w:highlight w:val="none"/>
              </w:rPr>
            </w:pPr>
          </w:p>
        </w:tc>
      </w:tr>
      <w:tr w14:paraId="4578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7933BF6B">
            <w:pPr>
              <w:spacing w:line="360" w:lineRule="auto"/>
              <w:jc w:val="center"/>
              <w:rPr>
                <w:rFonts w:hint="eastAsia" w:ascii="宋体" w:hAnsi="宋体" w:cs="仿宋"/>
                <w:spacing w:val="-2"/>
                <w:sz w:val="24"/>
                <w:highlight w:val="none"/>
              </w:rPr>
            </w:pPr>
            <w:r>
              <w:rPr>
                <w:rFonts w:hint="eastAsia" w:ascii="宋体" w:hAnsi="宋体" w:cs="仿宋"/>
                <w:spacing w:val="-2"/>
                <w:sz w:val="24"/>
                <w:highlight w:val="none"/>
              </w:rPr>
              <w:t>5</w:t>
            </w:r>
          </w:p>
        </w:tc>
        <w:tc>
          <w:tcPr>
            <w:tcW w:w="1845" w:type="dxa"/>
            <w:noWrap w:val="0"/>
            <w:vAlign w:val="center"/>
          </w:tcPr>
          <w:p w14:paraId="30CBC19C">
            <w:pPr>
              <w:spacing w:line="360" w:lineRule="auto"/>
              <w:jc w:val="center"/>
              <w:rPr>
                <w:rFonts w:hint="eastAsia" w:ascii="宋体" w:hAnsi="宋体" w:cs="仿宋"/>
                <w:sz w:val="24"/>
                <w:highlight w:val="none"/>
              </w:rPr>
            </w:pPr>
            <w:r>
              <w:rPr>
                <w:rFonts w:hint="eastAsia" w:ascii="宋体" w:hAnsi="宋体" w:cs="仿宋"/>
                <w:sz w:val="24"/>
                <w:highlight w:val="none"/>
              </w:rPr>
              <w:t>有依法缴纳税收和社会保障资金的良好记录</w:t>
            </w:r>
          </w:p>
        </w:tc>
        <w:tc>
          <w:tcPr>
            <w:tcW w:w="6885" w:type="dxa"/>
            <w:noWrap w:val="0"/>
            <w:vAlign w:val="top"/>
          </w:tcPr>
          <w:p w14:paraId="58AE71C7">
            <w:pPr>
              <w:spacing w:line="360" w:lineRule="auto"/>
              <w:jc w:val="left"/>
              <w:rPr>
                <w:rFonts w:hint="eastAsia" w:ascii="宋体" w:hAnsi="宋体" w:cs="仿宋"/>
                <w:spacing w:val="-2"/>
                <w:sz w:val="24"/>
                <w:highlight w:val="none"/>
              </w:rPr>
            </w:pPr>
            <w:r>
              <w:rPr>
                <w:rFonts w:hint="eastAsia" w:ascii="宋体" w:hAnsi="宋体" w:cs="仿宋"/>
                <w:spacing w:val="-2"/>
                <w:sz w:val="24"/>
                <w:highlight w:val="none"/>
              </w:rPr>
              <w:t>（1）提供开标前</w:t>
            </w:r>
            <w:r>
              <w:rPr>
                <w:rFonts w:hint="eastAsia" w:ascii="宋体" w:hAnsi="宋体" w:cs="仿宋"/>
                <w:spacing w:val="-2"/>
                <w:sz w:val="24"/>
                <w:highlight w:val="none"/>
                <w:lang w:eastAsia="zh-CN"/>
              </w:rPr>
              <w:t>六</w:t>
            </w:r>
            <w:r>
              <w:rPr>
                <w:rFonts w:hint="eastAsia" w:ascii="宋体" w:hAnsi="宋体" w:cs="仿宋"/>
                <w:spacing w:val="-2"/>
                <w:sz w:val="24"/>
                <w:highlight w:val="none"/>
              </w:rPr>
              <w:t>个月</w:t>
            </w:r>
            <w:r>
              <w:rPr>
                <w:rFonts w:hint="eastAsia" w:cs="仿宋"/>
                <w:spacing w:val="-2"/>
                <w:sz w:val="24"/>
                <w:highlight w:val="none"/>
                <w:lang w:val="en-US" w:eastAsia="zh-CN"/>
              </w:rPr>
              <w:t>任意一个月</w:t>
            </w:r>
            <w:r>
              <w:rPr>
                <w:rFonts w:hint="eastAsia" w:ascii="宋体" w:hAnsi="宋体" w:cs="仿宋"/>
                <w:spacing w:val="-2"/>
                <w:sz w:val="24"/>
                <w:highlight w:val="none"/>
                <w:lang w:eastAsia="zh-CN"/>
              </w:rPr>
              <w:t>的</w:t>
            </w:r>
            <w:r>
              <w:rPr>
                <w:rFonts w:hint="eastAsia" w:ascii="宋体" w:hAnsi="宋体" w:cs="仿宋"/>
                <w:spacing w:val="-2"/>
                <w:sz w:val="24"/>
                <w:highlight w:val="none"/>
              </w:rPr>
              <w:t>依法缴纳税收证明，证明材料可以是缴费的银行单据等复印件并加盖公章或免缴纳证明；</w:t>
            </w:r>
          </w:p>
          <w:p w14:paraId="76DD4245">
            <w:pPr>
              <w:spacing w:line="360" w:lineRule="auto"/>
              <w:jc w:val="left"/>
              <w:rPr>
                <w:rFonts w:hint="eastAsia" w:eastAsia="仿宋"/>
                <w:highlight w:val="none"/>
              </w:rPr>
            </w:pPr>
            <w:r>
              <w:rPr>
                <w:rFonts w:hint="eastAsia" w:ascii="宋体" w:hAnsi="宋体" w:cs="仿宋"/>
                <w:spacing w:val="-2"/>
                <w:sz w:val="24"/>
                <w:highlight w:val="none"/>
              </w:rPr>
              <w:t>（2）提供开标前</w:t>
            </w:r>
            <w:r>
              <w:rPr>
                <w:rFonts w:hint="eastAsia" w:ascii="宋体" w:hAnsi="宋体" w:cs="仿宋"/>
                <w:spacing w:val="-2"/>
                <w:sz w:val="24"/>
                <w:highlight w:val="none"/>
                <w:lang w:eastAsia="zh-CN"/>
              </w:rPr>
              <w:t>六</w:t>
            </w:r>
            <w:r>
              <w:rPr>
                <w:rFonts w:hint="eastAsia" w:ascii="宋体" w:hAnsi="宋体" w:cs="仿宋"/>
                <w:spacing w:val="-2"/>
                <w:sz w:val="24"/>
                <w:highlight w:val="none"/>
              </w:rPr>
              <w:t>个月</w:t>
            </w:r>
            <w:r>
              <w:rPr>
                <w:rFonts w:hint="eastAsia" w:cs="仿宋"/>
                <w:spacing w:val="-2"/>
                <w:sz w:val="24"/>
                <w:highlight w:val="none"/>
                <w:lang w:val="en-US" w:eastAsia="zh-CN"/>
              </w:rPr>
              <w:t>任意一个月</w:t>
            </w:r>
            <w:r>
              <w:rPr>
                <w:rFonts w:hint="eastAsia" w:ascii="宋体" w:hAnsi="宋体" w:cs="仿宋"/>
                <w:spacing w:val="-2"/>
                <w:sz w:val="24"/>
                <w:highlight w:val="none"/>
                <w:lang w:eastAsia="zh-CN"/>
              </w:rPr>
              <w:t>的</w:t>
            </w:r>
            <w:r>
              <w:rPr>
                <w:rFonts w:hint="eastAsia" w:ascii="宋体" w:hAnsi="宋体" w:cs="仿宋"/>
                <w:spacing w:val="-2"/>
                <w:sz w:val="24"/>
                <w:highlight w:val="none"/>
              </w:rPr>
              <w:t>依法缴纳社保证明，证明材料可以是缴费的银行单据或社保机构开具的证明等复印件并加盖公章或免缴纳证明。</w:t>
            </w:r>
          </w:p>
        </w:tc>
        <w:tc>
          <w:tcPr>
            <w:tcW w:w="450" w:type="dxa"/>
            <w:noWrap w:val="0"/>
            <w:vAlign w:val="top"/>
          </w:tcPr>
          <w:p w14:paraId="266C723F">
            <w:pPr>
              <w:spacing w:line="360" w:lineRule="auto"/>
              <w:jc w:val="left"/>
              <w:rPr>
                <w:rFonts w:hint="eastAsia" w:ascii="宋体" w:hAnsi="宋体" w:cs="仿宋"/>
                <w:spacing w:val="-2"/>
                <w:sz w:val="24"/>
                <w:highlight w:val="none"/>
              </w:rPr>
            </w:pPr>
          </w:p>
        </w:tc>
        <w:tc>
          <w:tcPr>
            <w:tcW w:w="495" w:type="dxa"/>
            <w:noWrap w:val="0"/>
            <w:vAlign w:val="top"/>
          </w:tcPr>
          <w:p w14:paraId="49703C08">
            <w:pPr>
              <w:spacing w:line="360" w:lineRule="auto"/>
              <w:jc w:val="left"/>
              <w:rPr>
                <w:rFonts w:hint="eastAsia" w:ascii="宋体" w:hAnsi="宋体" w:cs="仿宋"/>
                <w:spacing w:val="-2"/>
                <w:sz w:val="24"/>
                <w:highlight w:val="none"/>
              </w:rPr>
            </w:pPr>
          </w:p>
        </w:tc>
        <w:tc>
          <w:tcPr>
            <w:tcW w:w="510" w:type="dxa"/>
            <w:noWrap w:val="0"/>
            <w:vAlign w:val="top"/>
          </w:tcPr>
          <w:p w14:paraId="3535196C">
            <w:pPr>
              <w:spacing w:line="360" w:lineRule="auto"/>
              <w:jc w:val="left"/>
              <w:rPr>
                <w:rFonts w:hint="eastAsia" w:ascii="宋体" w:hAnsi="宋体" w:cs="仿宋"/>
                <w:spacing w:val="-2"/>
                <w:sz w:val="24"/>
                <w:highlight w:val="none"/>
              </w:rPr>
            </w:pPr>
          </w:p>
        </w:tc>
      </w:tr>
      <w:tr w14:paraId="356C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090E8A4F">
            <w:pPr>
              <w:spacing w:line="360" w:lineRule="auto"/>
              <w:jc w:val="center"/>
              <w:rPr>
                <w:rFonts w:hint="eastAsia" w:ascii="宋体" w:hAnsi="宋体" w:cs="仿宋" w:eastAsiaTheme="minorEastAsia"/>
                <w:spacing w:val="-2"/>
                <w:sz w:val="24"/>
                <w:highlight w:val="none"/>
                <w:lang w:val="en-US" w:eastAsia="zh-CN"/>
              </w:rPr>
            </w:pPr>
            <w:r>
              <w:rPr>
                <w:rFonts w:hint="eastAsia" w:ascii="宋体" w:hAnsi="宋体" w:cs="仿宋"/>
                <w:spacing w:val="-2"/>
                <w:sz w:val="24"/>
                <w:highlight w:val="none"/>
                <w:lang w:val="en-US" w:eastAsia="zh-CN"/>
              </w:rPr>
              <w:t>6</w:t>
            </w:r>
          </w:p>
        </w:tc>
        <w:tc>
          <w:tcPr>
            <w:tcW w:w="1845" w:type="dxa"/>
            <w:noWrap w:val="0"/>
            <w:vAlign w:val="center"/>
          </w:tcPr>
          <w:p w14:paraId="6C0C6CAD">
            <w:pPr>
              <w:spacing w:line="360" w:lineRule="auto"/>
              <w:jc w:val="center"/>
              <w:rPr>
                <w:rFonts w:hint="eastAsia" w:ascii="宋体" w:hAnsi="宋体" w:cs="仿宋"/>
                <w:sz w:val="24"/>
                <w:highlight w:val="none"/>
              </w:rPr>
            </w:pPr>
            <w:r>
              <w:rPr>
                <w:rFonts w:hint="eastAsia"/>
                <w:sz w:val="24"/>
                <w:szCs w:val="32"/>
                <w:highlight w:val="none"/>
              </w:rPr>
              <w:t>反商业贿赂承诺</w:t>
            </w:r>
          </w:p>
        </w:tc>
        <w:tc>
          <w:tcPr>
            <w:tcW w:w="6885" w:type="dxa"/>
            <w:noWrap w:val="0"/>
            <w:vAlign w:val="top"/>
          </w:tcPr>
          <w:p w14:paraId="015DFB31">
            <w:pPr>
              <w:spacing w:line="360" w:lineRule="auto"/>
              <w:jc w:val="left"/>
              <w:rPr>
                <w:rFonts w:hint="eastAsia" w:ascii="宋体" w:hAnsi="宋体" w:cs="仿宋" w:eastAsiaTheme="minorEastAsia"/>
                <w:spacing w:val="-2"/>
                <w:sz w:val="24"/>
                <w:highlight w:val="none"/>
                <w:lang w:eastAsia="zh-CN"/>
              </w:rPr>
            </w:pPr>
            <w:r>
              <w:rPr>
                <w:rFonts w:hint="eastAsia"/>
                <w:sz w:val="24"/>
                <w:szCs w:val="32"/>
                <w:highlight w:val="none"/>
              </w:rPr>
              <w:t>提供针对本次项目《反商业贿赂承诺书》</w:t>
            </w:r>
            <w:r>
              <w:rPr>
                <w:rFonts w:hint="eastAsia"/>
                <w:sz w:val="24"/>
                <w:szCs w:val="32"/>
                <w:highlight w:val="none"/>
                <w:lang w:eastAsia="zh-CN"/>
              </w:rPr>
              <w:t>。</w:t>
            </w:r>
            <w:r>
              <w:rPr>
                <w:rFonts w:hint="eastAsia" w:ascii="宋体" w:hAnsi="宋体" w:cs="仿宋"/>
                <w:spacing w:val="-2"/>
                <w:sz w:val="24"/>
                <w:highlight w:val="none"/>
              </w:rPr>
              <w:t>（格式自拟）</w:t>
            </w:r>
          </w:p>
        </w:tc>
        <w:tc>
          <w:tcPr>
            <w:tcW w:w="450" w:type="dxa"/>
            <w:noWrap w:val="0"/>
            <w:vAlign w:val="top"/>
          </w:tcPr>
          <w:p w14:paraId="60D68FAC">
            <w:pPr>
              <w:spacing w:line="360" w:lineRule="auto"/>
              <w:jc w:val="left"/>
              <w:rPr>
                <w:rFonts w:hint="eastAsia" w:ascii="宋体" w:hAnsi="宋体" w:cs="仿宋"/>
                <w:spacing w:val="-2"/>
                <w:sz w:val="24"/>
                <w:highlight w:val="none"/>
              </w:rPr>
            </w:pPr>
          </w:p>
        </w:tc>
        <w:tc>
          <w:tcPr>
            <w:tcW w:w="495" w:type="dxa"/>
            <w:noWrap w:val="0"/>
            <w:vAlign w:val="top"/>
          </w:tcPr>
          <w:p w14:paraId="703CE05D">
            <w:pPr>
              <w:spacing w:line="360" w:lineRule="auto"/>
              <w:jc w:val="left"/>
              <w:rPr>
                <w:rFonts w:hint="eastAsia" w:ascii="宋体" w:hAnsi="宋体" w:cs="仿宋"/>
                <w:spacing w:val="-2"/>
                <w:sz w:val="24"/>
                <w:highlight w:val="none"/>
              </w:rPr>
            </w:pPr>
          </w:p>
        </w:tc>
        <w:tc>
          <w:tcPr>
            <w:tcW w:w="510" w:type="dxa"/>
            <w:noWrap w:val="0"/>
            <w:vAlign w:val="top"/>
          </w:tcPr>
          <w:p w14:paraId="594F34D3">
            <w:pPr>
              <w:spacing w:line="360" w:lineRule="auto"/>
              <w:jc w:val="left"/>
              <w:rPr>
                <w:rFonts w:hint="eastAsia" w:ascii="宋体" w:hAnsi="宋体" w:cs="仿宋"/>
                <w:spacing w:val="-2"/>
                <w:sz w:val="24"/>
                <w:highlight w:val="none"/>
              </w:rPr>
            </w:pPr>
          </w:p>
        </w:tc>
      </w:tr>
      <w:tr w14:paraId="439F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705" w:type="dxa"/>
            <w:noWrap w:val="0"/>
            <w:vAlign w:val="center"/>
          </w:tcPr>
          <w:p w14:paraId="1CA3649B">
            <w:pPr>
              <w:spacing w:line="360" w:lineRule="auto"/>
              <w:jc w:val="center"/>
              <w:rPr>
                <w:rFonts w:hint="eastAsia" w:ascii="宋体" w:hAnsi="宋体" w:cs="仿宋" w:eastAsiaTheme="minorEastAsia"/>
                <w:spacing w:val="-2"/>
                <w:sz w:val="24"/>
                <w:highlight w:val="none"/>
                <w:lang w:eastAsia="zh-CN"/>
              </w:rPr>
            </w:pPr>
            <w:r>
              <w:rPr>
                <w:rFonts w:hint="eastAsia" w:ascii="宋体" w:hAnsi="宋体" w:cs="仿宋"/>
                <w:spacing w:val="-2"/>
                <w:sz w:val="24"/>
                <w:highlight w:val="none"/>
                <w:lang w:val="en-US" w:eastAsia="zh-CN"/>
              </w:rPr>
              <w:t>7</w:t>
            </w:r>
          </w:p>
        </w:tc>
        <w:tc>
          <w:tcPr>
            <w:tcW w:w="1845" w:type="dxa"/>
            <w:noWrap w:val="0"/>
            <w:vAlign w:val="center"/>
          </w:tcPr>
          <w:p w14:paraId="4FD8CD1A">
            <w:pPr>
              <w:spacing w:line="360" w:lineRule="auto"/>
              <w:jc w:val="center"/>
              <w:rPr>
                <w:rFonts w:hint="eastAsia" w:ascii="宋体" w:hAnsi="宋体" w:cs="仿宋"/>
                <w:sz w:val="24"/>
                <w:highlight w:val="none"/>
              </w:rPr>
            </w:pPr>
            <w:r>
              <w:rPr>
                <w:rFonts w:hint="eastAsia" w:ascii="宋体" w:hAnsi="宋体" w:cs="仿宋"/>
                <w:sz w:val="24"/>
                <w:highlight w:val="none"/>
              </w:rPr>
              <w:t>投标人声明函</w:t>
            </w:r>
          </w:p>
        </w:tc>
        <w:tc>
          <w:tcPr>
            <w:tcW w:w="6885" w:type="dxa"/>
            <w:noWrap w:val="0"/>
            <w:vAlign w:val="top"/>
          </w:tcPr>
          <w:p w14:paraId="09BC2398">
            <w:pPr>
              <w:spacing w:line="360" w:lineRule="auto"/>
              <w:rPr>
                <w:rFonts w:hint="eastAsia" w:ascii="宋体" w:hAnsi="宋体" w:cs="仿宋"/>
                <w:sz w:val="24"/>
                <w:highlight w:val="none"/>
              </w:rPr>
            </w:pPr>
            <w:r>
              <w:rPr>
                <w:rFonts w:hint="eastAsia" w:ascii="宋体" w:hAnsi="宋体" w:cs="仿宋"/>
                <w:sz w:val="24"/>
                <w:highlight w:val="none"/>
              </w:rPr>
              <w:t>提供了参加政府采购活动前三年内，在经营活动中没有重大违法记录的书面声明；</w:t>
            </w:r>
          </w:p>
          <w:p w14:paraId="24D78821">
            <w:pPr>
              <w:spacing w:line="360" w:lineRule="auto"/>
              <w:rPr>
                <w:rFonts w:hint="eastAsia" w:ascii="宋体" w:hAnsi="宋体" w:cs="仿宋"/>
                <w:sz w:val="24"/>
                <w:highlight w:val="none"/>
              </w:rPr>
            </w:pPr>
            <w:r>
              <w:rPr>
                <w:rFonts w:hint="eastAsia" w:ascii="宋体" w:hAnsi="宋体" w:cs="宋体"/>
                <w:sz w:val="24"/>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450" w:type="dxa"/>
            <w:noWrap w:val="0"/>
            <w:vAlign w:val="top"/>
          </w:tcPr>
          <w:p w14:paraId="36CCBBBD">
            <w:pPr>
              <w:spacing w:line="360" w:lineRule="auto"/>
              <w:jc w:val="left"/>
              <w:rPr>
                <w:rFonts w:hint="eastAsia" w:ascii="宋体" w:hAnsi="宋体" w:cs="仿宋"/>
                <w:spacing w:val="-2"/>
                <w:sz w:val="24"/>
                <w:highlight w:val="none"/>
              </w:rPr>
            </w:pPr>
          </w:p>
        </w:tc>
        <w:tc>
          <w:tcPr>
            <w:tcW w:w="495" w:type="dxa"/>
            <w:noWrap w:val="0"/>
            <w:vAlign w:val="top"/>
          </w:tcPr>
          <w:p w14:paraId="06F91211">
            <w:pPr>
              <w:spacing w:line="360" w:lineRule="auto"/>
              <w:jc w:val="left"/>
              <w:rPr>
                <w:rFonts w:hint="eastAsia" w:ascii="宋体" w:hAnsi="宋体" w:cs="仿宋"/>
                <w:spacing w:val="-2"/>
                <w:sz w:val="24"/>
                <w:highlight w:val="none"/>
              </w:rPr>
            </w:pPr>
          </w:p>
        </w:tc>
        <w:tc>
          <w:tcPr>
            <w:tcW w:w="510" w:type="dxa"/>
            <w:noWrap w:val="0"/>
            <w:vAlign w:val="top"/>
          </w:tcPr>
          <w:p w14:paraId="0410560A">
            <w:pPr>
              <w:spacing w:line="360" w:lineRule="auto"/>
              <w:jc w:val="left"/>
              <w:rPr>
                <w:rFonts w:hint="eastAsia" w:ascii="宋体" w:hAnsi="宋体" w:cs="仿宋"/>
                <w:spacing w:val="-2"/>
                <w:sz w:val="24"/>
                <w:highlight w:val="none"/>
              </w:rPr>
            </w:pPr>
          </w:p>
        </w:tc>
      </w:tr>
      <w:tr w14:paraId="13D7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705" w:type="dxa"/>
            <w:noWrap w:val="0"/>
            <w:vAlign w:val="center"/>
          </w:tcPr>
          <w:p w14:paraId="0A4B887C">
            <w:pPr>
              <w:spacing w:line="360" w:lineRule="auto"/>
              <w:jc w:val="center"/>
              <w:rPr>
                <w:rFonts w:hint="eastAsia" w:ascii="宋体" w:hAnsi="宋体" w:cs="仿宋" w:eastAsiaTheme="minorEastAsia"/>
                <w:spacing w:val="-2"/>
                <w:sz w:val="24"/>
                <w:highlight w:val="none"/>
                <w:lang w:eastAsia="zh-CN"/>
              </w:rPr>
            </w:pPr>
            <w:r>
              <w:rPr>
                <w:rFonts w:hint="eastAsia" w:ascii="宋体" w:hAnsi="宋体" w:cs="仿宋"/>
                <w:spacing w:val="-2"/>
                <w:sz w:val="24"/>
                <w:highlight w:val="none"/>
                <w:lang w:val="en-US" w:eastAsia="zh-CN"/>
              </w:rPr>
              <w:t>8</w:t>
            </w:r>
          </w:p>
        </w:tc>
        <w:tc>
          <w:tcPr>
            <w:tcW w:w="1845" w:type="dxa"/>
            <w:noWrap w:val="0"/>
            <w:vAlign w:val="center"/>
          </w:tcPr>
          <w:p w14:paraId="3E4952D6">
            <w:pPr>
              <w:spacing w:line="360" w:lineRule="auto"/>
              <w:jc w:val="center"/>
              <w:rPr>
                <w:rFonts w:hint="eastAsia" w:ascii="宋体" w:hAnsi="宋体" w:cs="仿宋"/>
                <w:sz w:val="24"/>
                <w:highlight w:val="none"/>
              </w:rPr>
            </w:pPr>
            <w:r>
              <w:rPr>
                <w:rFonts w:hint="eastAsia" w:ascii="宋体" w:hAnsi="宋体" w:cs="仿宋"/>
                <w:sz w:val="24"/>
                <w:highlight w:val="none"/>
              </w:rPr>
              <w:t>信用信息查询</w:t>
            </w:r>
          </w:p>
        </w:tc>
        <w:tc>
          <w:tcPr>
            <w:tcW w:w="6885" w:type="dxa"/>
            <w:noWrap w:val="0"/>
            <w:vAlign w:val="top"/>
          </w:tcPr>
          <w:p w14:paraId="60AD2C36">
            <w:pPr>
              <w:spacing w:line="360" w:lineRule="auto"/>
              <w:jc w:val="left"/>
              <w:rPr>
                <w:rFonts w:hint="eastAsia" w:ascii="宋体" w:hAnsi="宋体" w:cs="仿宋"/>
                <w:spacing w:val="-2"/>
                <w:sz w:val="24"/>
                <w:highlight w:val="none"/>
              </w:rPr>
            </w:pPr>
            <w:r>
              <w:rPr>
                <w:rFonts w:hint="eastAsia" w:ascii="宋体" w:hAnsi="宋体" w:cs="仿宋"/>
                <w:spacing w:val="-2"/>
                <w:sz w:val="24"/>
                <w:highlight w:val="none"/>
                <w:lang w:val="en-US" w:eastAsia="zh-CN"/>
              </w:rPr>
              <w:t>查询渠道：信用中国网站和中国政府采购网（www.creditchina.gov.cn 、www.ccgp.gov.cn）；</w:t>
            </w:r>
            <w:r>
              <w:rPr>
                <w:rFonts w:hint="eastAsia" w:ascii="宋体" w:hAnsi="宋体" w:cs="仿宋"/>
                <w:spacing w:val="-2"/>
                <w:sz w:val="24"/>
                <w:highlight w:val="none"/>
                <w:lang w:val="en-US" w:eastAsia="zh-CN"/>
              </w:rPr>
              <w:br w:type="textWrapping"/>
            </w:r>
            <w:r>
              <w:rPr>
                <w:rFonts w:hint="eastAsia" w:ascii="宋体" w:hAnsi="宋体" w:cs="仿宋"/>
                <w:spacing w:val="-2"/>
                <w:sz w:val="24"/>
                <w:highlight w:val="none"/>
                <w:lang w:val="en-US" w:eastAsia="zh-CN"/>
              </w:rPr>
              <w:t>截止时点：投标截止时间以后、资格审查阶段采购人或采购代理机构的实际查询时间；</w:t>
            </w:r>
            <w:r>
              <w:rPr>
                <w:rFonts w:hint="eastAsia" w:ascii="宋体" w:hAnsi="宋体" w:cs="仿宋"/>
                <w:spacing w:val="-2"/>
                <w:sz w:val="24"/>
                <w:highlight w:val="none"/>
                <w:lang w:val="en-US" w:eastAsia="zh-CN"/>
              </w:rPr>
              <w:br w:type="textWrapping"/>
            </w:r>
            <w:r>
              <w:rPr>
                <w:rFonts w:hint="eastAsia" w:ascii="宋体" w:hAnsi="宋体" w:cs="仿宋"/>
                <w:spacing w:val="-2"/>
                <w:sz w:val="24"/>
                <w:highlight w:val="none"/>
                <w:lang w:val="en-US" w:eastAsia="zh-CN"/>
              </w:rPr>
              <w:t>信用信息查询记录和证据留存具体方式：查询结果网页打印页作为查询记录和证据，与其他采购文件一并保存；</w:t>
            </w:r>
            <w:r>
              <w:rPr>
                <w:rFonts w:hint="eastAsia" w:ascii="宋体" w:hAnsi="宋体" w:cs="仿宋"/>
                <w:spacing w:val="-2"/>
                <w:sz w:val="24"/>
                <w:highlight w:val="none"/>
                <w:lang w:val="en-US" w:eastAsia="zh-CN"/>
              </w:rPr>
              <w:br w:type="textWrapping"/>
            </w:r>
            <w:r>
              <w:rPr>
                <w:rFonts w:hint="eastAsia" w:ascii="宋体" w:hAnsi="宋体" w:cs="仿宋"/>
                <w:spacing w:val="-2"/>
                <w:sz w:val="24"/>
                <w:highlight w:val="none"/>
                <w:lang w:val="en-US" w:eastAsia="zh-CN"/>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450" w:type="dxa"/>
            <w:noWrap w:val="0"/>
            <w:vAlign w:val="top"/>
          </w:tcPr>
          <w:p w14:paraId="3A8C771A">
            <w:pPr>
              <w:spacing w:line="360" w:lineRule="auto"/>
              <w:jc w:val="left"/>
              <w:rPr>
                <w:rFonts w:hint="eastAsia" w:ascii="宋体" w:hAnsi="宋体" w:cs="仿宋"/>
                <w:spacing w:val="-2"/>
                <w:sz w:val="24"/>
                <w:highlight w:val="none"/>
              </w:rPr>
            </w:pPr>
          </w:p>
        </w:tc>
        <w:tc>
          <w:tcPr>
            <w:tcW w:w="495" w:type="dxa"/>
            <w:noWrap w:val="0"/>
            <w:vAlign w:val="top"/>
          </w:tcPr>
          <w:p w14:paraId="2AE545B8">
            <w:pPr>
              <w:spacing w:line="360" w:lineRule="auto"/>
              <w:jc w:val="left"/>
              <w:rPr>
                <w:rFonts w:hint="eastAsia" w:ascii="宋体" w:hAnsi="宋体" w:cs="仿宋"/>
                <w:spacing w:val="-2"/>
                <w:sz w:val="24"/>
                <w:highlight w:val="none"/>
              </w:rPr>
            </w:pPr>
          </w:p>
        </w:tc>
        <w:tc>
          <w:tcPr>
            <w:tcW w:w="510" w:type="dxa"/>
            <w:noWrap w:val="0"/>
            <w:vAlign w:val="top"/>
          </w:tcPr>
          <w:p w14:paraId="03C76E28">
            <w:pPr>
              <w:spacing w:line="360" w:lineRule="auto"/>
              <w:jc w:val="left"/>
              <w:rPr>
                <w:rFonts w:hint="eastAsia" w:ascii="宋体" w:hAnsi="宋体" w:cs="仿宋"/>
                <w:spacing w:val="-2"/>
                <w:sz w:val="24"/>
                <w:highlight w:val="none"/>
              </w:rPr>
            </w:pPr>
          </w:p>
        </w:tc>
      </w:tr>
      <w:tr w14:paraId="6EAA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trPr>
        <w:tc>
          <w:tcPr>
            <w:tcW w:w="705" w:type="dxa"/>
            <w:noWrap w:val="0"/>
            <w:vAlign w:val="center"/>
          </w:tcPr>
          <w:p w14:paraId="14F0AFF6">
            <w:pPr>
              <w:spacing w:line="360" w:lineRule="auto"/>
              <w:jc w:val="center"/>
              <w:rPr>
                <w:rFonts w:hint="default" w:ascii="宋体" w:hAnsi="宋体" w:cs="仿宋"/>
                <w:spacing w:val="-2"/>
                <w:sz w:val="24"/>
                <w:highlight w:val="none"/>
                <w:lang w:val="en-US" w:eastAsia="zh-CN"/>
              </w:rPr>
            </w:pPr>
            <w:r>
              <w:rPr>
                <w:rFonts w:hint="eastAsia" w:cs="仿宋"/>
                <w:spacing w:val="-2"/>
                <w:sz w:val="24"/>
                <w:highlight w:val="none"/>
                <w:lang w:val="en-US" w:eastAsia="zh-CN"/>
              </w:rPr>
              <w:t>9</w:t>
            </w:r>
          </w:p>
        </w:tc>
        <w:tc>
          <w:tcPr>
            <w:tcW w:w="1845" w:type="dxa"/>
            <w:noWrap w:val="0"/>
            <w:vAlign w:val="center"/>
          </w:tcPr>
          <w:p w14:paraId="59FC9112">
            <w:pPr>
              <w:spacing w:line="360" w:lineRule="auto"/>
              <w:jc w:val="center"/>
              <w:rPr>
                <w:rFonts w:hint="default" w:ascii="宋体" w:hAnsi="宋体" w:eastAsia="宋体" w:cs="仿宋"/>
                <w:sz w:val="24"/>
                <w:highlight w:val="none"/>
                <w:lang w:val="en-US" w:eastAsia="zh-CN"/>
              </w:rPr>
            </w:pPr>
            <w:r>
              <w:rPr>
                <w:rFonts w:hint="eastAsia" w:cs="仿宋"/>
                <w:sz w:val="24"/>
                <w:highlight w:val="none"/>
                <w:lang w:val="en-US" w:eastAsia="zh-CN"/>
              </w:rPr>
              <w:t>特定资格要求</w:t>
            </w:r>
          </w:p>
        </w:tc>
        <w:tc>
          <w:tcPr>
            <w:tcW w:w="6885" w:type="dxa"/>
            <w:noWrap w:val="0"/>
            <w:vAlign w:val="top"/>
          </w:tcPr>
          <w:p w14:paraId="2FA6396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3.1 </w:t>
            </w:r>
            <w:r>
              <w:rPr>
                <w:rFonts w:hint="eastAsia" w:cs="宋体"/>
                <w:i w:val="0"/>
                <w:iCs w:val="0"/>
                <w:color w:val="auto"/>
                <w:sz w:val="24"/>
                <w:szCs w:val="24"/>
                <w:highlight w:val="none"/>
                <w:u w:val="none"/>
                <w:lang w:val="en-US" w:eastAsia="zh-CN"/>
              </w:rPr>
              <w:t>供应商具有甲级测绘资质；</w:t>
            </w:r>
          </w:p>
          <w:p w14:paraId="17955B8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 xml:space="preserve">3.2 </w:t>
            </w:r>
            <w:r>
              <w:rPr>
                <w:rFonts w:hint="eastAsia" w:ascii="宋体" w:hAnsi="宋体" w:eastAsia="宋体" w:cs="宋体"/>
                <w:color w:val="auto"/>
                <w:sz w:val="24"/>
                <w:szCs w:val="24"/>
                <w:highlight w:val="none"/>
                <w:lang w:val="en-US" w:eastAsia="zh-CN"/>
              </w:rPr>
              <w:t>法定代表人或单位负责人为同一人或者存在直接控股、管理关系的不同供应商，不得参加同一合同项下的政府采购活动。</w:t>
            </w:r>
          </w:p>
          <w:p w14:paraId="318CF49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除单一来源采购项目外，为采购项目提供整体设计、规范编制或者项目管理、监理、检测等服务的供应商，不得再参加该采购项目的其他采购活动。</w:t>
            </w:r>
          </w:p>
          <w:p w14:paraId="13696D50">
            <w:pPr>
              <w:spacing w:line="360" w:lineRule="auto"/>
              <w:ind w:firstLine="480" w:firstLineChars="200"/>
              <w:jc w:val="left"/>
              <w:rPr>
                <w:rFonts w:hint="eastAsia" w:ascii="宋体" w:hAnsi="宋体" w:cs="仿宋"/>
                <w:spacing w:val="-2"/>
                <w:sz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供应商的信用行为：在资格审查阶段经查询，未被列入“失信被执行人”、“重大税收违法失信主体”、“政府采购严重违法失信行为记录名单”其中之一。如有以上不良信用记录之一的，其</w:t>
            </w:r>
            <w:r>
              <w:rPr>
                <w:rFonts w:hint="eastAsia" w:ascii="宋体" w:hAnsi="宋体" w:eastAsia="宋体" w:cs="宋体"/>
                <w:b/>
                <w:bCs/>
                <w:color w:val="auto"/>
                <w:sz w:val="24"/>
                <w:szCs w:val="24"/>
                <w:highlight w:val="none"/>
                <w:lang w:val="hr-HR"/>
              </w:rPr>
              <w:t>投标</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u w:val="none"/>
                <w:lang w:val="en-US" w:eastAsia="zh-CN"/>
              </w:rPr>
              <w:t xml:space="preserve">         </w:t>
            </w:r>
          </w:p>
        </w:tc>
        <w:tc>
          <w:tcPr>
            <w:tcW w:w="450" w:type="dxa"/>
            <w:noWrap w:val="0"/>
            <w:vAlign w:val="top"/>
          </w:tcPr>
          <w:p w14:paraId="195BD0EB">
            <w:pPr>
              <w:spacing w:line="360" w:lineRule="auto"/>
              <w:jc w:val="left"/>
              <w:rPr>
                <w:rFonts w:hint="eastAsia" w:ascii="宋体" w:hAnsi="宋体" w:cs="仿宋"/>
                <w:spacing w:val="-2"/>
                <w:sz w:val="24"/>
                <w:highlight w:val="none"/>
              </w:rPr>
            </w:pPr>
          </w:p>
        </w:tc>
        <w:tc>
          <w:tcPr>
            <w:tcW w:w="495" w:type="dxa"/>
            <w:noWrap w:val="0"/>
            <w:vAlign w:val="top"/>
          </w:tcPr>
          <w:p w14:paraId="2BC9F86C">
            <w:pPr>
              <w:spacing w:line="360" w:lineRule="auto"/>
              <w:jc w:val="left"/>
              <w:rPr>
                <w:rFonts w:hint="eastAsia" w:ascii="宋体" w:hAnsi="宋体" w:cs="仿宋"/>
                <w:spacing w:val="-2"/>
                <w:sz w:val="24"/>
                <w:highlight w:val="none"/>
              </w:rPr>
            </w:pPr>
          </w:p>
        </w:tc>
        <w:tc>
          <w:tcPr>
            <w:tcW w:w="510" w:type="dxa"/>
            <w:noWrap w:val="0"/>
            <w:vAlign w:val="top"/>
          </w:tcPr>
          <w:p w14:paraId="55C3685C">
            <w:pPr>
              <w:spacing w:line="360" w:lineRule="auto"/>
              <w:jc w:val="left"/>
              <w:rPr>
                <w:rFonts w:hint="eastAsia" w:ascii="宋体" w:hAnsi="宋体" w:cs="仿宋"/>
                <w:spacing w:val="-2"/>
                <w:sz w:val="24"/>
                <w:highlight w:val="none"/>
              </w:rPr>
            </w:pPr>
          </w:p>
        </w:tc>
      </w:tr>
      <w:tr w14:paraId="7CEA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50" w:type="dxa"/>
            <w:gridSpan w:val="2"/>
            <w:noWrap w:val="0"/>
            <w:vAlign w:val="center"/>
          </w:tcPr>
          <w:p w14:paraId="33B458EC">
            <w:pPr>
              <w:spacing w:line="360" w:lineRule="auto"/>
              <w:jc w:val="both"/>
              <w:rPr>
                <w:rFonts w:hint="eastAsia" w:ascii="宋体" w:hAnsi="宋体" w:cs="仿宋"/>
                <w:sz w:val="24"/>
              </w:rPr>
            </w:pPr>
            <w:r>
              <w:rPr>
                <w:rFonts w:hint="eastAsia" w:ascii="宋体" w:hAnsi="宋体" w:cs="仿宋"/>
                <w:spacing w:val="-2"/>
                <w:sz w:val="24"/>
              </w:rPr>
              <w:t>结论</w:t>
            </w:r>
          </w:p>
        </w:tc>
        <w:tc>
          <w:tcPr>
            <w:tcW w:w="6885" w:type="dxa"/>
            <w:noWrap w:val="0"/>
            <w:vAlign w:val="top"/>
          </w:tcPr>
          <w:p w14:paraId="5E33CE2F">
            <w:pPr>
              <w:spacing w:line="360" w:lineRule="auto"/>
              <w:jc w:val="left"/>
              <w:rPr>
                <w:rFonts w:hint="eastAsia" w:ascii="宋体" w:hAnsi="宋体" w:cs="仿宋"/>
                <w:spacing w:val="-2"/>
                <w:sz w:val="24"/>
              </w:rPr>
            </w:pPr>
          </w:p>
        </w:tc>
        <w:tc>
          <w:tcPr>
            <w:tcW w:w="450" w:type="dxa"/>
            <w:noWrap w:val="0"/>
            <w:vAlign w:val="top"/>
          </w:tcPr>
          <w:p w14:paraId="32A120C8">
            <w:pPr>
              <w:spacing w:line="360" w:lineRule="auto"/>
              <w:jc w:val="left"/>
              <w:rPr>
                <w:rFonts w:hint="eastAsia" w:ascii="宋体" w:hAnsi="宋体" w:cs="仿宋"/>
                <w:spacing w:val="-2"/>
                <w:sz w:val="24"/>
              </w:rPr>
            </w:pPr>
          </w:p>
        </w:tc>
        <w:tc>
          <w:tcPr>
            <w:tcW w:w="495" w:type="dxa"/>
            <w:noWrap w:val="0"/>
            <w:vAlign w:val="top"/>
          </w:tcPr>
          <w:p w14:paraId="0A30935F">
            <w:pPr>
              <w:spacing w:line="360" w:lineRule="auto"/>
              <w:jc w:val="left"/>
              <w:rPr>
                <w:rFonts w:hint="eastAsia" w:ascii="宋体" w:hAnsi="宋体" w:cs="仿宋"/>
                <w:spacing w:val="-2"/>
                <w:sz w:val="24"/>
              </w:rPr>
            </w:pPr>
          </w:p>
        </w:tc>
        <w:tc>
          <w:tcPr>
            <w:tcW w:w="510" w:type="dxa"/>
            <w:noWrap w:val="0"/>
            <w:vAlign w:val="top"/>
          </w:tcPr>
          <w:p w14:paraId="1B9C4736">
            <w:pPr>
              <w:spacing w:line="360" w:lineRule="auto"/>
              <w:jc w:val="left"/>
              <w:rPr>
                <w:rFonts w:hint="eastAsia" w:ascii="宋体" w:hAnsi="宋体" w:cs="仿宋"/>
                <w:spacing w:val="-2"/>
                <w:sz w:val="24"/>
              </w:rPr>
            </w:pPr>
          </w:p>
        </w:tc>
      </w:tr>
    </w:tbl>
    <w:p w14:paraId="75823E1B">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3CB9CD2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w:t>
      </w:r>
    </w:p>
    <w:p w14:paraId="7E275CC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2E58BC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23EF8A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6B4E95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C0F8FE6">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1B53EAD">
      <w:pPr>
        <w:pStyle w:val="6"/>
        <w:bidi w:val="0"/>
        <w:rPr>
          <w:rFonts w:hint="eastAsia" w:ascii="宋体" w:hAnsi="宋体" w:eastAsia="宋体" w:cs="宋体"/>
          <w:lang w:val="en-US" w:eastAsia="zh-CN"/>
        </w:rPr>
      </w:pPr>
      <w:bookmarkStart w:id="454" w:name="_Toc155185903"/>
      <w:bookmarkStart w:id="455" w:name="_Toc20602"/>
      <w:bookmarkStart w:id="456" w:name="_Toc18814"/>
      <w:bookmarkStart w:id="457" w:name="_Toc21586"/>
      <w:r>
        <w:rPr>
          <w:rFonts w:hint="eastAsia" w:ascii="宋体" w:hAnsi="宋体" w:eastAsia="宋体" w:cs="宋体"/>
          <w:lang w:val="en-US" w:eastAsia="zh-CN"/>
        </w:rPr>
        <w:t>第五章 评标方法</w:t>
      </w:r>
      <w:bookmarkEnd w:id="454"/>
      <w:r>
        <w:rPr>
          <w:rFonts w:hint="eastAsia" w:ascii="宋体" w:hAnsi="宋体" w:eastAsia="宋体" w:cs="宋体"/>
          <w:lang w:val="en-US" w:eastAsia="zh-CN"/>
        </w:rPr>
        <w:t>及标准</w:t>
      </w:r>
      <w:bookmarkEnd w:id="455"/>
      <w:bookmarkEnd w:id="456"/>
      <w:bookmarkEnd w:id="457"/>
    </w:p>
    <w:p w14:paraId="2BB6F8A4">
      <w:pPr>
        <w:pStyle w:val="40"/>
        <w:rPr>
          <w:color w:val="auto"/>
          <w:highlight w:val="none"/>
        </w:rPr>
      </w:pPr>
      <w:r>
        <w:rPr>
          <w:rFonts w:hint="eastAsia"/>
          <w:color w:val="auto"/>
          <w:highlight w:val="none"/>
        </w:rPr>
        <w:t>根据《中华人民共和国政府采购法》及其实施条例、《政府采购货物和服务招标投标管理办法》</w:t>
      </w:r>
      <w:r>
        <w:rPr>
          <w:rFonts w:hint="eastAsia"/>
          <w:color w:val="auto"/>
          <w:highlight w:val="none"/>
          <w:lang w:val="en-US" w:eastAsia="zh-CN"/>
        </w:rPr>
        <w:t>及</w:t>
      </w:r>
      <w:r>
        <w:rPr>
          <w:rFonts w:hint="eastAsia"/>
          <w:color w:val="auto"/>
          <w:highlight w:val="none"/>
        </w:rPr>
        <w:t>相关法律法规确定以下评标</w:t>
      </w:r>
      <w:r>
        <w:rPr>
          <w:rFonts w:hint="eastAsia"/>
          <w:color w:val="auto"/>
          <w:highlight w:val="none"/>
          <w:lang w:val="en-US" w:eastAsia="zh-CN"/>
        </w:rPr>
        <w:t>方</w:t>
      </w:r>
      <w:r>
        <w:rPr>
          <w:rFonts w:hint="eastAsia"/>
          <w:color w:val="auto"/>
          <w:highlight w:val="none"/>
        </w:rPr>
        <w:t>法及标准。</w:t>
      </w:r>
    </w:p>
    <w:p w14:paraId="040C2DF7">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458" w:name="_Toc21370"/>
      <w:bookmarkStart w:id="459" w:name="_Toc278891606"/>
      <w:bookmarkStart w:id="460" w:name="_Toc511894518"/>
      <w:bookmarkStart w:id="461" w:name="_Toc61280402"/>
      <w:bookmarkStart w:id="462" w:name="_Toc272247709"/>
      <w:bookmarkStart w:id="463" w:name="_Toc109899903"/>
      <w:bookmarkStart w:id="464" w:name="_Toc109900322"/>
      <w:bookmarkStart w:id="465" w:name="_Toc109899484"/>
      <w:bookmarkStart w:id="466" w:name="_Toc155185905"/>
      <w:bookmarkStart w:id="467" w:name="_Toc494561962"/>
      <w:bookmarkStart w:id="468" w:name="_Toc140132826"/>
      <w:r>
        <w:rPr>
          <w:rFonts w:hint="eastAsia" w:ascii="宋体" w:hAnsi="宋体" w:eastAsia="宋体" w:cs="宋体"/>
          <w:color w:val="auto"/>
          <w:sz w:val="28"/>
          <w:szCs w:val="28"/>
          <w:highlight w:val="none"/>
          <w:lang w:val="zh-CN" w:eastAsia="zh-CN"/>
        </w:rPr>
        <w:t>一、评标</w:t>
      </w:r>
      <w:r>
        <w:rPr>
          <w:rFonts w:hint="eastAsia" w:ascii="宋体" w:hAnsi="宋体" w:eastAsia="宋体" w:cs="宋体"/>
          <w:color w:val="auto"/>
          <w:sz w:val="28"/>
          <w:szCs w:val="28"/>
          <w:highlight w:val="none"/>
          <w:lang w:val="en-US" w:eastAsia="zh-CN"/>
        </w:rPr>
        <w:t>方</w:t>
      </w:r>
      <w:r>
        <w:rPr>
          <w:rFonts w:hint="eastAsia" w:ascii="宋体" w:hAnsi="宋体" w:eastAsia="宋体" w:cs="宋体"/>
          <w:color w:val="auto"/>
          <w:sz w:val="28"/>
          <w:szCs w:val="28"/>
          <w:highlight w:val="none"/>
          <w:lang w:val="zh-CN" w:eastAsia="zh-CN"/>
        </w:rPr>
        <w:t>法</w:t>
      </w:r>
      <w:bookmarkEnd w:id="458"/>
    </w:p>
    <w:p w14:paraId="40F9AE81">
      <w:pPr>
        <w:pStyle w:val="40"/>
        <w:keepNext w:val="0"/>
        <w:keepLines w:val="0"/>
        <w:pageBreakBefore w:val="0"/>
        <w:widowControl w:val="0"/>
        <w:kinsoku/>
        <w:wordWrap w:val="0"/>
        <w:overflowPunct/>
        <w:topLinePunct w:val="0"/>
        <w:autoSpaceDE/>
        <w:autoSpaceDN/>
        <w:bidi w:val="0"/>
        <w:adjustRightInd/>
        <w:snapToGrid/>
        <w:ind w:firstLine="482"/>
        <w:textAlignment w:val="auto"/>
        <w:rPr>
          <w:color w:val="auto"/>
          <w:highlight w:val="none"/>
        </w:rPr>
      </w:pPr>
      <w:r>
        <w:rPr>
          <w:rFonts w:hint="eastAsia"/>
          <w:color w:val="auto"/>
          <w:highlight w:val="none"/>
        </w:rPr>
        <w:t>1.</w:t>
      </w:r>
      <w:r>
        <w:rPr>
          <w:rFonts w:hint="eastAsia"/>
          <w:b/>
          <w:bCs/>
          <w:color w:val="auto"/>
          <w:highlight w:val="none"/>
        </w:rPr>
        <w:t>本项目采用综合评分法</w:t>
      </w:r>
      <w:r>
        <w:rPr>
          <w:rFonts w:hint="eastAsia"/>
          <w:color w:val="auto"/>
          <w:highlight w:val="none"/>
        </w:rPr>
        <w:t>。综合评分法，是指投标文件满足招标文件全部实质性要求，且按照评审因素的量化指标评审得分最高的投标人为中标候选人的评标方法。</w:t>
      </w:r>
    </w:p>
    <w:p w14:paraId="5EC2DCA1">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469" w:name="_Toc4945"/>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val="zh-CN" w:eastAsia="zh-CN"/>
        </w:rPr>
        <w:t>、评标程序</w:t>
      </w:r>
      <w:bookmarkEnd w:id="469"/>
    </w:p>
    <w:p w14:paraId="2CEA851A">
      <w:pPr>
        <w:pStyle w:val="8"/>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70" w:name="_Toc30735"/>
      <w:bookmarkStart w:id="471" w:name="_Toc27226"/>
      <w:bookmarkStart w:id="472" w:name="_Toc18989"/>
      <w:r>
        <w:rPr>
          <w:rFonts w:hint="eastAsia" w:ascii="宋体" w:hAnsi="宋体" w:eastAsia="宋体" w:cs="宋体"/>
          <w:b/>
          <w:bCs/>
          <w:color w:val="auto"/>
          <w:kern w:val="2"/>
          <w:sz w:val="24"/>
          <w:szCs w:val="24"/>
          <w:highlight w:val="none"/>
          <w:lang w:val="zh-CN" w:eastAsia="zh-CN" w:bidi="ar-SA"/>
        </w:rPr>
        <w:t>（一）符合性审查</w:t>
      </w:r>
      <w:bookmarkEnd w:id="470"/>
      <w:bookmarkEnd w:id="471"/>
      <w:bookmarkEnd w:id="472"/>
    </w:p>
    <w:p w14:paraId="4E726315">
      <w:pPr>
        <w:pStyle w:val="40"/>
        <w:rPr>
          <w:rFonts w:hint="eastAsia"/>
          <w:color w:val="auto"/>
          <w:highlight w:val="none"/>
          <w:lang w:val="zh-CN"/>
        </w:rPr>
      </w:pPr>
      <w:r>
        <w:rPr>
          <w:rFonts w:hint="eastAsia"/>
          <w:color w:val="auto"/>
          <w:highlight w:val="none"/>
          <w:lang w:val="en-US" w:eastAsia="zh-CN"/>
        </w:rPr>
        <w:t>2.</w:t>
      </w:r>
      <w:r>
        <w:rPr>
          <w:rFonts w:hint="eastAsia"/>
          <w:color w:val="auto"/>
          <w:highlight w:val="none"/>
        </w:rPr>
        <w:t>评标委员会应当对</w:t>
      </w:r>
      <w:r>
        <w:rPr>
          <w:rFonts w:hint="eastAsia"/>
          <w:color w:val="auto"/>
          <w:highlight w:val="none"/>
          <w:lang w:val="en-US" w:eastAsia="zh-CN"/>
        </w:rPr>
        <w:t>通过</w:t>
      </w:r>
      <w:r>
        <w:rPr>
          <w:rFonts w:hint="eastAsia"/>
          <w:color w:val="auto"/>
          <w:highlight w:val="none"/>
        </w:rPr>
        <w:t>资格</w:t>
      </w:r>
      <w:r>
        <w:rPr>
          <w:rFonts w:hint="eastAsia"/>
          <w:color w:val="auto"/>
          <w:highlight w:val="none"/>
          <w:lang w:val="en-US" w:eastAsia="zh-CN"/>
        </w:rPr>
        <w:t>审查</w:t>
      </w:r>
      <w:r>
        <w:rPr>
          <w:rFonts w:hint="eastAsia"/>
          <w:color w:val="auto"/>
          <w:highlight w:val="none"/>
        </w:rPr>
        <w:t>的投标人的投标文件进行符合性审查，以确定其是否满足招标文件的实质性要求。投标人必须通过符合性审查的全部评审指标</w:t>
      </w:r>
      <w:r>
        <w:rPr>
          <w:rFonts w:hint="eastAsia"/>
          <w:color w:val="auto"/>
          <w:highlight w:val="none"/>
          <w:lang w:eastAsia="zh-CN"/>
        </w:rPr>
        <w:t>，</w:t>
      </w:r>
      <w:r>
        <w:rPr>
          <w:rFonts w:hint="eastAsia"/>
          <w:color w:val="auto"/>
          <w:highlight w:val="none"/>
        </w:rPr>
        <w:t>不满足招标文件的实质性要求的，</w:t>
      </w:r>
      <w:r>
        <w:rPr>
          <w:rFonts w:hint="eastAsia"/>
          <w:color w:val="auto"/>
          <w:highlight w:val="none"/>
          <w:lang w:val="en-US" w:eastAsia="zh-CN"/>
        </w:rPr>
        <w:t>其</w:t>
      </w:r>
      <w:r>
        <w:rPr>
          <w:rFonts w:hint="eastAsia"/>
          <w:b/>
          <w:bCs/>
          <w:color w:val="auto"/>
          <w:highlight w:val="none"/>
        </w:rPr>
        <w:t>投标无效</w:t>
      </w:r>
      <w:r>
        <w:rPr>
          <w:rFonts w:hint="eastAsia"/>
          <w:color w:val="auto"/>
          <w:highlight w:val="none"/>
        </w:rPr>
        <w:t>。</w:t>
      </w:r>
      <w:r>
        <w:rPr>
          <w:rFonts w:hint="eastAsia"/>
          <w:color w:val="auto"/>
          <w:highlight w:val="none"/>
          <w:lang w:val="en-US" w:eastAsia="zh-CN"/>
        </w:rPr>
        <w:t>具体内容详</w:t>
      </w:r>
      <w:r>
        <w:rPr>
          <w:rFonts w:hint="eastAsia"/>
          <w:color w:val="auto"/>
          <w:highlight w:val="none"/>
          <w:lang w:val="zh-CN"/>
        </w:rPr>
        <w:t>本章“</w:t>
      </w:r>
      <w:r>
        <w:rPr>
          <w:rFonts w:hint="eastAsia"/>
          <w:color w:val="auto"/>
          <w:highlight w:val="none"/>
          <w:lang w:val="en-US" w:eastAsia="zh-CN"/>
        </w:rPr>
        <w:t>四</w:t>
      </w:r>
      <w:r>
        <w:rPr>
          <w:rFonts w:hint="eastAsia"/>
          <w:color w:val="auto"/>
          <w:highlight w:val="none"/>
          <w:lang w:val="zh-CN"/>
        </w:rPr>
        <w:t>、评标标准”中</w:t>
      </w:r>
      <w:r>
        <w:rPr>
          <w:rFonts w:hint="eastAsia"/>
          <w:color w:val="auto"/>
          <w:highlight w:val="none"/>
          <w:lang w:val="en-US" w:eastAsia="zh-CN"/>
        </w:rPr>
        <w:t>的</w:t>
      </w:r>
      <w:r>
        <w:rPr>
          <w:rFonts w:hint="eastAsia"/>
          <w:color w:val="auto"/>
          <w:highlight w:val="none"/>
          <w:lang w:val="zh-CN"/>
        </w:rPr>
        <w:t>“（一）符合性审查”。</w:t>
      </w:r>
    </w:p>
    <w:p w14:paraId="6117DC47">
      <w:pPr>
        <w:pStyle w:val="40"/>
        <w:rPr>
          <w:rFonts w:hint="eastAsia"/>
          <w:color w:val="auto"/>
          <w:highlight w:val="none"/>
          <w:lang w:val="zh-CN"/>
        </w:rPr>
      </w:pPr>
      <w:r>
        <w:rPr>
          <w:rFonts w:hint="eastAsia"/>
          <w:color w:val="auto"/>
          <w:highlight w:val="none"/>
          <w:lang w:val="en-US" w:eastAsia="zh-CN"/>
        </w:rPr>
        <w:t>通过</w:t>
      </w:r>
      <w:r>
        <w:rPr>
          <w:rFonts w:hint="eastAsia"/>
          <w:color w:val="auto"/>
          <w:highlight w:val="none"/>
        </w:rPr>
        <w:t>符合性审查</w:t>
      </w:r>
      <w:r>
        <w:rPr>
          <w:rFonts w:hint="eastAsia"/>
          <w:color w:val="auto"/>
          <w:highlight w:val="none"/>
          <w:lang w:val="en-US" w:eastAsia="zh-CN"/>
        </w:rPr>
        <w:t>的</w:t>
      </w:r>
      <w:r>
        <w:rPr>
          <w:rFonts w:hint="eastAsia"/>
          <w:color w:val="auto"/>
          <w:highlight w:val="none"/>
        </w:rPr>
        <w:t>有效</w:t>
      </w:r>
      <w:r>
        <w:rPr>
          <w:rFonts w:hint="eastAsia"/>
          <w:color w:val="auto"/>
          <w:highlight w:val="none"/>
          <w:lang w:eastAsia="zh-CN"/>
        </w:rPr>
        <w:t>供应商</w:t>
      </w:r>
      <w:r>
        <w:rPr>
          <w:rFonts w:hint="eastAsia"/>
          <w:color w:val="auto"/>
          <w:highlight w:val="none"/>
        </w:rPr>
        <w:t>不足3家的应当终止采购活动，发布项目终止公告并说明原因，重新开展采购活动。</w:t>
      </w:r>
    </w:p>
    <w:p w14:paraId="34580356">
      <w:pPr>
        <w:pStyle w:val="8"/>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73" w:name="_Toc102056244"/>
      <w:bookmarkStart w:id="474" w:name="_Toc102057744"/>
      <w:bookmarkStart w:id="475" w:name="_Toc102114946"/>
      <w:bookmarkStart w:id="476" w:name="_Toc102119879"/>
      <w:bookmarkStart w:id="477" w:name="_Toc155185907"/>
      <w:bookmarkStart w:id="478" w:name="_Toc102116178"/>
      <w:bookmarkStart w:id="479" w:name="_Toc102116048"/>
      <w:bookmarkStart w:id="480" w:name="_Toc163492903"/>
      <w:bookmarkStart w:id="481" w:name="_Toc2036"/>
      <w:bookmarkStart w:id="482" w:name="_Toc10476"/>
      <w:bookmarkStart w:id="483" w:name="_Toc20930"/>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）投标文件澄清</w:t>
      </w:r>
      <w:bookmarkEnd w:id="473"/>
      <w:bookmarkEnd w:id="474"/>
      <w:bookmarkEnd w:id="475"/>
      <w:bookmarkEnd w:id="476"/>
      <w:bookmarkEnd w:id="477"/>
      <w:bookmarkEnd w:id="478"/>
      <w:bookmarkEnd w:id="479"/>
      <w:r>
        <w:rPr>
          <w:rFonts w:hint="eastAsia" w:ascii="宋体" w:hAnsi="宋体" w:eastAsia="宋体" w:cs="宋体"/>
          <w:b/>
          <w:bCs/>
          <w:color w:val="auto"/>
          <w:kern w:val="2"/>
          <w:sz w:val="24"/>
          <w:szCs w:val="24"/>
          <w:highlight w:val="none"/>
          <w:lang w:val="zh-CN" w:eastAsia="zh-CN" w:bidi="ar-SA"/>
        </w:rPr>
        <w:t>及修正</w:t>
      </w:r>
      <w:bookmarkEnd w:id="480"/>
      <w:bookmarkEnd w:id="481"/>
      <w:bookmarkEnd w:id="482"/>
      <w:bookmarkEnd w:id="483"/>
    </w:p>
    <w:p w14:paraId="0EC9197C">
      <w:pPr>
        <w:pStyle w:val="40"/>
        <w:keepNext w:val="0"/>
        <w:keepLines w:val="0"/>
        <w:pageBreakBefore w:val="0"/>
        <w:widowControl w:val="0"/>
        <w:kinsoku/>
        <w:wordWrap w:val="0"/>
        <w:overflowPunct/>
        <w:topLinePunct w:val="0"/>
        <w:autoSpaceDE/>
        <w:autoSpaceDN/>
        <w:bidi w:val="0"/>
        <w:adjustRightInd/>
        <w:snapToGrid/>
        <w:textAlignment w:val="auto"/>
        <w:rPr>
          <w:color w:val="auto"/>
          <w:highlight w:val="none"/>
        </w:rPr>
      </w:pPr>
      <w:r>
        <w:rPr>
          <w:rFonts w:hint="eastAsia"/>
          <w:color w:val="auto"/>
          <w:highlight w:val="none"/>
          <w:lang w:val="en-US" w:eastAsia="zh-CN"/>
        </w:rPr>
        <w:t>3</w:t>
      </w:r>
      <w:r>
        <w:rPr>
          <w:color w:val="auto"/>
          <w:highlight w:val="none"/>
        </w:rPr>
        <w:t>.</w:t>
      </w:r>
      <w:r>
        <w:rPr>
          <w:rFonts w:hint="eastAsia"/>
          <w:iCs/>
          <w:color w:val="auto"/>
          <w:spacing w:val="-6"/>
          <w:sz w:val="24"/>
          <w:highlight w:val="none"/>
        </w:rPr>
        <w:t>评标期间，对于投标文件中含义不明确、同类问题表述不一致或者有明显文字和计算错误的内容需要投标人作出必要的澄清、说明或者补正的，评标委员会应当在</w:t>
      </w:r>
      <w:r>
        <w:rPr>
          <w:rFonts w:hint="eastAsia"/>
          <w:iCs/>
          <w:color w:val="auto"/>
          <w:spacing w:val="-6"/>
          <w:sz w:val="24"/>
          <w:highlight w:val="none"/>
          <w:lang w:val="en-US" w:eastAsia="zh-CN"/>
        </w:rPr>
        <w:t>政采云平台评标</w:t>
      </w:r>
      <w:r>
        <w:rPr>
          <w:rFonts w:hint="eastAsia"/>
          <w:iCs/>
          <w:color w:val="auto"/>
          <w:spacing w:val="-6"/>
          <w:sz w:val="24"/>
          <w:highlight w:val="none"/>
        </w:rPr>
        <w:t>系统中以书面形式要求投标人作出必要的澄清、说明或者补正。</w:t>
      </w:r>
    </w:p>
    <w:p w14:paraId="079329DA">
      <w:pPr>
        <w:pStyle w:val="40"/>
        <w:keepNext w:val="0"/>
        <w:keepLines w:val="0"/>
        <w:pageBreakBefore w:val="0"/>
        <w:widowControl w:val="0"/>
        <w:kinsoku/>
        <w:wordWrap w:val="0"/>
        <w:overflowPunct/>
        <w:topLinePunct w:val="0"/>
        <w:autoSpaceDE/>
        <w:autoSpaceDN/>
        <w:bidi w:val="0"/>
        <w:adjustRightInd/>
        <w:snapToGrid/>
        <w:textAlignment w:val="auto"/>
        <w:rPr>
          <w:color w:val="auto"/>
          <w:highlight w:val="none"/>
        </w:rPr>
      </w:pPr>
      <w:r>
        <w:rPr>
          <w:rFonts w:hint="eastAsia"/>
          <w:color w:val="auto"/>
          <w:highlight w:val="none"/>
          <w:lang w:val="en-US" w:eastAsia="zh-CN"/>
        </w:rPr>
        <w:t>4</w:t>
      </w:r>
      <w:r>
        <w:rPr>
          <w:color w:val="auto"/>
          <w:highlight w:val="none"/>
        </w:rPr>
        <w:t>.</w:t>
      </w:r>
      <w:r>
        <w:rPr>
          <w:rFonts w:hint="eastAsia"/>
          <w:color w:val="auto"/>
          <w:highlight w:val="none"/>
        </w:rPr>
        <w:t>投标人应按照评标委员会要求在规定时间内作出澄清、说明或者补正，</w:t>
      </w:r>
      <w:r>
        <w:rPr>
          <w:color w:val="auto"/>
          <w:highlight w:val="none"/>
        </w:rPr>
        <w:t>澄清、说明或者补正不得超出投标文件的范围或者改变投标文件的实质性内容。</w:t>
      </w:r>
    </w:p>
    <w:p w14:paraId="591A6455">
      <w:pPr>
        <w:pStyle w:val="40"/>
        <w:keepNext w:val="0"/>
        <w:keepLines w:val="0"/>
        <w:pageBreakBefore w:val="0"/>
        <w:widowControl w:val="0"/>
        <w:kinsoku/>
        <w:wordWrap w:val="0"/>
        <w:overflowPunct/>
        <w:topLinePunct w:val="0"/>
        <w:autoSpaceDE/>
        <w:autoSpaceDN/>
        <w:bidi w:val="0"/>
        <w:adjustRightInd/>
        <w:snapToGrid/>
        <w:textAlignment w:val="auto"/>
        <w:rPr>
          <w:color w:val="auto"/>
          <w:highlight w:val="none"/>
        </w:rPr>
      </w:pPr>
      <w:r>
        <w:rPr>
          <w:rFonts w:hint="eastAsia"/>
          <w:color w:val="auto"/>
          <w:highlight w:val="none"/>
          <w:lang w:val="en-US" w:eastAsia="zh-CN"/>
        </w:rPr>
        <w:t>5</w:t>
      </w:r>
      <w:r>
        <w:rPr>
          <w:color w:val="auto"/>
          <w:highlight w:val="none"/>
        </w:rPr>
        <w:t>.</w:t>
      </w:r>
      <w:r>
        <w:rPr>
          <w:rFonts w:hint="eastAsia"/>
          <w:color w:val="auto"/>
          <w:highlight w:val="none"/>
        </w:rPr>
        <w:t>投标人的</w:t>
      </w:r>
      <w:r>
        <w:rPr>
          <w:color w:val="auto"/>
          <w:highlight w:val="none"/>
        </w:rPr>
        <w:t>澄清、说明或者补正</w:t>
      </w:r>
      <w:r>
        <w:rPr>
          <w:rFonts w:hint="eastAsia"/>
          <w:color w:val="auto"/>
          <w:highlight w:val="none"/>
        </w:rPr>
        <w:t>是其投标文件的有效组成部分，</w:t>
      </w:r>
      <w:r>
        <w:rPr>
          <w:color w:val="auto"/>
          <w:highlight w:val="none"/>
        </w:rPr>
        <w:t>澄清、说明或者补正应当</w:t>
      </w:r>
      <w:r>
        <w:rPr>
          <w:rFonts w:hint="eastAsia"/>
          <w:color w:val="auto"/>
          <w:highlight w:val="none"/>
        </w:rPr>
        <w:t>在</w:t>
      </w:r>
      <w:r>
        <w:rPr>
          <w:rFonts w:hint="eastAsia"/>
          <w:color w:val="auto"/>
          <w:highlight w:val="none"/>
          <w:lang w:val="en-US" w:eastAsia="zh-CN"/>
        </w:rPr>
        <w:t>政采云平台评标</w:t>
      </w:r>
      <w:r>
        <w:rPr>
          <w:rFonts w:hint="eastAsia"/>
          <w:color w:val="auto"/>
          <w:highlight w:val="none"/>
        </w:rPr>
        <w:t>系统中加盖电子印章后提交</w:t>
      </w:r>
      <w:r>
        <w:rPr>
          <w:color w:val="auto"/>
          <w:highlight w:val="none"/>
        </w:rPr>
        <w:t>。</w:t>
      </w:r>
    </w:p>
    <w:p w14:paraId="3B466024">
      <w:pPr>
        <w:pStyle w:val="40"/>
        <w:keepNext w:val="0"/>
        <w:keepLines w:val="0"/>
        <w:pageBreakBefore w:val="0"/>
        <w:widowControl w:val="0"/>
        <w:kinsoku/>
        <w:wordWrap w:val="0"/>
        <w:overflowPunct/>
        <w:topLinePunct w:val="0"/>
        <w:autoSpaceDE/>
        <w:autoSpaceDN/>
        <w:bidi w:val="0"/>
        <w:adjustRightInd/>
        <w:snapToGrid/>
        <w:textAlignment w:val="auto"/>
        <w:rPr>
          <w:color w:val="auto"/>
          <w:highlight w:val="none"/>
        </w:rPr>
      </w:pPr>
      <w:r>
        <w:rPr>
          <w:rFonts w:hint="eastAsia"/>
          <w:color w:val="auto"/>
          <w:highlight w:val="none"/>
          <w:lang w:val="en-US" w:eastAsia="zh-CN"/>
        </w:rPr>
        <w:t>6</w:t>
      </w:r>
      <w:r>
        <w:rPr>
          <w:color w:val="auto"/>
          <w:highlight w:val="none"/>
        </w:rPr>
        <w:t>.</w:t>
      </w:r>
      <w:r>
        <w:rPr>
          <w:rFonts w:hint="eastAsia"/>
          <w:color w:val="auto"/>
          <w:highlight w:val="none"/>
        </w:rPr>
        <w:t>报价合理性说明：</w:t>
      </w:r>
      <w:r>
        <w:rPr>
          <w:color w:val="auto"/>
          <w:highlight w:val="none"/>
        </w:rPr>
        <w:t>评标委员会认为投标人的报价明显低于其他通过</w:t>
      </w:r>
      <w:r>
        <w:rPr>
          <w:rFonts w:hint="eastAsia"/>
          <w:color w:val="auto"/>
          <w:highlight w:val="none"/>
        </w:rPr>
        <w:t>符合性审查</w:t>
      </w:r>
      <w:r>
        <w:rPr>
          <w:color w:val="auto"/>
          <w:highlight w:val="none"/>
        </w:rPr>
        <w:t>投标人的报价，有可能影响</w:t>
      </w:r>
      <w:r>
        <w:rPr>
          <w:rFonts w:hint="eastAsia"/>
          <w:color w:val="auto"/>
          <w:highlight w:val="none"/>
          <w:lang w:val="en-US" w:eastAsia="zh-CN"/>
        </w:rPr>
        <w:t>服务</w:t>
      </w:r>
      <w:r>
        <w:rPr>
          <w:color w:val="auto"/>
          <w:highlight w:val="none"/>
        </w:rPr>
        <w:t>质量或者不能诚信履约的，</w:t>
      </w:r>
      <w:r>
        <w:rPr>
          <w:rFonts w:hint="eastAsia"/>
          <w:color w:val="auto"/>
          <w:highlight w:val="none"/>
          <w:lang w:val="en-US" w:eastAsia="zh-CN"/>
        </w:rPr>
        <w:t>应当</w:t>
      </w:r>
      <w:r>
        <w:rPr>
          <w:color w:val="auto"/>
          <w:highlight w:val="none"/>
        </w:rPr>
        <w:t>要求</w:t>
      </w:r>
      <w:r>
        <w:rPr>
          <w:rFonts w:hint="eastAsia"/>
          <w:color w:val="auto"/>
          <w:highlight w:val="none"/>
          <w:lang w:val="en-US" w:eastAsia="zh-CN"/>
        </w:rPr>
        <w:t>该投标人</w:t>
      </w:r>
      <w:r>
        <w:rPr>
          <w:rFonts w:hint="eastAsia"/>
          <w:color w:val="auto"/>
          <w:highlight w:val="none"/>
        </w:rPr>
        <w:t>在</w:t>
      </w:r>
      <w:r>
        <w:rPr>
          <w:color w:val="auto"/>
          <w:highlight w:val="none"/>
        </w:rPr>
        <w:t>合理的时间内提供说明，必要时提交相关证明材料；</w:t>
      </w:r>
      <w:r>
        <w:rPr>
          <w:rFonts w:hint="eastAsia"/>
          <w:color w:val="auto"/>
          <w:highlight w:val="none"/>
          <w:lang w:val="en-US" w:eastAsia="zh-CN"/>
        </w:rPr>
        <w:t>若</w:t>
      </w:r>
      <w:r>
        <w:rPr>
          <w:color w:val="auto"/>
          <w:highlight w:val="none"/>
        </w:rPr>
        <w:t>投标人不能证明其报价合理性的，评标委员</w:t>
      </w:r>
      <w:r>
        <w:rPr>
          <w:rFonts w:hint="eastAsia"/>
          <w:color w:val="auto"/>
          <w:highlight w:val="none"/>
          <w:lang w:val="en-US" w:eastAsia="zh-CN"/>
        </w:rPr>
        <w:t>会应当</w:t>
      </w:r>
      <w:r>
        <w:rPr>
          <w:rFonts w:hint="eastAsia"/>
          <w:color w:val="auto"/>
          <w:highlight w:val="none"/>
        </w:rPr>
        <w:t>将其作</w:t>
      </w:r>
      <w:r>
        <w:rPr>
          <w:b/>
          <w:bCs/>
          <w:color w:val="auto"/>
          <w:highlight w:val="none"/>
        </w:rPr>
        <w:t>无效投标</w:t>
      </w:r>
      <w:r>
        <w:rPr>
          <w:color w:val="auto"/>
          <w:highlight w:val="none"/>
        </w:rPr>
        <w:t>处理。</w:t>
      </w:r>
    </w:p>
    <w:p w14:paraId="4FD6345C">
      <w:pPr>
        <w:pStyle w:val="40"/>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7.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b/>
          <w:bCs/>
          <w:color w:val="auto"/>
          <w:highlight w:val="none"/>
          <w:lang w:val="en-US" w:eastAsia="zh-CN"/>
        </w:rPr>
        <w:t>投标无效</w:t>
      </w:r>
      <w:r>
        <w:rPr>
          <w:rFonts w:hint="eastAsia"/>
          <w:color w:val="auto"/>
          <w:highlight w:val="none"/>
          <w:lang w:val="en-US" w:eastAsia="zh-CN"/>
        </w:rPr>
        <w:t>。</w:t>
      </w:r>
    </w:p>
    <w:p w14:paraId="015D7E7F">
      <w:pPr>
        <w:pStyle w:val="40"/>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8.投标文件报价出现前后不一致的，除招标文件另有规定外，按照下列规定修正：</w:t>
      </w:r>
    </w:p>
    <w:p w14:paraId="4D967018">
      <w:pPr>
        <w:pStyle w:val="40"/>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8.1投标文件中开标一览表（报价表）内容与投标文件中相应内容不一致的，以开标一览表（报价表）为准；</w:t>
      </w:r>
    </w:p>
    <w:p w14:paraId="657B9F51">
      <w:pPr>
        <w:pStyle w:val="40"/>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8.2大写金额和小写金额不一致的，以大写金额为准；</w:t>
      </w:r>
    </w:p>
    <w:p w14:paraId="628E9D79">
      <w:pPr>
        <w:pStyle w:val="40"/>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8.3单价金额小数点或者百分比有明显错位的，以开标一览表的总价为准，并修改单价；</w:t>
      </w:r>
    </w:p>
    <w:p w14:paraId="3D45997F">
      <w:pPr>
        <w:pStyle w:val="40"/>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8.4总价金额与按单价汇总金额不一致的，以单价金额计算结果为准。</w:t>
      </w:r>
    </w:p>
    <w:p w14:paraId="4E5FFFFF">
      <w:pPr>
        <w:pStyle w:val="40"/>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同时出现两种以上不一致的，按照8.1—8.4的顺序修正。修正后的报价采用书面形式，并加盖公章，或者由法定代表人或其授权的代表签字，经投标人确认后产生约束力，投标人不确认的，其</w:t>
      </w:r>
      <w:r>
        <w:rPr>
          <w:rFonts w:hint="eastAsia"/>
          <w:b/>
          <w:bCs/>
          <w:color w:val="auto"/>
          <w:highlight w:val="none"/>
          <w:lang w:val="en-US" w:eastAsia="zh-CN"/>
        </w:rPr>
        <w:t>投标无效</w:t>
      </w:r>
      <w:r>
        <w:rPr>
          <w:rFonts w:hint="eastAsia"/>
          <w:color w:val="auto"/>
          <w:highlight w:val="none"/>
          <w:lang w:val="en-US" w:eastAsia="zh-CN"/>
        </w:rPr>
        <w:t>。</w:t>
      </w:r>
    </w:p>
    <w:p w14:paraId="33748C4F">
      <w:pPr>
        <w:pStyle w:val="8"/>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84" w:name="_Toc13289"/>
      <w:bookmarkStart w:id="485" w:name="_Toc1388"/>
      <w:bookmarkStart w:id="486" w:name="_Toc8536"/>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）比较与评价</w:t>
      </w:r>
      <w:bookmarkEnd w:id="484"/>
      <w:bookmarkEnd w:id="485"/>
      <w:bookmarkEnd w:id="486"/>
    </w:p>
    <w:p w14:paraId="2BE6ECB2">
      <w:pPr>
        <w:pStyle w:val="40"/>
        <w:rPr>
          <w:rFonts w:hint="eastAsia"/>
          <w:color w:val="auto"/>
          <w:highlight w:val="none"/>
        </w:rPr>
      </w:pPr>
      <w:r>
        <w:rPr>
          <w:rFonts w:hint="eastAsia"/>
          <w:color w:val="auto"/>
          <w:highlight w:val="none"/>
          <w:lang w:val="en-US" w:eastAsia="zh-CN"/>
        </w:rPr>
        <w:t>9.</w:t>
      </w:r>
      <w:r>
        <w:rPr>
          <w:rFonts w:hint="eastAsia"/>
          <w:color w:val="auto"/>
          <w:highlight w:val="none"/>
        </w:rPr>
        <w:t>评标委员会应当按照招标文件中规定的评标方法和标准，对符合性审查合格的投标文件进行商务和技术评</w:t>
      </w:r>
      <w:r>
        <w:rPr>
          <w:rFonts w:hint="eastAsia"/>
          <w:color w:val="auto"/>
          <w:highlight w:val="none"/>
          <w:lang w:val="en-US" w:eastAsia="zh-CN"/>
        </w:rPr>
        <w:t>估</w:t>
      </w:r>
      <w:r>
        <w:rPr>
          <w:rFonts w:hint="eastAsia"/>
          <w:color w:val="auto"/>
          <w:highlight w:val="none"/>
        </w:rPr>
        <w:t>，综合比较与评价</w:t>
      </w:r>
      <w:r>
        <w:rPr>
          <w:rFonts w:hint="eastAsia"/>
          <w:color w:val="auto"/>
          <w:highlight w:val="none"/>
          <w:lang w:val="en-US" w:eastAsia="zh-CN"/>
        </w:rPr>
        <w:t>；未通过符合性审查的投标文件不得进入比较与评价</w:t>
      </w:r>
      <w:r>
        <w:rPr>
          <w:rFonts w:hint="eastAsia"/>
          <w:color w:val="auto"/>
          <w:highlight w:val="none"/>
        </w:rPr>
        <w:t>。评审因素包括投标报价、商务技术以及落实政府采购政策。评审因素及标准见本章</w:t>
      </w:r>
      <w:r>
        <w:rPr>
          <w:rFonts w:hint="eastAsia"/>
          <w:color w:val="auto"/>
          <w:highlight w:val="none"/>
          <w:lang w:eastAsia="zh-CN"/>
        </w:rPr>
        <w:t>“</w:t>
      </w:r>
      <w:r>
        <w:rPr>
          <w:rFonts w:hint="eastAsia"/>
          <w:color w:val="auto"/>
          <w:highlight w:val="none"/>
          <w:lang w:val="en-US" w:eastAsia="zh-CN"/>
        </w:rPr>
        <w:t>四、</w:t>
      </w:r>
      <w:r>
        <w:rPr>
          <w:rFonts w:hint="eastAsia"/>
          <w:color w:val="auto"/>
          <w:highlight w:val="none"/>
        </w:rPr>
        <w:t>评</w:t>
      </w:r>
      <w:r>
        <w:rPr>
          <w:rFonts w:hint="eastAsia"/>
          <w:color w:val="auto"/>
          <w:highlight w:val="none"/>
          <w:lang w:val="en-US" w:eastAsia="zh-CN"/>
        </w:rPr>
        <w:t>标</w:t>
      </w:r>
      <w:r>
        <w:rPr>
          <w:rFonts w:hint="eastAsia"/>
          <w:color w:val="auto"/>
          <w:highlight w:val="none"/>
        </w:rPr>
        <w:t>标准</w:t>
      </w:r>
      <w:r>
        <w:rPr>
          <w:rFonts w:hint="eastAsia"/>
          <w:color w:val="auto"/>
          <w:highlight w:val="none"/>
          <w:lang w:eastAsia="zh-CN"/>
        </w:rPr>
        <w:t>”</w:t>
      </w:r>
      <w:r>
        <w:rPr>
          <w:rFonts w:hint="eastAsia"/>
          <w:color w:val="auto"/>
          <w:highlight w:val="none"/>
        </w:rPr>
        <w:t>。</w:t>
      </w:r>
    </w:p>
    <w:p w14:paraId="384D833B">
      <w:pPr>
        <w:pStyle w:val="40"/>
        <w:keepNext w:val="0"/>
        <w:keepLines w:val="0"/>
        <w:pageBreakBefore w:val="0"/>
        <w:widowControl w:val="0"/>
        <w:kinsoku/>
        <w:overflowPunct/>
        <w:topLinePunct w:val="0"/>
        <w:autoSpaceDE/>
        <w:autoSpaceDN/>
        <w:bidi w:val="0"/>
        <w:adjustRightInd/>
        <w:snapToGrid/>
        <w:textAlignment w:val="auto"/>
        <w:rPr>
          <w:rFonts w:hint="eastAsia"/>
          <w:color w:val="auto"/>
          <w:highlight w:val="none"/>
        </w:rPr>
      </w:pPr>
      <w:r>
        <w:rPr>
          <w:rFonts w:hint="eastAsia"/>
          <w:color w:val="auto"/>
          <w:highlight w:val="none"/>
          <w:lang w:val="en-US" w:eastAsia="zh-CN"/>
        </w:rPr>
        <w:t>10</w:t>
      </w:r>
      <w:r>
        <w:rPr>
          <w:color w:val="auto"/>
          <w:highlight w:val="none"/>
        </w:rPr>
        <w:t>.</w:t>
      </w:r>
      <w:r>
        <w:rPr>
          <w:rFonts w:hint="eastAsia"/>
          <w:color w:val="auto"/>
          <w:highlight w:val="none"/>
        </w:rPr>
        <w:t>有效投标</w:t>
      </w:r>
      <w:r>
        <w:rPr>
          <w:rFonts w:hint="eastAsia"/>
          <w:color w:val="auto"/>
          <w:highlight w:val="none"/>
          <w:lang w:val="en-US" w:eastAsia="zh-CN"/>
        </w:rPr>
        <w:t>人</w:t>
      </w:r>
      <w:r>
        <w:rPr>
          <w:rFonts w:hint="eastAsia"/>
          <w:color w:val="auto"/>
          <w:highlight w:val="none"/>
        </w:rPr>
        <w:t>不足</w:t>
      </w:r>
      <w:r>
        <w:rPr>
          <w:color w:val="auto"/>
          <w:highlight w:val="none"/>
        </w:rPr>
        <w:t>3</w:t>
      </w:r>
      <w:r>
        <w:rPr>
          <w:rFonts w:hint="eastAsia"/>
          <w:color w:val="auto"/>
          <w:highlight w:val="none"/>
        </w:rPr>
        <w:t>家的应按</w:t>
      </w:r>
      <w:r>
        <w:rPr>
          <w:rFonts w:hint="eastAsia"/>
          <w:b/>
          <w:bCs/>
          <w:color w:val="auto"/>
          <w:highlight w:val="none"/>
        </w:rPr>
        <w:t>废标</w:t>
      </w:r>
      <w:r>
        <w:rPr>
          <w:rFonts w:hint="eastAsia"/>
          <w:color w:val="auto"/>
          <w:highlight w:val="none"/>
        </w:rPr>
        <w:t>处理。</w:t>
      </w:r>
    </w:p>
    <w:p w14:paraId="7C54BD9F">
      <w:pPr>
        <w:pStyle w:val="8"/>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87" w:name="_Toc22691"/>
      <w:bookmarkStart w:id="488" w:name="_Toc4273"/>
      <w:bookmarkStart w:id="489" w:name="_Toc24190"/>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zh-CN" w:eastAsia="zh-CN" w:bidi="ar-SA"/>
        </w:rPr>
        <w:t>）报价评审</w:t>
      </w:r>
      <w:bookmarkEnd w:id="487"/>
      <w:bookmarkEnd w:id="488"/>
      <w:bookmarkEnd w:id="489"/>
    </w:p>
    <w:p w14:paraId="21874171">
      <w:pPr>
        <w:pStyle w:val="40"/>
        <w:rPr>
          <w:color w:val="auto"/>
          <w:highlight w:val="none"/>
        </w:rPr>
      </w:pPr>
      <w:r>
        <w:rPr>
          <w:rFonts w:hint="eastAsia"/>
          <w:color w:val="auto"/>
          <w:highlight w:val="none"/>
          <w:lang w:val="en-US" w:eastAsia="zh-CN"/>
        </w:rPr>
        <w:t>11.</w:t>
      </w:r>
      <w:r>
        <w:rPr>
          <w:color w:val="auto"/>
          <w:highlight w:val="none"/>
        </w:rPr>
        <w:t>投标报价评审</w:t>
      </w:r>
    </w:p>
    <w:p w14:paraId="266BD854">
      <w:pPr>
        <w:pStyle w:val="40"/>
        <w:rPr>
          <w:color w:val="auto"/>
          <w:highlight w:val="none"/>
        </w:rPr>
      </w:pPr>
      <w:r>
        <w:rPr>
          <w:rFonts w:hint="eastAsia" w:ascii="宋体" w:hAnsi="宋体" w:eastAsia="宋体"/>
          <w:color w:val="auto"/>
          <w:highlight w:val="none"/>
          <w:lang w:val="en-US" w:eastAsia="zh-CN"/>
        </w:rPr>
        <w:t>11.1服务项目的价格分值占总分值的比重不得低于</w:t>
      </w:r>
      <w:r>
        <w:rPr>
          <w:rFonts w:hint="default" w:ascii="宋体" w:hAnsi="宋体" w:eastAsia="宋体"/>
          <w:color w:val="auto"/>
          <w:highlight w:val="none"/>
          <w:lang w:val="en-US" w:eastAsia="zh-CN"/>
        </w:rPr>
        <w:t>10%。</w:t>
      </w:r>
      <w:r>
        <w:rPr>
          <w:rFonts w:hint="eastAsia"/>
          <w:color w:val="auto"/>
          <w:highlight w:val="none"/>
          <w:lang w:val="en-US" w:eastAsia="zh-CN"/>
        </w:rPr>
        <w:t>执行国家统一定价标准和采用固定价格采购的项目，其价格不列为评审因素。</w:t>
      </w:r>
      <w:r>
        <w:rPr>
          <w:color w:val="auto"/>
          <w:highlight w:val="none"/>
        </w:rPr>
        <w:t>价格分应当采用低价优先法计算，即满足招标文件要求且投标价格最低的投标报价为评标基准价，其价格分为满分。其他投标人的价格分统一按照下列公式计算：</w:t>
      </w:r>
    </w:p>
    <w:p w14:paraId="2D86B7AD">
      <w:pPr>
        <w:pStyle w:val="40"/>
        <w:rPr>
          <w:color w:val="auto"/>
          <w:highlight w:val="none"/>
        </w:rPr>
      </w:pPr>
      <w:r>
        <w:rPr>
          <w:rFonts w:hint="eastAsia"/>
          <w:color w:val="auto"/>
          <w:highlight w:val="none"/>
        </w:rPr>
        <w:t>投标报价得分</w:t>
      </w:r>
      <w:r>
        <w:rPr>
          <w:color w:val="auto"/>
          <w:highlight w:val="none"/>
        </w:rPr>
        <w:t>=(评标基准价／投标报价)×</w:t>
      </w:r>
      <w:r>
        <w:rPr>
          <w:rFonts w:hint="eastAsia"/>
          <w:color w:val="auto"/>
          <w:highlight w:val="none"/>
        </w:rPr>
        <w:t>价格</w:t>
      </w:r>
      <w:r>
        <w:rPr>
          <w:rFonts w:hint="eastAsia"/>
          <w:color w:val="auto"/>
          <w:highlight w:val="none"/>
          <w:lang w:eastAsia="zh-CN"/>
        </w:rPr>
        <w:t>分值</w:t>
      </w:r>
    </w:p>
    <w:p w14:paraId="0CCB2E48">
      <w:pPr>
        <w:pStyle w:val="40"/>
        <w:rPr>
          <w:color w:val="auto"/>
          <w:highlight w:val="none"/>
        </w:rPr>
      </w:pPr>
      <w:r>
        <w:rPr>
          <w:rFonts w:hint="eastAsia"/>
          <w:color w:val="auto"/>
          <w:highlight w:val="none"/>
        </w:rPr>
        <w:t>评标过程中，不得去掉报价中的最高报价和最低报价。</w:t>
      </w:r>
    </w:p>
    <w:p w14:paraId="14E623B0">
      <w:pPr>
        <w:pStyle w:val="40"/>
        <w:rPr>
          <w:color w:val="auto"/>
          <w:highlight w:val="none"/>
        </w:rPr>
      </w:pPr>
      <w:r>
        <w:rPr>
          <w:rFonts w:hint="eastAsia"/>
          <w:color w:val="auto"/>
          <w:highlight w:val="none"/>
          <w:lang w:val="en-US" w:eastAsia="zh-CN"/>
        </w:rPr>
        <w:t>11.</w:t>
      </w:r>
      <w:r>
        <w:rPr>
          <w:color w:val="auto"/>
          <w:highlight w:val="none"/>
        </w:rPr>
        <w:t>2</w:t>
      </w:r>
      <w:r>
        <w:rPr>
          <w:rFonts w:hint="eastAsia"/>
          <w:iCs/>
          <w:color w:val="auto"/>
          <w:spacing w:val="-6"/>
          <w:sz w:val="24"/>
          <w:highlight w:val="none"/>
        </w:rPr>
        <w:t>除算术修正和落实政府采购政策的价格扣除外，不对投标报价进行调整；</w:t>
      </w:r>
    </w:p>
    <w:p w14:paraId="6DDDADCE">
      <w:pPr>
        <w:pStyle w:val="40"/>
        <w:rPr>
          <w:color w:val="auto"/>
          <w:highlight w:val="none"/>
        </w:rPr>
      </w:pPr>
      <w:r>
        <w:rPr>
          <w:rFonts w:hint="eastAsia"/>
          <w:color w:val="auto"/>
          <w:highlight w:val="none"/>
          <w:lang w:val="en-US" w:eastAsia="zh-CN"/>
        </w:rPr>
        <w:t>11.</w:t>
      </w:r>
      <w:r>
        <w:rPr>
          <w:color w:val="auto"/>
          <w:highlight w:val="none"/>
        </w:rPr>
        <w:t>3价</w:t>
      </w:r>
      <w:r>
        <w:rPr>
          <w:rFonts w:hint="eastAsia"/>
          <w:color w:val="auto"/>
          <w:highlight w:val="none"/>
        </w:rPr>
        <w:t>格</w:t>
      </w:r>
      <w:r>
        <w:rPr>
          <w:rFonts w:hint="eastAsia"/>
          <w:color w:val="auto"/>
          <w:highlight w:val="none"/>
          <w:lang w:eastAsia="zh-CN"/>
        </w:rPr>
        <w:t>分值</w:t>
      </w:r>
      <w:r>
        <w:rPr>
          <w:rFonts w:hint="eastAsia"/>
          <w:color w:val="auto"/>
          <w:highlight w:val="none"/>
        </w:rPr>
        <w:t>见本章</w:t>
      </w:r>
      <w:r>
        <w:rPr>
          <w:rFonts w:hint="eastAsia"/>
          <w:color w:val="auto"/>
          <w:highlight w:val="none"/>
          <w:lang w:eastAsia="zh-CN"/>
        </w:rPr>
        <w:t>“</w:t>
      </w:r>
      <w:r>
        <w:rPr>
          <w:rFonts w:hint="eastAsia"/>
          <w:color w:val="auto"/>
          <w:highlight w:val="none"/>
          <w:lang w:val="en-US" w:eastAsia="zh-CN"/>
        </w:rPr>
        <w:t>四、</w:t>
      </w:r>
      <w:r>
        <w:rPr>
          <w:rFonts w:hint="eastAsia"/>
          <w:color w:val="auto"/>
          <w:highlight w:val="none"/>
        </w:rPr>
        <w:t>评</w:t>
      </w:r>
      <w:r>
        <w:rPr>
          <w:rFonts w:hint="eastAsia"/>
          <w:color w:val="auto"/>
          <w:highlight w:val="none"/>
          <w:lang w:val="en-US" w:eastAsia="zh-CN"/>
        </w:rPr>
        <w:t>标</w:t>
      </w:r>
      <w:r>
        <w:rPr>
          <w:rFonts w:hint="eastAsia"/>
          <w:color w:val="auto"/>
          <w:highlight w:val="none"/>
        </w:rPr>
        <w:t>标准</w:t>
      </w:r>
      <w:r>
        <w:rPr>
          <w:rFonts w:hint="eastAsia"/>
          <w:color w:val="auto"/>
          <w:highlight w:val="none"/>
          <w:lang w:eastAsia="zh-CN"/>
        </w:rPr>
        <w:t>”</w:t>
      </w:r>
      <w:r>
        <w:rPr>
          <w:color w:val="auto"/>
          <w:highlight w:val="none"/>
        </w:rPr>
        <w:t>。</w:t>
      </w:r>
    </w:p>
    <w:p w14:paraId="30866637">
      <w:pPr>
        <w:pStyle w:val="40"/>
        <w:rPr>
          <w:b w:val="0"/>
          <w:bCs w:val="0"/>
          <w:color w:val="auto"/>
          <w:highlight w:val="none"/>
        </w:rPr>
      </w:pPr>
      <w:r>
        <w:rPr>
          <w:rFonts w:hint="eastAsia"/>
          <w:b w:val="0"/>
          <w:bCs w:val="0"/>
          <w:color w:val="auto"/>
          <w:highlight w:val="none"/>
        </w:rPr>
        <w:t>1</w:t>
      </w:r>
      <w:r>
        <w:rPr>
          <w:rFonts w:hint="eastAsia"/>
          <w:b w:val="0"/>
          <w:bCs w:val="0"/>
          <w:color w:val="auto"/>
          <w:highlight w:val="none"/>
          <w:lang w:val="en-US" w:eastAsia="zh-CN"/>
        </w:rPr>
        <w:t>2</w:t>
      </w:r>
      <w:r>
        <w:rPr>
          <w:b w:val="0"/>
          <w:bCs w:val="0"/>
          <w:color w:val="auto"/>
          <w:highlight w:val="none"/>
        </w:rPr>
        <w:t>.</w:t>
      </w:r>
      <w:r>
        <w:rPr>
          <w:rFonts w:hint="eastAsia"/>
          <w:b w:val="0"/>
          <w:bCs w:val="0"/>
          <w:color w:val="auto"/>
          <w:highlight w:val="none"/>
        </w:rPr>
        <w:t>政府采购政策评审</w:t>
      </w:r>
    </w:p>
    <w:p w14:paraId="1627C557">
      <w:pPr>
        <w:pStyle w:val="40"/>
        <w:numPr>
          <w:ilvl w:val="0"/>
          <w:numId w:val="0"/>
        </w:numPr>
        <w:ind w:firstLine="480" w:firstLineChars="200"/>
        <w:rPr>
          <w:color w:val="auto"/>
          <w:highlight w:val="none"/>
        </w:rPr>
      </w:pPr>
      <w:r>
        <w:rPr>
          <w:color w:val="auto"/>
          <w:highlight w:val="none"/>
        </w:rPr>
        <w:t>1</w:t>
      </w:r>
      <w:r>
        <w:rPr>
          <w:rFonts w:hint="eastAsia"/>
          <w:color w:val="auto"/>
          <w:highlight w:val="none"/>
          <w:lang w:val="en-US" w:eastAsia="zh-CN"/>
        </w:rPr>
        <w:t>2</w:t>
      </w:r>
      <w:r>
        <w:rPr>
          <w:color w:val="auto"/>
          <w:highlight w:val="none"/>
        </w:rPr>
        <w:t>.1非专门面向中小企业的采购项目或采购包，对符合规定的小微企业（</w:t>
      </w:r>
      <w:r>
        <w:rPr>
          <w:rFonts w:hint="eastAsia"/>
          <w:color w:val="auto"/>
          <w:highlight w:val="none"/>
          <w:lang w:val="en-US" w:eastAsia="zh-CN"/>
        </w:rPr>
        <w:t>含</w:t>
      </w:r>
      <w:r>
        <w:rPr>
          <w:color w:val="auto"/>
          <w:highlight w:val="none"/>
        </w:rPr>
        <w:t>监狱企业、残疾人福利性单位、联合体各方均为小微企业的联合体、符合小微企业划分标准的个体工商户视同小微企业）报价</w:t>
      </w:r>
      <w:r>
        <w:rPr>
          <w:rFonts w:hint="eastAsia"/>
          <w:color w:val="auto"/>
          <w:highlight w:val="none"/>
        </w:rPr>
        <w:t>按照本招标文件</w:t>
      </w:r>
      <w:r>
        <w:rPr>
          <w:rFonts w:hint="eastAsia"/>
          <w:color w:val="auto"/>
          <w:highlight w:val="none"/>
          <w:lang w:eastAsia="zh-CN"/>
        </w:rPr>
        <w:t>“</w:t>
      </w:r>
      <w:r>
        <w:rPr>
          <w:rFonts w:hint="eastAsia"/>
          <w:color w:val="auto"/>
          <w:highlight w:val="none"/>
        </w:rPr>
        <w:t>投标人须知前附表”中的规定</w:t>
      </w:r>
      <w:r>
        <w:rPr>
          <w:color w:val="auto"/>
          <w:highlight w:val="none"/>
        </w:rPr>
        <w:t>扣除</w:t>
      </w:r>
      <w:r>
        <w:rPr>
          <w:rFonts w:hint="eastAsia"/>
          <w:color w:val="auto"/>
          <w:highlight w:val="none"/>
        </w:rPr>
        <w:t>，对小微企业中的监狱企业、残疾人福利性单位、采购产品纳入创新产品应用示范推荐目录内企业、采购产品获得节能产品或环境标志产品认证证书的企业报价按照本</w:t>
      </w:r>
      <w:r>
        <w:rPr>
          <w:rFonts w:hint="eastAsia"/>
          <w:color w:val="auto"/>
          <w:highlight w:val="none"/>
          <w:lang w:val="en-US" w:eastAsia="zh-CN"/>
        </w:rPr>
        <w:t>招标</w:t>
      </w:r>
      <w:r>
        <w:rPr>
          <w:rFonts w:hint="eastAsia"/>
          <w:color w:val="auto"/>
          <w:highlight w:val="none"/>
        </w:rPr>
        <w:t>文件</w:t>
      </w:r>
      <w:r>
        <w:rPr>
          <w:rFonts w:hint="eastAsia"/>
          <w:color w:val="auto"/>
          <w:highlight w:val="none"/>
          <w:lang w:eastAsia="zh-CN"/>
        </w:rPr>
        <w:t>“</w:t>
      </w:r>
      <w:r>
        <w:rPr>
          <w:rFonts w:hint="eastAsia"/>
          <w:color w:val="auto"/>
          <w:highlight w:val="none"/>
          <w:lang w:val="en-US" w:eastAsia="zh-CN"/>
        </w:rPr>
        <w:t>投标人</w:t>
      </w:r>
      <w:r>
        <w:rPr>
          <w:rFonts w:hint="eastAsia"/>
          <w:color w:val="auto"/>
          <w:highlight w:val="none"/>
        </w:rPr>
        <w:t>须知前附表”中的规定扣除，用扣除后的价格计算评审基准价</w:t>
      </w:r>
      <w:r>
        <w:rPr>
          <w:color w:val="auto"/>
          <w:highlight w:val="none"/>
        </w:rPr>
        <w:t>。</w:t>
      </w:r>
    </w:p>
    <w:p w14:paraId="1E5F4E03">
      <w:pPr>
        <w:pStyle w:val="40"/>
        <w:numPr>
          <w:ilvl w:val="0"/>
          <w:numId w:val="0"/>
        </w:numPr>
        <w:ind w:firstLine="480" w:firstLineChars="200"/>
        <w:rPr>
          <w:rFonts w:ascii="宋体" w:hAnsi="宋体" w:eastAsia="宋体"/>
          <w:color w:val="auto"/>
          <w:highlight w:val="none"/>
        </w:rPr>
      </w:pPr>
      <w:r>
        <w:rPr>
          <w:rFonts w:hint="eastAsia" w:ascii="宋体" w:hAnsi="宋体" w:eastAsia="宋体"/>
          <w:color w:val="auto"/>
          <w:highlight w:val="none"/>
          <w:lang w:val="en-US" w:eastAsia="zh-CN"/>
        </w:rPr>
        <w:t>12.</w:t>
      </w:r>
      <w:r>
        <w:rPr>
          <w:rFonts w:hint="eastAsia" w:ascii="宋体" w:hAnsi="宋体" w:eastAsia="宋体"/>
          <w:color w:val="auto"/>
          <w:highlight w:val="none"/>
          <w:lang w:val="zh-CN" w:eastAsia="zh-CN"/>
        </w:rPr>
        <w:t>2</w:t>
      </w:r>
      <w:r>
        <w:rPr>
          <w:rFonts w:ascii="宋体" w:hAnsi="宋体" w:eastAsia="宋体"/>
          <w:color w:val="auto"/>
          <w:highlight w:val="none"/>
        </w:rPr>
        <w:t>参加政府采购活动的小微企业</w:t>
      </w:r>
      <w:r>
        <w:rPr>
          <w:rFonts w:hint="eastAsia"/>
          <w:color w:val="auto"/>
          <w:highlight w:val="none"/>
        </w:rPr>
        <w:t>（含节能环保、创新产品企业）</w:t>
      </w:r>
      <w:r>
        <w:rPr>
          <w:rFonts w:ascii="宋体" w:hAnsi="宋体" w:eastAsia="宋体"/>
          <w:color w:val="auto"/>
          <w:highlight w:val="none"/>
        </w:rPr>
        <w:t>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r>
        <w:rPr>
          <w:rFonts w:hint="eastAsia"/>
          <w:color w:val="auto"/>
          <w:highlight w:val="none"/>
          <w:lang w:val="en-US" w:eastAsia="zh-CN"/>
        </w:rPr>
        <w:t>若供应商同时属于小型或微型企业、监狱企业、残疾人福利性单位 中的两种及以上，将不重复享受小微企业价格扣减的优惠政策。</w:t>
      </w:r>
    </w:p>
    <w:p w14:paraId="1A495953">
      <w:pPr>
        <w:pStyle w:val="40"/>
        <w:numPr>
          <w:ilvl w:val="0"/>
          <w:numId w:val="0"/>
        </w:numPr>
        <w:shd w:val="clear" w:color="auto" w:fill="FFFFFF" w:themeFill="background1"/>
        <w:ind w:firstLine="480" w:firstLineChars="200"/>
        <w:rPr>
          <w:rFonts w:ascii="宋体" w:hAnsi="宋体" w:eastAsia="宋体" w:cstheme="minorBidi"/>
          <w:color w:val="auto"/>
          <w:kern w:val="2"/>
          <w:sz w:val="24"/>
          <w:szCs w:val="22"/>
          <w:highlight w:val="none"/>
          <w:lang w:val="en-US" w:eastAsia="zh-CN" w:bidi="ar-SA"/>
        </w:rPr>
      </w:pPr>
      <w:r>
        <w:rPr>
          <w:rFonts w:ascii="宋体" w:hAnsi="宋体" w:eastAsia="宋体" w:cstheme="minorBidi"/>
          <w:color w:val="auto"/>
          <w:kern w:val="2"/>
          <w:sz w:val="24"/>
          <w:szCs w:val="22"/>
          <w:highlight w:val="none"/>
          <w:lang w:val="en-US" w:eastAsia="zh-CN" w:bidi="ar-SA"/>
        </w:rPr>
        <w:t>组成联合体或者接受分包的小微企业与联合体内其他企业、分包企业</w:t>
      </w:r>
      <w:r>
        <w:rPr>
          <w:rFonts w:hint="default" w:ascii="宋体" w:hAnsi="宋体" w:eastAsia="宋体" w:cstheme="minorBidi"/>
          <w:color w:val="auto"/>
          <w:kern w:val="2"/>
          <w:sz w:val="24"/>
          <w:szCs w:val="22"/>
          <w:highlight w:val="none"/>
          <w:lang w:val="en-US" w:eastAsia="zh-CN" w:bidi="ar-SA"/>
        </w:rPr>
        <w:t>之间存在直接控股、管理关系的，不享受价格扣除优惠政策。</w:t>
      </w:r>
    </w:p>
    <w:p w14:paraId="4FDAF77C">
      <w:pPr>
        <w:pStyle w:val="40"/>
        <w:numPr>
          <w:ilvl w:val="0"/>
          <w:numId w:val="0"/>
        </w:numPr>
        <w:ind w:firstLine="480" w:firstLineChars="200"/>
        <w:rPr>
          <w:rFonts w:ascii="宋体" w:hAnsi="宋体" w:eastAsia="宋体"/>
          <w:color w:val="auto"/>
          <w:highlight w:val="none"/>
        </w:rPr>
      </w:pPr>
      <w:r>
        <w:rPr>
          <w:rFonts w:ascii="宋体" w:hAnsi="宋体" w:eastAsia="宋体" w:cstheme="minorBidi"/>
          <w:color w:val="auto"/>
          <w:kern w:val="2"/>
          <w:sz w:val="24"/>
          <w:szCs w:val="22"/>
          <w:highlight w:val="none"/>
          <w:lang w:val="en-US" w:eastAsia="zh-CN" w:bidi="ar-SA"/>
        </w:rPr>
        <w:t>价格扣除比例对小型企业和微型企业同等对待，不作区分。</w:t>
      </w:r>
    </w:p>
    <w:p w14:paraId="71DD10A8">
      <w:pPr>
        <w:pStyle w:val="40"/>
        <w:numPr>
          <w:ilvl w:val="0"/>
          <w:numId w:val="0"/>
        </w:numPr>
        <w:ind w:firstLine="480" w:firstLineChars="200"/>
        <w:rPr>
          <w:rFonts w:ascii="宋体" w:hAnsi="宋体" w:eastAsia="宋体"/>
          <w:color w:val="auto"/>
          <w:highlight w:val="none"/>
        </w:rPr>
      </w:pPr>
      <w:r>
        <w:rPr>
          <w:rFonts w:hint="eastAsia" w:ascii="宋体" w:hAnsi="宋体" w:eastAsia="宋体"/>
          <w:color w:val="auto"/>
          <w:highlight w:val="none"/>
          <w:lang w:val="en-US" w:eastAsia="zh-CN"/>
        </w:rPr>
        <w:t>12.</w:t>
      </w:r>
      <w:r>
        <w:rPr>
          <w:rFonts w:hint="eastAsia" w:ascii="宋体" w:hAnsi="宋体" w:eastAsia="宋体"/>
          <w:color w:val="auto"/>
          <w:highlight w:val="none"/>
          <w:lang w:val="zh-CN" w:eastAsia="zh-CN"/>
        </w:rPr>
        <w:t>3</w:t>
      </w:r>
      <w:r>
        <w:rPr>
          <w:rFonts w:ascii="宋体" w:hAnsi="宋体" w:eastAsia="宋体"/>
          <w:color w:val="auto"/>
          <w:highlight w:val="none"/>
        </w:rPr>
        <w:t>专门面向中小企业、预留部分采购份额面向中小企业采购的项目或采购包，评审时不再进行价格扣除。</w:t>
      </w:r>
    </w:p>
    <w:p w14:paraId="3874ED83">
      <w:pPr>
        <w:pStyle w:val="40"/>
        <w:numPr>
          <w:ilvl w:val="0"/>
          <w:numId w:val="0"/>
        </w:numPr>
        <w:ind w:firstLine="480" w:firstLineChars="200"/>
        <w:rPr>
          <w:rFonts w:hint="eastAsia" w:ascii="宋体" w:hAnsi="宋体" w:eastAsia="宋体"/>
          <w:color w:val="auto"/>
          <w:highlight w:val="none"/>
        </w:rPr>
      </w:pPr>
      <w:r>
        <w:rPr>
          <w:rFonts w:hint="eastAsia" w:ascii="宋体" w:hAnsi="宋体" w:eastAsia="宋体"/>
          <w:color w:val="auto"/>
          <w:highlight w:val="none"/>
          <w:lang w:val="en-US" w:eastAsia="zh-CN"/>
        </w:rPr>
        <w:t>12.4</w:t>
      </w:r>
      <w:r>
        <w:rPr>
          <w:rFonts w:hint="eastAsia" w:ascii="宋体" w:hAnsi="宋体" w:eastAsia="宋体"/>
          <w:color w:val="auto"/>
          <w:highlight w:val="none"/>
        </w:rPr>
        <w:t>对于未预留份额专门面向中小企业的政府采购项目，以及预留份额政府采购项目中的非预留部分标项，对小型和微型企业的投标报价给予10%-</w:t>
      </w:r>
      <w:r>
        <w:rPr>
          <w:rFonts w:ascii="宋体" w:hAnsi="宋体" w:eastAsia="宋体"/>
          <w:color w:val="auto"/>
          <w:highlight w:val="none"/>
        </w:rPr>
        <w:t>20</w:t>
      </w:r>
      <w:r>
        <w:rPr>
          <w:rFonts w:hint="eastAsia" w:ascii="宋体" w:hAnsi="宋体" w:eastAsia="宋体"/>
          <w:color w:val="auto"/>
          <w:highlight w:val="none"/>
        </w:rPr>
        <w:t>%的扣除，用扣除后的价格参与评审。接受大中型企业与小微企业组成联合体或者允许大中型企业向一家或者多家小微企业分包的政府采购项目，对于联合</w:t>
      </w:r>
      <w:r>
        <w:rPr>
          <w:rFonts w:hint="eastAsia" w:ascii="宋体" w:hAnsi="宋体" w:eastAsia="宋体"/>
          <w:color w:val="auto"/>
          <w:highlight w:val="none"/>
          <w:lang w:val="en-US" w:eastAsia="zh-CN"/>
        </w:rPr>
        <w:t>体</w:t>
      </w:r>
      <w:r>
        <w:rPr>
          <w:rFonts w:hint="eastAsia" w:ascii="宋体" w:hAnsi="宋体" w:eastAsia="宋体"/>
          <w:color w:val="auto"/>
          <w:highlight w:val="none"/>
        </w:rPr>
        <w:t>协议</w:t>
      </w:r>
      <w:r>
        <w:rPr>
          <w:rFonts w:hint="eastAsia" w:ascii="宋体" w:hAnsi="宋体" w:eastAsia="宋体"/>
          <w:color w:val="auto"/>
          <w:highlight w:val="none"/>
          <w:lang w:val="en-US" w:eastAsia="zh-CN"/>
        </w:rPr>
        <w:t>书</w:t>
      </w:r>
      <w:r>
        <w:rPr>
          <w:rFonts w:hint="eastAsia" w:ascii="宋体" w:hAnsi="宋体" w:eastAsia="宋体"/>
          <w:color w:val="auto"/>
          <w:highlight w:val="none"/>
        </w:rPr>
        <w:t>或者分包意向协议</w:t>
      </w:r>
      <w:r>
        <w:rPr>
          <w:rFonts w:hint="eastAsia" w:ascii="宋体" w:hAnsi="宋体" w:eastAsia="宋体"/>
          <w:color w:val="auto"/>
          <w:highlight w:val="none"/>
          <w:lang w:val="en-US" w:eastAsia="zh-CN"/>
        </w:rPr>
        <w:t>书</w:t>
      </w:r>
      <w:r>
        <w:rPr>
          <w:rFonts w:hint="eastAsia" w:ascii="宋体" w:hAnsi="宋体" w:eastAsia="宋体"/>
          <w:color w:val="auto"/>
          <w:highlight w:val="none"/>
        </w:rPr>
        <w:t>约定小微企业的合同份额占到合同总金额30%以上的，对联合体或者大中型企业的报价给予4%-</w:t>
      </w:r>
      <w:r>
        <w:rPr>
          <w:rFonts w:ascii="宋体" w:hAnsi="宋体" w:eastAsia="宋体"/>
          <w:color w:val="auto"/>
          <w:highlight w:val="none"/>
        </w:rPr>
        <w:t>6</w:t>
      </w:r>
      <w:r>
        <w:rPr>
          <w:rFonts w:hint="eastAsia" w:ascii="宋体" w:hAnsi="宋体" w:eastAsia="宋体"/>
          <w:color w:val="auto"/>
          <w:highlight w:val="none"/>
        </w:rPr>
        <w:t>%的扣除，用扣除后的价格参加评审。组成联合体或者接受分包的小微企业与联合体内其他企业、分包企业之间存在直接控股、管理关系的，不享受价格扣除优惠政策。</w:t>
      </w:r>
    </w:p>
    <w:p w14:paraId="548FFFDB">
      <w:pPr>
        <w:pStyle w:val="8"/>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90" w:name="_Toc13576"/>
      <w:bookmarkStart w:id="491" w:name="_Toc32272"/>
      <w:bookmarkStart w:id="492" w:name="_Toc8718"/>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zh-CN" w:eastAsia="zh-CN" w:bidi="ar-SA"/>
        </w:rPr>
        <w:t>）评标得分及复核</w:t>
      </w:r>
      <w:bookmarkEnd w:id="490"/>
      <w:bookmarkEnd w:id="491"/>
      <w:bookmarkEnd w:id="492"/>
    </w:p>
    <w:p w14:paraId="073A56A5">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13.评标过程中，各项分值一般精确到小数点后两位，评标得分应为商务评分、技术评分、报价评分之和。评标委员会各成员应汇总每个投标人的得分。</w:t>
      </w:r>
    </w:p>
    <w:p w14:paraId="0BE80DC7">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14.评标结果汇总完成后，采购代理机构应对评标结果进行复核。经复核发现存在以下情形之一的，</w:t>
      </w:r>
      <w:r>
        <w:rPr>
          <w:rFonts w:hint="eastAsia"/>
          <w:iCs/>
          <w:color w:val="auto"/>
          <w:spacing w:val="-6"/>
          <w:sz w:val="24"/>
          <w:highlight w:val="none"/>
          <w:lang w:val="en-US" w:eastAsia="zh-CN"/>
        </w:rPr>
        <w:t>评标委员会应当当场修改评标结果，并在评标报告中记载</w:t>
      </w:r>
      <w:r>
        <w:rPr>
          <w:rFonts w:hint="eastAsia"/>
          <w:color w:val="auto"/>
          <w:highlight w:val="none"/>
          <w:lang w:val="en-US" w:eastAsia="zh-CN"/>
        </w:rPr>
        <w:t>：</w:t>
      </w:r>
    </w:p>
    <w:p w14:paraId="427128F3">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14.1分值汇总计算错误的；</w:t>
      </w:r>
    </w:p>
    <w:p w14:paraId="4404F7B4">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14.2分项评分超出评分标准范围的；</w:t>
      </w:r>
    </w:p>
    <w:p w14:paraId="18150CA8">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14.3评标委员会成员对客观评审因素评分不一致的；</w:t>
      </w:r>
    </w:p>
    <w:p w14:paraId="6BFAB3DA">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14.4经评标委员会认定评分畸高、畸低的。</w:t>
      </w:r>
    </w:p>
    <w:p w14:paraId="0FD26D1C">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15.各投标人的最终得分为评标委员会所有成员对各投标人评标得分汇总后的算术平均值。</w:t>
      </w:r>
    </w:p>
    <w:p w14:paraId="1FD846A7">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15.1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52280223">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15.2采购人或者采购代理机构不得通过对样品进行检测、对投标人进行考察等方式改变评审结果。</w:t>
      </w:r>
    </w:p>
    <w:p w14:paraId="5AB9E04E">
      <w:pPr>
        <w:pStyle w:val="8"/>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93" w:name="_Toc25831"/>
      <w:bookmarkStart w:id="494" w:name="_Toc10811"/>
      <w:bookmarkStart w:id="495" w:name="_Toc16908"/>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zh-CN" w:eastAsia="zh-CN" w:bidi="ar-SA"/>
        </w:rPr>
        <w:t>）排序与推荐</w:t>
      </w:r>
      <w:bookmarkEnd w:id="493"/>
      <w:bookmarkEnd w:id="494"/>
      <w:bookmarkEnd w:id="495"/>
    </w:p>
    <w:p w14:paraId="514ADBD8">
      <w:pPr>
        <w:pStyle w:val="40"/>
        <w:rPr>
          <w:rFonts w:hint="eastAsia"/>
          <w:color w:val="auto"/>
          <w:highlight w:val="none"/>
        </w:rPr>
      </w:pPr>
      <w:r>
        <w:rPr>
          <w:rFonts w:hint="eastAsia"/>
          <w:color w:val="auto"/>
          <w:highlight w:val="none"/>
          <w:lang w:val="en-US" w:eastAsia="zh-CN"/>
        </w:rPr>
        <w:t>16.</w:t>
      </w:r>
      <w:r>
        <w:rPr>
          <w:rFonts w:hint="eastAsia"/>
          <w:color w:val="auto"/>
          <w:highlight w:val="none"/>
        </w:rPr>
        <w:t>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w:t>
      </w:r>
      <w:r>
        <w:rPr>
          <w:rFonts w:hint="eastAsia"/>
          <w:color w:val="auto"/>
          <w:highlight w:val="none"/>
          <w:lang w:val="en-US" w:eastAsia="zh-CN"/>
        </w:rPr>
        <w:t>按</w:t>
      </w:r>
      <w:r>
        <w:rPr>
          <w:rFonts w:hint="eastAsia"/>
          <w:color w:val="auto"/>
          <w:highlight w:val="none"/>
        </w:rPr>
        <w:t>技术指标</w:t>
      </w:r>
      <w:r>
        <w:rPr>
          <w:rFonts w:hint="eastAsia"/>
          <w:color w:val="auto"/>
          <w:highlight w:val="none"/>
          <w:lang w:val="en-US" w:eastAsia="zh-CN"/>
        </w:rPr>
        <w:t>优劣顺序排列</w:t>
      </w:r>
      <w:r>
        <w:rPr>
          <w:rFonts w:hint="eastAsia"/>
          <w:color w:val="auto"/>
          <w:highlight w:val="none"/>
        </w:rPr>
        <w:t>。</w:t>
      </w:r>
    </w:p>
    <w:p w14:paraId="3B1F6C1A">
      <w:pPr>
        <w:pStyle w:val="40"/>
        <w:rPr>
          <w:color w:val="auto"/>
          <w:highlight w:val="none"/>
        </w:rPr>
      </w:pPr>
      <w:r>
        <w:rPr>
          <w:rFonts w:hint="eastAsia"/>
          <w:color w:val="auto"/>
          <w:highlight w:val="none"/>
          <w:lang w:val="en-US" w:eastAsia="zh-CN"/>
        </w:rPr>
        <w:t>17.</w:t>
      </w:r>
      <w:r>
        <w:rPr>
          <w:rFonts w:hint="eastAsia"/>
          <w:color w:val="auto"/>
          <w:highlight w:val="none"/>
        </w:rPr>
        <w:t>中标候选人</w:t>
      </w:r>
      <w:r>
        <w:rPr>
          <w:rFonts w:hint="eastAsia"/>
          <w:color w:val="auto"/>
          <w:highlight w:val="none"/>
          <w:lang w:val="en-US" w:eastAsia="zh-CN"/>
        </w:rPr>
        <w:t>推荐家数详</w:t>
      </w:r>
      <w:r>
        <w:rPr>
          <w:rFonts w:hint="eastAsia"/>
          <w:color w:val="auto"/>
          <w:highlight w:val="none"/>
        </w:rPr>
        <w:t>见“</w:t>
      </w:r>
      <w:r>
        <w:rPr>
          <w:rFonts w:hint="eastAsia"/>
          <w:color w:val="auto"/>
          <w:highlight w:val="none"/>
          <w:lang w:val="en-US" w:eastAsia="zh-CN"/>
        </w:rPr>
        <w:t>投标人须知</w:t>
      </w:r>
      <w:r>
        <w:rPr>
          <w:rFonts w:hint="eastAsia"/>
          <w:color w:val="auto"/>
          <w:highlight w:val="none"/>
        </w:rPr>
        <w:t>前附表”。</w:t>
      </w:r>
    </w:p>
    <w:p w14:paraId="1F98E10E">
      <w:pPr>
        <w:pStyle w:val="8"/>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96" w:name="_Toc13628"/>
      <w:bookmarkStart w:id="497" w:name="_Toc7048"/>
      <w:bookmarkStart w:id="498" w:name="_Toc31063"/>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zh-CN" w:eastAsia="zh-CN" w:bidi="ar-SA"/>
        </w:rPr>
        <w:t>）编写评标报告</w:t>
      </w:r>
      <w:bookmarkEnd w:id="496"/>
      <w:bookmarkEnd w:id="497"/>
      <w:bookmarkEnd w:id="498"/>
    </w:p>
    <w:p w14:paraId="3576CABA">
      <w:pPr>
        <w:pStyle w:val="40"/>
        <w:rPr>
          <w:color w:val="auto"/>
          <w:highlight w:val="none"/>
        </w:rPr>
      </w:pPr>
      <w:r>
        <w:rPr>
          <w:rFonts w:hint="eastAsia"/>
          <w:color w:val="auto"/>
          <w:highlight w:val="none"/>
          <w:lang w:val="en-US" w:eastAsia="zh-CN"/>
        </w:rPr>
        <w:t>18.</w:t>
      </w:r>
      <w:r>
        <w:rPr>
          <w:rFonts w:hint="eastAsia"/>
          <w:color w:val="auto"/>
          <w:highlight w:val="none"/>
        </w:rPr>
        <w:t>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29512443">
      <w:pPr>
        <w:pStyle w:val="8"/>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99" w:name="_Toc102057717"/>
      <w:bookmarkStart w:id="500" w:name="_Toc4897"/>
      <w:bookmarkStart w:id="501" w:name="_Toc22304"/>
      <w:bookmarkStart w:id="502" w:name="_Toc102114919"/>
      <w:bookmarkStart w:id="503" w:name="_Toc102116021"/>
      <w:bookmarkStart w:id="504" w:name="_Toc102119852"/>
      <w:bookmarkStart w:id="505" w:name="_Toc102056217"/>
      <w:bookmarkStart w:id="506" w:name="_Toc163492906"/>
      <w:bookmarkStart w:id="507" w:name="_Toc25294"/>
      <w:bookmarkStart w:id="508" w:name="_Toc102116151"/>
      <w:bookmarkStart w:id="509" w:name="_Toc155185913"/>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八</w:t>
      </w: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投标无效及</w:t>
      </w:r>
      <w:r>
        <w:rPr>
          <w:rFonts w:hint="eastAsia" w:ascii="宋体" w:hAnsi="宋体" w:eastAsia="宋体" w:cs="宋体"/>
          <w:b/>
          <w:bCs/>
          <w:color w:val="auto"/>
          <w:kern w:val="2"/>
          <w:sz w:val="24"/>
          <w:szCs w:val="24"/>
          <w:highlight w:val="none"/>
          <w:lang w:val="zh-CN" w:eastAsia="zh-CN" w:bidi="ar-SA"/>
        </w:rPr>
        <w:t>应予废标的情形</w:t>
      </w:r>
      <w:bookmarkEnd w:id="499"/>
      <w:bookmarkEnd w:id="500"/>
      <w:bookmarkEnd w:id="501"/>
      <w:bookmarkEnd w:id="502"/>
      <w:bookmarkEnd w:id="503"/>
      <w:bookmarkEnd w:id="504"/>
      <w:bookmarkEnd w:id="505"/>
      <w:bookmarkEnd w:id="506"/>
      <w:bookmarkEnd w:id="507"/>
      <w:bookmarkEnd w:id="508"/>
      <w:bookmarkEnd w:id="509"/>
    </w:p>
    <w:p w14:paraId="2D93D6F8">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19.投标人存在下列情形之一的，</w:t>
      </w:r>
      <w:r>
        <w:rPr>
          <w:rFonts w:hint="eastAsia"/>
          <w:b/>
          <w:bCs/>
          <w:color w:val="auto"/>
          <w:highlight w:val="none"/>
          <w:lang w:val="en-US" w:eastAsia="zh-CN"/>
        </w:rPr>
        <w:t>投标无效</w:t>
      </w:r>
      <w:r>
        <w:rPr>
          <w:rFonts w:hint="eastAsia"/>
          <w:color w:val="auto"/>
          <w:highlight w:val="none"/>
          <w:lang w:val="en-US" w:eastAsia="zh-CN"/>
        </w:rPr>
        <w:t>：</w:t>
      </w:r>
    </w:p>
    <w:p w14:paraId="5C1B2C98">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1</w:t>
      </w:r>
      <w:r>
        <w:rPr>
          <w:rFonts w:hint="eastAsia"/>
          <w:color w:val="auto"/>
          <w:highlight w:val="none"/>
          <w:lang w:val="en-US" w:eastAsia="zh-CN"/>
        </w:rPr>
        <w:t>投标人</w:t>
      </w:r>
      <w:r>
        <w:rPr>
          <w:rFonts w:hint="eastAsia"/>
          <w:color w:val="auto"/>
          <w:highlight w:val="none"/>
          <w:lang w:val="zh-CN" w:eastAsia="zh-CN"/>
        </w:rPr>
        <w:t>不具备《中华人民共和国政府采购法》第二十二条规定条件</w:t>
      </w:r>
      <w:r>
        <w:rPr>
          <w:rFonts w:hint="eastAsia"/>
          <w:color w:val="auto"/>
          <w:highlight w:val="none"/>
          <w:lang w:val="en-US" w:eastAsia="zh-CN"/>
        </w:rPr>
        <w:t>；</w:t>
      </w:r>
    </w:p>
    <w:p w14:paraId="15C939E8">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eastAsia="宋体"/>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2</w:t>
      </w:r>
      <w:r>
        <w:rPr>
          <w:rFonts w:hint="eastAsia"/>
          <w:color w:val="auto"/>
          <w:highlight w:val="none"/>
        </w:rPr>
        <w:t>投标文件未按招标文件要求签署、盖章的</w:t>
      </w:r>
      <w:r>
        <w:rPr>
          <w:rFonts w:hint="eastAsia"/>
          <w:color w:val="auto"/>
          <w:highlight w:val="none"/>
          <w:lang w:val="en-US" w:eastAsia="zh-CN"/>
        </w:rPr>
        <w:t>；</w:t>
      </w:r>
    </w:p>
    <w:p w14:paraId="0A936FC6">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3</w:t>
      </w:r>
      <w:r>
        <w:rPr>
          <w:rFonts w:hint="eastAsia"/>
          <w:color w:val="auto"/>
          <w:highlight w:val="none"/>
          <w:lang w:val="en-US" w:eastAsia="zh-CN"/>
        </w:rPr>
        <w:t>不具备招标文件中规定的资格要求的（投标人未提供有效资格文件的，视为投标人不具备招标文件中规定的资格要求）；</w:t>
      </w:r>
    </w:p>
    <w:p w14:paraId="0C68E355">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4</w:t>
      </w:r>
      <w:r>
        <w:rPr>
          <w:rFonts w:hint="eastAsia"/>
          <w:color w:val="auto"/>
          <w:highlight w:val="none"/>
          <w:lang w:val="en-US" w:eastAsia="zh-CN"/>
        </w:rPr>
        <w:t>投标</w:t>
      </w:r>
      <w:r>
        <w:rPr>
          <w:rFonts w:hint="eastAsia"/>
          <w:color w:val="auto"/>
          <w:highlight w:val="none"/>
          <w:lang w:val="zh-CN" w:eastAsia="zh-CN"/>
        </w:rPr>
        <w:t>文件提供虚假材料的</w:t>
      </w:r>
      <w:r>
        <w:rPr>
          <w:rFonts w:hint="eastAsia"/>
          <w:color w:val="auto"/>
          <w:highlight w:val="none"/>
          <w:lang w:val="en-US" w:eastAsia="zh-CN"/>
        </w:rPr>
        <w:t>；</w:t>
      </w:r>
    </w:p>
    <w:p w14:paraId="3FDAE166">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5</w:t>
      </w:r>
      <w:r>
        <w:rPr>
          <w:rFonts w:hint="eastAsia"/>
          <w:color w:val="auto"/>
          <w:highlight w:val="none"/>
          <w:lang w:val="en-US" w:eastAsia="zh-CN"/>
        </w:rPr>
        <w:t>投标</w:t>
      </w:r>
      <w:r>
        <w:rPr>
          <w:rFonts w:hint="eastAsia"/>
          <w:color w:val="auto"/>
          <w:highlight w:val="none"/>
          <w:lang w:val="zh-CN" w:eastAsia="zh-CN"/>
        </w:rPr>
        <w:t>文件不满足</w:t>
      </w:r>
      <w:r>
        <w:rPr>
          <w:rFonts w:hint="eastAsia"/>
          <w:color w:val="auto"/>
          <w:highlight w:val="none"/>
          <w:lang w:val="en-US" w:eastAsia="zh-CN"/>
        </w:rPr>
        <w:t>招标</w:t>
      </w:r>
      <w:r>
        <w:rPr>
          <w:rFonts w:hint="eastAsia"/>
          <w:color w:val="auto"/>
          <w:highlight w:val="none"/>
          <w:lang w:val="zh-CN" w:eastAsia="zh-CN"/>
        </w:rPr>
        <w:t>文件中标注“★”号的实质性条款（或指标）要求的</w:t>
      </w:r>
      <w:r>
        <w:rPr>
          <w:rFonts w:hint="eastAsia"/>
          <w:color w:val="auto"/>
          <w:highlight w:val="none"/>
          <w:lang w:val="en-US" w:eastAsia="zh-CN"/>
        </w:rPr>
        <w:t>；</w:t>
      </w:r>
    </w:p>
    <w:p w14:paraId="2C5FC304">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6</w:t>
      </w:r>
      <w:r>
        <w:rPr>
          <w:rFonts w:hint="eastAsia"/>
          <w:color w:val="auto"/>
          <w:highlight w:val="none"/>
          <w:lang w:val="en-US" w:eastAsia="zh-CN"/>
        </w:rPr>
        <w:t>投标人</w:t>
      </w:r>
      <w:r>
        <w:rPr>
          <w:rFonts w:hint="eastAsia"/>
          <w:color w:val="auto"/>
          <w:highlight w:val="none"/>
          <w:lang w:val="zh-CN" w:eastAsia="zh-CN"/>
        </w:rPr>
        <w:t>报价超过招标文件中规定的</w:t>
      </w:r>
      <w:r>
        <w:rPr>
          <w:rFonts w:hint="eastAsia" w:ascii="宋体" w:hAnsi="宋体" w:eastAsia="宋体"/>
          <w:color w:val="auto"/>
          <w:highlight w:val="none"/>
          <w:lang w:val="en-US" w:eastAsia="zh-CN"/>
        </w:rPr>
        <w:t>最高限价或者预算金额</w:t>
      </w:r>
      <w:r>
        <w:rPr>
          <w:rFonts w:hint="eastAsia"/>
          <w:color w:val="auto"/>
          <w:highlight w:val="none"/>
          <w:lang w:val="zh-CN" w:eastAsia="zh-CN"/>
        </w:rPr>
        <w:t>的</w:t>
      </w:r>
      <w:r>
        <w:rPr>
          <w:rFonts w:hint="eastAsia"/>
          <w:color w:val="auto"/>
          <w:highlight w:val="none"/>
          <w:lang w:val="en-US" w:eastAsia="zh-CN"/>
        </w:rPr>
        <w:t>；</w:t>
      </w:r>
    </w:p>
    <w:p w14:paraId="6FC2A54F">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7联合体的供应商未提交各方共同签署的</w:t>
      </w:r>
      <w:r>
        <w:rPr>
          <w:rFonts w:hint="eastAsia"/>
          <w:color w:val="auto"/>
          <w:highlight w:val="none"/>
          <w:lang w:val="en-US" w:eastAsia="zh-CN"/>
        </w:rPr>
        <w:t>联合体</w:t>
      </w:r>
      <w:r>
        <w:rPr>
          <w:rFonts w:hint="eastAsia"/>
          <w:color w:val="auto"/>
          <w:highlight w:val="none"/>
          <w:lang w:val="zh-CN" w:eastAsia="zh-CN"/>
        </w:rPr>
        <w:t>协议</w:t>
      </w:r>
      <w:r>
        <w:rPr>
          <w:rFonts w:hint="eastAsia"/>
          <w:color w:val="auto"/>
          <w:highlight w:val="none"/>
          <w:lang w:val="en-US" w:eastAsia="zh-CN"/>
        </w:rPr>
        <w:t>的；</w:t>
      </w:r>
    </w:p>
    <w:p w14:paraId="4D1E7850">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8</w:t>
      </w:r>
      <w:r>
        <w:rPr>
          <w:rFonts w:hint="eastAsia"/>
          <w:color w:val="auto"/>
          <w:highlight w:val="none"/>
          <w:lang w:val="en-US" w:eastAsia="zh-CN"/>
        </w:rPr>
        <w:t>投标人</w:t>
      </w:r>
      <w:r>
        <w:rPr>
          <w:rFonts w:hint="eastAsia"/>
          <w:color w:val="auto"/>
          <w:highlight w:val="none"/>
          <w:lang w:val="zh-CN" w:eastAsia="zh-CN"/>
        </w:rPr>
        <w:t>未按</w:t>
      </w:r>
      <w:r>
        <w:rPr>
          <w:rFonts w:hint="eastAsia"/>
          <w:color w:val="auto"/>
          <w:highlight w:val="none"/>
          <w:lang w:val="en-US" w:eastAsia="zh-CN"/>
        </w:rPr>
        <w:t>招标</w:t>
      </w:r>
      <w:r>
        <w:rPr>
          <w:rFonts w:hint="eastAsia"/>
          <w:color w:val="auto"/>
          <w:highlight w:val="none"/>
          <w:lang w:val="zh-CN" w:eastAsia="zh-CN"/>
        </w:rPr>
        <w:t>文件</w:t>
      </w:r>
      <w:r>
        <w:rPr>
          <w:rFonts w:hint="eastAsia"/>
          <w:color w:val="auto"/>
          <w:highlight w:val="none"/>
          <w:lang w:val="en-US" w:eastAsia="zh-CN"/>
        </w:rPr>
        <w:t>的规定</w:t>
      </w:r>
      <w:r>
        <w:rPr>
          <w:rFonts w:hint="eastAsia"/>
          <w:color w:val="auto"/>
          <w:highlight w:val="none"/>
          <w:lang w:val="zh-CN" w:eastAsia="zh-CN"/>
        </w:rPr>
        <w:t>交纳投标保证金</w:t>
      </w:r>
      <w:r>
        <w:rPr>
          <w:rFonts w:hint="eastAsia"/>
          <w:color w:val="auto"/>
          <w:highlight w:val="none"/>
          <w:lang w:val="en-US" w:eastAsia="zh-CN"/>
        </w:rPr>
        <w:t>的；</w:t>
      </w:r>
    </w:p>
    <w:p w14:paraId="149A35CB">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9评审期间,</w:t>
      </w:r>
      <w:r>
        <w:rPr>
          <w:rFonts w:hint="eastAsia"/>
          <w:color w:val="auto"/>
          <w:highlight w:val="none"/>
          <w:lang w:val="en-US" w:eastAsia="zh-CN"/>
        </w:rPr>
        <w:t>投标人</w:t>
      </w:r>
      <w:r>
        <w:rPr>
          <w:rFonts w:hint="eastAsia"/>
          <w:color w:val="auto"/>
          <w:highlight w:val="none"/>
          <w:lang w:val="zh-CN" w:eastAsia="zh-CN"/>
        </w:rPr>
        <w:t>没有按评标委员会的要求提交经授权代表签字的澄清、说明、补正或改变了</w:t>
      </w:r>
      <w:r>
        <w:rPr>
          <w:rFonts w:hint="eastAsia"/>
          <w:color w:val="auto"/>
          <w:highlight w:val="none"/>
          <w:lang w:val="en-US" w:eastAsia="zh-CN"/>
        </w:rPr>
        <w:t>投标</w:t>
      </w:r>
      <w:r>
        <w:rPr>
          <w:rFonts w:hint="eastAsia"/>
          <w:color w:val="auto"/>
          <w:highlight w:val="none"/>
          <w:lang w:val="zh-CN" w:eastAsia="zh-CN"/>
        </w:rPr>
        <w:t>文件的实质性内容</w:t>
      </w:r>
      <w:r>
        <w:rPr>
          <w:rFonts w:hint="eastAsia"/>
          <w:color w:val="auto"/>
          <w:highlight w:val="none"/>
          <w:lang w:val="en-US" w:eastAsia="zh-CN"/>
        </w:rPr>
        <w:t>的；</w:t>
      </w:r>
    </w:p>
    <w:p w14:paraId="19EFB935">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10</w:t>
      </w:r>
      <w:r>
        <w:rPr>
          <w:rFonts w:hint="eastAsia"/>
          <w:color w:val="auto"/>
          <w:highlight w:val="none"/>
          <w:lang w:val="en-US" w:eastAsia="zh-CN"/>
        </w:rPr>
        <w:t>投标人</w:t>
      </w:r>
      <w:r>
        <w:rPr>
          <w:rFonts w:hint="eastAsia"/>
          <w:color w:val="auto"/>
          <w:highlight w:val="none"/>
          <w:lang w:val="zh-CN" w:eastAsia="zh-CN"/>
        </w:rPr>
        <w:t>对采购人、采购代理机构、评标委员会及其工作人员施加影响,有碍公平、公正</w:t>
      </w:r>
      <w:r>
        <w:rPr>
          <w:rFonts w:hint="eastAsia"/>
          <w:color w:val="auto"/>
          <w:highlight w:val="none"/>
          <w:lang w:val="en-US" w:eastAsia="zh-CN"/>
        </w:rPr>
        <w:t>的；</w:t>
      </w:r>
    </w:p>
    <w:p w14:paraId="3A6B2386">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default"/>
          <w:color w:val="auto"/>
          <w:highlight w:val="none"/>
          <w:lang w:val="en-US" w:eastAsia="zh-CN"/>
        </w:rPr>
      </w:pPr>
      <w:r>
        <w:rPr>
          <w:rFonts w:hint="eastAsia"/>
          <w:color w:val="auto"/>
          <w:highlight w:val="none"/>
          <w:lang w:val="en-US" w:eastAsia="zh-CN"/>
        </w:rPr>
        <w:t>19.11投标文件含有采购人不能接受的附加条件的；</w:t>
      </w:r>
    </w:p>
    <w:p w14:paraId="3764E979">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1</w:t>
      </w:r>
      <w:r>
        <w:rPr>
          <w:rFonts w:hint="eastAsia"/>
          <w:color w:val="auto"/>
          <w:highlight w:val="none"/>
          <w:lang w:val="en-US" w:eastAsia="zh-CN"/>
        </w:rPr>
        <w:t>2</w:t>
      </w:r>
      <w:r>
        <w:rPr>
          <w:rFonts w:hint="eastAsia"/>
          <w:color w:val="auto"/>
          <w:highlight w:val="none"/>
          <w:lang w:val="zh-CN" w:eastAsia="zh-CN"/>
        </w:rPr>
        <w:t>法律、法规、规章规定属于</w:t>
      </w:r>
      <w:r>
        <w:rPr>
          <w:rFonts w:hint="eastAsia"/>
          <w:color w:val="auto"/>
          <w:highlight w:val="none"/>
          <w:lang w:val="en-US" w:eastAsia="zh-CN"/>
        </w:rPr>
        <w:t>投标</w:t>
      </w:r>
      <w:r>
        <w:rPr>
          <w:rFonts w:hint="eastAsia"/>
          <w:color w:val="auto"/>
          <w:highlight w:val="none"/>
          <w:lang w:val="zh-CN" w:eastAsia="zh-CN"/>
        </w:rPr>
        <w:t>无效的其他情形。</w:t>
      </w:r>
    </w:p>
    <w:p w14:paraId="601D7976">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20.有下列情形之一的，视为投标人串通投标，其</w:t>
      </w:r>
      <w:r>
        <w:rPr>
          <w:rFonts w:hint="eastAsia"/>
          <w:b/>
          <w:bCs/>
          <w:color w:val="auto"/>
          <w:highlight w:val="none"/>
          <w:lang w:val="en-US" w:eastAsia="zh-CN"/>
        </w:rPr>
        <w:t>投标无效</w:t>
      </w:r>
      <w:r>
        <w:rPr>
          <w:rFonts w:hint="eastAsia"/>
          <w:color w:val="auto"/>
          <w:highlight w:val="none"/>
          <w:lang w:val="en-US" w:eastAsia="zh-CN"/>
        </w:rPr>
        <w:t>：</w:t>
      </w:r>
    </w:p>
    <w:p w14:paraId="0BD50610">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20.1不同投标人的投标文件由同一单位或者个人编制；</w:t>
      </w:r>
    </w:p>
    <w:p w14:paraId="31815558">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20.2不同投标人委托同一单位或者个人办理投标事宜；</w:t>
      </w:r>
    </w:p>
    <w:p w14:paraId="3AD20378">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20.3不同投标人的投标文件载明的项目管理成员或者联系人员为同一人；</w:t>
      </w:r>
    </w:p>
    <w:p w14:paraId="3F168EA2">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20.4不同投标人的投标文件异常一致或者投标报价呈规律性差异；</w:t>
      </w:r>
    </w:p>
    <w:p w14:paraId="634E7939">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20.5不同投标人的投标文件相互混装；</w:t>
      </w:r>
    </w:p>
    <w:p w14:paraId="3B078CE3">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20.6不同投标人的投标保证金从同一单位或者个人的账户转出；</w:t>
      </w:r>
    </w:p>
    <w:p w14:paraId="1C3AF755">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20.7</w:t>
      </w:r>
      <w:r>
        <w:rPr>
          <w:rFonts w:hint="eastAsia"/>
          <w:color w:val="auto"/>
          <w:highlight w:val="none"/>
          <w:lang w:val="zh-CN" w:eastAsia="zh-CN"/>
        </w:rPr>
        <w:t>不同投标人使用同一电脑（机器特征值一致：如MAC地址等）或使用同一电子密钥，编制或上传电子投标文件</w:t>
      </w:r>
      <w:r>
        <w:rPr>
          <w:rFonts w:hint="eastAsia"/>
          <w:color w:val="auto"/>
          <w:highlight w:val="none"/>
          <w:lang w:val="en-US" w:eastAsia="zh-CN"/>
        </w:rPr>
        <w:t>；</w:t>
      </w:r>
    </w:p>
    <w:p w14:paraId="0641DF48">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default" w:eastAsia="宋体"/>
          <w:color w:val="auto"/>
          <w:highlight w:val="none"/>
          <w:lang w:val="en-US" w:eastAsia="zh-CN"/>
        </w:rPr>
      </w:pPr>
      <w:r>
        <w:rPr>
          <w:rFonts w:hint="eastAsia"/>
          <w:color w:val="auto"/>
          <w:highlight w:val="none"/>
          <w:lang w:val="en-US" w:eastAsia="zh-CN"/>
        </w:rPr>
        <w:t>20.8法律、法规、规章规定属于投标人串通投标的其他情形</w:t>
      </w:r>
      <w:r>
        <w:rPr>
          <w:rFonts w:hint="eastAsia"/>
          <w:color w:val="auto"/>
          <w:highlight w:val="none"/>
          <w:lang w:val="zh-CN" w:eastAsia="zh-CN"/>
        </w:rPr>
        <w:t>。</w:t>
      </w:r>
    </w:p>
    <w:p w14:paraId="737FAF06">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w:t>
      </w:r>
      <w:r>
        <w:rPr>
          <w:color w:val="auto"/>
          <w:highlight w:val="none"/>
        </w:rPr>
        <w:t>.</w:t>
      </w:r>
      <w:r>
        <w:rPr>
          <w:rFonts w:hint="eastAsia"/>
          <w:color w:val="auto"/>
          <w:highlight w:val="none"/>
        </w:rPr>
        <w:t>根据《中华人民共和国政府采购法》第三十六条之规定，在招标采购过程中，出现下列情形之一的，应予</w:t>
      </w:r>
      <w:r>
        <w:rPr>
          <w:rFonts w:hint="eastAsia"/>
          <w:b/>
          <w:bCs/>
          <w:color w:val="auto"/>
          <w:highlight w:val="none"/>
        </w:rPr>
        <w:t>废标</w:t>
      </w:r>
      <w:r>
        <w:rPr>
          <w:rFonts w:hint="eastAsia"/>
          <w:color w:val="auto"/>
          <w:highlight w:val="none"/>
        </w:rPr>
        <w:t>：</w:t>
      </w:r>
    </w:p>
    <w:p w14:paraId="2C92042A">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w:t>
      </w:r>
      <w:r>
        <w:rPr>
          <w:color w:val="auto"/>
          <w:highlight w:val="none"/>
        </w:rPr>
        <w:t>.1</w:t>
      </w:r>
      <w:r>
        <w:rPr>
          <w:rFonts w:hint="eastAsia"/>
          <w:iCs/>
          <w:color w:val="auto"/>
          <w:spacing w:val="-6"/>
          <w:sz w:val="24"/>
          <w:highlight w:val="none"/>
        </w:rPr>
        <w:t>符合专业条件的供应商或者对招标文件作实质响应的供应商不足3家的；</w:t>
      </w:r>
    </w:p>
    <w:p w14:paraId="34ECD7A2">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w:t>
      </w:r>
      <w:r>
        <w:rPr>
          <w:color w:val="auto"/>
          <w:highlight w:val="none"/>
        </w:rPr>
        <w:t>.2</w:t>
      </w:r>
      <w:r>
        <w:rPr>
          <w:rFonts w:hint="eastAsia"/>
          <w:color w:val="auto"/>
          <w:highlight w:val="none"/>
        </w:rPr>
        <w:t>出现影响采购公正的违法、违规行为的；</w:t>
      </w:r>
    </w:p>
    <w:p w14:paraId="55223AA1">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w:t>
      </w:r>
      <w:r>
        <w:rPr>
          <w:color w:val="auto"/>
          <w:highlight w:val="none"/>
        </w:rPr>
        <w:t>.3</w:t>
      </w:r>
      <w:r>
        <w:rPr>
          <w:rFonts w:hint="eastAsia"/>
          <w:color w:val="auto"/>
          <w:highlight w:val="none"/>
        </w:rPr>
        <w:t>投标人的报价均超过了采购预算，采购人不能支付的；</w:t>
      </w:r>
    </w:p>
    <w:p w14:paraId="238CC2DB">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21</w:t>
      </w:r>
      <w:r>
        <w:rPr>
          <w:color w:val="auto"/>
          <w:highlight w:val="none"/>
        </w:rPr>
        <w:t>.4</w:t>
      </w:r>
      <w:r>
        <w:rPr>
          <w:rFonts w:hint="eastAsia"/>
          <w:color w:val="auto"/>
          <w:highlight w:val="none"/>
        </w:rPr>
        <w:t>因重大变故，采购任务取消的</w:t>
      </w:r>
      <w:r>
        <w:rPr>
          <w:rFonts w:hint="eastAsia"/>
          <w:color w:val="auto"/>
          <w:highlight w:val="none"/>
          <w:lang w:val="en-US" w:eastAsia="zh-CN"/>
        </w:rPr>
        <w:t>；</w:t>
      </w:r>
    </w:p>
    <w:p w14:paraId="42948BC7">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21.5</w:t>
      </w:r>
      <w:r>
        <w:rPr>
          <w:rFonts w:hint="eastAsia"/>
          <w:color w:val="auto"/>
          <w:highlight w:val="none"/>
        </w:rPr>
        <w:t>法律、法规、规章规定属于</w:t>
      </w:r>
      <w:r>
        <w:rPr>
          <w:rFonts w:hint="eastAsia"/>
          <w:color w:val="auto"/>
          <w:highlight w:val="none"/>
          <w:lang w:val="en-US" w:eastAsia="zh-CN"/>
        </w:rPr>
        <w:t>废标</w:t>
      </w:r>
      <w:r>
        <w:rPr>
          <w:rFonts w:hint="eastAsia"/>
          <w:color w:val="auto"/>
          <w:highlight w:val="none"/>
        </w:rPr>
        <w:t>的其他情形。</w:t>
      </w:r>
    </w:p>
    <w:p w14:paraId="3EE39131">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22.</w:t>
      </w:r>
      <w:r>
        <w:rPr>
          <w:rFonts w:hint="eastAsia"/>
          <w:color w:val="auto"/>
          <w:highlight w:val="none"/>
        </w:rPr>
        <w:t>废标后，采购人应当将废标理由通知所有投标人。</w:t>
      </w:r>
    </w:p>
    <w:p w14:paraId="05AB6DCD">
      <w:pPr>
        <w:pStyle w:val="8"/>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10" w:name="_Toc5243"/>
      <w:bookmarkStart w:id="511" w:name="_Toc20839"/>
      <w:bookmarkStart w:id="512" w:name="_Toc102116022"/>
      <w:bookmarkStart w:id="513" w:name="_Toc102116152"/>
      <w:bookmarkStart w:id="514" w:name="_Toc102056218"/>
      <w:bookmarkStart w:id="515" w:name="_Toc102114920"/>
      <w:bookmarkStart w:id="516" w:name="_Toc102057718"/>
      <w:bookmarkStart w:id="517" w:name="_Toc14002"/>
      <w:bookmarkStart w:id="518" w:name="_Toc102119853"/>
      <w:bookmarkStart w:id="519" w:name="_Toc155185914"/>
      <w:bookmarkStart w:id="520" w:name="_Toc163492907"/>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zh-CN" w:eastAsia="zh-CN" w:bidi="ar-SA"/>
        </w:rPr>
        <w:t>）停止评标的情形</w:t>
      </w:r>
      <w:bookmarkEnd w:id="510"/>
      <w:bookmarkEnd w:id="511"/>
      <w:bookmarkEnd w:id="512"/>
      <w:bookmarkEnd w:id="513"/>
      <w:bookmarkEnd w:id="514"/>
      <w:bookmarkEnd w:id="515"/>
      <w:bookmarkEnd w:id="516"/>
      <w:bookmarkEnd w:id="517"/>
      <w:bookmarkEnd w:id="518"/>
      <w:bookmarkEnd w:id="519"/>
      <w:bookmarkEnd w:id="520"/>
    </w:p>
    <w:p w14:paraId="190044DE">
      <w:pPr>
        <w:pStyle w:val="40"/>
        <w:rPr>
          <w:rFonts w:hint="eastAsia"/>
          <w:color w:val="auto"/>
          <w:highlight w:val="none"/>
        </w:rPr>
      </w:pPr>
      <w:r>
        <w:rPr>
          <w:rFonts w:hint="eastAsia"/>
          <w:color w:val="auto"/>
          <w:highlight w:val="none"/>
          <w:lang w:val="en-US" w:eastAsia="zh-CN"/>
        </w:rPr>
        <w:t>23</w:t>
      </w:r>
      <w:r>
        <w:rPr>
          <w:color w:val="auto"/>
          <w:highlight w:val="none"/>
        </w:rPr>
        <w:t>.</w:t>
      </w:r>
      <w:r>
        <w:rPr>
          <w:rFonts w:hint="eastAsia"/>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CDB1955">
      <w:pPr>
        <w:pStyle w:val="8"/>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21" w:name="_Toc10597"/>
      <w:bookmarkStart w:id="522" w:name="_Toc8262"/>
      <w:bookmarkStart w:id="523" w:name="_Toc13967"/>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十</w:t>
      </w:r>
      <w:r>
        <w:rPr>
          <w:rFonts w:hint="eastAsia" w:ascii="宋体" w:hAnsi="宋体" w:eastAsia="宋体" w:cs="宋体"/>
          <w:b/>
          <w:bCs/>
          <w:color w:val="auto"/>
          <w:kern w:val="2"/>
          <w:sz w:val="24"/>
          <w:szCs w:val="24"/>
          <w:highlight w:val="none"/>
          <w:lang w:val="zh-CN" w:eastAsia="zh-CN" w:bidi="ar-SA"/>
        </w:rPr>
        <w:t>）重新开展采购</w:t>
      </w:r>
      <w:bookmarkEnd w:id="521"/>
      <w:bookmarkEnd w:id="522"/>
      <w:bookmarkEnd w:id="523"/>
    </w:p>
    <w:p w14:paraId="461B653A">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有</w:t>
      </w:r>
      <w:r>
        <w:rPr>
          <w:rFonts w:hint="eastAsia"/>
          <w:color w:val="auto"/>
          <w:highlight w:val="none"/>
          <w:lang w:eastAsia="zh-CN"/>
        </w:rPr>
        <w:t>《</w:t>
      </w:r>
      <w:r>
        <w:rPr>
          <w:rFonts w:hint="eastAsia"/>
          <w:color w:val="auto"/>
          <w:highlight w:val="none"/>
        </w:rPr>
        <w:t>中华人民共和国政府采购法</w:t>
      </w:r>
      <w:r>
        <w:rPr>
          <w:rFonts w:hint="eastAsia"/>
          <w:color w:val="auto"/>
          <w:highlight w:val="none"/>
          <w:lang w:eastAsia="zh-CN"/>
        </w:rPr>
        <w:t>》</w:t>
      </w:r>
      <w:r>
        <w:rPr>
          <w:rFonts w:hint="eastAsia"/>
          <w:color w:val="auto"/>
          <w:highlight w:val="none"/>
        </w:rPr>
        <w:t>第七十一条、第七十二条规定的违法行为之一，影响或者可能影响中标结果的，依照下列规定处理：</w:t>
      </w:r>
    </w:p>
    <w:p w14:paraId="7AA5C7C3">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.1</w:t>
      </w:r>
      <w:r>
        <w:rPr>
          <w:rFonts w:hint="eastAsia"/>
          <w:iCs/>
          <w:color w:val="auto"/>
          <w:spacing w:val="-6"/>
          <w:sz w:val="24"/>
          <w:highlight w:val="none"/>
        </w:rPr>
        <w:t>未确定中标供应商的，终止本次政府采购活动，重新开展政府采购活动。</w:t>
      </w:r>
    </w:p>
    <w:p w14:paraId="3A794890">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.2已确定中标供应商但尚未签订政府采购合同的，中标结果无效，从合格的中标候选人中另行确定中标供应商；没有合格的中标候选人的，重新开展政府采购活动。</w:t>
      </w:r>
    </w:p>
    <w:p w14:paraId="595100CC">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.3政府采购合同已签订但尚未履行的，撤销合同，从合格的中标候选人中另行确定中标供应商；没有合格的中标候选人的，重新开展政府采购活动。</w:t>
      </w:r>
    </w:p>
    <w:p w14:paraId="45E078B1">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.4政府采购合同已经履行，给采购人、供应商造成损失的，由责任人承担赔偿责任。</w:t>
      </w:r>
    </w:p>
    <w:p w14:paraId="43A428E9">
      <w:pPr>
        <w:pStyle w:val="40"/>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24</w:t>
      </w:r>
      <w:r>
        <w:rPr>
          <w:rFonts w:hint="eastAsia"/>
          <w:color w:val="auto"/>
          <w:highlight w:val="none"/>
        </w:rPr>
        <w:t>.5政府采购当事人有其他违反</w:t>
      </w:r>
      <w:r>
        <w:rPr>
          <w:rFonts w:hint="eastAsia"/>
          <w:iCs/>
          <w:color w:val="auto"/>
          <w:spacing w:val="-6"/>
          <w:sz w:val="24"/>
          <w:highlight w:val="none"/>
          <w:lang w:eastAsia="zh-CN"/>
        </w:rPr>
        <w:t>《</w:t>
      </w:r>
      <w:r>
        <w:rPr>
          <w:rFonts w:hint="eastAsia"/>
          <w:iCs/>
          <w:color w:val="auto"/>
          <w:spacing w:val="-6"/>
          <w:sz w:val="24"/>
          <w:highlight w:val="none"/>
        </w:rPr>
        <w:t>中华人民共和国政府采购法</w:t>
      </w:r>
      <w:r>
        <w:rPr>
          <w:rFonts w:hint="eastAsia"/>
          <w:iCs/>
          <w:color w:val="auto"/>
          <w:spacing w:val="-6"/>
          <w:sz w:val="24"/>
          <w:highlight w:val="none"/>
          <w:lang w:eastAsia="zh-CN"/>
        </w:rPr>
        <w:t>》</w:t>
      </w:r>
      <w:r>
        <w:rPr>
          <w:rFonts w:hint="eastAsia"/>
          <w:iCs/>
          <w:color w:val="auto"/>
          <w:spacing w:val="-6"/>
          <w:sz w:val="24"/>
          <w:highlight w:val="none"/>
        </w:rPr>
        <w:t>或者</w:t>
      </w:r>
      <w:r>
        <w:rPr>
          <w:rFonts w:hint="eastAsia"/>
          <w:iCs/>
          <w:color w:val="auto"/>
          <w:spacing w:val="-6"/>
          <w:sz w:val="24"/>
          <w:highlight w:val="none"/>
          <w:lang w:eastAsia="zh-CN"/>
        </w:rPr>
        <w:t>《</w:t>
      </w:r>
      <w:r>
        <w:rPr>
          <w:rFonts w:hint="eastAsia"/>
          <w:iCs/>
          <w:color w:val="auto"/>
          <w:spacing w:val="-6"/>
          <w:sz w:val="24"/>
          <w:highlight w:val="none"/>
        </w:rPr>
        <w:t>中华人民共和国政府采购法实施条例</w:t>
      </w:r>
      <w:r>
        <w:rPr>
          <w:rFonts w:hint="eastAsia"/>
          <w:iCs/>
          <w:color w:val="auto"/>
          <w:spacing w:val="-6"/>
          <w:sz w:val="24"/>
          <w:highlight w:val="none"/>
          <w:lang w:eastAsia="zh-CN"/>
        </w:rPr>
        <w:t>》</w:t>
      </w:r>
      <w:r>
        <w:rPr>
          <w:rFonts w:hint="eastAsia"/>
          <w:color w:val="auto"/>
          <w:highlight w:val="none"/>
        </w:rPr>
        <w:t>等法律法规规定的行为，经改正后仍然影响或者可能影响中标结果或者依法被认定为中标无效的，依照</w:t>
      </w:r>
      <w:r>
        <w:rPr>
          <w:rFonts w:hint="eastAsia"/>
          <w:color w:val="auto"/>
          <w:highlight w:val="none"/>
          <w:lang w:val="en-US" w:eastAsia="zh-CN"/>
        </w:rPr>
        <w:t>24</w:t>
      </w:r>
      <w:r>
        <w:rPr>
          <w:rFonts w:hint="eastAsia"/>
          <w:color w:val="auto"/>
          <w:highlight w:val="none"/>
        </w:rPr>
        <w:t>.1</w:t>
      </w:r>
      <w:r>
        <w:rPr>
          <w:rFonts w:hint="eastAsia"/>
          <w:color w:val="auto"/>
          <w:highlight w:val="none"/>
          <w:lang w:eastAsia="zh-CN"/>
        </w:rPr>
        <w:t>—</w:t>
      </w:r>
      <w:r>
        <w:rPr>
          <w:rFonts w:hint="eastAsia"/>
          <w:color w:val="auto"/>
          <w:highlight w:val="none"/>
          <w:lang w:val="en-US" w:eastAsia="zh-CN"/>
        </w:rPr>
        <w:t>24</w:t>
      </w:r>
      <w:r>
        <w:rPr>
          <w:rFonts w:hint="eastAsia"/>
          <w:color w:val="auto"/>
          <w:highlight w:val="none"/>
        </w:rPr>
        <w:t>.4规定处理。</w:t>
      </w:r>
    </w:p>
    <w:bookmarkEnd w:id="459"/>
    <w:bookmarkEnd w:id="460"/>
    <w:bookmarkEnd w:id="461"/>
    <w:bookmarkEnd w:id="462"/>
    <w:bookmarkEnd w:id="463"/>
    <w:bookmarkEnd w:id="464"/>
    <w:bookmarkEnd w:id="465"/>
    <w:bookmarkEnd w:id="466"/>
    <w:bookmarkEnd w:id="467"/>
    <w:bookmarkEnd w:id="468"/>
    <w:p w14:paraId="0BE29AB1">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524" w:name="_Toc22385"/>
      <w:bookmarkStart w:id="525" w:name="_Toc2099"/>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val="zh-CN" w:eastAsia="zh-CN"/>
        </w:rPr>
        <w:t>、评标标准</w:t>
      </w:r>
      <w:bookmarkEnd w:id="524"/>
      <w:bookmarkEnd w:id="525"/>
    </w:p>
    <w:p w14:paraId="6FC1DEBE">
      <w:pPr>
        <w:pStyle w:val="8"/>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26" w:name="_Toc163492909"/>
      <w:bookmarkStart w:id="527" w:name="_Toc1508"/>
      <w:bookmarkStart w:id="528" w:name="_Toc12396"/>
      <w:bookmarkStart w:id="529" w:name="_Toc29368"/>
      <w:r>
        <w:rPr>
          <w:rFonts w:hint="eastAsia" w:ascii="宋体" w:hAnsi="宋体" w:eastAsia="宋体" w:cs="宋体"/>
          <w:b/>
          <w:bCs/>
          <w:color w:val="auto"/>
          <w:kern w:val="2"/>
          <w:sz w:val="24"/>
          <w:szCs w:val="24"/>
          <w:highlight w:val="none"/>
          <w:lang w:val="zh-CN" w:eastAsia="zh-CN" w:bidi="ar-SA"/>
        </w:rPr>
        <w:t>（一）符合性审查表</w:t>
      </w:r>
      <w:bookmarkEnd w:id="526"/>
      <w:bookmarkEnd w:id="527"/>
      <w:bookmarkEnd w:id="528"/>
      <w:bookmarkEnd w:id="529"/>
    </w:p>
    <w:tbl>
      <w:tblPr>
        <w:tblStyle w:val="33"/>
        <w:tblW w:w="10354"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60"/>
        <w:gridCol w:w="758"/>
        <w:gridCol w:w="758"/>
        <w:gridCol w:w="758"/>
      </w:tblGrid>
      <w:tr w14:paraId="1787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20" w:type="dxa"/>
            <w:vMerge w:val="restart"/>
            <w:noWrap w:val="0"/>
            <w:vAlign w:val="bottom"/>
          </w:tcPr>
          <w:p w14:paraId="0C2B3C3D">
            <w:pPr>
              <w:spacing w:line="360" w:lineRule="auto"/>
              <w:jc w:val="center"/>
              <w:rPr>
                <w:rFonts w:hint="eastAsia" w:ascii="宋体" w:hAnsi="宋体" w:cs="仿宋"/>
                <w:b/>
                <w:spacing w:val="-2"/>
                <w:sz w:val="24"/>
              </w:rPr>
            </w:pPr>
            <w:bookmarkStart w:id="530" w:name="_Toc155185917"/>
            <w:bookmarkStart w:id="531" w:name="_Toc163492910"/>
            <w:r>
              <w:rPr>
                <w:rFonts w:hint="eastAsia" w:ascii="宋体" w:hAnsi="宋体" w:cs="仿宋"/>
                <w:b/>
                <w:spacing w:val="-2"/>
                <w:sz w:val="24"/>
              </w:rPr>
              <w:t>序号</w:t>
            </w:r>
          </w:p>
        </w:tc>
        <w:tc>
          <w:tcPr>
            <w:tcW w:w="7360" w:type="dxa"/>
            <w:vMerge w:val="restart"/>
            <w:noWrap w:val="0"/>
            <w:vAlign w:val="bottom"/>
          </w:tcPr>
          <w:p w14:paraId="148DEC54">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2274" w:type="dxa"/>
            <w:gridSpan w:val="3"/>
            <w:noWrap w:val="0"/>
            <w:vAlign w:val="bottom"/>
          </w:tcPr>
          <w:p w14:paraId="257D0465">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14:paraId="7FD2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20" w:type="dxa"/>
            <w:vMerge w:val="continue"/>
            <w:noWrap w:val="0"/>
            <w:vAlign w:val="bottom"/>
          </w:tcPr>
          <w:p w14:paraId="21661A92">
            <w:pPr>
              <w:spacing w:line="360" w:lineRule="auto"/>
              <w:jc w:val="center"/>
              <w:rPr>
                <w:rFonts w:hint="eastAsia" w:ascii="宋体" w:hAnsi="宋体" w:cs="仿宋"/>
                <w:b/>
                <w:spacing w:val="-2"/>
                <w:sz w:val="24"/>
              </w:rPr>
            </w:pPr>
          </w:p>
        </w:tc>
        <w:tc>
          <w:tcPr>
            <w:tcW w:w="7360" w:type="dxa"/>
            <w:vMerge w:val="continue"/>
            <w:noWrap w:val="0"/>
            <w:vAlign w:val="bottom"/>
          </w:tcPr>
          <w:p w14:paraId="77332FBE">
            <w:pPr>
              <w:spacing w:line="360" w:lineRule="auto"/>
              <w:jc w:val="center"/>
              <w:rPr>
                <w:rFonts w:hint="eastAsia" w:ascii="宋体" w:hAnsi="宋体" w:cs="仿宋"/>
                <w:b/>
                <w:spacing w:val="-2"/>
                <w:sz w:val="24"/>
              </w:rPr>
            </w:pPr>
          </w:p>
        </w:tc>
        <w:tc>
          <w:tcPr>
            <w:tcW w:w="758" w:type="dxa"/>
            <w:noWrap w:val="0"/>
            <w:vAlign w:val="bottom"/>
          </w:tcPr>
          <w:p w14:paraId="21E11788">
            <w:pPr>
              <w:spacing w:line="360" w:lineRule="auto"/>
              <w:jc w:val="center"/>
              <w:rPr>
                <w:rFonts w:hint="eastAsia" w:ascii="宋体" w:hAnsi="宋体" w:cs="仿宋"/>
                <w:b/>
                <w:spacing w:val="-2"/>
                <w:sz w:val="24"/>
              </w:rPr>
            </w:pPr>
          </w:p>
        </w:tc>
        <w:tc>
          <w:tcPr>
            <w:tcW w:w="758" w:type="dxa"/>
            <w:noWrap w:val="0"/>
            <w:vAlign w:val="top"/>
          </w:tcPr>
          <w:p w14:paraId="11D4A4E6">
            <w:pPr>
              <w:spacing w:line="360" w:lineRule="auto"/>
              <w:jc w:val="center"/>
              <w:rPr>
                <w:rFonts w:hint="eastAsia" w:ascii="宋体" w:hAnsi="宋体" w:cs="仿宋"/>
                <w:b/>
                <w:spacing w:val="-2"/>
                <w:sz w:val="24"/>
              </w:rPr>
            </w:pPr>
          </w:p>
        </w:tc>
        <w:tc>
          <w:tcPr>
            <w:tcW w:w="758" w:type="dxa"/>
            <w:noWrap w:val="0"/>
            <w:vAlign w:val="top"/>
          </w:tcPr>
          <w:p w14:paraId="6386DC30">
            <w:pPr>
              <w:spacing w:line="360" w:lineRule="auto"/>
              <w:jc w:val="center"/>
              <w:rPr>
                <w:rFonts w:hint="eastAsia" w:ascii="宋体" w:hAnsi="宋体" w:cs="仿宋"/>
                <w:b/>
                <w:spacing w:val="-2"/>
                <w:sz w:val="24"/>
              </w:rPr>
            </w:pPr>
          </w:p>
        </w:tc>
      </w:tr>
      <w:tr w14:paraId="450A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20" w:type="dxa"/>
            <w:noWrap w:val="0"/>
            <w:vAlign w:val="center"/>
          </w:tcPr>
          <w:p w14:paraId="5E05C8FE">
            <w:pPr>
              <w:pStyle w:val="16"/>
              <w:spacing w:line="360" w:lineRule="auto"/>
              <w:jc w:val="center"/>
              <w:rPr>
                <w:rFonts w:hint="eastAsia" w:ascii="宋体" w:hAnsi="宋体" w:eastAsia="宋体"/>
                <w:szCs w:val="24"/>
              </w:rPr>
            </w:pPr>
            <w:r>
              <w:rPr>
                <w:rFonts w:hint="eastAsia" w:ascii="宋体" w:hAnsi="宋体" w:eastAsia="宋体"/>
                <w:szCs w:val="24"/>
              </w:rPr>
              <w:t>1</w:t>
            </w:r>
          </w:p>
        </w:tc>
        <w:tc>
          <w:tcPr>
            <w:tcW w:w="7360" w:type="dxa"/>
            <w:noWrap w:val="0"/>
            <w:vAlign w:val="center"/>
          </w:tcPr>
          <w:p w14:paraId="3726ED64">
            <w:pPr>
              <w:spacing w:line="360" w:lineRule="auto"/>
              <w:rPr>
                <w:rFonts w:hint="eastAsia" w:ascii="宋体" w:hAnsi="宋体" w:cs="仿宋"/>
                <w:sz w:val="24"/>
              </w:rPr>
            </w:pPr>
            <w:r>
              <w:rPr>
                <w:rFonts w:hint="eastAsia" w:ascii="宋体" w:hAnsi="宋体" w:cs="仿宋"/>
                <w:color w:val="000000"/>
                <w:sz w:val="24"/>
              </w:rPr>
              <w:t>按</w:t>
            </w:r>
            <w:r>
              <w:rPr>
                <w:rFonts w:hint="eastAsia" w:cs="仿宋"/>
                <w:color w:val="000000"/>
                <w:sz w:val="24"/>
                <w:lang w:val="en-US" w:eastAsia="zh-CN"/>
              </w:rPr>
              <w:t>招标</w:t>
            </w:r>
            <w:r>
              <w:rPr>
                <w:rFonts w:hint="eastAsia" w:ascii="宋体" w:hAnsi="宋体" w:cs="仿宋"/>
                <w:color w:val="000000"/>
                <w:sz w:val="24"/>
              </w:rPr>
              <w:t>文件的规定提交</w:t>
            </w:r>
            <w:r>
              <w:rPr>
                <w:rFonts w:hint="eastAsia" w:cs="仿宋"/>
                <w:color w:val="000000"/>
                <w:sz w:val="24"/>
                <w:lang w:val="en-US" w:eastAsia="zh-CN"/>
              </w:rPr>
              <w:t>投标</w:t>
            </w:r>
            <w:r>
              <w:rPr>
                <w:rFonts w:hint="eastAsia" w:ascii="宋体" w:hAnsi="宋体" w:cs="仿宋"/>
                <w:color w:val="000000"/>
                <w:sz w:val="24"/>
              </w:rPr>
              <w:t>保证金的；</w:t>
            </w:r>
          </w:p>
        </w:tc>
        <w:tc>
          <w:tcPr>
            <w:tcW w:w="758" w:type="dxa"/>
            <w:noWrap w:val="0"/>
            <w:vAlign w:val="top"/>
          </w:tcPr>
          <w:p w14:paraId="647D0FFE">
            <w:pPr>
              <w:pStyle w:val="16"/>
              <w:rPr>
                <w:rFonts w:hint="eastAsia" w:ascii="宋体" w:hAnsi="宋体" w:eastAsia="宋体"/>
                <w:szCs w:val="24"/>
              </w:rPr>
            </w:pPr>
          </w:p>
        </w:tc>
        <w:tc>
          <w:tcPr>
            <w:tcW w:w="758" w:type="dxa"/>
            <w:noWrap w:val="0"/>
            <w:vAlign w:val="top"/>
          </w:tcPr>
          <w:p w14:paraId="0C859528">
            <w:pPr>
              <w:pStyle w:val="16"/>
              <w:rPr>
                <w:rFonts w:hint="eastAsia" w:ascii="宋体" w:hAnsi="宋体" w:eastAsia="宋体"/>
                <w:szCs w:val="24"/>
              </w:rPr>
            </w:pPr>
          </w:p>
        </w:tc>
        <w:tc>
          <w:tcPr>
            <w:tcW w:w="758" w:type="dxa"/>
            <w:noWrap w:val="0"/>
            <w:vAlign w:val="top"/>
          </w:tcPr>
          <w:p w14:paraId="55E38858">
            <w:pPr>
              <w:pStyle w:val="16"/>
              <w:rPr>
                <w:rFonts w:hint="eastAsia" w:ascii="宋体" w:hAnsi="宋体" w:eastAsia="宋体"/>
                <w:szCs w:val="24"/>
              </w:rPr>
            </w:pPr>
          </w:p>
        </w:tc>
      </w:tr>
      <w:tr w14:paraId="43BC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20" w:type="dxa"/>
            <w:noWrap w:val="0"/>
            <w:vAlign w:val="center"/>
          </w:tcPr>
          <w:p w14:paraId="5DEB8018">
            <w:pPr>
              <w:pStyle w:val="16"/>
              <w:spacing w:line="360" w:lineRule="auto"/>
              <w:jc w:val="center"/>
              <w:rPr>
                <w:rFonts w:hint="eastAsia" w:ascii="宋体" w:hAnsi="宋体" w:eastAsia="宋体"/>
                <w:szCs w:val="24"/>
              </w:rPr>
            </w:pPr>
            <w:r>
              <w:rPr>
                <w:rFonts w:hint="eastAsia" w:ascii="宋体" w:hAnsi="宋体" w:eastAsia="宋体"/>
                <w:szCs w:val="24"/>
              </w:rPr>
              <w:t>2</w:t>
            </w:r>
          </w:p>
        </w:tc>
        <w:tc>
          <w:tcPr>
            <w:tcW w:w="7360" w:type="dxa"/>
            <w:noWrap w:val="0"/>
            <w:vAlign w:val="center"/>
          </w:tcPr>
          <w:p w14:paraId="02779F6D">
            <w:pPr>
              <w:pStyle w:val="16"/>
              <w:spacing w:line="360" w:lineRule="auto"/>
              <w:rPr>
                <w:rFonts w:hint="eastAsia" w:ascii="宋体" w:hAnsi="宋体" w:eastAsia="宋体"/>
                <w:szCs w:val="24"/>
              </w:rPr>
            </w:pPr>
            <w:r>
              <w:rPr>
                <w:rFonts w:hint="eastAsia" w:ascii="宋体" w:hAnsi="宋体" w:eastAsia="宋体" w:cs="仿宋"/>
                <w:color w:val="000000"/>
                <w:szCs w:val="24"/>
                <w:lang w:val="en-US" w:eastAsia="zh-CN"/>
              </w:rPr>
              <w:t>投标</w:t>
            </w:r>
            <w:r>
              <w:rPr>
                <w:rFonts w:hint="eastAsia" w:ascii="宋体" w:hAnsi="宋体" w:eastAsia="宋体" w:cs="仿宋"/>
                <w:color w:val="000000"/>
                <w:szCs w:val="24"/>
              </w:rPr>
              <w:t>文件按</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文件的规定要求签署、盖章的；</w:t>
            </w:r>
          </w:p>
        </w:tc>
        <w:tc>
          <w:tcPr>
            <w:tcW w:w="758" w:type="dxa"/>
            <w:noWrap w:val="0"/>
            <w:vAlign w:val="top"/>
          </w:tcPr>
          <w:p w14:paraId="2EB310AE">
            <w:pPr>
              <w:pStyle w:val="16"/>
              <w:rPr>
                <w:rFonts w:hint="eastAsia" w:ascii="宋体" w:hAnsi="宋体" w:eastAsia="宋体"/>
                <w:szCs w:val="24"/>
              </w:rPr>
            </w:pPr>
          </w:p>
        </w:tc>
        <w:tc>
          <w:tcPr>
            <w:tcW w:w="758" w:type="dxa"/>
            <w:noWrap w:val="0"/>
            <w:vAlign w:val="top"/>
          </w:tcPr>
          <w:p w14:paraId="61953D05">
            <w:pPr>
              <w:pStyle w:val="16"/>
              <w:rPr>
                <w:rFonts w:hint="eastAsia" w:ascii="宋体" w:hAnsi="宋体" w:eastAsia="宋体"/>
                <w:szCs w:val="24"/>
              </w:rPr>
            </w:pPr>
          </w:p>
        </w:tc>
        <w:tc>
          <w:tcPr>
            <w:tcW w:w="758" w:type="dxa"/>
            <w:noWrap w:val="0"/>
            <w:vAlign w:val="top"/>
          </w:tcPr>
          <w:p w14:paraId="6B8A37A2">
            <w:pPr>
              <w:pStyle w:val="16"/>
              <w:rPr>
                <w:rFonts w:hint="eastAsia" w:ascii="宋体" w:hAnsi="宋体" w:eastAsia="宋体"/>
                <w:szCs w:val="24"/>
              </w:rPr>
            </w:pPr>
          </w:p>
        </w:tc>
      </w:tr>
      <w:tr w14:paraId="66BF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0AB5D786">
            <w:pPr>
              <w:pStyle w:val="16"/>
              <w:spacing w:line="360" w:lineRule="auto"/>
              <w:jc w:val="center"/>
              <w:rPr>
                <w:rFonts w:hint="eastAsia" w:ascii="宋体" w:hAnsi="宋体" w:eastAsia="宋体"/>
                <w:szCs w:val="24"/>
              </w:rPr>
            </w:pPr>
            <w:r>
              <w:rPr>
                <w:rFonts w:hint="eastAsia" w:ascii="宋体" w:hAnsi="宋体" w:eastAsia="宋体"/>
                <w:szCs w:val="24"/>
              </w:rPr>
              <w:t>3</w:t>
            </w:r>
          </w:p>
        </w:tc>
        <w:tc>
          <w:tcPr>
            <w:tcW w:w="7360" w:type="dxa"/>
            <w:noWrap w:val="0"/>
            <w:vAlign w:val="center"/>
          </w:tcPr>
          <w:p w14:paraId="55BCE3EA">
            <w:pPr>
              <w:spacing w:line="360" w:lineRule="auto"/>
              <w:rPr>
                <w:rFonts w:hint="eastAsia" w:ascii="宋体" w:hAnsi="宋体" w:cs="仿宋"/>
                <w:sz w:val="24"/>
              </w:rPr>
            </w:pPr>
            <w:r>
              <w:rPr>
                <w:rFonts w:hint="eastAsia" w:ascii="宋体" w:hAnsi="宋体"/>
                <w:color w:val="000000"/>
                <w:sz w:val="24"/>
                <w:lang w:val="en-US" w:eastAsia="zh-CN"/>
              </w:rPr>
              <w:t>合同履约期限</w:t>
            </w:r>
            <w:r>
              <w:rPr>
                <w:rFonts w:hint="eastAsia" w:ascii="宋体" w:hAnsi="宋体"/>
                <w:color w:val="000000"/>
                <w:sz w:val="24"/>
              </w:rPr>
              <w:t>满足</w:t>
            </w:r>
            <w:r>
              <w:rPr>
                <w:rFonts w:hint="eastAsia"/>
                <w:color w:val="000000"/>
                <w:sz w:val="24"/>
                <w:lang w:val="en-US" w:eastAsia="zh-CN"/>
              </w:rPr>
              <w:t>招标</w:t>
            </w:r>
            <w:r>
              <w:rPr>
                <w:rFonts w:hint="eastAsia" w:ascii="宋体" w:hAnsi="宋体"/>
                <w:color w:val="000000"/>
                <w:sz w:val="24"/>
              </w:rPr>
              <w:t>文件规定的；</w:t>
            </w:r>
          </w:p>
        </w:tc>
        <w:tc>
          <w:tcPr>
            <w:tcW w:w="758" w:type="dxa"/>
            <w:noWrap w:val="0"/>
            <w:vAlign w:val="top"/>
          </w:tcPr>
          <w:p w14:paraId="65872F6B">
            <w:pPr>
              <w:pStyle w:val="16"/>
              <w:rPr>
                <w:rFonts w:hint="eastAsia" w:ascii="宋体" w:hAnsi="宋体" w:eastAsia="宋体"/>
                <w:szCs w:val="24"/>
              </w:rPr>
            </w:pPr>
          </w:p>
        </w:tc>
        <w:tc>
          <w:tcPr>
            <w:tcW w:w="758" w:type="dxa"/>
            <w:noWrap w:val="0"/>
            <w:vAlign w:val="top"/>
          </w:tcPr>
          <w:p w14:paraId="6E2C995E">
            <w:pPr>
              <w:pStyle w:val="16"/>
              <w:rPr>
                <w:rFonts w:hint="eastAsia" w:ascii="宋体" w:hAnsi="宋体" w:eastAsia="宋体"/>
                <w:szCs w:val="24"/>
              </w:rPr>
            </w:pPr>
          </w:p>
        </w:tc>
        <w:tc>
          <w:tcPr>
            <w:tcW w:w="758" w:type="dxa"/>
            <w:noWrap w:val="0"/>
            <w:vAlign w:val="top"/>
          </w:tcPr>
          <w:p w14:paraId="74574276">
            <w:pPr>
              <w:pStyle w:val="16"/>
              <w:rPr>
                <w:rFonts w:hint="eastAsia" w:ascii="宋体" w:hAnsi="宋体" w:eastAsia="宋体"/>
                <w:szCs w:val="24"/>
              </w:rPr>
            </w:pPr>
          </w:p>
        </w:tc>
      </w:tr>
      <w:tr w14:paraId="2044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20" w:type="dxa"/>
            <w:noWrap w:val="0"/>
            <w:vAlign w:val="center"/>
          </w:tcPr>
          <w:p w14:paraId="5BC1D736">
            <w:pPr>
              <w:pStyle w:val="16"/>
              <w:spacing w:line="360" w:lineRule="auto"/>
              <w:jc w:val="center"/>
              <w:rPr>
                <w:rFonts w:hint="eastAsia" w:ascii="宋体" w:hAnsi="宋体" w:eastAsia="宋体"/>
                <w:szCs w:val="24"/>
              </w:rPr>
            </w:pPr>
            <w:r>
              <w:rPr>
                <w:rFonts w:hint="eastAsia" w:ascii="宋体" w:hAnsi="宋体" w:eastAsia="宋体"/>
                <w:szCs w:val="24"/>
              </w:rPr>
              <w:t>4</w:t>
            </w:r>
          </w:p>
        </w:tc>
        <w:tc>
          <w:tcPr>
            <w:tcW w:w="7360" w:type="dxa"/>
            <w:noWrap w:val="0"/>
            <w:vAlign w:val="center"/>
          </w:tcPr>
          <w:p w14:paraId="1525AD2B">
            <w:pPr>
              <w:spacing w:line="360" w:lineRule="auto"/>
              <w:rPr>
                <w:rFonts w:hint="eastAsia" w:ascii="宋体" w:hAnsi="宋体" w:cs="仿宋"/>
                <w:sz w:val="24"/>
              </w:rPr>
            </w:pPr>
            <w:r>
              <w:rPr>
                <w:rFonts w:hint="eastAsia" w:ascii="宋体" w:hAnsi="宋体" w:cs="仿宋"/>
                <w:color w:val="000000"/>
                <w:sz w:val="24"/>
                <w:lang w:val="en-US" w:eastAsia="zh-CN"/>
              </w:rPr>
              <w:t>投标</w:t>
            </w:r>
            <w:r>
              <w:rPr>
                <w:rFonts w:hint="eastAsia" w:ascii="宋体" w:hAnsi="宋体" w:cs="仿宋"/>
                <w:color w:val="000000"/>
                <w:sz w:val="24"/>
              </w:rPr>
              <w:t>报价按照规定要求报价，（包括</w:t>
            </w:r>
            <w:r>
              <w:rPr>
                <w:rFonts w:hint="eastAsia" w:ascii="宋体" w:hAnsi="宋体" w:cs="仿宋"/>
                <w:color w:val="000000"/>
                <w:sz w:val="24"/>
                <w:lang w:val="en-US" w:eastAsia="zh-CN"/>
              </w:rPr>
              <w:t>投标</w:t>
            </w:r>
            <w:r>
              <w:rPr>
                <w:rFonts w:hint="eastAsia" w:ascii="宋体" w:hAnsi="宋体" w:cs="仿宋"/>
                <w:color w:val="000000"/>
                <w:sz w:val="24"/>
              </w:rPr>
              <w:t>总报价及分项投标报价）均未超过预算金额或者最高限价，有且只有一个报价；</w:t>
            </w:r>
          </w:p>
        </w:tc>
        <w:tc>
          <w:tcPr>
            <w:tcW w:w="758" w:type="dxa"/>
            <w:noWrap w:val="0"/>
            <w:vAlign w:val="top"/>
          </w:tcPr>
          <w:p w14:paraId="593171A9">
            <w:pPr>
              <w:pStyle w:val="16"/>
              <w:rPr>
                <w:rFonts w:hint="eastAsia" w:ascii="宋体" w:hAnsi="宋体" w:eastAsia="宋体"/>
                <w:szCs w:val="24"/>
              </w:rPr>
            </w:pPr>
          </w:p>
        </w:tc>
        <w:tc>
          <w:tcPr>
            <w:tcW w:w="758" w:type="dxa"/>
            <w:noWrap w:val="0"/>
            <w:vAlign w:val="top"/>
          </w:tcPr>
          <w:p w14:paraId="3FAD0F41">
            <w:pPr>
              <w:pStyle w:val="16"/>
              <w:rPr>
                <w:rFonts w:hint="eastAsia" w:ascii="宋体" w:hAnsi="宋体" w:eastAsia="宋体"/>
                <w:szCs w:val="24"/>
              </w:rPr>
            </w:pPr>
          </w:p>
        </w:tc>
        <w:tc>
          <w:tcPr>
            <w:tcW w:w="758" w:type="dxa"/>
            <w:noWrap w:val="0"/>
            <w:vAlign w:val="top"/>
          </w:tcPr>
          <w:p w14:paraId="7420FA0F">
            <w:pPr>
              <w:pStyle w:val="16"/>
              <w:rPr>
                <w:rFonts w:hint="eastAsia" w:ascii="宋体" w:hAnsi="宋体" w:eastAsia="宋体"/>
                <w:szCs w:val="24"/>
              </w:rPr>
            </w:pPr>
          </w:p>
        </w:tc>
      </w:tr>
      <w:tr w14:paraId="656B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1944E0F3">
            <w:pPr>
              <w:pStyle w:val="16"/>
              <w:spacing w:line="360" w:lineRule="auto"/>
              <w:jc w:val="center"/>
              <w:rPr>
                <w:rFonts w:hint="eastAsia" w:ascii="宋体" w:hAnsi="宋体" w:eastAsia="宋体"/>
                <w:szCs w:val="24"/>
              </w:rPr>
            </w:pPr>
            <w:r>
              <w:rPr>
                <w:rFonts w:hint="eastAsia" w:ascii="宋体" w:hAnsi="宋体" w:eastAsia="宋体"/>
                <w:szCs w:val="24"/>
              </w:rPr>
              <w:t>5</w:t>
            </w:r>
          </w:p>
        </w:tc>
        <w:tc>
          <w:tcPr>
            <w:tcW w:w="7360" w:type="dxa"/>
            <w:noWrap w:val="0"/>
            <w:vAlign w:val="center"/>
          </w:tcPr>
          <w:p w14:paraId="5697C34C">
            <w:pPr>
              <w:pStyle w:val="16"/>
              <w:spacing w:line="360" w:lineRule="auto"/>
              <w:rPr>
                <w:rFonts w:hint="eastAsia" w:ascii="宋体" w:hAnsi="宋体" w:eastAsia="宋体" w:cs="仿宋"/>
                <w:szCs w:val="24"/>
              </w:rPr>
            </w:pPr>
            <w:r>
              <w:rPr>
                <w:rFonts w:hint="eastAsia" w:ascii="宋体" w:hAnsi="宋体" w:eastAsia="宋体" w:cs="仿宋"/>
                <w:color w:val="000000"/>
                <w:szCs w:val="24"/>
                <w:lang w:val="en-US" w:eastAsia="zh-CN"/>
              </w:rPr>
              <w:t>投标</w:t>
            </w:r>
            <w:r>
              <w:rPr>
                <w:rFonts w:ascii="宋体" w:hAnsi="宋体" w:eastAsia="宋体" w:cs="仿宋"/>
                <w:color w:val="000000"/>
                <w:szCs w:val="24"/>
              </w:rPr>
              <w:t>有效期满足</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w:t>
            </w:r>
            <w:r>
              <w:rPr>
                <w:rFonts w:ascii="宋体" w:hAnsi="宋体" w:eastAsia="宋体" w:cs="仿宋"/>
                <w:color w:val="000000"/>
                <w:szCs w:val="24"/>
              </w:rPr>
              <w:t>要求</w:t>
            </w:r>
            <w:r>
              <w:rPr>
                <w:rFonts w:hint="eastAsia" w:ascii="宋体" w:hAnsi="宋体" w:eastAsia="宋体" w:cs="仿宋"/>
                <w:color w:val="000000"/>
                <w:szCs w:val="24"/>
              </w:rPr>
              <w:t>；</w:t>
            </w:r>
          </w:p>
        </w:tc>
        <w:tc>
          <w:tcPr>
            <w:tcW w:w="758" w:type="dxa"/>
            <w:noWrap w:val="0"/>
            <w:vAlign w:val="top"/>
          </w:tcPr>
          <w:p w14:paraId="33CF3925">
            <w:pPr>
              <w:pStyle w:val="16"/>
              <w:rPr>
                <w:rFonts w:hint="eastAsia" w:ascii="宋体" w:hAnsi="宋体" w:eastAsia="宋体"/>
                <w:szCs w:val="24"/>
              </w:rPr>
            </w:pPr>
          </w:p>
        </w:tc>
        <w:tc>
          <w:tcPr>
            <w:tcW w:w="758" w:type="dxa"/>
            <w:noWrap w:val="0"/>
            <w:vAlign w:val="top"/>
          </w:tcPr>
          <w:p w14:paraId="37F4EE43">
            <w:pPr>
              <w:pStyle w:val="16"/>
              <w:rPr>
                <w:rFonts w:hint="eastAsia" w:ascii="宋体" w:hAnsi="宋体" w:eastAsia="宋体"/>
                <w:szCs w:val="24"/>
              </w:rPr>
            </w:pPr>
          </w:p>
        </w:tc>
        <w:tc>
          <w:tcPr>
            <w:tcW w:w="758" w:type="dxa"/>
            <w:noWrap w:val="0"/>
            <w:vAlign w:val="top"/>
          </w:tcPr>
          <w:p w14:paraId="4198221D">
            <w:pPr>
              <w:pStyle w:val="16"/>
              <w:rPr>
                <w:rFonts w:hint="eastAsia" w:ascii="宋体" w:hAnsi="宋体" w:eastAsia="宋体"/>
                <w:szCs w:val="24"/>
              </w:rPr>
            </w:pPr>
          </w:p>
        </w:tc>
      </w:tr>
      <w:tr w14:paraId="1017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61038DC7">
            <w:pPr>
              <w:pStyle w:val="16"/>
              <w:spacing w:line="360" w:lineRule="auto"/>
              <w:jc w:val="center"/>
              <w:rPr>
                <w:rFonts w:hint="eastAsia" w:ascii="宋体" w:hAnsi="宋体" w:eastAsia="宋体"/>
                <w:szCs w:val="24"/>
              </w:rPr>
            </w:pPr>
            <w:r>
              <w:rPr>
                <w:rFonts w:hint="eastAsia" w:ascii="宋体" w:hAnsi="宋体" w:eastAsia="宋体"/>
                <w:szCs w:val="24"/>
              </w:rPr>
              <w:t>6</w:t>
            </w:r>
          </w:p>
        </w:tc>
        <w:tc>
          <w:tcPr>
            <w:tcW w:w="7360" w:type="dxa"/>
            <w:noWrap w:val="0"/>
            <w:vAlign w:val="center"/>
          </w:tcPr>
          <w:p w14:paraId="198BD471">
            <w:pPr>
              <w:pStyle w:val="16"/>
              <w:spacing w:line="360" w:lineRule="auto"/>
              <w:rPr>
                <w:rFonts w:hint="eastAsia" w:ascii="宋体" w:hAnsi="宋体" w:eastAsia="宋体"/>
                <w:szCs w:val="24"/>
              </w:rPr>
            </w:pPr>
            <w:r>
              <w:rPr>
                <w:rFonts w:hint="eastAsia" w:ascii="宋体" w:hAnsi="宋体" w:eastAsia="宋体" w:cs="仿宋"/>
                <w:color w:val="000000"/>
                <w:szCs w:val="24"/>
              </w:rPr>
              <w:t>符合</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文件中规定的其它实质性要求的；</w:t>
            </w:r>
          </w:p>
        </w:tc>
        <w:tc>
          <w:tcPr>
            <w:tcW w:w="758" w:type="dxa"/>
            <w:noWrap w:val="0"/>
            <w:vAlign w:val="top"/>
          </w:tcPr>
          <w:p w14:paraId="2B03C34B">
            <w:pPr>
              <w:pStyle w:val="16"/>
              <w:rPr>
                <w:rFonts w:hint="eastAsia" w:ascii="宋体" w:hAnsi="宋体" w:eastAsia="宋体"/>
                <w:szCs w:val="24"/>
              </w:rPr>
            </w:pPr>
          </w:p>
        </w:tc>
        <w:tc>
          <w:tcPr>
            <w:tcW w:w="758" w:type="dxa"/>
            <w:noWrap w:val="0"/>
            <w:vAlign w:val="top"/>
          </w:tcPr>
          <w:p w14:paraId="087567A9">
            <w:pPr>
              <w:pStyle w:val="16"/>
              <w:rPr>
                <w:rFonts w:hint="eastAsia" w:ascii="宋体" w:hAnsi="宋体" w:eastAsia="宋体"/>
                <w:szCs w:val="24"/>
              </w:rPr>
            </w:pPr>
          </w:p>
        </w:tc>
        <w:tc>
          <w:tcPr>
            <w:tcW w:w="758" w:type="dxa"/>
            <w:noWrap w:val="0"/>
            <w:vAlign w:val="top"/>
          </w:tcPr>
          <w:p w14:paraId="684BB80F">
            <w:pPr>
              <w:pStyle w:val="16"/>
              <w:rPr>
                <w:rFonts w:hint="eastAsia" w:ascii="宋体" w:hAnsi="宋体" w:eastAsia="宋体"/>
                <w:szCs w:val="24"/>
              </w:rPr>
            </w:pPr>
          </w:p>
        </w:tc>
      </w:tr>
      <w:tr w14:paraId="33D3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3EDBED4D">
            <w:pPr>
              <w:pStyle w:val="16"/>
              <w:spacing w:line="360" w:lineRule="auto"/>
              <w:jc w:val="center"/>
              <w:rPr>
                <w:rFonts w:hint="eastAsia" w:ascii="宋体" w:hAnsi="宋体" w:eastAsia="宋体"/>
                <w:szCs w:val="24"/>
              </w:rPr>
            </w:pPr>
            <w:r>
              <w:rPr>
                <w:rFonts w:hint="eastAsia" w:ascii="宋体" w:hAnsi="宋体" w:eastAsia="宋体"/>
                <w:szCs w:val="24"/>
              </w:rPr>
              <w:t>7</w:t>
            </w:r>
          </w:p>
        </w:tc>
        <w:tc>
          <w:tcPr>
            <w:tcW w:w="7360" w:type="dxa"/>
            <w:noWrap w:val="0"/>
            <w:vAlign w:val="center"/>
          </w:tcPr>
          <w:p w14:paraId="516F6895">
            <w:pPr>
              <w:pStyle w:val="16"/>
              <w:spacing w:line="360" w:lineRule="auto"/>
              <w:rPr>
                <w:rFonts w:hint="eastAsia" w:ascii="宋体" w:hAnsi="宋体" w:eastAsia="宋体"/>
                <w:szCs w:val="24"/>
              </w:rPr>
            </w:pPr>
            <w:r>
              <w:rPr>
                <w:rFonts w:hint="eastAsia" w:ascii="宋体" w:hAnsi="宋体" w:eastAsia="宋体" w:cs="仿宋"/>
                <w:color w:val="000000"/>
                <w:szCs w:val="24"/>
                <w:lang w:val="en-US" w:eastAsia="zh-CN"/>
              </w:rPr>
              <w:t>投标</w:t>
            </w:r>
            <w:r>
              <w:rPr>
                <w:rFonts w:hint="eastAsia" w:ascii="宋体" w:hAnsi="宋体" w:eastAsia="宋体" w:cs="仿宋"/>
                <w:color w:val="000000"/>
                <w:szCs w:val="24"/>
              </w:rPr>
              <w:t>文件中未附有招标人不能接受的附加条件的；</w:t>
            </w:r>
          </w:p>
        </w:tc>
        <w:tc>
          <w:tcPr>
            <w:tcW w:w="758" w:type="dxa"/>
            <w:noWrap w:val="0"/>
            <w:vAlign w:val="top"/>
          </w:tcPr>
          <w:p w14:paraId="27303DE3">
            <w:pPr>
              <w:pStyle w:val="16"/>
              <w:rPr>
                <w:rFonts w:hint="eastAsia" w:ascii="宋体" w:hAnsi="宋体" w:eastAsia="宋体"/>
                <w:szCs w:val="24"/>
              </w:rPr>
            </w:pPr>
          </w:p>
        </w:tc>
        <w:tc>
          <w:tcPr>
            <w:tcW w:w="758" w:type="dxa"/>
            <w:noWrap w:val="0"/>
            <w:vAlign w:val="top"/>
          </w:tcPr>
          <w:p w14:paraId="5B4767A2">
            <w:pPr>
              <w:pStyle w:val="16"/>
              <w:rPr>
                <w:rFonts w:hint="eastAsia" w:ascii="宋体" w:hAnsi="宋体" w:eastAsia="宋体"/>
                <w:szCs w:val="24"/>
              </w:rPr>
            </w:pPr>
          </w:p>
        </w:tc>
        <w:tc>
          <w:tcPr>
            <w:tcW w:w="758" w:type="dxa"/>
            <w:noWrap w:val="0"/>
            <w:vAlign w:val="top"/>
          </w:tcPr>
          <w:p w14:paraId="5A3A579E">
            <w:pPr>
              <w:pStyle w:val="16"/>
              <w:rPr>
                <w:rFonts w:hint="eastAsia" w:ascii="宋体" w:hAnsi="宋体" w:eastAsia="宋体"/>
                <w:szCs w:val="24"/>
              </w:rPr>
            </w:pPr>
          </w:p>
        </w:tc>
      </w:tr>
      <w:tr w14:paraId="04DD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0" w:type="dxa"/>
            <w:noWrap w:val="0"/>
            <w:vAlign w:val="center"/>
          </w:tcPr>
          <w:p w14:paraId="3CEBEDAA">
            <w:pPr>
              <w:pStyle w:val="16"/>
              <w:spacing w:line="360" w:lineRule="auto"/>
              <w:jc w:val="center"/>
              <w:rPr>
                <w:rFonts w:hint="eastAsia" w:ascii="宋体" w:hAnsi="宋体" w:eastAsia="宋体"/>
                <w:szCs w:val="24"/>
                <w:lang w:eastAsia="zh-CN"/>
              </w:rPr>
            </w:pPr>
            <w:r>
              <w:rPr>
                <w:rFonts w:hint="eastAsia" w:ascii="宋体" w:hAnsi="宋体" w:eastAsia="宋体"/>
                <w:szCs w:val="24"/>
                <w:lang w:val="en-US" w:eastAsia="zh-CN"/>
              </w:rPr>
              <w:t>8</w:t>
            </w:r>
          </w:p>
        </w:tc>
        <w:tc>
          <w:tcPr>
            <w:tcW w:w="7360" w:type="dxa"/>
            <w:noWrap w:val="0"/>
            <w:vAlign w:val="center"/>
          </w:tcPr>
          <w:p w14:paraId="78173D77">
            <w:pPr>
              <w:spacing w:line="360" w:lineRule="auto"/>
              <w:rPr>
                <w:rFonts w:ascii="宋体" w:hAnsi="宋体" w:cs="仿宋"/>
                <w:sz w:val="24"/>
              </w:rPr>
            </w:pPr>
            <w:r>
              <w:rPr>
                <w:rFonts w:hint="eastAsia" w:ascii="宋体" w:hAnsi="宋体" w:cs="仿宋"/>
                <w:color w:val="000000"/>
                <w:sz w:val="24"/>
              </w:rPr>
              <w:t>不属于法律、法规和</w:t>
            </w:r>
            <w:r>
              <w:rPr>
                <w:rFonts w:hint="eastAsia" w:cs="仿宋"/>
                <w:color w:val="000000"/>
                <w:sz w:val="24"/>
                <w:lang w:val="en-US" w:eastAsia="zh-CN"/>
              </w:rPr>
              <w:t>招标</w:t>
            </w:r>
            <w:r>
              <w:rPr>
                <w:rFonts w:hint="eastAsia" w:ascii="宋体" w:hAnsi="宋体" w:cs="仿宋"/>
                <w:color w:val="000000"/>
                <w:sz w:val="24"/>
              </w:rPr>
              <w:t>文件中规定的其他无效响应情形的。</w:t>
            </w:r>
          </w:p>
        </w:tc>
        <w:tc>
          <w:tcPr>
            <w:tcW w:w="758" w:type="dxa"/>
            <w:noWrap w:val="0"/>
            <w:vAlign w:val="top"/>
          </w:tcPr>
          <w:p w14:paraId="79809FA2">
            <w:pPr>
              <w:pStyle w:val="16"/>
              <w:rPr>
                <w:rFonts w:hint="eastAsia" w:ascii="宋体" w:hAnsi="宋体" w:eastAsia="宋体"/>
                <w:szCs w:val="24"/>
              </w:rPr>
            </w:pPr>
          </w:p>
        </w:tc>
        <w:tc>
          <w:tcPr>
            <w:tcW w:w="758" w:type="dxa"/>
            <w:noWrap w:val="0"/>
            <w:vAlign w:val="top"/>
          </w:tcPr>
          <w:p w14:paraId="5A6827EA">
            <w:pPr>
              <w:pStyle w:val="16"/>
              <w:rPr>
                <w:rFonts w:hint="eastAsia" w:ascii="宋体" w:hAnsi="宋体" w:eastAsia="宋体"/>
                <w:szCs w:val="24"/>
              </w:rPr>
            </w:pPr>
          </w:p>
        </w:tc>
        <w:tc>
          <w:tcPr>
            <w:tcW w:w="758" w:type="dxa"/>
            <w:noWrap w:val="0"/>
            <w:vAlign w:val="top"/>
          </w:tcPr>
          <w:p w14:paraId="42B3D266">
            <w:pPr>
              <w:pStyle w:val="16"/>
              <w:rPr>
                <w:rFonts w:hint="eastAsia" w:ascii="宋体" w:hAnsi="宋体" w:eastAsia="宋体"/>
                <w:szCs w:val="24"/>
              </w:rPr>
            </w:pPr>
          </w:p>
        </w:tc>
      </w:tr>
      <w:tr w14:paraId="5EC1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noWrap w:val="0"/>
            <w:vAlign w:val="top"/>
          </w:tcPr>
          <w:p w14:paraId="1BC0C2C3">
            <w:pPr>
              <w:pStyle w:val="16"/>
              <w:spacing w:line="360" w:lineRule="auto"/>
              <w:rPr>
                <w:rFonts w:hint="eastAsia" w:ascii="宋体" w:hAnsi="宋体" w:eastAsia="宋体"/>
                <w:szCs w:val="24"/>
              </w:rPr>
            </w:pPr>
          </w:p>
        </w:tc>
        <w:tc>
          <w:tcPr>
            <w:tcW w:w="7360" w:type="dxa"/>
            <w:noWrap w:val="0"/>
            <w:vAlign w:val="top"/>
          </w:tcPr>
          <w:p w14:paraId="556CB344">
            <w:pPr>
              <w:pStyle w:val="16"/>
              <w:spacing w:line="360" w:lineRule="auto"/>
              <w:rPr>
                <w:rFonts w:hint="eastAsia" w:ascii="宋体" w:hAnsi="宋体" w:eastAsia="宋体"/>
                <w:szCs w:val="24"/>
              </w:rPr>
            </w:pPr>
            <w:r>
              <w:rPr>
                <w:rFonts w:hint="eastAsia" w:ascii="宋体" w:hAnsi="宋体" w:eastAsia="宋体"/>
                <w:szCs w:val="24"/>
              </w:rPr>
              <w:t>结论</w:t>
            </w:r>
          </w:p>
        </w:tc>
        <w:tc>
          <w:tcPr>
            <w:tcW w:w="758" w:type="dxa"/>
            <w:noWrap w:val="0"/>
            <w:vAlign w:val="top"/>
          </w:tcPr>
          <w:p w14:paraId="0B810821">
            <w:pPr>
              <w:pStyle w:val="16"/>
              <w:rPr>
                <w:rFonts w:hint="eastAsia" w:ascii="宋体" w:hAnsi="宋体" w:eastAsia="宋体"/>
                <w:szCs w:val="24"/>
              </w:rPr>
            </w:pPr>
          </w:p>
        </w:tc>
        <w:tc>
          <w:tcPr>
            <w:tcW w:w="758" w:type="dxa"/>
            <w:noWrap w:val="0"/>
            <w:vAlign w:val="top"/>
          </w:tcPr>
          <w:p w14:paraId="041A4F27">
            <w:pPr>
              <w:pStyle w:val="16"/>
              <w:rPr>
                <w:rFonts w:hint="eastAsia" w:ascii="宋体" w:hAnsi="宋体" w:eastAsia="宋体"/>
                <w:szCs w:val="24"/>
              </w:rPr>
            </w:pPr>
          </w:p>
        </w:tc>
        <w:tc>
          <w:tcPr>
            <w:tcW w:w="758" w:type="dxa"/>
            <w:noWrap w:val="0"/>
            <w:vAlign w:val="top"/>
          </w:tcPr>
          <w:p w14:paraId="2C98439A">
            <w:pPr>
              <w:pStyle w:val="16"/>
              <w:rPr>
                <w:rFonts w:hint="eastAsia" w:ascii="宋体" w:hAnsi="宋体" w:eastAsia="宋体"/>
                <w:szCs w:val="24"/>
              </w:rPr>
            </w:pPr>
          </w:p>
        </w:tc>
      </w:tr>
    </w:tbl>
    <w:p w14:paraId="16A7E26A">
      <w:pPr>
        <w:rPr>
          <w:rFonts w:hint="eastAsia" w:ascii="宋体" w:hAnsi="宋体" w:eastAsia="宋体" w:cstheme="minorBidi"/>
          <w:b/>
          <w:bCs/>
          <w:color w:val="auto"/>
          <w:kern w:val="2"/>
          <w:sz w:val="30"/>
          <w:szCs w:val="32"/>
          <w:highlight w:val="none"/>
          <w:lang w:val="zh-CN" w:eastAsia="zh-CN" w:bidi="ar-SA"/>
        </w:rPr>
      </w:pPr>
      <w:r>
        <w:rPr>
          <w:rFonts w:hint="eastAsia" w:ascii="宋体" w:hAnsi="宋体" w:eastAsia="宋体" w:cstheme="minorBidi"/>
          <w:b/>
          <w:bCs/>
          <w:color w:val="auto"/>
          <w:kern w:val="2"/>
          <w:sz w:val="30"/>
          <w:szCs w:val="32"/>
          <w:highlight w:val="none"/>
          <w:lang w:val="zh-CN" w:eastAsia="zh-CN" w:bidi="ar-SA"/>
        </w:rPr>
        <w:br w:type="page"/>
      </w:r>
    </w:p>
    <w:p w14:paraId="3FE0903E">
      <w:pPr>
        <w:pStyle w:val="8"/>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32" w:name="_Toc9173"/>
      <w:bookmarkStart w:id="533" w:name="_Toc30949"/>
      <w:bookmarkStart w:id="534" w:name="_Toc27284"/>
      <w:r>
        <w:rPr>
          <w:rFonts w:hint="eastAsia" w:ascii="宋体" w:hAnsi="宋体" w:eastAsia="宋体" w:cs="宋体"/>
          <w:b/>
          <w:bCs/>
          <w:color w:val="auto"/>
          <w:kern w:val="2"/>
          <w:sz w:val="24"/>
          <w:szCs w:val="24"/>
          <w:highlight w:val="none"/>
          <w:lang w:val="zh-CN" w:eastAsia="zh-CN" w:bidi="ar-SA"/>
        </w:rPr>
        <w:t>（二）评分标准</w:t>
      </w:r>
      <w:bookmarkEnd w:id="530"/>
      <w:bookmarkEnd w:id="531"/>
      <w:bookmarkEnd w:id="532"/>
      <w:bookmarkEnd w:id="533"/>
      <w:bookmarkEnd w:id="534"/>
    </w:p>
    <w:tbl>
      <w:tblPr>
        <w:tblStyle w:val="33"/>
        <w:tblW w:w="9990"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200"/>
        <w:gridCol w:w="7560"/>
      </w:tblGrid>
      <w:tr w14:paraId="6DA3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30" w:type="dxa"/>
            <w:vAlign w:val="center"/>
          </w:tcPr>
          <w:p w14:paraId="52786F29">
            <w:pPr>
              <w:spacing w:line="360" w:lineRule="auto"/>
              <w:jc w:val="center"/>
              <w:rPr>
                <w:rFonts w:hint="eastAsia"/>
                <w:b/>
                <w:bCs/>
                <w:i w:val="0"/>
                <w:iCs w:val="0"/>
                <w:color w:val="auto"/>
                <w:highlight w:val="none"/>
                <w:lang w:val="zh-CN" w:eastAsia="zh-CN"/>
              </w:rPr>
            </w:pPr>
            <w:r>
              <w:rPr>
                <w:rFonts w:hint="eastAsia"/>
                <w:b/>
                <w:bCs/>
                <w:i w:val="0"/>
                <w:iCs w:val="0"/>
                <w:color w:val="auto"/>
                <w:highlight w:val="none"/>
                <w:lang w:val="zh-CN" w:eastAsia="zh-CN"/>
              </w:rPr>
              <w:t>评分因素</w:t>
            </w:r>
          </w:p>
        </w:tc>
        <w:tc>
          <w:tcPr>
            <w:tcW w:w="1200" w:type="dxa"/>
            <w:vAlign w:val="center"/>
          </w:tcPr>
          <w:p w14:paraId="76740A1B">
            <w:pPr>
              <w:spacing w:line="360" w:lineRule="auto"/>
              <w:jc w:val="center"/>
              <w:rPr>
                <w:rFonts w:hint="eastAsia"/>
                <w:b/>
                <w:bCs/>
                <w:i w:val="0"/>
                <w:iCs w:val="0"/>
                <w:color w:val="auto"/>
                <w:highlight w:val="none"/>
                <w:lang w:val="zh-CN" w:eastAsia="zh-CN"/>
              </w:rPr>
            </w:pPr>
            <w:r>
              <w:rPr>
                <w:rFonts w:hint="eastAsia"/>
                <w:b/>
                <w:bCs/>
                <w:i w:val="0"/>
                <w:iCs w:val="0"/>
                <w:color w:val="auto"/>
                <w:highlight w:val="none"/>
                <w:lang w:val="zh-CN" w:eastAsia="zh-CN"/>
              </w:rPr>
              <w:t>评分点</w:t>
            </w:r>
          </w:p>
        </w:tc>
        <w:tc>
          <w:tcPr>
            <w:tcW w:w="7560" w:type="dxa"/>
            <w:vAlign w:val="center"/>
          </w:tcPr>
          <w:p w14:paraId="56E81410">
            <w:pPr>
              <w:spacing w:line="360" w:lineRule="auto"/>
              <w:jc w:val="center"/>
              <w:rPr>
                <w:rFonts w:hint="eastAsia"/>
                <w:b/>
                <w:bCs/>
                <w:i w:val="0"/>
                <w:iCs w:val="0"/>
                <w:color w:val="auto"/>
                <w:highlight w:val="none"/>
                <w:lang w:val="zh-CN" w:eastAsia="zh-CN"/>
              </w:rPr>
            </w:pPr>
            <w:r>
              <w:rPr>
                <w:rFonts w:hint="eastAsia"/>
                <w:b/>
                <w:bCs/>
                <w:i w:val="0"/>
                <w:iCs w:val="0"/>
                <w:color w:val="auto"/>
                <w:highlight w:val="none"/>
                <w:lang w:val="zh-CN" w:eastAsia="zh-CN"/>
              </w:rPr>
              <w:t>评分标准</w:t>
            </w:r>
          </w:p>
        </w:tc>
      </w:tr>
      <w:tr w14:paraId="018F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Align w:val="center"/>
          </w:tcPr>
          <w:p w14:paraId="01607CF0">
            <w:pPr>
              <w:spacing w:line="360" w:lineRule="auto"/>
              <w:jc w:val="center"/>
              <w:rPr>
                <w:rFonts w:hint="eastAsia"/>
                <w:i w:val="0"/>
                <w:iCs w:val="0"/>
                <w:color w:val="auto"/>
                <w:highlight w:val="none"/>
                <w:lang w:val="zh-CN" w:eastAsia="zh-CN"/>
              </w:rPr>
            </w:pPr>
            <w:r>
              <w:rPr>
                <w:rFonts w:hint="eastAsia"/>
                <w:i w:val="0"/>
                <w:iCs w:val="0"/>
                <w:color w:val="auto"/>
                <w:highlight w:val="none"/>
                <w:lang w:val="zh-CN" w:eastAsia="zh-CN"/>
              </w:rPr>
              <w:t>报价得分</w:t>
            </w:r>
          </w:p>
          <w:p w14:paraId="1534E1D6">
            <w:pPr>
              <w:spacing w:line="360" w:lineRule="auto"/>
              <w:jc w:val="center"/>
              <w:rPr>
                <w:rFonts w:hint="eastAsia"/>
                <w:i w:val="0"/>
                <w:iCs w:val="0"/>
                <w:color w:val="auto"/>
                <w:highlight w:val="none"/>
                <w:lang w:val="zh-CN" w:eastAsia="zh-CN"/>
              </w:rPr>
            </w:pPr>
            <w:r>
              <w:rPr>
                <w:rFonts w:hint="eastAsia"/>
                <w:i w:val="0"/>
                <w:iCs w:val="0"/>
                <w:color w:val="auto"/>
                <w:highlight w:val="none"/>
                <w:lang w:val="zh-CN" w:eastAsia="zh-CN"/>
              </w:rPr>
              <w:t>（</w:t>
            </w:r>
            <w:r>
              <w:rPr>
                <w:rFonts w:hint="eastAsia"/>
                <w:i w:val="0"/>
                <w:iCs w:val="0"/>
                <w:color w:val="auto"/>
                <w:highlight w:val="none"/>
                <w:lang w:val="en-US" w:eastAsia="zh-CN"/>
              </w:rPr>
              <w:t>1</w:t>
            </w:r>
            <w:r>
              <w:rPr>
                <w:rFonts w:hint="eastAsia"/>
                <w:i w:val="0"/>
                <w:iCs w:val="0"/>
                <w:color w:val="auto"/>
                <w:highlight w:val="none"/>
                <w:lang w:val="zh-CN" w:eastAsia="zh-CN"/>
              </w:rPr>
              <w:t>0分）</w:t>
            </w:r>
          </w:p>
        </w:tc>
        <w:tc>
          <w:tcPr>
            <w:tcW w:w="1200" w:type="dxa"/>
            <w:vAlign w:val="center"/>
          </w:tcPr>
          <w:p w14:paraId="60493F61">
            <w:pPr>
              <w:spacing w:line="360" w:lineRule="auto"/>
              <w:jc w:val="center"/>
              <w:rPr>
                <w:rFonts w:hint="eastAsia"/>
                <w:highlight w:val="none"/>
                <w:lang w:val="zh-CN" w:eastAsia="zh-CN"/>
              </w:rPr>
            </w:pPr>
            <w:r>
              <w:rPr>
                <w:rFonts w:hint="eastAsia"/>
                <w:i w:val="0"/>
                <w:iCs w:val="0"/>
                <w:color w:val="auto"/>
                <w:highlight w:val="none"/>
                <w:lang w:val="en-US" w:eastAsia="zh-CN"/>
              </w:rPr>
              <w:t>10</w:t>
            </w:r>
            <w:r>
              <w:rPr>
                <w:rFonts w:hint="eastAsia"/>
                <w:i w:val="0"/>
                <w:iCs w:val="0"/>
                <w:color w:val="auto"/>
                <w:highlight w:val="none"/>
                <w:lang w:val="zh-CN" w:eastAsia="zh-CN"/>
              </w:rPr>
              <w:t>分</w:t>
            </w:r>
          </w:p>
        </w:tc>
        <w:tc>
          <w:tcPr>
            <w:tcW w:w="7560" w:type="dxa"/>
            <w:vAlign w:val="center"/>
          </w:tcPr>
          <w:p w14:paraId="75B58121">
            <w:pPr>
              <w:pStyle w:val="21"/>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以实质性满足</w:t>
            </w:r>
            <w:r>
              <w:rPr>
                <w:rFonts w:hint="eastAsia" w:hAnsi="宋体" w:cs="宋体"/>
                <w:sz w:val="24"/>
                <w:highlight w:val="none"/>
                <w:lang w:val="zh-CN" w:eastAsia="zh-CN"/>
              </w:rPr>
              <w:t>招标</w:t>
            </w:r>
            <w:r>
              <w:rPr>
                <w:rFonts w:hint="eastAsia" w:ascii="宋体" w:hAnsi="宋体" w:eastAsia="宋体" w:cs="宋体"/>
                <w:sz w:val="24"/>
                <w:highlight w:val="none"/>
                <w:lang w:val="zh-CN" w:eastAsia="zh-CN"/>
              </w:rPr>
              <w:t>文件要求的最低投标报价为评审基准价，其它投标人的报价得分统一按照下列公式计算：</w:t>
            </w:r>
          </w:p>
          <w:p w14:paraId="263D4DC2">
            <w:pPr>
              <w:pStyle w:val="21"/>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lang w:val="zh-CN" w:eastAsia="zh-CN"/>
              </w:rPr>
              <w:t>报价得分=（评审基准价/投标报价）*</w:t>
            </w:r>
            <w:r>
              <w:rPr>
                <w:rFonts w:hint="eastAsia" w:ascii="宋体" w:hAnsi="宋体" w:eastAsia="宋体" w:cs="宋体"/>
                <w:sz w:val="24"/>
                <w:highlight w:val="none"/>
                <w:lang w:val="en-US" w:eastAsia="zh-CN"/>
              </w:rPr>
              <w:t>10</w:t>
            </w:r>
          </w:p>
          <w:p w14:paraId="6703B5DC">
            <w:pPr>
              <w:pStyle w:val="21"/>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结果四舍五入，小数点后保留两位。</w:t>
            </w:r>
          </w:p>
          <w:p w14:paraId="757DD088">
            <w:pPr>
              <w:pStyle w:val="21"/>
              <w:spacing w:line="360" w:lineRule="auto"/>
              <w:rPr>
                <w:rFonts w:hint="eastAsia"/>
                <w:i w:val="0"/>
                <w:iCs w:val="0"/>
                <w:color w:val="auto"/>
                <w:highlight w:val="none"/>
                <w:lang w:val="zh-CN" w:eastAsia="zh-CN"/>
              </w:rPr>
            </w:pPr>
            <w:r>
              <w:rPr>
                <w:rFonts w:hint="eastAsia" w:ascii="宋体" w:hAnsi="宋体" w:eastAsia="宋体" w:cs="宋体"/>
                <w:sz w:val="24"/>
                <w:highlight w:val="none"/>
                <w:lang w:val="zh-CN" w:eastAsia="zh-CN"/>
              </w:rPr>
              <w:t>高于限价为无效报价。</w:t>
            </w:r>
            <w:r>
              <w:rPr>
                <w:rFonts w:hint="eastAsia"/>
                <w:i w:val="0"/>
                <w:iCs w:val="0"/>
                <w:color w:val="auto"/>
                <w:highlight w:val="none"/>
                <w:lang w:val="zh-CN" w:eastAsia="zh-CN"/>
              </w:rPr>
              <w:t xml:space="preserve"> </w:t>
            </w:r>
          </w:p>
        </w:tc>
      </w:tr>
      <w:tr w14:paraId="07A0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Merge w:val="restart"/>
          </w:tcPr>
          <w:p w14:paraId="79A33CE2">
            <w:pPr>
              <w:spacing w:line="360" w:lineRule="auto"/>
              <w:jc w:val="center"/>
              <w:rPr>
                <w:rFonts w:hint="eastAsia"/>
                <w:i w:val="0"/>
                <w:iCs w:val="0"/>
                <w:color w:val="auto"/>
                <w:highlight w:val="none"/>
                <w:lang w:val="en-US" w:eastAsia="zh-CN"/>
              </w:rPr>
            </w:pPr>
          </w:p>
          <w:p w14:paraId="0FD49FD5">
            <w:pPr>
              <w:spacing w:line="360" w:lineRule="auto"/>
              <w:jc w:val="both"/>
              <w:rPr>
                <w:rFonts w:hint="eastAsia"/>
                <w:i w:val="0"/>
                <w:iCs w:val="0"/>
                <w:color w:val="auto"/>
                <w:highlight w:val="none"/>
                <w:lang w:val="en-US" w:eastAsia="zh-CN"/>
              </w:rPr>
            </w:pPr>
          </w:p>
          <w:p w14:paraId="3BA34B32">
            <w:pPr>
              <w:spacing w:line="360" w:lineRule="auto"/>
              <w:jc w:val="both"/>
              <w:rPr>
                <w:rFonts w:hint="eastAsia"/>
                <w:i w:val="0"/>
                <w:iCs w:val="0"/>
                <w:color w:val="auto"/>
                <w:highlight w:val="none"/>
                <w:lang w:val="en-US" w:eastAsia="zh-CN"/>
              </w:rPr>
            </w:pPr>
          </w:p>
          <w:p w14:paraId="2EA85C47">
            <w:pPr>
              <w:pStyle w:val="2"/>
              <w:rPr>
                <w:rFonts w:hint="eastAsia"/>
                <w:i w:val="0"/>
                <w:iCs w:val="0"/>
                <w:color w:val="auto"/>
                <w:highlight w:val="none"/>
                <w:lang w:val="en-US" w:eastAsia="zh-CN"/>
              </w:rPr>
            </w:pPr>
          </w:p>
          <w:p w14:paraId="1DC0E84D">
            <w:pPr>
              <w:pStyle w:val="2"/>
              <w:rPr>
                <w:rFonts w:hint="eastAsia"/>
                <w:i w:val="0"/>
                <w:iCs w:val="0"/>
                <w:color w:val="auto"/>
                <w:highlight w:val="none"/>
                <w:lang w:val="en-US" w:eastAsia="zh-CN"/>
              </w:rPr>
            </w:pPr>
          </w:p>
          <w:p w14:paraId="6FB70397">
            <w:pPr>
              <w:spacing w:line="360" w:lineRule="auto"/>
              <w:jc w:val="center"/>
              <w:rPr>
                <w:rFonts w:hint="eastAsia"/>
                <w:i w:val="0"/>
                <w:iCs w:val="0"/>
                <w:color w:val="auto"/>
                <w:highlight w:val="none"/>
                <w:lang w:val="zh-CN" w:eastAsia="zh-CN"/>
              </w:rPr>
            </w:pPr>
            <w:r>
              <w:rPr>
                <w:rFonts w:hint="eastAsia"/>
                <w:i w:val="0"/>
                <w:iCs w:val="0"/>
                <w:color w:val="auto"/>
                <w:highlight w:val="none"/>
                <w:lang w:val="en-US" w:eastAsia="zh-CN"/>
              </w:rPr>
              <w:t>商务</w:t>
            </w:r>
            <w:r>
              <w:rPr>
                <w:rFonts w:hint="eastAsia"/>
                <w:i w:val="0"/>
                <w:iCs w:val="0"/>
                <w:color w:val="auto"/>
                <w:highlight w:val="none"/>
                <w:lang w:val="zh-CN" w:eastAsia="zh-CN"/>
              </w:rPr>
              <w:t>评审（</w:t>
            </w:r>
            <w:r>
              <w:rPr>
                <w:rFonts w:hint="eastAsia"/>
                <w:i w:val="0"/>
                <w:iCs w:val="0"/>
                <w:color w:val="auto"/>
                <w:highlight w:val="none"/>
                <w:lang w:val="en-US" w:eastAsia="zh-CN"/>
              </w:rPr>
              <w:t>24</w:t>
            </w:r>
            <w:r>
              <w:rPr>
                <w:rFonts w:hint="eastAsia"/>
                <w:i w:val="0"/>
                <w:iCs w:val="0"/>
                <w:color w:val="auto"/>
                <w:highlight w:val="none"/>
                <w:lang w:val="zh-CN" w:eastAsia="zh-CN"/>
              </w:rPr>
              <w:t>分）</w:t>
            </w:r>
          </w:p>
        </w:tc>
        <w:tc>
          <w:tcPr>
            <w:tcW w:w="1200" w:type="dxa"/>
          </w:tcPr>
          <w:p w14:paraId="65987A64">
            <w:pPr>
              <w:spacing w:line="360" w:lineRule="auto"/>
              <w:jc w:val="center"/>
              <w:rPr>
                <w:rFonts w:hint="eastAsia"/>
                <w:i w:val="0"/>
                <w:iCs w:val="0"/>
                <w:color w:val="auto"/>
                <w:highlight w:val="none"/>
                <w:lang w:val="zh-CN" w:eastAsia="zh-CN"/>
              </w:rPr>
            </w:pPr>
          </w:p>
          <w:p w14:paraId="20E8FBE8">
            <w:pPr>
              <w:spacing w:line="360" w:lineRule="auto"/>
              <w:jc w:val="center"/>
              <w:rPr>
                <w:rFonts w:hint="eastAsia"/>
                <w:i w:val="0"/>
                <w:iCs w:val="0"/>
                <w:color w:val="auto"/>
                <w:highlight w:val="none"/>
                <w:lang w:val="zh-CN" w:eastAsia="zh-CN"/>
              </w:rPr>
            </w:pPr>
          </w:p>
          <w:p w14:paraId="280740D4">
            <w:pPr>
              <w:spacing w:line="360" w:lineRule="auto"/>
              <w:jc w:val="center"/>
              <w:rPr>
                <w:rFonts w:hint="eastAsia"/>
                <w:i w:val="0"/>
                <w:iCs w:val="0"/>
                <w:color w:val="auto"/>
                <w:highlight w:val="none"/>
                <w:lang w:val="zh-CN" w:eastAsia="zh-CN"/>
              </w:rPr>
            </w:pPr>
            <w:r>
              <w:rPr>
                <w:rFonts w:hint="eastAsia"/>
                <w:i w:val="0"/>
                <w:iCs w:val="0"/>
                <w:color w:val="auto"/>
                <w:highlight w:val="none"/>
                <w:lang w:val="zh-CN" w:eastAsia="zh-CN"/>
              </w:rPr>
              <w:t>同类项目经验</w:t>
            </w:r>
          </w:p>
          <w:p w14:paraId="3A1E51C2">
            <w:pPr>
              <w:spacing w:line="360" w:lineRule="auto"/>
              <w:jc w:val="center"/>
              <w:rPr>
                <w:rFonts w:hint="eastAsia"/>
                <w:i w:val="0"/>
                <w:iCs w:val="0"/>
                <w:color w:val="auto"/>
                <w:highlight w:val="none"/>
                <w:lang w:val="zh-CN" w:eastAsia="zh-CN"/>
              </w:rPr>
            </w:pPr>
            <w:r>
              <w:rPr>
                <w:rFonts w:hint="eastAsia"/>
                <w:i w:val="0"/>
                <w:iCs w:val="0"/>
                <w:color w:val="auto"/>
                <w:highlight w:val="none"/>
                <w:lang w:val="zh-CN" w:eastAsia="zh-CN"/>
              </w:rPr>
              <w:t>（</w:t>
            </w:r>
            <w:r>
              <w:rPr>
                <w:rFonts w:hint="eastAsia"/>
                <w:i w:val="0"/>
                <w:iCs w:val="0"/>
                <w:color w:val="auto"/>
                <w:highlight w:val="none"/>
                <w:lang w:val="en-US" w:eastAsia="zh-CN"/>
              </w:rPr>
              <w:t>10</w:t>
            </w:r>
            <w:r>
              <w:rPr>
                <w:rFonts w:hint="eastAsia"/>
                <w:i w:val="0"/>
                <w:iCs w:val="0"/>
                <w:color w:val="auto"/>
                <w:highlight w:val="none"/>
                <w:lang w:val="zh-CN" w:eastAsia="zh-CN"/>
              </w:rPr>
              <w:t>分）</w:t>
            </w:r>
          </w:p>
        </w:tc>
        <w:tc>
          <w:tcPr>
            <w:tcW w:w="7560" w:type="dxa"/>
          </w:tcPr>
          <w:p w14:paraId="1D54F23B">
            <w:pPr>
              <w:pStyle w:val="21"/>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近三年（202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年</w:t>
            </w:r>
            <w:r>
              <w:rPr>
                <w:rFonts w:hint="eastAsia" w:hAnsi="宋体" w:cs="宋体"/>
                <w:color w:val="auto"/>
                <w:sz w:val="24"/>
                <w:highlight w:val="none"/>
                <w:lang w:val="en-US" w:eastAsia="zh-CN"/>
              </w:rPr>
              <w:t>6</w:t>
            </w:r>
            <w:r>
              <w:rPr>
                <w:rFonts w:hint="eastAsia" w:ascii="宋体" w:hAnsi="宋体" w:eastAsia="宋体" w:cs="宋体"/>
                <w:color w:val="auto"/>
                <w:sz w:val="24"/>
                <w:highlight w:val="none"/>
                <w:lang w:val="zh-CN" w:eastAsia="zh-CN"/>
              </w:rPr>
              <w:t>月1日至今）已完成类似项目业绩，每提供1个类似业绩证明材料的，</w:t>
            </w:r>
            <w:r>
              <w:rPr>
                <w:rFonts w:hint="eastAsia" w:ascii="宋体" w:hAnsi="宋体" w:eastAsia="宋体" w:cs="宋体"/>
                <w:color w:val="auto"/>
                <w:sz w:val="24"/>
                <w:highlight w:val="none"/>
                <w:lang w:val="en-US" w:eastAsia="zh-CN"/>
              </w:rPr>
              <w:t>得</w:t>
            </w:r>
            <w:r>
              <w:rPr>
                <w:rFonts w:hint="eastAsia" w:hAnsi="宋体" w:cs="宋体"/>
                <w:color w:val="auto"/>
                <w:sz w:val="24"/>
                <w:highlight w:val="none"/>
                <w:lang w:val="en-US" w:eastAsia="zh-CN"/>
              </w:rPr>
              <w:t>2</w:t>
            </w:r>
            <w:r>
              <w:rPr>
                <w:rFonts w:hint="eastAsia" w:ascii="宋体" w:hAnsi="宋体" w:eastAsia="宋体" w:cs="宋体"/>
                <w:color w:val="auto"/>
                <w:sz w:val="24"/>
                <w:highlight w:val="none"/>
                <w:lang w:val="zh-CN" w:eastAsia="zh-CN"/>
              </w:rPr>
              <w:t>分，本项最多</w:t>
            </w:r>
            <w:r>
              <w:rPr>
                <w:rFonts w:hint="eastAsia" w:ascii="宋体" w:hAnsi="宋体" w:eastAsia="宋体" w:cs="宋体"/>
                <w:color w:val="auto"/>
                <w:sz w:val="24"/>
                <w:highlight w:val="none"/>
                <w:lang w:val="en-US" w:eastAsia="zh-CN"/>
              </w:rPr>
              <w:t>得</w:t>
            </w:r>
            <w:r>
              <w:rPr>
                <w:rFonts w:hint="eastAsia" w:hAnsi="宋体" w:cs="宋体"/>
                <w:color w:val="auto"/>
                <w:sz w:val="24"/>
                <w:highlight w:val="none"/>
                <w:lang w:val="en-US" w:eastAsia="zh-CN"/>
              </w:rPr>
              <w:t>10</w:t>
            </w:r>
            <w:r>
              <w:rPr>
                <w:rFonts w:hint="eastAsia" w:ascii="宋体" w:hAnsi="宋体" w:eastAsia="宋体" w:cs="宋体"/>
                <w:color w:val="auto"/>
                <w:sz w:val="24"/>
                <w:highlight w:val="none"/>
                <w:lang w:val="zh-CN" w:eastAsia="zh-CN"/>
              </w:rPr>
              <w:t>分。</w:t>
            </w:r>
          </w:p>
          <w:p w14:paraId="31FDB558">
            <w:pPr>
              <w:pStyle w:val="21"/>
              <w:spacing w:line="360" w:lineRule="auto"/>
              <w:rPr>
                <w:rFonts w:hint="eastAsia"/>
                <w:i w:val="0"/>
                <w:iCs w:val="0"/>
                <w:color w:val="auto"/>
                <w:highlight w:val="none"/>
                <w:lang w:val="zh-CN" w:eastAsia="zh-CN"/>
              </w:rPr>
            </w:pPr>
            <w:r>
              <w:rPr>
                <w:rFonts w:hint="eastAsia" w:ascii="宋体" w:hAnsi="宋体" w:eastAsia="宋体" w:cs="宋体"/>
                <w:b/>
                <w:bCs/>
                <w:color w:val="auto"/>
                <w:sz w:val="21"/>
                <w:szCs w:val="16"/>
                <w:highlight w:val="none"/>
                <w:lang w:val="zh-CN" w:eastAsia="zh-CN"/>
              </w:rPr>
              <w:t>（业绩证明材料为：合同或中标通知书；合同需提供包含合同首页、标的内容及金额所在页、合同签字盖章页等关键页即可，需加盖公章。合同关键处不得遮挡涂黑，日期清晰明确。若提供业绩证明材料为中标通知书的，需提供中标通知书复印件，并加盖公章。）</w:t>
            </w:r>
          </w:p>
        </w:tc>
      </w:tr>
      <w:tr w14:paraId="36AE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30" w:type="dxa"/>
            <w:vMerge w:val="continue"/>
          </w:tcPr>
          <w:p w14:paraId="484544A1">
            <w:pPr>
              <w:spacing w:line="360" w:lineRule="auto"/>
              <w:jc w:val="center"/>
              <w:rPr>
                <w:rFonts w:hint="eastAsia"/>
                <w:i w:val="0"/>
                <w:iCs w:val="0"/>
                <w:color w:val="auto"/>
                <w:highlight w:val="none"/>
                <w:lang w:val="zh-CN" w:eastAsia="zh-CN"/>
              </w:rPr>
            </w:pPr>
          </w:p>
        </w:tc>
        <w:tc>
          <w:tcPr>
            <w:tcW w:w="1200" w:type="dxa"/>
            <w:vAlign w:val="center"/>
          </w:tcPr>
          <w:p w14:paraId="52340876">
            <w:pPr>
              <w:spacing w:line="360" w:lineRule="auto"/>
              <w:jc w:val="center"/>
              <w:rPr>
                <w:rFonts w:hint="eastAsia"/>
                <w:i w:val="0"/>
                <w:iCs w:val="0"/>
                <w:color w:val="auto"/>
                <w:highlight w:val="none"/>
                <w:lang w:val="zh-CN" w:eastAsia="zh-CN"/>
              </w:rPr>
            </w:pPr>
            <w:r>
              <w:rPr>
                <w:rFonts w:hint="eastAsia"/>
                <w:i w:val="0"/>
                <w:iCs w:val="0"/>
                <w:color w:val="auto"/>
                <w:highlight w:val="none"/>
                <w:lang w:val="zh-CN" w:eastAsia="zh-CN"/>
              </w:rPr>
              <w:t>项目团队</w:t>
            </w:r>
          </w:p>
          <w:p w14:paraId="665A4C7B">
            <w:pPr>
              <w:spacing w:line="360" w:lineRule="auto"/>
              <w:jc w:val="center"/>
              <w:rPr>
                <w:rFonts w:hint="eastAsia"/>
                <w:i w:val="0"/>
                <w:iCs w:val="0"/>
                <w:color w:val="auto"/>
                <w:highlight w:val="none"/>
                <w:lang w:val="zh-CN" w:eastAsia="zh-CN"/>
              </w:rPr>
            </w:pPr>
            <w:r>
              <w:rPr>
                <w:rFonts w:hint="eastAsia"/>
                <w:i w:val="0"/>
                <w:iCs w:val="0"/>
                <w:color w:val="auto"/>
                <w:highlight w:val="none"/>
                <w:lang w:val="zh-CN" w:eastAsia="zh-CN"/>
              </w:rPr>
              <w:t>（</w:t>
            </w:r>
            <w:r>
              <w:rPr>
                <w:rFonts w:hint="eastAsia"/>
                <w:i w:val="0"/>
                <w:iCs w:val="0"/>
                <w:color w:val="auto"/>
                <w:highlight w:val="none"/>
                <w:lang w:val="en-US" w:eastAsia="zh-CN"/>
              </w:rPr>
              <w:t>12</w:t>
            </w:r>
            <w:r>
              <w:rPr>
                <w:rFonts w:hint="eastAsia"/>
                <w:i w:val="0"/>
                <w:iCs w:val="0"/>
                <w:color w:val="auto"/>
                <w:highlight w:val="none"/>
                <w:lang w:val="zh-CN" w:eastAsia="zh-CN"/>
              </w:rPr>
              <w:t>分）</w:t>
            </w:r>
          </w:p>
        </w:tc>
        <w:tc>
          <w:tcPr>
            <w:tcW w:w="7560" w:type="dxa"/>
            <w:vAlign w:val="center"/>
          </w:tcPr>
          <w:p w14:paraId="256A94DD">
            <w:pPr>
              <w:pStyle w:val="21"/>
              <w:numPr>
                <w:ilvl w:val="0"/>
                <w:numId w:val="4"/>
              </w:numPr>
              <w:spacing w:line="360" w:lineRule="auto"/>
              <w:ind w:left="0" w:leftChars="0" w:firstLine="0" w:firstLineChars="0"/>
              <w:rPr>
                <w:rFonts w:hint="eastAsia" w:hAnsi="宋体" w:cs="宋体"/>
                <w:color w:val="auto"/>
                <w:sz w:val="24"/>
                <w:highlight w:val="none"/>
                <w:lang w:val="en-US" w:eastAsia="zh-CN"/>
              </w:rPr>
            </w:pPr>
            <w:r>
              <w:rPr>
                <w:rFonts w:hint="eastAsia" w:hAnsi="宋体" w:cs="宋体"/>
                <w:color w:val="auto"/>
                <w:sz w:val="24"/>
                <w:highlight w:val="none"/>
                <w:lang w:val="en-US" w:eastAsia="zh-CN"/>
              </w:rPr>
              <w:t>项目团队中具备</w:t>
            </w:r>
            <w:bookmarkStart w:id="535" w:name="OLE_LINK13"/>
            <w:bookmarkStart w:id="536" w:name="OLE_LINK14"/>
            <w:r>
              <w:rPr>
                <w:rFonts w:hint="eastAsia" w:hAnsi="宋体" w:cs="宋体"/>
                <w:color w:val="auto"/>
                <w:sz w:val="24"/>
                <w:highlight w:val="none"/>
              </w:rPr>
              <w:t>一级注册计量师证</w:t>
            </w:r>
            <w:bookmarkEnd w:id="535"/>
            <w:bookmarkEnd w:id="536"/>
            <w:bookmarkStart w:id="537" w:name="OLE_LINK15"/>
            <w:r>
              <w:rPr>
                <w:rFonts w:hint="eastAsia" w:hAnsi="宋体" w:cs="宋体"/>
                <w:color w:val="auto"/>
                <w:sz w:val="24"/>
                <w:highlight w:val="none"/>
              </w:rPr>
              <w:t>及其注册证</w:t>
            </w:r>
            <w:bookmarkEnd w:id="537"/>
            <w:r>
              <w:rPr>
                <w:rFonts w:hint="eastAsia" w:hAnsi="宋体" w:cs="宋体"/>
                <w:color w:val="auto"/>
                <w:sz w:val="24"/>
                <w:highlight w:val="none"/>
              </w:rPr>
              <w:t>的</w:t>
            </w:r>
            <w:r>
              <w:rPr>
                <w:rFonts w:hint="eastAsia" w:hAnsi="宋体" w:cs="宋体"/>
                <w:color w:val="auto"/>
                <w:sz w:val="24"/>
                <w:highlight w:val="none"/>
                <w:lang w:val="en-US" w:eastAsia="zh-CN"/>
              </w:rPr>
              <w:t>，每提供一人得3分，最高得6分；</w:t>
            </w:r>
          </w:p>
          <w:p w14:paraId="7300AA77">
            <w:pPr>
              <w:pStyle w:val="21"/>
              <w:numPr>
                <w:ilvl w:val="0"/>
                <w:numId w:val="4"/>
              </w:numPr>
              <w:spacing w:line="360" w:lineRule="auto"/>
              <w:ind w:left="0" w:leftChars="0" w:firstLine="0" w:firstLineChars="0"/>
              <w:rPr>
                <w:rFonts w:hint="eastAsia" w:hAnsi="宋体" w:cs="宋体"/>
                <w:color w:val="auto"/>
                <w:sz w:val="24"/>
                <w:highlight w:val="none"/>
                <w:lang w:val="en-US" w:eastAsia="zh-CN"/>
              </w:rPr>
            </w:pPr>
            <w:r>
              <w:rPr>
                <w:rFonts w:hint="eastAsia" w:hAnsi="宋体" w:cs="宋体"/>
                <w:color w:val="auto"/>
                <w:sz w:val="24"/>
                <w:highlight w:val="none"/>
                <w:lang w:val="en-US" w:eastAsia="zh-CN"/>
              </w:rPr>
              <w:t>项目团队中具备</w:t>
            </w:r>
            <w:r>
              <w:rPr>
                <w:rFonts w:hint="eastAsia" w:hAnsi="宋体" w:cs="宋体"/>
                <w:color w:val="auto"/>
                <w:sz w:val="24"/>
                <w:highlight w:val="none"/>
              </w:rPr>
              <w:t>二级注册计量师证及其注册证的</w:t>
            </w:r>
            <w:r>
              <w:rPr>
                <w:rFonts w:hint="eastAsia" w:hAnsi="宋体" w:cs="宋体"/>
                <w:color w:val="auto"/>
                <w:sz w:val="24"/>
                <w:highlight w:val="none"/>
                <w:lang w:val="en-US" w:eastAsia="zh-CN"/>
              </w:rPr>
              <w:t>，每提供一人得2分，最高得4分。</w:t>
            </w:r>
          </w:p>
          <w:p w14:paraId="43950839">
            <w:pPr>
              <w:pStyle w:val="21"/>
              <w:numPr>
                <w:ilvl w:val="0"/>
                <w:numId w:val="4"/>
              </w:numPr>
              <w:spacing w:line="360" w:lineRule="auto"/>
              <w:ind w:left="0" w:leftChars="0" w:firstLine="0" w:firstLineChars="0"/>
              <w:rPr>
                <w:rFonts w:hint="eastAsia" w:hAnsi="宋体" w:cs="宋体"/>
                <w:color w:val="auto"/>
                <w:sz w:val="24"/>
                <w:highlight w:val="none"/>
                <w:lang w:val="en-US" w:eastAsia="zh-CN"/>
              </w:rPr>
            </w:pPr>
            <w:r>
              <w:rPr>
                <w:rFonts w:hint="eastAsia" w:hAnsi="宋体" w:cs="宋体"/>
                <w:color w:val="auto"/>
                <w:sz w:val="24"/>
                <w:highlight w:val="none"/>
                <w:lang w:val="en-US" w:eastAsia="zh-CN"/>
              </w:rPr>
              <w:t>项目团队中具备</w:t>
            </w:r>
            <w:r>
              <w:rPr>
                <w:rFonts w:hint="eastAsia" w:hAnsi="宋体" w:cs="宋体"/>
                <w:color w:val="auto"/>
                <w:sz w:val="24"/>
                <w:highlight w:val="none"/>
              </w:rPr>
              <w:t>计量检定员证的</w:t>
            </w:r>
            <w:r>
              <w:rPr>
                <w:rFonts w:hint="eastAsia" w:hAnsi="宋体" w:cs="宋体"/>
                <w:color w:val="auto"/>
                <w:sz w:val="24"/>
                <w:highlight w:val="none"/>
                <w:lang w:val="en-US" w:eastAsia="zh-CN"/>
              </w:rPr>
              <w:t>，每提供一人得1分，最高得2分。</w:t>
            </w:r>
          </w:p>
          <w:p w14:paraId="16FF945E">
            <w:pPr>
              <w:pStyle w:val="21"/>
              <w:spacing w:line="360" w:lineRule="auto"/>
              <w:rPr>
                <w:rFonts w:hint="eastAsia"/>
                <w:i w:val="0"/>
                <w:iCs w:val="0"/>
                <w:color w:val="auto"/>
                <w:highlight w:val="none"/>
                <w:lang w:val="zh-CN" w:eastAsia="zh-CN"/>
              </w:rPr>
            </w:pPr>
            <w:r>
              <w:rPr>
                <w:rFonts w:hint="eastAsia" w:ascii="宋体" w:hAnsi="宋体" w:eastAsia="宋体" w:cs="宋体"/>
                <w:b/>
                <w:bCs/>
                <w:color w:val="auto"/>
                <w:sz w:val="21"/>
                <w:szCs w:val="16"/>
                <w:highlight w:val="none"/>
                <w:lang w:val="en-US" w:eastAsia="zh-CN"/>
              </w:rPr>
              <w:t>注：以上人员需提供相关</w:t>
            </w:r>
            <w:r>
              <w:rPr>
                <w:rFonts w:hint="eastAsia" w:hAnsi="宋体" w:cs="宋体"/>
                <w:b/>
                <w:bCs/>
                <w:color w:val="auto"/>
                <w:sz w:val="21"/>
                <w:szCs w:val="16"/>
                <w:highlight w:val="none"/>
                <w:lang w:val="en-US" w:eastAsia="zh-CN"/>
              </w:rPr>
              <w:t>职称</w:t>
            </w:r>
            <w:r>
              <w:rPr>
                <w:rFonts w:hint="eastAsia" w:ascii="宋体" w:hAnsi="宋体" w:eastAsia="宋体" w:cs="宋体"/>
                <w:b/>
                <w:bCs/>
                <w:color w:val="auto"/>
                <w:sz w:val="21"/>
                <w:szCs w:val="16"/>
                <w:highlight w:val="none"/>
                <w:lang w:val="en-US" w:eastAsia="zh-CN"/>
              </w:rPr>
              <w:t>证书</w:t>
            </w:r>
            <w:r>
              <w:rPr>
                <w:rFonts w:hint="eastAsia" w:hAnsi="宋体" w:cs="宋体"/>
                <w:b/>
                <w:bCs/>
                <w:color w:val="auto"/>
                <w:sz w:val="21"/>
                <w:szCs w:val="16"/>
                <w:highlight w:val="none"/>
                <w:lang w:val="en-US" w:eastAsia="zh-CN"/>
              </w:rPr>
              <w:t>扫描件</w:t>
            </w:r>
            <w:r>
              <w:rPr>
                <w:rFonts w:hint="eastAsia" w:ascii="宋体" w:hAnsi="宋体" w:eastAsia="宋体" w:cs="宋体"/>
                <w:b/>
                <w:bCs/>
                <w:color w:val="auto"/>
                <w:sz w:val="21"/>
                <w:szCs w:val="16"/>
                <w:highlight w:val="none"/>
                <w:lang w:val="en-US" w:eastAsia="zh-CN"/>
              </w:rPr>
              <w:t>及本单位缴纳社保证明或劳动合同复印件加盖公章，否则不得分。</w:t>
            </w:r>
          </w:p>
        </w:tc>
      </w:tr>
      <w:tr w14:paraId="6B55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30" w:type="dxa"/>
            <w:vMerge w:val="continue"/>
          </w:tcPr>
          <w:p w14:paraId="662BE077">
            <w:pPr>
              <w:spacing w:line="360" w:lineRule="auto"/>
              <w:jc w:val="center"/>
              <w:rPr>
                <w:rFonts w:hint="eastAsia"/>
                <w:i w:val="0"/>
                <w:iCs w:val="0"/>
                <w:color w:val="auto"/>
                <w:highlight w:val="none"/>
                <w:lang w:val="zh-CN" w:eastAsia="zh-CN"/>
              </w:rPr>
            </w:pPr>
          </w:p>
        </w:tc>
        <w:tc>
          <w:tcPr>
            <w:tcW w:w="1200" w:type="dxa"/>
            <w:vAlign w:val="center"/>
          </w:tcPr>
          <w:p w14:paraId="71FAB204">
            <w:pPr>
              <w:pStyle w:val="21"/>
              <w:numPr>
                <w:ilvl w:val="0"/>
                <w:numId w:val="0"/>
              </w:numPr>
              <w:spacing w:line="360" w:lineRule="auto"/>
              <w:ind w:leftChars="0"/>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资质</w:t>
            </w:r>
          </w:p>
          <w:p w14:paraId="64304628">
            <w:pPr>
              <w:pStyle w:val="21"/>
              <w:numPr>
                <w:ilvl w:val="0"/>
                <w:numId w:val="0"/>
              </w:numPr>
              <w:spacing w:line="360" w:lineRule="auto"/>
              <w:ind w:leftChars="0"/>
              <w:jc w:val="center"/>
              <w:rPr>
                <w:rFonts w:hint="eastAsia" w:hAnsi="宋体" w:cs="宋体"/>
                <w:color w:val="auto"/>
                <w:sz w:val="24"/>
                <w:highlight w:val="none"/>
                <w:lang w:val="zh-CN" w:eastAsia="zh-CN"/>
              </w:rPr>
            </w:pPr>
            <w:r>
              <w:rPr>
                <w:rFonts w:hint="eastAsia" w:hAnsi="宋体" w:cs="宋体"/>
                <w:color w:val="auto"/>
                <w:sz w:val="24"/>
                <w:highlight w:val="none"/>
                <w:lang w:val="en-US" w:eastAsia="zh-CN"/>
              </w:rPr>
              <w:t>（2分）</w:t>
            </w:r>
          </w:p>
        </w:tc>
        <w:tc>
          <w:tcPr>
            <w:tcW w:w="7560" w:type="dxa"/>
            <w:vAlign w:val="center"/>
          </w:tcPr>
          <w:p w14:paraId="1F8768E4">
            <w:pPr>
              <w:pStyle w:val="21"/>
              <w:numPr>
                <w:ilvl w:val="0"/>
                <w:numId w:val="0"/>
              </w:numPr>
              <w:spacing w:line="360" w:lineRule="auto"/>
              <w:ind w:leftChars="0"/>
              <w:rPr>
                <w:rFonts w:hint="default" w:hAnsi="宋体" w:cs="宋体"/>
                <w:color w:val="auto"/>
                <w:sz w:val="24"/>
                <w:highlight w:val="none"/>
                <w:lang w:val="en-US" w:eastAsia="zh-CN"/>
              </w:rPr>
            </w:pPr>
            <w:r>
              <w:rPr>
                <w:rFonts w:hint="eastAsia" w:hAnsi="宋体" w:cs="宋体"/>
                <w:color w:val="auto"/>
                <w:sz w:val="24"/>
                <w:highlight w:val="none"/>
                <w:lang w:val="en-US" w:eastAsia="zh-CN"/>
              </w:rPr>
              <w:t>具有相关溯源量线资质，提供国家市场监管总局授权的专项授权证书、溯源量线所用仪器设备的在有效期内检定证书，每提供一项得1分，最高得2分。</w:t>
            </w:r>
          </w:p>
        </w:tc>
      </w:tr>
      <w:tr w14:paraId="2292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30" w:type="dxa"/>
            <w:vMerge w:val="restart"/>
          </w:tcPr>
          <w:p w14:paraId="70B26CD8">
            <w:pPr>
              <w:spacing w:line="360" w:lineRule="auto"/>
              <w:jc w:val="center"/>
              <w:rPr>
                <w:rFonts w:hint="eastAsia"/>
                <w:i w:val="0"/>
                <w:iCs w:val="0"/>
                <w:color w:val="auto"/>
                <w:highlight w:val="none"/>
                <w:lang w:val="zh-CN" w:eastAsia="zh-CN"/>
              </w:rPr>
            </w:pPr>
          </w:p>
          <w:p w14:paraId="07D80FDC">
            <w:pPr>
              <w:spacing w:line="360" w:lineRule="auto"/>
              <w:jc w:val="center"/>
              <w:rPr>
                <w:rFonts w:hint="eastAsia"/>
                <w:i w:val="0"/>
                <w:iCs w:val="0"/>
                <w:color w:val="auto"/>
                <w:highlight w:val="none"/>
                <w:lang w:val="zh-CN" w:eastAsia="zh-CN"/>
              </w:rPr>
            </w:pPr>
          </w:p>
          <w:p w14:paraId="5D27C527">
            <w:pPr>
              <w:spacing w:line="360" w:lineRule="auto"/>
              <w:jc w:val="center"/>
              <w:rPr>
                <w:rFonts w:hint="eastAsia"/>
                <w:i w:val="0"/>
                <w:iCs w:val="0"/>
                <w:color w:val="auto"/>
                <w:highlight w:val="none"/>
                <w:lang w:val="zh-CN" w:eastAsia="zh-CN"/>
              </w:rPr>
            </w:pPr>
          </w:p>
          <w:p w14:paraId="65EACA21">
            <w:pPr>
              <w:spacing w:line="360" w:lineRule="auto"/>
              <w:jc w:val="center"/>
              <w:rPr>
                <w:rFonts w:hint="eastAsia"/>
                <w:i w:val="0"/>
                <w:iCs w:val="0"/>
                <w:color w:val="auto"/>
                <w:highlight w:val="none"/>
                <w:lang w:val="zh-CN" w:eastAsia="zh-CN"/>
              </w:rPr>
            </w:pPr>
          </w:p>
          <w:p w14:paraId="0563D8B1">
            <w:pPr>
              <w:spacing w:line="360" w:lineRule="auto"/>
              <w:jc w:val="center"/>
              <w:rPr>
                <w:rFonts w:hint="eastAsia"/>
                <w:i w:val="0"/>
                <w:iCs w:val="0"/>
                <w:color w:val="auto"/>
                <w:highlight w:val="none"/>
                <w:lang w:val="zh-CN" w:eastAsia="zh-CN"/>
              </w:rPr>
            </w:pPr>
          </w:p>
          <w:p w14:paraId="4DA2764C">
            <w:pPr>
              <w:spacing w:line="360" w:lineRule="auto"/>
              <w:jc w:val="center"/>
              <w:rPr>
                <w:rFonts w:hint="eastAsia"/>
                <w:i w:val="0"/>
                <w:iCs w:val="0"/>
                <w:color w:val="auto"/>
                <w:highlight w:val="none"/>
                <w:lang w:val="zh-CN" w:eastAsia="zh-CN"/>
              </w:rPr>
            </w:pPr>
          </w:p>
          <w:p w14:paraId="0CED6CA7">
            <w:pPr>
              <w:spacing w:line="360" w:lineRule="auto"/>
              <w:jc w:val="center"/>
              <w:rPr>
                <w:rFonts w:hint="eastAsia"/>
                <w:i w:val="0"/>
                <w:iCs w:val="0"/>
                <w:color w:val="auto"/>
                <w:highlight w:val="none"/>
                <w:lang w:val="zh-CN" w:eastAsia="zh-CN"/>
              </w:rPr>
            </w:pPr>
          </w:p>
          <w:p w14:paraId="5474428E">
            <w:pPr>
              <w:spacing w:line="360" w:lineRule="auto"/>
              <w:jc w:val="center"/>
              <w:rPr>
                <w:rFonts w:hint="eastAsia"/>
                <w:i w:val="0"/>
                <w:iCs w:val="0"/>
                <w:color w:val="auto"/>
                <w:highlight w:val="none"/>
                <w:lang w:val="zh-CN" w:eastAsia="zh-CN"/>
              </w:rPr>
            </w:pPr>
          </w:p>
          <w:p w14:paraId="46A256AB">
            <w:pPr>
              <w:spacing w:line="360" w:lineRule="auto"/>
              <w:jc w:val="center"/>
              <w:rPr>
                <w:rFonts w:hint="eastAsia"/>
                <w:i w:val="0"/>
                <w:iCs w:val="0"/>
                <w:color w:val="auto"/>
                <w:highlight w:val="none"/>
                <w:lang w:val="zh-CN" w:eastAsia="zh-CN"/>
              </w:rPr>
            </w:pPr>
          </w:p>
          <w:p w14:paraId="792C2999">
            <w:pPr>
              <w:spacing w:line="360" w:lineRule="auto"/>
              <w:jc w:val="center"/>
              <w:rPr>
                <w:rFonts w:hint="eastAsia"/>
                <w:i w:val="0"/>
                <w:iCs w:val="0"/>
                <w:color w:val="auto"/>
                <w:highlight w:val="none"/>
                <w:lang w:val="zh-CN" w:eastAsia="zh-CN"/>
              </w:rPr>
            </w:pPr>
          </w:p>
          <w:p w14:paraId="297D987E">
            <w:pPr>
              <w:spacing w:line="360" w:lineRule="auto"/>
              <w:jc w:val="center"/>
              <w:rPr>
                <w:rFonts w:hint="eastAsia"/>
                <w:i w:val="0"/>
                <w:iCs w:val="0"/>
                <w:color w:val="auto"/>
                <w:highlight w:val="none"/>
                <w:lang w:val="zh-CN" w:eastAsia="zh-CN"/>
              </w:rPr>
            </w:pPr>
          </w:p>
          <w:p w14:paraId="354AB1E7">
            <w:pPr>
              <w:spacing w:line="360" w:lineRule="auto"/>
              <w:jc w:val="center"/>
              <w:rPr>
                <w:rFonts w:hint="eastAsia"/>
                <w:i w:val="0"/>
                <w:iCs w:val="0"/>
                <w:color w:val="auto"/>
                <w:highlight w:val="none"/>
                <w:lang w:val="zh-CN" w:eastAsia="zh-CN"/>
              </w:rPr>
            </w:pPr>
          </w:p>
          <w:p w14:paraId="0A3A99A5">
            <w:pPr>
              <w:spacing w:line="360" w:lineRule="auto"/>
              <w:jc w:val="both"/>
              <w:rPr>
                <w:rFonts w:hint="eastAsia"/>
                <w:i w:val="0"/>
                <w:iCs w:val="0"/>
                <w:color w:val="auto"/>
                <w:highlight w:val="none"/>
                <w:lang w:val="zh-CN" w:eastAsia="zh-CN"/>
              </w:rPr>
            </w:pPr>
          </w:p>
          <w:p w14:paraId="2A8C1F4E">
            <w:pPr>
              <w:spacing w:line="360" w:lineRule="auto"/>
              <w:jc w:val="both"/>
              <w:rPr>
                <w:rFonts w:hint="eastAsia"/>
                <w:i w:val="0"/>
                <w:iCs w:val="0"/>
                <w:color w:val="auto"/>
                <w:highlight w:val="none"/>
                <w:lang w:val="zh-CN" w:eastAsia="zh-CN"/>
              </w:rPr>
            </w:pPr>
            <w:r>
              <w:rPr>
                <w:rFonts w:hint="eastAsia"/>
                <w:i w:val="0"/>
                <w:iCs w:val="0"/>
                <w:color w:val="auto"/>
                <w:highlight w:val="none"/>
                <w:lang w:val="zh-CN" w:eastAsia="zh-CN"/>
              </w:rPr>
              <w:t>技术评审（</w:t>
            </w:r>
            <w:r>
              <w:rPr>
                <w:rFonts w:hint="eastAsia"/>
                <w:i w:val="0"/>
                <w:iCs w:val="0"/>
                <w:color w:val="auto"/>
                <w:highlight w:val="none"/>
                <w:lang w:val="en-US" w:eastAsia="zh-CN"/>
              </w:rPr>
              <w:t>66</w:t>
            </w:r>
            <w:r>
              <w:rPr>
                <w:rFonts w:hint="eastAsia"/>
                <w:i w:val="0"/>
                <w:iCs w:val="0"/>
                <w:color w:val="auto"/>
                <w:highlight w:val="none"/>
                <w:lang w:val="zh-CN" w:eastAsia="zh-CN"/>
              </w:rPr>
              <w:t>分）</w:t>
            </w:r>
          </w:p>
        </w:tc>
        <w:tc>
          <w:tcPr>
            <w:tcW w:w="1200" w:type="dxa"/>
            <w:vAlign w:val="center"/>
          </w:tcPr>
          <w:p w14:paraId="35BB16E4">
            <w:pPr>
              <w:spacing w:line="360" w:lineRule="auto"/>
              <w:jc w:val="center"/>
              <w:rPr>
                <w:rFonts w:hint="default"/>
                <w:i w:val="0"/>
                <w:iCs w:val="0"/>
                <w:color w:val="auto"/>
                <w:highlight w:val="none"/>
                <w:lang w:val="en-US" w:eastAsia="zh-CN"/>
              </w:rPr>
            </w:pPr>
            <w:r>
              <w:rPr>
                <w:rFonts w:hint="eastAsia"/>
                <w:i w:val="0"/>
                <w:iCs w:val="0"/>
                <w:color w:val="auto"/>
                <w:highlight w:val="none"/>
                <w:lang w:val="en-US" w:eastAsia="zh-CN"/>
              </w:rPr>
              <w:t>采购需求响应情况（7分）</w:t>
            </w:r>
          </w:p>
        </w:tc>
        <w:tc>
          <w:tcPr>
            <w:tcW w:w="7560" w:type="dxa"/>
            <w:vAlign w:val="center"/>
          </w:tcPr>
          <w:p w14:paraId="2A3B2242">
            <w:pPr>
              <w:pStyle w:val="21"/>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供应商须对照第四章《采购需求》中的全部内容逐条在《</w:t>
            </w:r>
            <w:r>
              <w:rPr>
                <w:rFonts w:hint="eastAsia" w:ascii="宋体" w:hAnsi="宋体" w:eastAsia="宋体" w:cs="宋体"/>
                <w:sz w:val="24"/>
                <w:highlight w:val="none"/>
                <w:lang w:val="en-US" w:eastAsia="zh-CN"/>
              </w:rPr>
              <w:t>采购需求</w:t>
            </w:r>
            <w:r>
              <w:rPr>
                <w:rFonts w:hint="eastAsia" w:ascii="宋体" w:hAnsi="宋体" w:eastAsia="宋体" w:cs="宋体"/>
                <w:sz w:val="24"/>
                <w:highlight w:val="none"/>
                <w:lang w:val="zh-CN" w:eastAsia="zh-CN"/>
              </w:rPr>
              <w:t>偏离表》中列明响应内容及是否偏离等情况，供应商需逐条响应技术参数，全部满足招标文件《采购需求》要求得满分</w:t>
            </w:r>
            <w:r>
              <w:rPr>
                <w:rFonts w:hint="eastAsia" w:hAnsi="宋体" w:cs="宋体"/>
                <w:sz w:val="24"/>
                <w:highlight w:val="none"/>
                <w:lang w:val="en-US" w:eastAsia="zh-CN"/>
              </w:rPr>
              <w:t>7</w:t>
            </w:r>
            <w:r>
              <w:rPr>
                <w:rFonts w:hint="eastAsia" w:ascii="宋体" w:hAnsi="宋体" w:eastAsia="宋体" w:cs="宋体"/>
                <w:sz w:val="24"/>
                <w:highlight w:val="none"/>
                <w:lang w:val="zh-CN" w:eastAsia="zh-CN"/>
              </w:rPr>
              <w:t>分，对本项目所有</w:t>
            </w:r>
            <w:r>
              <w:rPr>
                <w:rFonts w:hint="eastAsia" w:ascii="宋体" w:hAnsi="宋体" w:eastAsia="宋体" w:cs="宋体"/>
                <w:sz w:val="24"/>
                <w:highlight w:val="none"/>
                <w:lang w:val="en-US" w:eastAsia="zh-CN"/>
              </w:rPr>
              <w:t>采购需求</w:t>
            </w:r>
            <w:r>
              <w:rPr>
                <w:rFonts w:hint="eastAsia" w:ascii="宋体" w:hAnsi="宋体" w:eastAsia="宋体" w:cs="宋体"/>
                <w:sz w:val="24"/>
                <w:highlight w:val="none"/>
                <w:lang w:val="zh-CN" w:eastAsia="zh-CN"/>
              </w:rPr>
              <w:t>每出现一条负偏离的，扣1分，扣完为止。</w:t>
            </w:r>
          </w:p>
          <w:p w14:paraId="19C376D5">
            <w:pPr>
              <w:pStyle w:val="21"/>
              <w:spacing w:line="360" w:lineRule="auto"/>
              <w:rPr>
                <w:rFonts w:hint="eastAsia" w:ascii="宋体" w:hAnsi="宋体" w:eastAsia="宋体" w:cs="宋体"/>
                <w:b/>
                <w:bCs/>
                <w:sz w:val="21"/>
                <w:szCs w:val="16"/>
                <w:highlight w:val="none"/>
                <w:lang w:val="zh-CN" w:eastAsia="zh-CN"/>
              </w:rPr>
            </w:pPr>
            <w:r>
              <w:rPr>
                <w:rFonts w:hint="eastAsia" w:ascii="宋体" w:hAnsi="宋体" w:eastAsia="宋体" w:cs="宋体"/>
                <w:b/>
                <w:bCs/>
                <w:sz w:val="22"/>
                <w:szCs w:val="18"/>
                <w:highlight w:val="none"/>
                <w:lang w:val="zh-CN" w:eastAsia="zh-CN"/>
              </w:rPr>
              <w:t>注：负偏离评审依据：①所提供的</w:t>
            </w:r>
            <w:r>
              <w:rPr>
                <w:rFonts w:hint="eastAsia" w:ascii="宋体" w:hAnsi="宋体" w:eastAsia="宋体" w:cs="宋体"/>
                <w:b/>
                <w:bCs/>
                <w:sz w:val="22"/>
                <w:szCs w:val="18"/>
                <w:highlight w:val="none"/>
                <w:lang w:val="en-US" w:eastAsia="zh-CN"/>
              </w:rPr>
              <w:t>服务响应内容</w:t>
            </w:r>
            <w:r>
              <w:rPr>
                <w:rFonts w:hint="eastAsia" w:ascii="宋体" w:hAnsi="宋体" w:eastAsia="宋体" w:cs="宋体"/>
                <w:b/>
                <w:bCs/>
                <w:sz w:val="22"/>
                <w:szCs w:val="18"/>
                <w:highlight w:val="none"/>
                <w:lang w:val="zh-CN" w:eastAsia="zh-CN"/>
              </w:rPr>
              <w:t>低于</w:t>
            </w:r>
            <w:r>
              <w:rPr>
                <w:rFonts w:hint="eastAsia" w:hAnsi="宋体" w:cs="宋体"/>
                <w:b/>
                <w:bCs/>
                <w:sz w:val="22"/>
                <w:szCs w:val="18"/>
                <w:highlight w:val="none"/>
                <w:lang w:val="zh-CN" w:eastAsia="zh-CN"/>
              </w:rPr>
              <w:t>招标</w:t>
            </w:r>
            <w:r>
              <w:rPr>
                <w:rFonts w:hint="eastAsia" w:ascii="宋体" w:hAnsi="宋体" w:eastAsia="宋体" w:cs="宋体"/>
                <w:b/>
                <w:bCs/>
                <w:sz w:val="22"/>
                <w:szCs w:val="18"/>
                <w:highlight w:val="none"/>
                <w:lang w:val="zh-CN" w:eastAsia="zh-CN"/>
              </w:rPr>
              <w:t>文件要求的，视为负偏离；②</w:t>
            </w:r>
            <w:r>
              <w:rPr>
                <w:rFonts w:hint="eastAsia" w:ascii="宋体" w:hAnsi="宋体" w:eastAsia="宋体" w:cs="宋体"/>
                <w:b/>
                <w:bCs/>
                <w:sz w:val="22"/>
                <w:szCs w:val="18"/>
                <w:highlight w:val="none"/>
                <w:lang w:val="en-US" w:eastAsia="zh-CN"/>
              </w:rPr>
              <w:t>采购需求</w:t>
            </w:r>
            <w:r>
              <w:rPr>
                <w:rFonts w:hint="eastAsia" w:ascii="宋体" w:hAnsi="宋体" w:eastAsia="宋体" w:cs="宋体"/>
                <w:b/>
                <w:bCs/>
                <w:sz w:val="22"/>
                <w:szCs w:val="18"/>
                <w:highlight w:val="none"/>
                <w:lang w:val="zh-CN" w:eastAsia="zh-CN"/>
              </w:rPr>
              <w:t>响应条款（以响应文件内采购需求偏离表为准）与</w:t>
            </w:r>
            <w:r>
              <w:rPr>
                <w:rFonts w:hint="eastAsia" w:hAnsi="宋体" w:cs="宋体"/>
                <w:b/>
                <w:bCs/>
                <w:sz w:val="22"/>
                <w:szCs w:val="18"/>
                <w:highlight w:val="none"/>
                <w:lang w:val="zh-CN" w:eastAsia="zh-CN"/>
              </w:rPr>
              <w:t>招标</w:t>
            </w:r>
            <w:r>
              <w:rPr>
                <w:rFonts w:hint="eastAsia" w:ascii="宋体" w:hAnsi="宋体" w:eastAsia="宋体" w:cs="宋体"/>
                <w:b/>
                <w:bCs/>
                <w:sz w:val="22"/>
                <w:szCs w:val="18"/>
                <w:highlight w:val="none"/>
                <w:lang w:val="zh-CN" w:eastAsia="zh-CN"/>
              </w:rPr>
              <w:t>文件对比有缺项、漏项的，视为负偏离。</w:t>
            </w:r>
          </w:p>
        </w:tc>
      </w:tr>
      <w:tr w14:paraId="2DED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30" w:type="dxa"/>
            <w:vMerge w:val="continue"/>
          </w:tcPr>
          <w:p w14:paraId="386D23D2">
            <w:pPr>
              <w:spacing w:line="360" w:lineRule="auto"/>
              <w:jc w:val="both"/>
              <w:rPr>
                <w:rFonts w:hint="eastAsia"/>
                <w:i w:val="0"/>
                <w:iCs w:val="0"/>
                <w:color w:val="auto"/>
                <w:highlight w:val="none"/>
                <w:lang w:val="zh-CN" w:eastAsia="zh-CN"/>
              </w:rPr>
            </w:pPr>
          </w:p>
        </w:tc>
        <w:tc>
          <w:tcPr>
            <w:tcW w:w="1200" w:type="dxa"/>
            <w:vAlign w:val="center"/>
          </w:tcPr>
          <w:p w14:paraId="68DF501B">
            <w:pPr>
              <w:spacing w:line="360" w:lineRule="auto"/>
              <w:jc w:val="center"/>
              <w:rPr>
                <w:rFonts w:hint="eastAsia"/>
                <w:i w:val="0"/>
                <w:iCs w:val="0"/>
                <w:color w:val="auto"/>
                <w:highlight w:val="none"/>
                <w:lang w:val="zh-CN" w:eastAsia="zh-CN"/>
              </w:rPr>
            </w:pPr>
            <w:r>
              <w:rPr>
                <w:rFonts w:hint="eastAsia"/>
                <w:i w:val="0"/>
                <w:iCs w:val="0"/>
                <w:color w:val="auto"/>
                <w:highlight w:val="none"/>
                <w:lang w:val="zh-CN" w:eastAsia="zh-CN"/>
              </w:rPr>
              <w:t>对本项目 背景和</w:t>
            </w:r>
            <w:r>
              <w:rPr>
                <w:rFonts w:hint="eastAsia"/>
                <w:i w:val="0"/>
                <w:iCs w:val="0"/>
                <w:color w:val="auto"/>
                <w:highlight w:val="none"/>
                <w:lang w:val="en-US" w:eastAsia="zh-CN"/>
              </w:rPr>
              <w:t>需求</w:t>
            </w:r>
            <w:r>
              <w:rPr>
                <w:rFonts w:hint="eastAsia"/>
                <w:i w:val="0"/>
                <w:iCs w:val="0"/>
                <w:color w:val="auto"/>
                <w:highlight w:val="none"/>
                <w:lang w:val="zh-CN" w:eastAsia="zh-CN"/>
              </w:rPr>
              <w:t>的理解</w:t>
            </w:r>
          </w:p>
          <w:p w14:paraId="49E05DB7">
            <w:pPr>
              <w:spacing w:line="360" w:lineRule="auto"/>
              <w:jc w:val="center"/>
              <w:rPr>
                <w:rFonts w:hint="eastAsia"/>
                <w:i w:val="0"/>
                <w:iCs w:val="0"/>
                <w:color w:val="auto"/>
                <w:highlight w:val="none"/>
                <w:lang w:val="zh-CN" w:eastAsia="zh-CN"/>
              </w:rPr>
            </w:pPr>
            <w:r>
              <w:rPr>
                <w:rFonts w:hint="eastAsia"/>
                <w:i w:val="0"/>
                <w:iCs w:val="0"/>
                <w:color w:val="auto"/>
                <w:highlight w:val="none"/>
                <w:lang w:val="zh-CN" w:eastAsia="zh-CN"/>
              </w:rPr>
              <w:t>（</w:t>
            </w:r>
            <w:r>
              <w:rPr>
                <w:rFonts w:hint="eastAsia"/>
                <w:i w:val="0"/>
                <w:iCs w:val="0"/>
                <w:color w:val="auto"/>
                <w:highlight w:val="none"/>
                <w:lang w:val="en-US" w:eastAsia="zh-CN"/>
              </w:rPr>
              <w:t>15</w:t>
            </w:r>
            <w:r>
              <w:rPr>
                <w:rFonts w:hint="eastAsia"/>
                <w:i w:val="0"/>
                <w:iCs w:val="0"/>
                <w:color w:val="auto"/>
                <w:highlight w:val="none"/>
                <w:lang w:val="zh-CN" w:eastAsia="zh-CN"/>
              </w:rPr>
              <w:t>分）</w:t>
            </w:r>
          </w:p>
        </w:tc>
        <w:tc>
          <w:tcPr>
            <w:tcW w:w="7560" w:type="dxa"/>
            <w:vAlign w:val="center"/>
          </w:tcPr>
          <w:p w14:paraId="0785EEB9">
            <w:pPr>
              <w:pStyle w:val="21"/>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投标人需围绕本项目的</w:t>
            </w:r>
            <w:r>
              <w:rPr>
                <w:rFonts w:hint="eastAsia" w:hAnsi="宋体" w:cs="宋体"/>
                <w:sz w:val="24"/>
                <w:highlight w:val="none"/>
                <w:lang w:val="en-US" w:eastAsia="zh-CN"/>
              </w:rPr>
              <w:t>采购需求</w:t>
            </w:r>
            <w:r>
              <w:rPr>
                <w:rFonts w:hint="eastAsia" w:ascii="宋体" w:hAnsi="宋体" w:eastAsia="宋体" w:cs="宋体"/>
                <w:sz w:val="24"/>
                <w:highlight w:val="none"/>
                <w:lang w:val="zh-CN" w:eastAsia="zh-CN"/>
              </w:rPr>
              <w:t>：须包括①准确把握项目服务定位；②采购标的需执行的国家相关标准、行业标准、地方标准或者其他标准、规范；③技术要求；④成果要求，进行深度剖析；⑤</w:t>
            </w:r>
            <w:r>
              <w:rPr>
                <w:rFonts w:hint="eastAsia" w:hAnsi="宋体" w:cs="宋体"/>
                <w:sz w:val="24"/>
                <w:highlight w:val="none"/>
                <w:lang w:val="zh-CN" w:eastAsia="zh-CN"/>
              </w:rPr>
              <w:t>重难点的分析</w:t>
            </w:r>
            <w:r>
              <w:rPr>
                <w:rFonts w:hint="eastAsia" w:hAnsi="宋体" w:cs="宋体"/>
                <w:sz w:val="24"/>
                <w:highlight w:val="none"/>
                <w:lang w:val="en-US" w:eastAsia="zh-CN"/>
              </w:rPr>
              <w:t>等。</w:t>
            </w:r>
            <w:r>
              <w:rPr>
                <w:rFonts w:hint="eastAsia" w:ascii="宋体" w:hAnsi="宋体" w:eastAsia="宋体" w:cs="宋体"/>
                <w:sz w:val="24"/>
                <w:highlight w:val="none"/>
                <w:lang w:val="zh-CN" w:eastAsia="zh-CN"/>
              </w:rPr>
              <w:t>不仅要清晰阐述对项目的核心目标的独到见解，精准识别关键重难点，还要针对重难点提出科学、创新且切实可行的应对策略与方案；</w:t>
            </w:r>
            <w:r>
              <w:rPr>
                <w:rFonts w:hint="eastAsia" w:ascii="宋体" w:hAnsi="宋体" w:eastAsia="宋体" w:cs="宋体"/>
                <w:b/>
                <w:bCs/>
                <w:sz w:val="22"/>
                <w:szCs w:val="18"/>
                <w:highlight w:val="none"/>
                <w:lang w:val="zh-CN" w:eastAsia="zh-CN"/>
              </w:rPr>
              <w:t>特别强调，若本项目执行过程中，所依据的各类标准、规范，发生更新变化，投标人需承诺主动积极跟进，严格按照最新标准开展工作，并全力配合因标准更新产生的技术对接、方案调整工作，确保项目顺利推进。</w:t>
            </w:r>
          </w:p>
          <w:p w14:paraId="60E2073D">
            <w:pPr>
              <w:pStyle w:val="21"/>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评标委员会将依据投标人提供方案的完整性、准确性、创新性和可行性进行综合评分，本项最高可得</w:t>
            </w:r>
            <w:r>
              <w:rPr>
                <w:rFonts w:hint="eastAsia" w:hAnsi="宋体" w:cs="宋体"/>
                <w:sz w:val="24"/>
                <w:highlight w:val="none"/>
                <w:lang w:val="en-US" w:eastAsia="zh-CN"/>
              </w:rPr>
              <w:t>15</w:t>
            </w:r>
            <w:r>
              <w:rPr>
                <w:rFonts w:hint="eastAsia" w:ascii="宋体" w:hAnsi="宋体" w:eastAsia="宋体" w:cs="宋体"/>
                <w:sz w:val="24"/>
                <w:highlight w:val="none"/>
                <w:lang w:val="zh-CN" w:eastAsia="zh-CN"/>
              </w:rPr>
              <w:t>分</w:t>
            </w:r>
            <w:r>
              <w:rPr>
                <w:rFonts w:hint="eastAsia" w:hAnsi="宋体" w:cs="宋体"/>
                <w:sz w:val="24"/>
                <w:highlight w:val="none"/>
                <w:lang w:val="zh-CN" w:eastAsia="zh-CN"/>
              </w:rPr>
              <w:t>，</w:t>
            </w:r>
            <w:r>
              <w:rPr>
                <w:rFonts w:hint="eastAsia" w:ascii="宋体" w:hAnsi="宋体" w:eastAsia="宋体" w:cs="宋体"/>
                <w:sz w:val="24"/>
                <w:highlight w:val="none"/>
                <w:lang w:val="zh-CN" w:eastAsia="zh-CN"/>
              </w:rPr>
              <w:t>具体评分规则如下：若方案中每有一项内容存在缺陷的，每一项扣</w:t>
            </w:r>
            <w:r>
              <w:rPr>
                <w:rFonts w:hint="eastAsia" w:hAnsi="宋体" w:cs="宋体"/>
                <w:sz w:val="24"/>
                <w:highlight w:val="none"/>
                <w:lang w:val="en-US" w:eastAsia="zh-CN"/>
              </w:rPr>
              <w:t>1.5</w:t>
            </w:r>
            <w:r>
              <w:rPr>
                <w:rFonts w:hint="eastAsia" w:ascii="宋体" w:hAnsi="宋体" w:eastAsia="宋体" w:cs="宋体"/>
                <w:sz w:val="24"/>
                <w:highlight w:val="none"/>
                <w:lang w:val="zh-CN" w:eastAsia="zh-CN"/>
              </w:rPr>
              <w:t>分；每缺少一项方案内容的每一项扣</w:t>
            </w:r>
            <w:r>
              <w:rPr>
                <w:rFonts w:hint="eastAsia" w:hAnsi="宋体" w:cs="宋体"/>
                <w:sz w:val="24"/>
                <w:highlight w:val="none"/>
                <w:lang w:val="en-US" w:eastAsia="zh-CN"/>
              </w:rPr>
              <w:t>3</w:t>
            </w:r>
            <w:r>
              <w:rPr>
                <w:rFonts w:hint="eastAsia" w:ascii="宋体" w:hAnsi="宋体" w:eastAsia="宋体" w:cs="宋体"/>
                <w:sz w:val="24"/>
                <w:highlight w:val="none"/>
                <w:lang w:val="zh-CN" w:eastAsia="zh-CN"/>
              </w:rPr>
              <w:t>分，扣完为止；未提供对本项目背景和主要目标的理解的，此项不得分。</w:t>
            </w:r>
          </w:p>
          <w:p w14:paraId="5CE1265A">
            <w:pPr>
              <w:pStyle w:val="21"/>
              <w:spacing w:line="360" w:lineRule="auto"/>
              <w:rPr>
                <w:rFonts w:hint="eastAsia"/>
                <w:i w:val="0"/>
                <w:iCs w:val="0"/>
                <w:color w:val="auto"/>
                <w:highlight w:val="none"/>
                <w:lang w:val="zh-CN" w:eastAsia="zh-CN"/>
              </w:rPr>
            </w:pPr>
            <w:r>
              <w:rPr>
                <w:rFonts w:hint="eastAsia" w:ascii="宋体" w:hAnsi="宋体" w:eastAsia="宋体" w:cs="宋体"/>
                <w:b/>
                <w:bCs/>
                <w:sz w:val="21"/>
                <w:szCs w:val="16"/>
                <w:highlight w:val="none"/>
                <w:lang w:val="zh-CN"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54F5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30" w:type="dxa"/>
            <w:vMerge w:val="continue"/>
          </w:tcPr>
          <w:p w14:paraId="1D7D026F">
            <w:pPr>
              <w:spacing w:line="360" w:lineRule="auto"/>
              <w:jc w:val="center"/>
              <w:rPr>
                <w:rFonts w:hint="eastAsia"/>
                <w:i w:val="0"/>
                <w:iCs w:val="0"/>
                <w:color w:val="auto"/>
                <w:highlight w:val="none"/>
                <w:lang w:val="zh-CN" w:eastAsia="zh-CN"/>
              </w:rPr>
            </w:pPr>
          </w:p>
        </w:tc>
        <w:tc>
          <w:tcPr>
            <w:tcW w:w="1200" w:type="dxa"/>
            <w:vAlign w:val="center"/>
          </w:tcPr>
          <w:p w14:paraId="59EDD63C">
            <w:pPr>
              <w:spacing w:line="360" w:lineRule="auto"/>
              <w:jc w:val="center"/>
              <w:rPr>
                <w:rFonts w:hint="eastAsia"/>
                <w:i w:val="0"/>
                <w:iCs w:val="0"/>
                <w:color w:val="auto"/>
                <w:highlight w:val="none"/>
                <w:lang w:val="zh-CN" w:eastAsia="zh-CN"/>
              </w:rPr>
            </w:pPr>
            <w:r>
              <w:rPr>
                <w:rFonts w:hint="eastAsia"/>
                <w:i w:val="0"/>
                <w:iCs w:val="0"/>
                <w:color w:val="auto"/>
                <w:highlight w:val="none"/>
                <w:lang w:val="en-US" w:eastAsia="zh-CN"/>
              </w:rPr>
              <w:t>实施</w:t>
            </w:r>
            <w:r>
              <w:rPr>
                <w:rFonts w:hint="eastAsia"/>
                <w:i w:val="0"/>
                <w:iCs w:val="0"/>
                <w:color w:val="auto"/>
                <w:highlight w:val="none"/>
                <w:lang w:val="zh-CN" w:eastAsia="zh-CN"/>
              </w:rPr>
              <w:t>方案</w:t>
            </w:r>
          </w:p>
          <w:p w14:paraId="3A63B4B0">
            <w:pPr>
              <w:spacing w:line="360" w:lineRule="auto"/>
              <w:jc w:val="center"/>
              <w:rPr>
                <w:rFonts w:hint="eastAsia"/>
                <w:lang w:val="zh-CN" w:eastAsia="zh-CN"/>
              </w:rPr>
            </w:pPr>
            <w:r>
              <w:rPr>
                <w:rFonts w:hint="eastAsia"/>
                <w:i w:val="0"/>
                <w:iCs w:val="0"/>
                <w:color w:val="auto"/>
                <w:highlight w:val="none"/>
                <w:lang w:val="zh-CN" w:eastAsia="zh-CN"/>
              </w:rPr>
              <w:t>（</w:t>
            </w:r>
            <w:r>
              <w:rPr>
                <w:rFonts w:hint="eastAsia"/>
                <w:i w:val="0"/>
                <w:iCs w:val="0"/>
                <w:color w:val="auto"/>
                <w:highlight w:val="none"/>
                <w:lang w:val="en-US" w:eastAsia="zh-CN"/>
              </w:rPr>
              <w:t>16分</w:t>
            </w:r>
            <w:r>
              <w:rPr>
                <w:rFonts w:hint="eastAsia"/>
                <w:i w:val="0"/>
                <w:iCs w:val="0"/>
                <w:color w:val="auto"/>
                <w:highlight w:val="none"/>
                <w:lang w:val="zh-CN" w:eastAsia="zh-CN"/>
              </w:rPr>
              <w:t>）</w:t>
            </w:r>
          </w:p>
        </w:tc>
        <w:tc>
          <w:tcPr>
            <w:tcW w:w="7560" w:type="dxa"/>
            <w:vAlign w:val="center"/>
          </w:tcPr>
          <w:p w14:paraId="1D85115E">
            <w:pPr>
              <w:pStyle w:val="21"/>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投标人需紧密结合项目需求，编制兼具科学性与合理性的项目实施方案，方案内容应全面涵盖但不限于：</w:t>
            </w:r>
            <w:r>
              <w:rPr>
                <w:rFonts w:hint="eastAsia" w:hAnsi="宋体" w:cs="宋体"/>
                <w:sz w:val="24"/>
                <w:highlight w:val="none"/>
                <w:lang w:val="en-US" w:eastAsia="zh-CN"/>
              </w:rPr>
              <w:t>溯源</w:t>
            </w:r>
            <w:r>
              <w:rPr>
                <w:rFonts w:hint="eastAsia" w:ascii="宋体" w:hAnsi="宋体" w:eastAsia="宋体" w:cs="宋体"/>
                <w:sz w:val="24"/>
                <w:highlight w:val="none"/>
                <w:lang w:val="zh-CN" w:eastAsia="zh-CN"/>
              </w:rPr>
              <w:t>路线、实施内容、</w:t>
            </w:r>
            <w:r>
              <w:rPr>
                <w:rFonts w:hint="eastAsia" w:hAnsi="宋体" w:cs="宋体"/>
                <w:sz w:val="24"/>
                <w:highlight w:val="none"/>
                <w:lang w:val="en-US" w:eastAsia="zh-CN"/>
              </w:rPr>
              <w:t>溯源检测</w:t>
            </w:r>
            <w:r>
              <w:rPr>
                <w:rFonts w:hint="eastAsia" w:ascii="宋体" w:hAnsi="宋体" w:eastAsia="宋体" w:cs="宋体"/>
                <w:sz w:val="24"/>
                <w:highlight w:val="none"/>
                <w:lang w:val="zh-CN" w:eastAsia="zh-CN"/>
              </w:rPr>
              <w:t>方法、实施</w:t>
            </w:r>
            <w:r>
              <w:rPr>
                <w:rFonts w:hint="eastAsia" w:hAnsi="宋体" w:cs="宋体"/>
                <w:sz w:val="24"/>
                <w:highlight w:val="none"/>
                <w:lang w:val="en-US" w:eastAsia="zh-CN"/>
              </w:rPr>
              <w:t>工作流程</w:t>
            </w:r>
            <w:r>
              <w:rPr>
                <w:rFonts w:hint="eastAsia" w:ascii="宋体" w:hAnsi="宋体" w:eastAsia="宋体" w:cs="宋体"/>
                <w:sz w:val="24"/>
                <w:highlight w:val="none"/>
                <w:lang w:val="zh-CN" w:eastAsia="zh-CN"/>
              </w:rPr>
              <w:t>等</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eastAsia="zh-CN"/>
              </w:rPr>
              <w:t>方面进行评审：方案内容完整齐全，符合项目实际的，得</w:t>
            </w:r>
            <w:r>
              <w:rPr>
                <w:rFonts w:hint="eastAsia" w:ascii="宋体" w:hAnsi="宋体" w:eastAsia="宋体" w:cs="宋体"/>
                <w:sz w:val="24"/>
                <w:highlight w:val="none"/>
                <w:lang w:val="en-US" w:eastAsia="zh-CN"/>
              </w:rPr>
              <w:t>16</w:t>
            </w:r>
            <w:r>
              <w:rPr>
                <w:rFonts w:hint="eastAsia" w:ascii="宋体" w:hAnsi="宋体" w:eastAsia="宋体" w:cs="宋体"/>
                <w:sz w:val="24"/>
                <w:highlight w:val="none"/>
                <w:lang w:val="zh-CN" w:eastAsia="zh-CN"/>
              </w:rPr>
              <w:t>分；每有一项内容存在缺陷的，每一项扣2分；每缺少一项方案内容的每一项扣4分，扣完为止；未提供项目</w:t>
            </w:r>
            <w:r>
              <w:rPr>
                <w:rFonts w:hint="eastAsia" w:hAnsi="宋体" w:cs="宋体"/>
                <w:sz w:val="24"/>
                <w:highlight w:val="none"/>
                <w:lang w:val="en-US" w:eastAsia="zh-CN"/>
              </w:rPr>
              <w:t>实施方案</w:t>
            </w:r>
            <w:r>
              <w:rPr>
                <w:rFonts w:hint="eastAsia" w:ascii="宋体" w:hAnsi="宋体" w:eastAsia="宋体" w:cs="宋体"/>
                <w:sz w:val="24"/>
                <w:highlight w:val="none"/>
                <w:lang w:val="zh-CN" w:eastAsia="zh-CN"/>
              </w:rPr>
              <w:t>的，此项不得分。</w:t>
            </w:r>
          </w:p>
          <w:p w14:paraId="02C151A9">
            <w:pPr>
              <w:pStyle w:val="21"/>
              <w:spacing w:line="360" w:lineRule="auto"/>
              <w:rPr>
                <w:rFonts w:hint="eastAsia" w:ascii="宋体" w:hAnsi="宋体" w:eastAsia="宋体" w:cs="宋体"/>
                <w:b/>
                <w:bCs/>
                <w:sz w:val="21"/>
                <w:szCs w:val="16"/>
                <w:highlight w:val="none"/>
                <w:lang w:val="zh-CN" w:eastAsia="zh-CN"/>
              </w:rPr>
            </w:pPr>
            <w:r>
              <w:rPr>
                <w:rFonts w:hint="eastAsia" w:ascii="宋体" w:hAnsi="宋体" w:eastAsia="宋体" w:cs="宋体"/>
                <w:b/>
                <w:bCs/>
                <w:sz w:val="21"/>
                <w:szCs w:val="16"/>
                <w:highlight w:val="none"/>
                <w:lang w:val="zh-CN"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1BB2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230" w:type="dxa"/>
            <w:vMerge w:val="continue"/>
          </w:tcPr>
          <w:p w14:paraId="41627C8A">
            <w:pPr>
              <w:spacing w:line="360" w:lineRule="auto"/>
              <w:jc w:val="center"/>
              <w:rPr>
                <w:rFonts w:hint="eastAsia"/>
                <w:i w:val="0"/>
                <w:iCs w:val="0"/>
                <w:color w:val="auto"/>
                <w:highlight w:val="none"/>
                <w:lang w:val="zh-CN" w:eastAsia="zh-CN"/>
              </w:rPr>
            </w:pPr>
          </w:p>
        </w:tc>
        <w:tc>
          <w:tcPr>
            <w:tcW w:w="1200" w:type="dxa"/>
            <w:vAlign w:val="center"/>
          </w:tcPr>
          <w:p w14:paraId="59A27D22">
            <w:pPr>
              <w:spacing w:line="360" w:lineRule="auto"/>
              <w:jc w:val="center"/>
              <w:rPr>
                <w:rFonts w:hint="eastAsia"/>
                <w:lang w:val="zh-CN" w:eastAsia="zh-CN"/>
              </w:rPr>
            </w:pPr>
            <w:r>
              <w:rPr>
                <w:rFonts w:hint="eastAsia"/>
                <w:i w:val="0"/>
                <w:iCs w:val="0"/>
                <w:color w:val="auto"/>
                <w:highlight w:val="none"/>
                <w:lang w:val="zh-CN" w:eastAsia="zh-CN"/>
              </w:rPr>
              <w:t>服务质量控制和保证措施（</w:t>
            </w:r>
            <w:r>
              <w:rPr>
                <w:rFonts w:hint="eastAsia"/>
                <w:i w:val="0"/>
                <w:iCs w:val="0"/>
                <w:color w:val="auto"/>
                <w:highlight w:val="none"/>
                <w:lang w:val="en-US" w:eastAsia="zh-CN"/>
              </w:rPr>
              <w:t>14分</w:t>
            </w:r>
            <w:r>
              <w:rPr>
                <w:rFonts w:hint="eastAsia"/>
                <w:i w:val="0"/>
                <w:iCs w:val="0"/>
                <w:color w:val="auto"/>
                <w:highlight w:val="none"/>
                <w:lang w:val="zh-CN" w:eastAsia="zh-CN"/>
              </w:rPr>
              <w:t>）</w:t>
            </w:r>
          </w:p>
        </w:tc>
        <w:tc>
          <w:tcPr>
            <w:tcW w:w="7560" w:type="dxa"/>
            <w:vAlign w:val="center"/>
          </w:tcPr>
          <w:p w14:paraId="734E89BE">
            <w:pPr>
              <w:pStyle w:val="21"/>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投标人需构建完善的服务质量控制体系及保证措施，内容应全面覆盖但不限于：质量控制目标、质量控制组织架构、人员管理措施、仪器设备管理、数据管理、成果管理、应急措施等</w:t>
            </w:r>
            <w:r>
              <w:rPr>
                <w:rFonts w:hint="eastAsia" w:hAnsi="宋体" w:cs="宋体"/>
                <w:sz w:val="24"/>
                <w:highlight w:val="none"/>
                <w:lang w:val="en-US" w:eastAsia="zh-CN"/>
              </w:rPr>
              <w:t>7</w:t>
            </w:r>
            <w:r>
              <w:rPr>
                <w:rFonts w:hint="eastAsia" w:ascii="宋体" w:hAnsi="宋体" w:eastAsia="宋体" w:cs="宋体"/>
                <w:sz w:val="24"/>
                <w:highlight w:val="none"/>
                <w:lang w:val="zh-CN" w:eastAsia="zh-CN"/>
              </w:rPr>
              <w:t>方面进行评审：方案内容完整齐全，符合项目实际的，得</w:t>
            </w:r>
            <w:r>
              <w:rPr>
                <w:rFonts w:hint="eastAsia" w:hAnsi="宋体" w:cs="宋体"/>
                <w:sz w:val="24"/>
                <w:highlight w:val="none"/>
                <w:lang w:val="en-US" w:eastAsia="zh-CN"/>
              </w:rPr>
              <w:t>14</w:t>
            </w:r>
            <w:r>
              <w:rPr>
                <w:rFonts w:hint="eastAsia" w:ascii="宋体" w:hAnsi="宋体" w:eastAsia="宋体" w:cs="宋体"/>
                <w:sz w:val="24"/>
                <w:highlight w:val="none"/>
                <w:lang w:val="zh-CN" w:eastAsia="zh-CN"/>
              </w:rPr>
              <w:t>分；每有一项内容存在缺陷的，每一项扣</w:t>
            </w:r>
            <w:r>
              <w:rPr>
                <w:rFonts w:hint="eastAsia" w:hAnsi="宋体" w:cs="宋体"/>
                <w:sz w:val="24"/>
                <w:highlight w:val="none"/>
                <w:lang w:val="en-US" w:eastAsia="zh-CN"/>
              </w:rPr>
              <w:t>1</w:t>
            </w:r>
            <w:r>
              <w:rPr>
                <w:rFonts w:hint="eastAsia" w:ascii="宋体" w:hAnsi="宋体" w:eastAsia="宋体" w:cs="宋体"/>
                <w:sz w:val="24"/>
                <w:highlight w:val="none"/>
                <w:lang w:val="zh-CN" w:eastAsia="zh-CN"/>
              </w:rPr>
              <w:t>分；每缺少一项方案内容的每一项扣</w:t>
            </w:r>
            <w:r>
              <w:rPr>
                <w:rFonts w:hint="eastAsia" w:hAnsi="宋体" w:cs="宋体"/>
                <w:sz w:val="24"/>
                <w:highlight w:val="none"/>
                <w:lang w:val="en-US" w:eastAsia="zh-CN"/>
              </w:rPr>
              <w:t>2</w:t>
            </w:r>
            <w:r>
              <w:rPr>
                <w:rFonts w:hint="eastAsia" w:ascii="宋体" w:hAnsi="宋体" w:eastAsia="宋体" w:cs="宋体"/>
                <w:sz w:val="24"/>
                <w:highlight w:val="none"/>
                <w:lang w:val="zh-CN" w:eastAsia="zh-CN"/>
              </w:rPr>
              <w:t>分，扣完为止；未提供项目服务质量控制体系及保证措施的，此项不得分。</w:t>
            </w:r>
          </w:p>
          <w:p w14:paraId="20C7BAB9">
            <w:pPr>
              <w:pStyle w:val="21"/>
              <w:spacing w:line="360" w:lineRule="auto"/>
              <w:rPr>
                <w:rFonts w:hint="eastAsia" w:ascii="宋体" w:hAnsi="宋体" w:eastAsia="宋体" w:cs="宋体"/>
                <w:b/>
                <w:bCs/>
                <w:sz w:val="21"/>
                <w:szCs w:val="16"/>
                <w:highlight w:val="none"/>
                <w:lang w:val="zh-CN" w:eastAsia="zh-CN"/>
              </w:rPr>
            </w:pPr>
            <w:r>
              <w:rPr>
                <w:rFonts w:hint="eastAsia" w:ascii="宋体" w:hAnsi="宋体" w:eastAsia="宋体" w:cs="宋体"/>
                <w:b/>
                <w:bCs/>
                <w:sz w:val="21"/>
                <w:szCs w:val="16"/>
                <w:highlight w:val="none"/>
                <w:lang w:val="zh-CN"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6533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30" w:type="dxa"/>
            <w:vMerge w:val="continue"/>
          </w:tcPr>
          <w:p w14:paraId="0CB22392">
            <w:pPr>
              <w:spacing w:line="360" w:lineRule="auto"/>
              <w:jc w:val="center"/>
              <w:rPr>
                <w:rFonts w:hint="eastAsia"/>
                <w:i w:val="0"/>
                <w:iCs w:val="0"/>
                <w:color w:val="auto"/>
                <w:highlight w:val="none"/>
                <w:lang w:val="zh-CN" w:eastAsia="zh-CN"/>
              </w:rPr>
            </w:pPr>
          </w:p>
        </w:tc>
        <w:tc>
          <w:tcPr>
            <w:tcW w:w="1200" w:type="dxa"/>
            <w:vAlign w:val="center"/>
          </w:tcPr>
          <w:p w14:paraId="00CAB277">
            <w:pPr>
              <w:spacing w:line="360" w:lineRule="auto"/>
              <w:jc w:val="center"/>
              <w:rPr>
                <w:rFonts w:hint="eastAsia"/>
                <w:i w:val="0"/>
                <w:iCs w:val="0"/>
                <w:color w:val="auto"/>
                <w:highlight w:val="none"/>
                <w:lang w:val="zh-CN" w:eastAsia="zh-CN"/>
              </w:rPr>
            </w:pPr>
            <w:r>
              <w:rPr>
                <w:rFonts w:hint="eastAsia"/>
                <w:i w:val="0"/>
                <w:iCs w:val="0"/>
                <w:color w:val="auto"/>
                <w:highlight w:val="none"/>
                <w:lang w:val="zh-CN" w:eastAsia="zh-CN"/>
              </w:rPr>
              <w:t>项目实施</w:t>
            </w:r>
          </w:p>
          <w:p w14:paraId="56DC19BF">
            <w:pPr>
              <w:spacing w:line="360" w:lineRule="auto"/>
              <w:jc w:val="center"/>
              <w:rPr>
                <w:rFonts w:hint="eastAsia"/>
                <w:i w:val="0"/>
                <w:iCs w:val="0"/>
                <w:color w:val="auto"/>
                <w:highlight w:val="none"/>
                <w:lang w:val="zh-CN" w:eastAsia="zh-CN"/>
              </w:rPr>
            </w:pPr>
            <w:r>
              <w:rPr>
                <w:rFonts w:hint="eastAsia"/>
                <w:i w:val="0"/>
                <w:iCs w:val="0"/>
                <w:color w:val="auto"/>
                <w:highlight w:val="none"/>
                <w:lang w:val="zh-CN" w:eastAsia="zh-CN"/>
              </w:rPr>
              <w:t>期限、保密保证措施</w:t>
            </w:r>
          </w:p>
          <w:p w14:paraId="4787D862">
            <w:pPr>
              <w:spacing w:line="360" w:lineRule="auto"/>
              <w:jc w:val="center"/>
              <w:rPr>
                <w:rFonts w:hint="eastAsia"/>
                <w:i w:val="0"/>
                <w:iCs w:val="0"/>
                <w:color w:val="auto"/>
                <w:highlight w:val="none"/>
                <w:lang w:val="zh-CN" w:eastAsia="zh-CN"/>
              </w:rPr>
            </w:pPr>
            <w:r>
              <w:rPr>
                <w:rFonts w:hint="eastAsia"/>
                <w:i w:val="0"/>
                <w:iCs w:val="0"/>
                <w:color w:val="auto"/>
                <w:highlight w:val="none"/>
                <w:lang w:val="zh-CN" w:eastAsia="zh-CN"/>
              </w:rPr>
              <w:t>（</w:t>
            </w:r>
            <w:r>
              <w:rPr>
                <w:rFonts w:hint="eastAsia"/>
                <w:i w:val="0"/>
                <w:iCs w:val="0"/>
                <w:color w:val="auto"/>
                <w:highlight w:val="none"/>
                <w:lang w:val="en-US" w:eastAsia="zh-CN"/>
              </w:rPr>
              <w:t>10分</w:t>
            </w:r>
            <w:r>
              <w:rPr>
                <w:rFonts w:hint="eastAsia"/>
                <w:i w:val="0"/>
                <w:iCs w:val="0"/>
                <w:color w:val="auto"/>
                <w:highlight w:val="none"/>
                <w:lang w:val="zh-CN" w:eastAsia="zh-CN"/>
              </w:rPr>
              <w:t>）</w:t>
            </w:r>
          </w:p>
        </w:tc>
        <w:tc>
          <w:tcPr>
            <w:tcW w:w="7560" w:type="dxa"/>
            <w:vAlign w:val="center"/>
          </w:tcPr>
          <w:p w14:paraId="380C4D1E">
            <w:pPr>
              <w:pStyle w:val="21"/>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投标人需依照项目实际需求，提交详细、合理且契合项目要求的实施期限与保密保证措施方案，方案应全面覆盖以下关键方面但不限于：</w:t>
            </w:r>
          </w:p>
          <w:p w14:paraId="224A7F68">
            <w:pPr>
              <w:pStyle w:val="21"/>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①</w:t>
            </w:r>
            <w:r>
              <w:rPr>
                <w:rFonts w:hint="eastAsia" w:hAnsi="宋体" w:cs="宋体"/>
                <w:sz w:val="24"/>
                <w:highlight w:val="none"/>
                <w:lang w:val="en-US" w:eastAsia="zh-CN"/>
              </w:rPr>
              <w:t>溯源校准</w:t>
            </w:r>
            <w:r>
              <w:rPr>
                <w:rFonts w:hint="eastAsia" w:ascii="宋体" w:hAnsi="宋体" w:eastAsia="宋体" w:cs="宋体"/>
                <w:sz w:val="24"/>
                <w:highlight w:val="none"/>
                <w:lang w:val="zh-CN" w:eastAsia="zh-CN"/>
              </w:rPr>
              <w:t>（严格按照规定</w:t>
            </w:r>
            <w:r>
              <w:rPr>
                <w:rFonts w:hint="eastAsia" w:hAnsi="宋体" w:cs="宋体"/>
                <w:sz w:val="24"/>
                <w:highlight w:val="none"/>
                <w:lang w:val="en-US" w:eastAsia="zh-CN"/>
              </w:rPr>
              <w:t>要求</w:t>
            </w:r>
            <w:r>
              <w:rPr>
                <w:rFonts w:hint="eastAsia" w:ascii="宋体" w:hAnsi="宋体" w:eastAsia="宋体" w:cs="宋体"/>
                <w:sz w:val="24"/>
                <w:highlight w:val="none"/>
                <w:lang w:val="zh-CN" w:eastAsia="zh-CN"/>
              </w:rPr>
              <w:t>完成）；②</w:t>
            </w:r>
            <w:r>
              <w:rPr>
                <w:rFonts w:hint="eastAsia" w:hAnsi="宋体" w:cs="宋体"/>
                <w:sz w:val="24"/>
                <w:highlight w:val="none"/>
                <w:lang w:val="en-US" w:eastAsia="zh-CN"/>
              </w:rPr>
              <w:t>数据</w:t>
            </w:r>
            <w:r>
              <w:rPr>
                <w:rFonts w:hint="eastAsia" w:ascii="宋体" w:hAnsi="宋体" w:eastAsia="宋体" w:cs="宋体"/>
                <w:sz w:val="24"/>
                <w:highlight w:val="none"/>
                <w:lang w:val="zh-CN" w:eastAsia="zh-CN"/>
              </w:rPr>
              <w:t>分析（各阶段分析工作有序衔接；③进度保障措施（关键时间节点及对应的考核指标）；④保密措施完善度；⑤数据存储与传输安全等</w:t>
            </w:r>
            <w:r>
              <w:rPr>
                <w:rFonts w:hint="eastAsia" w:hAnsi="宋体" w:cs="宋体"/>
                <w:sz w:val="24"/>
                <w:highlight w:val="none"/>
                <w:lang w:val="en-US" w:eastAsia="zh-CN"/>
              </w:rPr>
              <w:t>5</w:t>
            </w:r>
            <w:r>
              <w:rPr>
                <w:rFonts w:hint="eastAsia" w:ascii="宋体" w:hAnsi="宋体" w:eastAsia="宋体" w:cs="宋体"/>
                <w:sz w:val="24"/>
                <w:highlight w:val="none"/>
                <w:lang w:val="zh-CN" w:eastAsia="zh-CN"/>
              </w:rPr>
              <w:t>方面进行评审：方案内容完整齐全，符合项目实际的，得</w:t>
            </w:r>
            <w:r>
              <w:rPr>
                <w:rFonts w:hint="eastAsia" w:hAnsi="宋体" w:cs="宋体"/>
                <w:sz w:val="24"/>
                <w:highlight w:val="none"/>
                <w:lang w:val="en-US" w:eastAsia="zh-CN"/>
              </w:rPr>
              <w:t>10</w:t>
            </w:r>
            <w:r>
              <w:rPr>
                <w:rFonts w:hint="eastAsia" w:ascii="宋体" w:hAnsi="宋体" w:eastAsia="宋体" w:cs="宋体"/>
                <w:sz w:val="24"/>
                <w:highlight w:val="none"/>
                <w:lang w:val="zh-CN" w:eastAsia="zh-CN"/>
              </w:rPr>
              <w:t>分；每有一项内容存在缺陷的，每一项扣</w:t>
            </w:r>
            <w:r>
              <w:rPr>
                <w:rFonts w:hint="eastAsia" w:hAnsi="宋体" w:cs="宋体"/>
                <w:sz w:val="24"/>
                <w:highlight w:val="none"/>
                <w:lang w:val="en-US" w:eastAsia="zh-CN"/>
              </w:rPr>
              <w:t>1</w:t>
            </w:r>
            <w:r>
              <w:rPr>
                <w:rFonts w:hint="eastAsia" w:ascii="宋体" w:hAnsi="宋体" w:eastAsia="宋体" w:cs="宋体"/>
                <w:sz w:val="24"/>
                <w:highlight w:val="none"/>
                <w:lang w:val="zh-CN" w:eastAsia="zh-CN"/>
              </w:rPr>
              <w:t>分；每缺少一项方案内容的每一项扣</w:t>
            </w:r>
            <w:r>
              <w:rPr>
                <w:rFonts w:hint="eastAsia" w:hAnsi="宋体" w:cs="宋体"/>
                <w:sz w:val="24"/>
                <w:highlight w:val="none"/>
                <w:lang w:val="en-US" w:eastAsia="zh-CN"/>
              </w:rPr>
              <w:t>2</w:t>
            </w:r>
            <w:r>
              <w:rPr>
                <w:rFonts w:hint="eastAsia" w:ascii="宋体" w:hAnsi="宋体" w:eastAsia="宋体" w:cs="宋体"/>
                <w:sz w:val="24"/>
                <w:highlight w:val="none"/>
                <w:lang w:val="zh-CN" w:eastAsia="zh-CN"/>
              </w:rPr>
              <w:t>分，扣完为止；未提供项目实施期限、保密保证措施的，此项不得分。</w:t>
            </w:r>
          </w:p>
          <w:p w14:paraId="11E5B595">
            <w:pPr>
              <w:pStyle w:val="21"/>
              <w:spacing w:line="360" w:lineRule="auto"/>
              <w:rPr>
                <w:rFonts w:hint="eastAsia" w:ascii="宋体" w:hAnsi="宋体" w:eastAsia="宋体" w:cs="宋体"/>
                <w:b/>
                <w:bCs/>
                <w:sz w:val="21"/>
                <w:szCs w:val="16"/>
                <w:highlight w:val="none"/>
                <w:lang w:val="zh-CN" w:eastAsia="zh-CN"/>
              </w:rPr>
            </w:pPr>
            <w:r>
              <w:rPr>
                <w:rFonts w:hint="eastAsia" w:ascii="宋体" w:hAnsi="宋体" w:eastAsia="宋体" w:cs="宋体"/>
                <w:b/>
                <w:bCs/>
                <w:sz w:val="21"/>
                <w:szCs w:val="16"/>
                <w:highlight w:val="none"/>
                <w:lang w:val="zh-CN"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25B7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30" w:type="dxa"/>
            <w:vMerge w:val="continue"/>
          </w:tcPr>
          <w:p w14:paraId="19005804">
            <w:pPr>
              <w:spacing w:line="360" w:lineRule="auto"/>
              <w:jc w:val="center"/>
              <w:rPr>
                <w:rFonts w:hint="eastAsia"/>
                <w:i w:val="0"/>
                <w:iCs w:val="0"/>
                <w:color w:val="auto"/>
                <w:highlight w:val="none"/>
                <w:lang w:val="zh-CN" w:eastAsia="zh-CN"/>
              </w:rPr>
            </w:pPr>
          </w:p>
        </w:tc>
        <w:tc>
          <w:tcPr>
            <w:tcW w:w="1200" w:type="dxa"/>
            <w:vAlign w:val="center"/>
          </w:tcPr>
          <w:p w14:paraId="2FCEDC58">
            <w:pPr>
              <w:spacing w:line="360" w:lineRule="auto"/>
              <w:jc w:val="center"/>
              <w:rPr>
                <w:rFonts w:hint="eastAsia"/>
                <w:i w:val="0"/>
                <w:iCs w:val="0"/>
                <w:color w:val="auto"/>
                <w:highlight w:val="none"/>
                <w:lang w:val="zh-CN" w:eastAsia="zh-CN"/>
              </w:rPr>
            </w:pPr>
            <w:r>
              <w:rPr>
                <w:rFonts w:hint="eastAsia"/>
                <w:i w:val="0"/>
                <w:iCs w:val="0"/>
                <w:color w:val="auto"/>
                <w:highlight w:val="none"/>
                <w:lang w:val="zh-CN" w:eastAsia="zh-CN"/>
              </w:rPr>
              <w:t>后续服务方案及保证（</w:t>
            </w:r>
            <w:r>
              <w:rPr>
                <w:rFonts w:hint="eastAsia"/>
                <w:i w:val="0"/>
                <w:iCs w:val="0"/>
                <w:color w:val="auto"/>
                <w:highlight w:val="none"/>
                <w:lang w:val="en-US" w:eastAsia="zh-CN"/>
              </w:rPr>
              <w:t>4分</w:t>
            </w:r>
            <w:r>
              <w:rPr>
                <w:rFonts w:hint="eastAsia"/>
                <w:i w:val="0"/>
                <w:iCs w:val="0"/>
                <w:color w:val="auto"/>
                <w:highlight w:val="none"/>
                <w:lang w:val="zh-CN" w:eastAsia="zh-CN"/>
              </w:rPr>
              <w:t>）</w:t>
            </w:r>
          </w:p>
        </w:tc>
        <w:tc>
          <w:tcPr>
            <w:tcW w:w="7560" w:type="dxa"/>
            <w:vAlign w:val="center"/>
          </w:tcPr>
          <w:p w14:paraId="3F5C45EA">
            <w:pPr>
              <w:pStyle w:val="21"/>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投标人应承诺中标后，提供完整且可行的后续服务方案及保证，具体涵盖以下关键内容：（</w:t>
            </w:r>
            <w:r>
              <w:rPr>
                <w:rFonts w:hint="eastAsia" w:hAnsi="宋体" w:cs="宋体"/>
                <w:sz w:val="24"/>
                <w:highlight w:val="none"/>
                <w:lang w:val="en-US" w:eastAsia="zh-CN"/>
              </w:rPr>
              <w:t>4</w:t>
            </w:r>
            <w:r>
              <w:rPr>
                <w:rFonts w:hint="eastAsia" w:ascii="宋体" w:hAnsi="宋体" w:eastAsia="宋体" w:cs="宋体"/>
                <w:sz w:val="24"/>
                <w:highlight w:val="none"/>
                <w:lang w:val="zh-CN" w:eastAsia="zh-CN"/>
              </w:rPr>
              <w:t>分）</w:t>
            </w:r>
          </w:p>
          <w:p w14:paraId="7F3F02C8">
            <w:pPr>
              <w:pStyle w:val="21"/>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①交付保证计划：本投标人承诺，严格按照自身所提供、并经与招标人沟通确认的各项目方案内容，汇整梳理、进行综合分析、最终实现成果兑现，确保交付成果契合招标人要求。明确各阶段成果交付时间节点和责任人、制定应对交付延误与质量问题的应急预案。交付前完成内部审核和校对，若交付延误超过30天，或成果经两次整改仍不达标，视为违约；若遇不可抗力，需在事件结束后15天内说明情况并重新规划交付。</w:t>
            </w:r>
          </w:p>
          <w:p w14:paraId="782D6E3F">
            <w:pPr>
              <w:pStyle w:val="21"/>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②标准合规性：成果数据误差严格符合国标或行标，成果处理规范，内容科学严谨，关键要素完备，各类报告和</w:t>
            </w:r>
            <w:r>
              <w:rPr>
                <w:rFonts w:hint="eastAsia" w:hAnsi="宋体" w:cs="宋体"/>
                <w:sz w:val="24"/>
                <w:highlight w:val="none"/>
                <w:lang w:val="en-US" w:eastAsia="zh-CN"/>
              </w:rPr>
              <w:t>数据库</w:t>
            </w:r>
            <w:r>
              <w:rPr>
                <w:rFonts w:hint="eastAsia" w:ascii="宋体" w:hAnsi="宋体" w:eastAsia="宋体" w:cs="宋体"/>
                <w:sz w:val="24"/>
                <w:highlight w:val="none"/>
                <w:lang w:val="zh-CN" w:eastAsia="zh-CN"/>
              </w:rPr>
              <w:t>制作规范、条理清晰、图文并茂，便于理解和使用。一旦发现数据误差超标或报告图表制作不规范，视为违约。</w:t>
            </w:r>
          </w:p>
          <w:p w14:paraId="7D898D15">
            <w:pPr>
              <w:pStyle w:val="21"/>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若投标人未能履行上述任意一项承诺，均视为违约，须承担赔偿责任。赔偿范围含因违约遭受的直接损失、间接损失等，具体赔偿标准以双方签订的相关</w:t>
            </w:r>
            <w:r>
              <w:rPr>
                <w:rFonts w:hint="eastAsia" w:hAnsi="宋体" w:cs="宋体"/>
                <w:sz w:val="24"/>
                <w:highlight w:val="none"/>
                <w:lang w:val="en-US" w:eastAsia="zh-CN"/>
              </w:rPr>
              <w:t>合同</w:t>
            </w:r>
            <w:r>
              <w:rPr>
                <w:rFonts w:hint="eastAsia" w:ascii="宋体" w:hAnsi="宋体" w:eastAsia="宋体" w:cs="宋体"/>
                <w:sz w:val="24"/>
                <w:highlight w:val="none"/>
                <w:lang w:val="zh-CN" w:eastAsia="zh-CN"/>
              </w:rPr>
              <w:t>约定为准。评标委员会将依据方案对上述内容的满足程度进行评分，完全满足上述内容的，得</w:t>
            </w:r>
            <w:r>
              <w:rPr>
                <w:rFonts w:hint="eastAsia" w:hAnsi="宋体" w:cs="宋体"/>
                <w:sz w:val="24"/>
                <w:highlight w:val="none"/>
                <w:lang w:val="en-US" w:eastAsia="zh-CN"/>
              </w:rPr>
              <w:t>4</w:t>
            </w:r>
            <w:r>
              <w:rPr>
                <w:rFonts w:hint="eastAsia" w:ascii="宋体" w:hAnsi="宋体" w:eastAsia="宋体" w:cs="宋体"/>
                <w:sz w:val="24"/>
                <w:highlight w:val="none"/>
                <w:lang w:val="zh-CN" w:eastAsia="zh-CN"/>
              </w:rPr>
              <w:t>分，</w:t>
            </w:r>
            <w:r>
              <w:rPr>
                <w:rFonts w:hint="eastAsia" w:hAnsi="宋体" w:cs="宋体"/>
                <w:sz w:val="24"/>
                <w:highlight w:val="none"/>
                <w:lang w:val="en-US" w:eastAsia="zh-CN"/>
              </w:rPr>
              <w:t>每少响应一条扣2分，扣完为止。</w:t>
            </w:r>
          </w:p>
          <w:p w14:paraId="2966D798">
            <w:pPr>
              <w:pStyle w:val="21"/>
              <w:spacing w:line="360" w:lineRule="auto"/>
              <w:rPr>
                <w:rFonts w:hint="eastAsia" w:ascii="宋体" w:hAnsi="宋体" w:eastAsia="宋体" w:cs="宋体"/>
                <w:b/>
                <w:bCs/>
                <w:sz w:val="21"/>
                <w:szCs w:val="16"/>
                <w:highlight w:val="none"/>
                <w:lang w:val="zh-CN" w:eastAsia="zh-CN"/>
              </w:rPr>
            </w:pPr>
            <w:r>
              <w:rPr>
                <w:rFonts w:hint="eastAsia" w:ascii="宋体" w:hAnsi="宋体" w:eastAsia="宋体" w:cs="宋体"/>
                <w:b/>
                <w:bCs/>
                <w:sz w:val="21"/>
                <w:szCs w:val="16"/>
                <w:highlight w:val="none"/>
                <w:lang w:val="zh-CN" w:eastAsia="zh-CN"/>
              </w:rPr>
              <w:t>注：未提供此项内容的不得分。</w:t>
            </w:r>
          </w:p>
        </w:tc>
      </w:tr>
      <w:tr w14:paraId="3480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0" w:type="dxa"/>
            <w:vAlign w:val="center"/>
          </w:tcPr>
          <w:p w14:paraId="43AD4C11">
            <w:pPr>
              <w:spacing w:line="360" w:lineRule="auto"/>
              <w:jc w:val="center"/>
              <w:rPr>
                <w:rFonts w:hint="eastAsia"/>
                <w:i w:val="0"/>
                <w:iCs w:val="0"/>
                <w:color w:val="auto"/>
                <w:highlight w:val="none"/>
                <w:lang w:val="zh-CN" w:eastAsia="zh-CN"/>
              </w:rPr>
            </w:pPr>
            <w:r>
              <w:rPr>
                <w:rFonts w:hint="eastAsia"/>
                <w:i w:val="0"/>
                <w:iCs w:val="0"/>
                <w:color w:val="auto"/>
                <w:highlight w:val="none"/>
                <w:lang w:val="zh-CN" w:eastAsia="zh-CN"/>
              </w:rPr>
              <w:t>合计</w:t>
            </w:r>
          </w:p>
        </w:tc>
        <w:tc>
          <w:tcPr>
            <w:tcW w:w="8760" w:type="dxa"/>
            <w:gridSpan w:val="2"/>
            <w:vAlign w:val="center"/>
          </w:tcPr>
          <w:p w14:paraId="6E0706D0">
            <w:pPr>
              <w:spacing w:line="360" w:lineRule="auto"/>
              <w:jc w:val="center"/>
              <w:rPr>
                <w:rFonts w:hint="eastAsia"/>
                <w:i w:val="0"/>
                <w:iCs w:val="0"/>
                <w:color w:val="auto"/>
                <w:highlight w:val="none"/>
                <w:lang w:val="zh-CN" w:eastAsia="zh-CN"/>
              </w:rPr>
            </w:pPr>
            <w:r>
              <w:rPr>
                <w:rFonts w:hint="eastAsia"/>
                <w:i w:val="0"/>
                <w:iCs w:val="0"/>
                <w:color w:val="auto"/>
                <w:highlight w:val="none"/>
                <w:lang w:val="zh-CN" w:eastAsia="zh-CN"/>
              </w:rPr>
              <w:t>100分</w:t>
            </w:r>
          </w:p>
        </w:tc>
      </w:tr>
    </w:tbl>
    <w:p w14:paraId="4383DD10">
      <w:pPr>
        <w:pStyle w:val="40"/>
        <w:rPr>
          <w:rFonts w:hint="eastAsia"/>
          <w:color w:val="auto"/>
          <w:highlight w:val="none"/>
        </w:rPr>
      </w:pPr>
    </w:p>
    <w:p w14:paraId="47813109">
      <w:pPr>
        <w:pStyle w:val="40"/>
        <w:ind w:left="0" w:leftChars="0" w:firstLine="0" w:firstLineChars="0"/>
        <w:rPr>
          <w:rFonts w:hint="eastAsia"/>
          <w:color w:val="auto"/>
          <w:highlight w:val="none"/>
        </w:rPr>
      </w:pPr>
    </w:p>
    <w:p w14:paraId="2A84EE30">
      <w:pPr>
        <w:rPr>
          <w:color w:val="auto"/>
          <w:highlight w:val="none"/>
          <w:lang w:val="zh-CN"/>
        </w:rPr>
        <w:sectPr>
          <w:headerReference r:id="rId8" w:type="default"/>
          <w:footerReference r:id="rId9" w:type="default"/>
          <w:pgSz w:w="11906" w:h="16838"/>
          <w:pgMar w:top="1440" w:right="1800" w:bottom="1440" w:left="1800" w:header="851" w:footer="765"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4C87150">
      <w:pPr>
        <w:pStyle w:val="6"/>
        <w:bidi w:val="0"/>
        <w:rPr>
          <w:rFonts w:hint="eastAsia" w:ascii="宋体" w:hAnsi="宋体" w:eastAsia="宋体" w:cs="宋体"/>
          <w:lang w:val="zh-CN" w:eastAsia="zh-CN"/>
        </w:rPr>
      </w:pPr>
      <w:bookmarkStart w:id="538" w:name="_Toc155185918"/>
      <w:bookmarkStart w:id="539" w:name="_Toc17112"/>
      <w:bookmarkStart w:id="540" w:name="_Toc12131"/>
      <w:bookmarkStart w:id="541" w:name="_Toc520"/>
      <w:r>
        <w:rPr>
          <w:rFonts w:hint="eastAsia" w:ascii="宋体" w:hAnsi="宋体" w:eastAsia="宋体" w:cs="宋体"/>
          <w:lang w:val="zh-CN" w:eastAsia="zh-CN"/>
        </w:rPr>
        <w:t>第六章 合同</w:t>
      </w:r>
      <w:bookmarkEnd w:id="538"/>
      <w:r>
        <w:rPr>
          <w:rFonts w:hint="eastAsia" w:ascii="宋体" w:hAnsi="宋体" w:eastAsia="宋体" w:cs="宋体"/>
          <w:lang w:val="zh-CN" w:eastAsia="zh-CN"/>
        </w:rPr>
        <w:t>草案</w:t>
      </w:r>
      <w:bookmarkEnd w:id="539"/>
      <w:bookmarkEnd w:id="540"/>
      <w:bookmarkEnd w:id="541"/>
    </w:p>
    <w:p w14:paraId="0F73DEB3">
      <w:pPr>
        <w:wordWrap w:val="0"/>
        <w:jc w:val="center"/>
        <w:rPr>
          <w:bCs/>
          <w:color w:val="auto"/>
          <w:sz w:val="36"/>
          <w:szCs w:val="36"/>
          <w:highlight w:val="none"/>
        </w:rPr>
      </w:pPr>
      <w:r>
        <w:rPr>
          <w:rFonts w:hint="eastAsia"/>
          <w:color w:val="auto"/>
          <w:highlight w:val="none"/>
        </w:rPr>
        <w:t>（</w:t>
      </w:r>
      <w:r>
        <w:rPr>
          <w:rFonts w:hint="eastAsia"/>
          <w:color w:val="auto"/>
          <w:szCs w:val="24"/>
          <w:highlight w:val="none"/>
        </w:rPr>
        <w:t>此合同书仅作为签订正式合同时的参考，正式合同书应包括本参考格式的内容）</w:t>
      </w:r>
    </w:p>
    <w:p w14:paraId="51E629DD">
      <w:pPr>
        <w:wordWrap w:val="0"/>
        <w:rPr>
          <w:bCs/>
          <w:color w:val="auto"/>
          <w:sz w:val="28"/>
          <w:szCs w:val="28"/>
          <w:highlight w:val="none"/>
        </w:rPr>
      </w:pPr>
      <w:r>
        <w:rPr>
          <w:rFonts w:hint="eastAsia" w:cs="Helvetica"/>
          <w:bCs/>
          <w:color w:val="auto"/>
          <w:szCs w:val="24"/>
          <w:highlight w:val="none"/>
          <w:lang w:val="zh-CN"/>
        </w:rPr>
        <w:t>合同编号：</w:t>
      </w:r>
      <w:r>
        <w:rPr>
          <w:rFonts w:hint="eastAsia" w:cs="Helvetica"/>
          <w:bCs/>
          <w:color w:val="auto"/>
          <w:szCs w:val="24"/>
          <w:highlight w:val="none"/>
          <w:u w:val="single"/>
        </w:rPr>
        <w:t xml:space="preserve">              </w:t>
      </w:r>
    </w:p>
    <w:p w14:paraId="4DD54709">
      <w:pPr>
        <w:pStyle w:val="18"/>
        <w:spacing w:after="0"/>
        <w:jc w:val="center"/>
        <w:rPr>
          <w:rFonts w:ascii="宋体" w:hAnsi="宋体" w:cs="宋体"/>
          <w:b/>
          <w:bCs/>
          <w:color w:val="auto"/>
          <w:spacing w:val="-20"/>
          <w:kern w:val="44"/>
          <w:sz w:val="48"/>
          <w:szCs w:val="48"/>
          <w:highlight w:val="none"/>
        </w:rPr>
      </w:pPr>
      <w:bookmarkStart w:id="542" w:name="_Toc3995"/>
    </w:p>
    <w:p w14:paraId="3B059C39">
      <w:pPr>
        <w:pStyle w:val="18"/>
        <w:rPr>
          <w:color w:val="auto"/>
          <w:highlight w:val="none"/>
        </w:rPr>
      </w:pPr>
    </w:p>
    <w:p w14:paraId="1EAD278A">
      <w:pPr>
        <w:spacing w:line="240" w:lineRule="auto"/>
        <w:jc w:val="center"/>
        <w:outlineLvl w:val="1"/>
        <w:rPr>
          <w:rFonts w:hint="eastAsia" w:ascii="宋体" w:hAnsi="宋体" w:eastAsia="宋体" w:cs="宋体"/>
          <w:b/>
          <w:bCs/>
          <w:color w:val="auto"/>
          <w:spacing w:val="-20"/>
          <w:kern w:val="44"/>
          <w:sz w:val="44"/>
          <w:szCs w:val="44"/>
          <w:highlight w:val="none"/>
          <w:lang w:val="en-US" w:eastAsia="zh-CN" w:bidi="ar-SA"/>
        </w:rPr>
      </w:pPr>
      <w:bookmarkStart w:id="543" w:name="_Toc9350"/>
      <w:bookmarkStart w:id="544" w:name="_Toc3714"/>
      <w:r>
        <w:rPr>
          <w:rFonts w:hint="eastAsia" w:ascii="宋体" w:hAnsi="宋体" w:eastAsia="宋体" w:cs="宋体"/>
          <w:b/>
          <w:bCs/>
          <w:color w:val="auto"/>
          <w:spacing w:val="-20"/>
          <w:kern w:val="44"/>
          <w:sz w:val="44"/>
          <w:szCs w:val="44"/>
          <w:highlight w:val="none"/>
          <w:lang w:val="en-US" w:eastAsia="zh-CN" w:bidi="ar-SA"/>
        </w:rPr>
        <w:t>政府采购合同参考范本</w:t>
      </w:r>
      <w:bookmarkEnd w:id="543"/>
      <w:bookmarkEnd w:id="544"/>
    </w:p>
    <w:p w14:paraId="4571CDB1">
      <w:pPr>
        <w:spacing w:line="480" w:lineRule="auto"/>
        <w:jc w:val="center"/>
        <w:outlineLvl w:val="1"/>
        <w:rPr>
          <w:rFonts w:hint="eastAsia" w:ascii="宋体" w:hAnsi="宋体" w:eastAsia="宋体" w:cs="宋体"/>
          <w:b/>
          <w:bCs/>
          <w:color w:val="auto"/>
          <w:spacing w:val="-20"/>
          <w:kern w:val="44"/>
          <w:sz w:val="44"/>
          <w:szCs w:val="44"/>
          <w:highlight w:val="none"/>
          <w:lang w:val="en-US" w:eastAsia="zh-CN" w:bidi="ar-SA"/>
        </w:rPr>
      </w:pPr>
      <w:bookmarkStart w:id="545" w:name="_Toc22704"/>
      <w:bookmarkStart w:id="546" w:name="_Toc8560"/>
      <w:r>
        <w:rPr>
          <w:rFonts w:hint="eastAsia" w:ascii="宋体" w:hAnsi="宋体" w:eastAsia="宋体" w:cs="宋体"/>
          <w:b/>
          <w:bCs/>
          <w:color w:val="auto"/>
          <w:spacing w:val="-20"/>
          <w:kern w:val="44"/>
          <w:sz w:val="44"/>
          <w:szCs w:val="44"/>
          <w:highlight w:val="none"/>
          <w:lang w:val="en-US" w:eastAsia="zh-CN" w:bidi="ar-SA"/>
        </w:rPr>
        <w:t>（服务类）</w:t>
      </w:r>
      <w:bookmarkEnd w:id="545"/>
      <w:bookmarkEnd w:id="546"/>
    </w:p>
    <w:p w14:paraId="78DDAE5C">
      <w:pPr>
        <w:spacing w:line="480" w:lineRule="auto"/>
        <w:jc w:val="center"/>
        <w:rPr>
          <w:rFonts w:cs="Times New Roman" w:asciiTheme="minorEastAsia" w:hAnsiTheme="minorEastAsia" w:eastAsiaTheme="minorEastAsia"/>
          <w:b/>
          <w:color w:val="auto"/>
          <w:sz w:val="24"/>
          <w:szCs w:val="24"/>
          <w:highlight w:val="none"/>
        </w:rPr>
      </w:pPr>
    </w:p>
    <w:p w14:paraId="317A7DEF">
      <w:pPr>
        <w:spacing w:line="480" w:lineRule="auto"/>
        <w:jc w:val="center"/>
        <w:rPr>
          <w:rFonts w:cs="Times New Roman" w:asciiTheme="minorEastAsia" w:hAnsiTheme="minorEastAsia" w:eastAsiaTheme="minorEastAsia"/>
          <w:b/>
          <w:color w:val="auto"/>
          <w:sz w:val="24"/>
          <w:szCs w:val="24"/>
          <w:highlight w:val="none"/>
        </w:rPr>
      </w:pPr>
    </w:p>
    <w:p w14:paraId="55C3B597">
      <w:pPr>
        <w:spacing w:line="360" w:lineRule="auto"/>
        <w:jc w:val="center"/>
        <w:outlineLvl w:val="1"/>
        <w:rPr>
          <w:rFonts w:hint="eastAsia" w:ascii="宋体" w:hAnsi="宋体" w:eastAsia="宋体" w:cs="宋体"/>
          <w:b/>
          <w:color w:val="auto"/>
          <w:sz w:val="36"/>
          <w:szCs w:val="36"/>
          <w:highlight w:val="none"/>
        </w:rPr>
      </w:pPr>
      <w:bookmarkStart w:id="547" w:name="_Toc2449"/>
      <w:bookmarkStart w:id="548" w:name="_Toc24900"/>
      <w:bookmarkStart w:id="549" w:name="_Toc16803"/>
      <w:r>
        <w:rPr>
          <w:rFonts w:hint="eastAsia" w:ascii="宋体" w:hAnsi="宋体" w:eastAsia="宋体" w:cs="宋体"/>
          <w:b/>
          <w:color w:val="auto"/>
          <w:sz w:val="36"/>
          <w:szCs w:val="36"/>
          <w:highlight w:val="none"/>
        </w:rPr>
        <w:t>第一部分 合同书</w:t>
      </w:r>
      <w:bookmarkEnd w:id="547"/>
      <w:bookmarkEnd w:id="548"/>
      <w:bookmarkEnd w:id="549"/>
    </w:p>
    <w:p w14:paraId="4BA01776">
      <w:pPr>
        <w:spacing w:line="480" w:lineRule="auto"/>
        <w:jc w:val="center"/>
        <w:rPr>
          <w:rFonts w:cs="Times New Roman" w:asciiTheme="minorEastAsia" w:hAnsiTheme="minorEastAsia" w:eastAsiaTheme="minorEastAsia"/>
          <w:b/>
          <w:color w:val="auto"/>
          <w:sz w:val="24"/>
          <w:szCs w:val="24"/>
          <w:highlight w:val="none"/>
        </w:rPr>
      </w:pPr>
    </w:p>
    <w:p w14:paraId="5F204112">
      <w:pPr>
        <w:pStyle w:val="18"/>
        <w:rPr>
          <w:color w:val="auto"/>
          <w:highlight w:val="none"/>
        </w:rPr>
      </w:pPr>
    </w:p>
    <w:p w14:paraId="69570DA0">
      <w:pPr>
        <w:pStyle w:val="18"/>
        <w:rPr>
          <w:color w:val="auto"/>
          <w:highlight w:val="none"/>
        </w:rPr>
      </w:pPr>
    </w:p>
    <w:p w14:paraId="77910ED1">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（分包项目须填写完整的分包号及分包名称）</w:t>
      </w:r>
    </w:p>
    <w:p w14:paraId="730F4465">
      <w:pPr>
        <w:spacing w:before="120" w:line="480" w:lineRule="auto"/>
        <w:ind w:left="96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val="en-US" w:eastAsia="zh-CN"/>
        </w:rPr>
        <w:t>/包号</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p>
    <w:p w14:paraId="66872538">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甲方（采购人）：</w:t>
      </w:r>
      <w:r>
        <w:rPr>
          <w:rFonts w:hint="eastAsia" w:ascii="宋体" w:hAnsi="宋体" w:eastAsia="宋体" w:cs="宋体"/>
          <w:i w:val="0"/>
          <w:iCs w:val="0"/>
          <w:color w:val="auto"/>
          <w:sz w:val="24"/>
          <w:szCs w:val="24"/>
          <w:highlight w:val="none"/>
          <w:u w:val="single"/>
        </w:rPr>
        <w:t xml:space="preserve">                              </w:t>
      </w:r>
    </w:p>
    <w:p w14:paraId="557645D2">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乙方（中标人）：</w:t>
      </w:r>
      <w:r>
        <w:rPr>
          <w:rFonts w:hint="eastAsia" w:ascii="宋体" w:hAnsi="宋体" w:eastAsia="宋体" w:cs="宋体"/>
          <w:i w:val="0"/>
          <w:iCs w:val="0"/>
          <w:color w:val="auto"/>
          <w:sz w:val="24"/>
          <w:szCs w:val="24"/>
          <w:highlight w:val="none"/>
          <w:u w:val="single"/>
        </w:rPr>
        <w:t xml:space="preserve">                              </w:t>
      </w:r>
    </w:p>
    <w:p w14:paraId="263D5C0B">
      <w:pPr>
        <w:spacing w:before="120" w:line="480" w:lineRule="auto"/>
        <w:ind w:firstLine="960" w:firstLineChars="4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签订地：</w:t>
      </w:r>
      <w:r>
        <w:rPr>
          <w:rFonts w:hint="eastAsia" w:ascii="宋体" w:hAnsi="宋体" w:eastAsia="宋体" w:cs="宋体"/>
          <w:i w:val="0"/>
          <w:iCs w:val="0"/>
          <w:color w:val="auto"/>
          <w:sz w:val="24"/>
          <w:szCs w:val="24"/>
          <w:highlight w:val="none"/>
          <w:u w:val="single"/>
        </w:rPr>
        <w:t xml:space="preserve">                                     </w:t>
      </w:r>
    </w:p>
    <w:p w14:paraId="5343AEB4">
      <w:pPr>
        <w:spacing w:before="120" w:line="48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签订日期：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r>
        <w:rPr>
          <w:rFonts w:cs="Times New Roman" w:asciiTheme="minorEastAsia" w:hAnsiTheme="minorEastAsia" w:eastAsiaTheme="minorEastAsia"/>
          <w:color w:val="auto"/>
          <w:sz w:val="24"/>
          <w:szCs w:val="24"/>
          <w:highlight w:val="none"/>
        </w:rPr>
        <w:br w:type="page"/>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以下简称：甲方</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公开招标</w:t>
      </w:r>
      <w:r>
        <w:rPr>
          <w:rFonts w:hint="eastAsia" w:ascii="宋体" w:hAnsi="宋体" w:eastAsia="宋体" w:cs="宋体"/>
          <w:color w:val="auto"/>
          <w:sz w:val="24"/>
          <w:szCs w:val="24"/>
          <w:highlight w:val="none"/>
        </w:rPr>
        <w:t>方式采购活动，经</w:t>
      </w:r>
      <w:r>
        <w:rPr>
          <w:rFonts w:hint="eastAsia" w:ascii="宋体" w:hAnsi="宋体" w:eastAsia="宋体" w:cs="宋体"/>
          <w:color w:val="auto"/>
          <w:sz w:val="24"/>
          <w:szCs w:val="24"/>
          <w:highlight w:val="none"/>
          <w:u w:val="single"/>
        </w:rPr>
        <w:t>评标委员会</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以下简称：乙方</w:t>
      </w:r>
      <w:r>
        <w:rPr>
          <w:rFonts w:hint="eastAsia" w:ascii="宋体" w:hAnsi="宋体" w:eastAsia="宋体" w:cs="宋体"/>
          <w:color w:val="auto"/>
          <w:sz w:val="24"/>
          <w:szCs w:val="24"/>
          <w:highlight w:val="none"/>
        </w:rPr>
        <w:t>）为本项目中标人，现按照采购文件确定的事项签订本合同。</w:t>
      </w:r>
    </w:p>
    <w:p w14:paraId="1A7D6614">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081298ED">
      <w:pPr>
        <w:spacing w:line="360" w:lineRule="auto"/>
        <w:ind w:firstLine="437"/>
        <w:outlineLvl w:val="2"/>
        <w:rPr>
          <w:rFonts w:hint="eastAsia" w:ascii="宋体" w:hAnsi="宋体" w:eastAsia="宋体" w:cs="宋体"/>
          <w:b/>
          <w:bCs/>
          <w:color w:val="auto"/>
          <w:sz w:val="24"/>
          <w:szCs w:val="24"/>
          <w:highlight w:val="none"/>
          <w:lang w:val="zh-CN"/>
        </w:rPr>
      </w:pPr>
      <w:bookmarkStart w:id="550" w:name="_Toc3029"/>
      <w:bookmarkStart w:id="551" w:name="_Toc32343"/>
      <w:bookmarkStart w:id="552" w:name="_Toc2232"/>
      <w:bookmarkStart w:id="553" w:name="_Toc24059"/>
      <w:bookmarkStart w:id="554" w:name="_Toc1600"/>
      <w:r>
        <w:rPr>
          <w:rFonts w:hint="eastAsia" w:ascii="宋体" w:hAnsi="宋体" w:eastAsia="宋体" w:cs="宋体"/>
          <w:b/>
          <w:bCs/>
          <w:color w:val="auto"/>
          <w:sz w:val="24"/>
          <w:szCs w:val="24"/>
          <w:highlight w:val="none"/>
          <w:lang w:val="zh-CN"/>
        </w:rPr>
        <w:t>1.1 合同组成部分</w:t>
      </w:r>
      <w:bookmarkEnd w:id="550"/>
      <w:bookmarkEnd w:id="551"/>
      <w:bookmarkEnd w:id="552"/>
      <w:bookmarkEnd w:id="553"/>
      <w:bookmarkEnd w:id="554"/>
    </w:p>
    <w:p w14:paraId="024A42B6">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2BC58A8">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1.1.1本合同及其补充合同、变更协议；</w:t>
      </w:r>
    </w:p>
    <w:p w14:paraId="037DCF58">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1.1.2中标通知书；</w:t>
      </w:r>
    </w:p>
    <w:p w14:paraId="20FA8DCC">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1.1.3投标文件（含澄清或者说明文件）；</w:t>
      </w:r>
    </w:p>
    <w:p w14:paraId="01E3C1EE">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1.1.4招标文件（含澄清或者修改文件）；</w:t>
      </w:r>
    </w:p>
    <w:p w14:paraId="7BCC15DE">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1.1.5其他相关采购文件。</w:t>
      </w:r>
    </w:p>
    <w:p w14:paraId="283E7943">
      <w:pPr>
        <w:spacing w:line="360" w:lineRule="auto"/>
        <w:ind w:firstLine="437"/>
        <w:outlineLvl w:val="2"/>
        <w:rPr>
          <w:rFonts w:hint="eastAsia" w:ascii="宋体" w:hAnsi="宋体" w:eastAsia="宋体" w:cs="宋体"/>
          <w:b/>
          <w:bCs/>
          <w:color w:val="auto"/>
          <w:sz w:val="24"/>
          <w:szCs w:val="24"/>
          <w:highlight w:val="none"/>
          <w:lang w:val="zh-CN"/>
        </w:rPr>
      </w:pPr>
      <w:bookmarkStart w:id="555" w:name="_Toc22185"/>
      <w:bookmarkStart w:id="556" w:name="_Toc6773"/>
      <w:bookmarkStart w:id="557" w:name="_Toc6311"/>
      <w:bookmarkStart w:id="558" w:name="_Toc2918"/>
      <w:bookmarkStart w:id="559" w:name="_Toc18585"/>
      <w:bookmarkStart w:id="560" w:name="_Toc8950"/>
      <w:bookmarkStart w:id="561" w:name="_Toc4436"/>
      <w:r>
        <w:rPr>
          <w:rFonts w:hint="eastAsia" w:ascii="宋体" w:hAnsi="宋体" w:eastAsia="宋体" w:cs="宋体"/>
          <w:b/>
          <w:bCs/>
          <w:color w:val="auto"/>
          <w:sz w:val="24"/>
          <w:szCs w:val="24"/>
          <w:highlight w:val="none"/>
          <w:lang w:val="zh-CN"/>
        </w:rPr>
        <w:t xml:space="preserve">1.2 </w:t>
      </w:r>
      <w:bookmarkEnd w:id="555"/>
      <w:bookmarkEnd w:id="556"/>
      <w:bookmarkEnd w:id="557"/>
      <w:bookmarkEnd w:id="558"/>
      <w:bookmarkEnd w:id="559"/>
      <w:r>
        <w:rPr>
          <w:rFonts w:hint="eastAsia" w:ascii="宋体" w:hAnsi="宋体" w:eastAsia="宋体" w:cs="宋体"/>
          <w:b/>
          <w:bCs/>
          <w:color w:val="auto"/>
          <w:sz w:val="24"/>
          <w:szCs w:val="24"/>
          <w:highlight w:val="none"/>
          <w:lang w:val="zh-CN"/>
        </w:rPr>
        <w:t>服务</w:t>
      </w:r>
      <w:bookmarkEnd w:id="560"/>
      <w:bookmarkEnd w:id="561"/>
    </w:p>
    <w:p w14:paraId="2A8C8081">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1.2.1服务名称：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507EFA">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1.2.2服务内容：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7170C5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1.2.3服务质量：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949008">
      <w:pPr>
        <w:spacing w:line="360" w:lineRule="auto"/>
        <w:ind w:firstLine="437"/>
        <w:outlineLvl w:val="2"/>
        <w:rPr>
          <w:rFonts w:hint="eastAsia" w:ascii="宋体" w:hAnsi="宋体" w:eastAsia="宋体" w:cs="宋体"/>
          <w:b/>
          <w:bCs/>
          <w:color w:val="auto"/>
          <w:sz w:val="24"/>
          <w:szCs w:val="24"/>
          <w:highlight w:val="none"/>
          <w:lang w:val="zh-CN"/>
        </w:rPr>
      </w:pPr>
      <w:bookmarkStart w:id="562" w:name="_Toc11350"/>
      <w:bookmarkStart w:id="563" w:name="_Toc8047"/>
      <w:bookmarkStart w:id="564" w:name="_Toc21551"/>
      <w:bookmarkStart w:id="565" w:name="_Toc23292"/>
      <w:bookmarkStart w:id="566" w:name="_Toc21631"/>
      <w:r>
        <w:rPr>
          <w:rFonts w:hint="eastAsia" w:ascii="宋体" w:hAnsi="宋体" w:eastAsia="宋体" w:cs="宋体"/>
          <w:b/>
          <w:bCs/>
          <w:color w:val="auto"/>
          <w:sz w:val="24"/>
          <w:szCs w:val="24"/>
          <w:highlight w:val="none"/>
          <w:lang w:val="zh-CN"/>
        </w:rPr>
        <w:t>1.3 价款</w:t>
      </w:r>
      <w:bookmarkEnd w:id="562"/>
      <w:bookmarkEnd w:id="563"/>
      <w:bookmarkEnd w:id="564"/>
      <w:bookmarkEnd w:id="565"/>
      <w:bookmarkEnd w:id="566"/>
    </w:p>
    <w:p w14:paraId="0E6E2DB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85CBE51">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7AF9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0CD18D7F">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4316" w:type="dxa"/>
            <w:vAlign w:val="center"/>
          </w:tcPr>
          <w:p w14:paraId="4F68A816">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3237" w:type="dxa"/>
            <w:gridSpan w:val="2"/>
            <w:vAlign w:val="center"/>
          </w:tcPr>
          <w:p w14:paraId="4C7FFB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6B92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0F360428">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4316" w:type="dxa"/>
            <w:vAlign w:val="center"/>
          </w:tcPr>
          <w:p w14:paraId="2461E5E0">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0E415F66">
            <w:pPr>
              <w:ind w:firstLine="200"/>
              <w:jc w:val="center"/>
              <w:rPr>
                <w:rFonts w:hint="eastAsia" w:ascii="宋体" w:hAnsi="宋体" w:eastAsia="宋体" w:cs="宋体"/>
                <w:color w:val="auto"/>
                <w:sz w:val="24"/>
                <w:szCs w:val="24"/>
                <w:highlight w:val="none"/>
              </w:rPr>
            </w:pPr>
          </w:p>
        </w:tc>
      </w:tr>
      <w:tr w14:paraId="0D86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424CE31A">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4316" w:type="dxa"/>
            <w:vAlign w:val="center"/>
          </w:tcPr>
          <w:p w14:paraId="345F5B41">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3722A032">
            <w:pPr>
              <w:ind w:firstLine="200"/>
              <w:jc w:val="center"/>
              <w:rPr>
                <w:rFonts w:hint="eastAsia" w:ascii="宋体" w:hAnsi="宋体" w:eastAsia="宋体" w:cs="宋体"/>
                <w:color w:val="auto"/>
                <w:sz w:val="24"/>
                <w:szCs w:val="24"/>
                <w:highlight w:val="none"/>
              </w:rPr>
            </w:pPr>
          </w:p>
        </w:tc>
      </w:tr>
      <w:tr w14:paraId="6F07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12C37D0">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4316" w:type="dxa"/>
            <w:vAlign w:val="center"/>
          </w:tcPr>
          <w:p w14:paraId="498FC842">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4CAABBD7">
            <w:pPr>
              <w:ind w:firstLine="200"/>
              <w:jc w:val="center"/>
              <w:rPr>
                <w:rFonts w:hint="eastAsia" w:ascii="宋体" w:hAnsi="宋体" w:eastAsia="宋体" w:cs="宋体"/>
                <w:color w:val="auto"/>
                <w:sz w:val="24"/>
                <w:szCs w:val="24"/>
                <w:highlight w:val="none"/>
              </w:rPr>
            </w:pPr>
          </w:p>
        </w:tc>
      </w:tr>
      <w:tr w14:paraId="7BB6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019B673">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tc>
        <w:tc>
          <w:tcPr>
            <w:tcW w:w="4316" w:type="dxa"/>
            <w:vAlign w:val="center"/>
          </w:tcPr>
          <w:p w14:paraId="1668CCE7">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14647217">
            <w:pPr>
              <w:ind w:firstLine="200"/>
              <w:jc w:val="center"/>
              <w:rPr>
                <w:rFonts w:hint="eastAsia" w:ascii="宋体" w:hAnsi="宋体" w:eastAsia="宋体" w:cs="宋体"/>
                <w:color w:val="auto"/>
                <w:sz w:val="24"/>
                <w:szCs w:val="24"/>
                <w:highlight w:val="none"/>
              </w:rPr>
            </w:pPr>
          </w:p>
        </w:tc>
      </w:tr>
      <w:tr w14:paraId="7B38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445538F7">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3237" w:type="dxa"/>
            <w:gridSpan w:val="2"/>
            <w:vAlign w:val="center"/>
          </w:tcPr>
          <w:p w14:paraId="155BB530">
            <w:pPr>
              <w:ind w:firstLine="200"/>
              <w:jc w:val="center"/>
              <w:rPr>
                <w:rFonts w:hint="eastAsia" w:ascii="宋体" w:hAnsi="宋体" w:eastAsia="宋体" w:cs="宋体"/>
                <w:color w:val="auto"/>
                <w:sz w:val="24"/>
                <w:szCs w:val="24"/>
                <w:highlight w:val="none"/>
              </w:rPr>
            </w:pPr>
          </w:p>
        </w:tc>
      </w:tr>
    </w:tbl>
    <w:p w14:paraId="17E2FC9E">
      <w:pPr>
        <w:spacing w:line="360" w:lineRule="auto"/>
        <w:ind w:firstLine="437"/>
        <w:outlineLvl w:val="2"/>
        <w:rPr>
          <w:rFonts w:hint="eastAsia" w:ascii="宋体" w:hAnsi="宋体" w:eastAsia="宋体" w:cs="宋体"/>
          <w:b/>
          <w:bCs/>
          <w:color w:val="auto"/>
          <w:sz w:val="24"/>
          <w:szCs w:val="24"/>
          <w:highlight w:val="none"/>
          <w:lang w:val="zh-CN"/>
        </w:rPr>
      </w:pPr>
      <w:bookmarkStart w:id="567" w:name="_Toc22618"/>
      <w:bookmarkStart w:id="568" w:name="_Toc20171"/>
      <w:bookmarkStart w:id="569" w:name="_Toc1814"/>
      <w:bookmarkStart w:id="570" w:name="_Toc10340"/>
      <w:bookmarkStart w:id="571" w:name="_Toc21546"/>
      <w:r>
        <w:rPr>
          <w:rFonts w:hint="eastAsia" w:ascii="宋体" w:hAnsi="宋体" w:eastAsia="宋体" w:cs="宋体"/>
          <w:b/>
          <w:bCs/>
          <w:color w:val="auto"/>
          <w:sz w:val="24"/>
          <w:szCs w:val="24"/>
          <w:highlight w:val="none"/>
          <w:lang w:val="zh-CN"/>
        </w:rPr>
        <w:t>1.4 付款方式和发票开具方式</w:t>
      </w:r>
      <w:bookmarkEnd w:id="567"/>
      <w:bookmarkEnd w:id="568"/>
      <w:bookmarkEnd w:id="569"/>
      <w:bookmarkEnd w:id="570"/>
      <w:bookmarkEnd w:id="571"/>
    </w:p>
    <w:p w14:paraId="0D15CC0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1.4.1付款方式：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591FB6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1.4.2发票开具方式：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035217">
      <w:pPr>
        <w:spacing w:line="360" w:lineRule="auto"/>
        <w:ind w:firstLine="437"/>
        <w:outlineLvl w:val="2"/>
        <w:rPr>
          <w:rFonts w:hint="eastAsia" w:ascii="宋体" w:hAnsi="宋体" w:eastAsia="宋体" w:cs="宋体"/>
          <w:b/>
          <w:bCs/>
          <w:color w:val="auto"/>
          <w:sz w:val="24"/>
          <w:szCs w:val="24"/>
          <w:highlight w:val="none"/>
          <w:lang w:val="zh-CN"/>
        </w:rPr>
      </w:pPr>
      <w:bookmarkStart w:id="572" w:name="_Toc15519"/>
      <w:bookmarkStart w:id="573" w:name="_Toc21443"/>
      <w:bookmarkStart w:id="574" w:name="_Toc2846"/>
      <w:bookmarkStart w:id="575" w:name="_Toc19304"/>
      <w:bookmarkStart w:id="576" w:name="_Toc32071"/>
      <w:r>
        <w:rPr>
          <w:rFonts w:hint="eastAsia" w:ascii="宋体" w:hAnsi="宋体" w:eastAsia="宋体" w:cs="宋体"/>
          <w:b/>
          <w:bCs/>
          <w:color w:val="auto"/>
          <w:sz w:val="24"/>
          <w:szCs w:val="24"/>
          <w:highlight w:val="none"/>
          <w:lang w:val="zh-CN"/>
        </w:rPr>
        <w:t>1.5 服务期限、地点和方式</w:t>
      </w:r>
      <w:bookmarkEnd w:id="572"/>
      <w:bookmarkEnd w:id="573"/>
      <w:bookmarkEnd w:id="574"/>
      <w:bookmarkEnd w:id="575"/>
      <w:bookmarkEnd w:id="576"/>
    </w:p>
    <w:p w14:paraId="5A2C5E65">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1.5.1服务期限：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3FF652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1.5.2服务地点：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CE4FC7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1.5.3服务方式：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2ED679">
      <w:pPr>
        <w:spacing w:line="360" w:lineRule="auto"/>
        <w:ind w:firstLine="437"/>
        <w:outlineLvl w:val="2"/>
        <w:rPr>
          <w:rFonts w:hint="eastAsia" w:ascii="宋体" w:hAnsi="宋体" w:eastAsia="宋体" w:cs="宋体"/>
          <w:b/>
          <w:bCs/>
          <w:color w:val="auto"/>
          <w:sz w:val="24"/>
          <w:szCs w:val="24"/>
          <w:highlight w:val="none"/>
          <w:lang w:val="zh-CN"/>
        </w:rPr>
      </w:pPr>
      <w:bookmarkStart w:id="577" w:name="_Toc27250"/>
      <w:bookmarkStart w:id="578" w:name="_Toc21423"/>
      <w:bookmarkStart w:id="579" w:name="_Toc9372"/>
      <w:bookmarkStart w:id="580" w:name="_Toc26348"/>
      <w:bookmarkStart w:id="581" w:name="_Toc19554"/>
      <w:r>
        <w:rPr>
          <w:rFonts w:hint="eastAsia" w:ascii="宋体" w:hAnsi="宋体" w:eastAsia="宋体" w:cs="宋体"/>
          <w:b/>
          <w:bCs/>
          <w:color w:val="auto"/>
          <w:sz w:val="24"/>
          <w:szCs w:val="24"/>
          <w:highlight w:val="none"/>
          <w:lang w:val="zh-CN"/>
        </w:rPr>
        <w:t>1.6 违约责任</w:t>
      </w:r>
      <w:bookmarkEnd w:id="577"/>
      <w:bookmarkEnd w:id="578"/>
      <w:bookmarkEnd w:id="579"/>
      <w:bookmarkEnd w:id="580"/>
      <w:bookmarkEnd w:id="581"/>
    </w:p>
    <w:p w14:paraId="5DD1292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7B8B7DE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1A4EF16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11211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9201045">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F44C03A">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6DDBD423">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1.6.7因甲方未按合同约定支付价款、未按合同约定受领标的物、擅自解除合同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1D4B476D">
      <w:pPr>
        <w:spacing w:line="360" w:lineRule="auto"/>
        <w:ind w:firstLine="437"/>
        <w:outlineLvl w:val="2"/>
        <w:rPr>
          <w:rFonts w:hint="eastAsia" w:ascii="宋体" w:hAnsi="宋体" w:eastAsia="宋体" w:cs="宋体"/>
          <w:b/>
          <w:bCs/>
          <w:color w:val="auto"/>
          <w:sz w:val="24"/>
          <w:szCs w:val="24"/>
          <w:highlight w:val="none"/>
          <w:lang w:val="zh-CN"/>
        </w:rPr>
      </w:pPr>
      <w:bookmarkStart w:id="582" w:name="_Toc20996"/>
      <w:bookmarkStart w:id="583" w:name="_Toc10408"/>
      <w:bookmarkStart w:id="584" w:name="_Toc28375"/>
      <w:bookmarkStart w:id="585" w:name="_Toc16021"/>
      <w:bookmarkStart w:id="586" w:name="_Toc15583"/>
      <w:r>
        <w:rPr>
          <w:rFonts w:hint="eastAsia" w:ascii="宋体" w:hAnsi="宋体" w:eastAsia="宋体" w:cs="宋体"/>
          <w:b/>
          <w:bCs/>
          <w:color w:val="auto"/>
          <w:sz w:val="24"/>
          <w:szCs w:val="24"/>
          <w:highlight w:val="none"/>
          <w:lang w:val="zh-CN"/>
        </w:rPr>
        <w:t>1.7 合同争议的解决</w:t>
      </w:r>
      <w:bookmarkEnd w:id="582"/>
      <w:bookmarkEnd w:id="583"/>
      <w:bookmarkEnd w:id="584"/>
      <w:bookmarkEnd w:id="585"/>
      <w:bookmarkEnd w:id="586"/>
    </w:p>
    <w:p w14:paraId="7C025FB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7856D44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1.7.1将争议提交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仲裁委员会依申请仲裁时其现行有效的仲裁规则裁决；</w:t>
      </w:r>
    </w:p>
    <w:p w14:paraId="525321B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21D8E3B4">
      <w:pPr>
        <w:spacing w:line="360" w:lineRule="auto"/>
        <w:ind w:firstLine="437"/>
        <w:outlineLvl w:val="2"/>
        <w:rPr>
          <w:rFonts w:hint="eastAsia" w:ascii="宋体" w:hAnsi="宋体" w:eastAsia="宋体" w:cs="宋体"/>
          <w:b/>
          <w:bCs/>
          <w:color w:val="auto"/>
          <w:sz w:val="24"/>
          <w:szCs w:val="24"/>
          <w:highlight w:val="none"/>
          <w:lang w:val="zh-CN"/>
        </w:rPr>
      </w:pPr>
      <w:bookmarkStart w:id="587" w:name="_Toc15322"/>
      <w:bookmarkStart w:id="588" w:name="_Toc21422"/>
      <w:bookmarkStart w:id="589" w:name="_Toc7245"/>
      <w:bookmarkStart w:id="590" w:name="_Toc11173"/>
      <w:bookmarkStart w:id="591" w:name="_Toc14122"/>
      <w:r>
        <w:rPr>
          <w:rFonts w:hint="eastAsia" w:ascii="宋体" w:hAnsi="宋体" w:eastAsia="宋体" w:cs="宋体"/>
          <w:b/>
          <w:bCs/>
          <w:color w:val="auto"/>
          <w:sz w:val="24"/>
          <w:szCs w:val="24"/>
          <w:highlight w:val="none"/>
          <w:lang w:val="zh-CN"/>
        </w:rPr>
        <w:t>1.8 合同生效</w:t>
      </w:r>
      <w:bookmarkEnd w:id="587"/>
      <w:bookmarkEnd w:id="588"/>
      <w:bookmarkEnd w:id="589"/>
      <w:bookmarkEnd w:id="590"/>
      <w:bookmarkEnd w:id="591"/>
    </w:p>
    <w:p w14:paraId="5961B88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本合同自双方当事人盖章时生效。</w:t>
      </w:r>
    </w:p>
    <w:p w14:paraId="2F65E252">
      <w:pPr>
        <w:autoSpaceDE w:val="0"/>
        <w:autoSpaceDN w:val="0"/>
        <w:adjustRightInd w:val="0"/>
        <w:spacing w:line="560" w:lineRule="exact"/>
        <w:rPr>
          <w:rFonts w:hint="eastAsia" w:ascii="宋体" w:hAnsi="宋体" w:eastAsia="宋体" w:cs="宋体"/>
          <w:color w:val="auto"/>
          <w:sz w:val="24"/>
          <w:szCs w:val="24"/>
          <w:highlight w:val="none"/>
          <w:lang w:val="zh-CN"/>
        </w:rPr>
      </w:pPr>
    </w:p>
    <w:p w14:paraId="6DB0DE5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甲    方：</w:t>
      </w:r>
      <w:r>
        <w:rPr>
          <w:rFonts w:hint="eastAsia" w:ascii="宋体" w:hAnsi="宋体" w:eastAsia="宋体" w:cs="宋体"/>
          <w:bCs/>
          <w:color w:val="auto"/>
          <w:sz w:val="24"/>
          <w:szCs w:val="24"/>
          <w:highlight w:val="none"/>
          <w:u w:val="single"/>
          <w:lang w:val="zh-CN"/>
        </w:rPr>
        <w:t xml:space="preserve">    （单位盖章）     </w:t>
      </w:r>
      <w:r>
        <w:rPr>
          <w:rFonts w:hint="eastAsia" w:ascii="宋体" w:hAnsi="宋体" w:eastAsia="宋体" w:cs="宋体"/>
          <w:bCs/>
          <w:color w:val="auto"/>
          <w:sz w:val="24"/>
          <w:szCs w:val="24"/>
          <w:highlight w:val="none"/>
          <w:lang w:val="zh-CN"/>
        </w:rPr>
        <w:t xml:space="preserve">          乙方：</w:t>
      </w:r>
      <w:r>
        <w:rPr>
          <w:rFonts w:hint="eastAsia" w:ascii="宋体" w:hAnsi="宋体" w:eastAsia="宋体" w:cs="宋体"/>
          <w:bCs/>
          <w:color w:val="auto"/>
          <w:sz w:val="24"/>
          <w:szCs w:val="24"/>
          <w:highlight w:val="none"/>
          <w:u w:val="single"/>
          <w:lang w:val="zh-CN"/>
        </w:rPr>
        <w:t xml:space="preserve">    （单位盖章）     </w:t>
      </w:r>
    </w:p>
    <w:p w14:paraId="1B900B99">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                               法定代表人</w:t>
      </w:r>
    </w:p>
    <w:p w14:paraId="009FFBB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或授权代表（签字）：                      或授权代表（签字）：</w:t>
      </w:r>
    </w:p>
    <w:p w14:paraId="5226F044">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Cs/>
          <w:color w:val="auto"/>
          <w:sz w:val="24"/>
          <w:szCs w:val="24"/>
          <w:highlight w:val="none"/>
        </w:rPr>
      </w:pPr>
      <w:bookmarkStart w:id="592" w:name="_Toc331685783"/>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               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0FB8187C">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593" w:name="_Hlk110099149"/>
      <w:r>
        <w:rPr>
          <w:rFonts w:hint="eastAsia" w:ascii="宋体" w:hAnsi="宋体" w:eastAsia="宋体" w:cs="宋体"/>
          <w:color w:val="auto"/>
          <w:sz w:val="24"/>
          <w:szCs w:val="24"/>
          <w:highlight w:val="none"/>
        </w:rPr>
        <w:t>乙方账户信息</w:t>
      </w:r>
    </w:p>
    <w:p w14:paraId="58A2B11B">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户名：</w:t>
      </w:r>
      <w:r>
        <w:rPr>
          <w:rFonts w:hint="eastAsia" w:ascii="宋体" w:hAnsi="宋体" w:eastAsia="宋体" w:cs="宋体"/>
          <w:color w:val="auto"/>
          <w:sz w:val="24"/>
          <w:szCs w:val="24"/>
          <w:highlight w:val="none"/>
          <w:u w:val="single"/>
        </w:rPr>
        <w:t xml:space="preserve">            </w:t>
      </w:r>
    </w:p>
    <w:p w14:paraId="0D697104">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r>
        <w:rPr>
          <w:rFonts w:hint="eastAsia" w:ascii="宋体" w:hAnsi="宋体" w:eastAsia="宋体" w:cs="宋体"/>
          <w:color w:val="auto"/>
          <w:sz w:val="24"/>
          <w:szCs w:val="24"/>
          <w:highlight w:val="none"/>
          <w:u w:val="single"/>
        </w:rPr>
        <w:t xml:space="preserve">            </w:t>
      </w:r>
    </w:p>
    <w:p w14:paraId="7309CDF0">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bookmarkEnd w:id="593"/>
    <w:p w14:paraId="4D631BBC">
      <w:pPr>
        <w:widowControl/>
        <w:jc w:val="left"/>
        <w:rPr>
          <w:rFonts w:cs="Times New Roman" w:asciiTheme="minorEastAsia" w:hAnsiTheme="minorEastAsia" w:eastAsiaTheme="minorEastAsia"/>
          <w:b/>
          <w:color w:val="auto"/>
          <w:sz w:val="24"/>
          <w:szCs w:val="24"/>
          <w:highlight w:val="none"/>
        </w:rPr>
      </w:pPr>
      <w:r>
        <w:rPr>
          <w:rFonts w:cs="Times New Roman" w:asciiTheme="minorEastAsia" w:hAnsiTheme="minorEastAsia" w:eastAsiaTheme="minorEastAsia"/>
          <w:b/>
          <w:color w:val="auto"/>
          <w:sz w:val="24"/>
          <w:szCs w:val="24"/>
          <w:highlight w:val="none"/>
        </w:rPr>
        <w:br w:type="page"/>
      </w:r>
    </w:p>
    <w:p w14:paraId="37D2F896">
      <w:pPr>
        <w:spacing w:line="360" w:lineRule="auto"/>
        <w:jc w:val="center"/>
        <w:outlineLvl w:val="1"/>
        <w:rPr>
          <w:rFonts w:hint="eastAsia" w:ascii="宋体" w:hAnsi="宋体" w:eastAsia="宋体" w:cs="宋体"/>
          <w:b/>
          <w:color w:val="auto"/>
          <w:sz w:val="36"/>
          <w:szCs w:val="36"/>
          <w:highlight w:val="none"/>
        </w:rPr>
      </w:pPr>
      <w:bookmarkStart w:id="594" w:name="_Toc4008"/>
      <w:bookmarkStart w:id="595" w:name="_Toc415"/>
      <w:bookmarkStart w:id="596" w:name="_Toc13256"/>
      <w:r>
        <w:rPr>
          <w:rFonts w:hint="eastAsia" w:ascii="宋体" w:hAnsi="宋体" w:eastAsia="宋体" w:cs="宋体"/>
          <w:b/>
          <w:color w:val="auto"/>
          <w:sz w:val="36"/>
          <w:szCs w:val="36"/>
          <w:highlight w:val="none"/>
        </w:rPr>
        <w:t>第二部分 合同一般条款</w:t>
      </w:r>
      <w:bookmarkEnd w:id="592"/>
      <w:bookmarkEnd w:id="594"/>
      <w:bookmarkEnd w:id="595"/>
      <w:bookmarkEnd w:id="596"/>
    </w:p>
    <w:p w14:paraId="232A2B3D">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597" w:name="_Ref467379109"/>
      <w:bookmarkStart w:id="598" w:name="_Toc15955"/>
      <w:bookmarkStart w:id="599" w:name="_Ref467378404"/>
      <w:bookmarkStart w:id="600" w:name="_Ref467379205"/>
      <w:bookmarkStart w:id="601" w:name="_Ref467379101"/>
      <w:bookmarkStart w:id="602" w:name="_Toc259093669"/>
      <w:bookmarkStart w:id="603" w:name="_Toc487900349"/>
      <w:bookmarkStart w:id="604" w:name="_Ref467378463"/>
      <w:bookmarkStart w:id="605" w:name="_Toc6755"/>
      <w:bookmarkStart w:id="606" w:name="_Toc28763"/>
      <w:bookmarkStart w:id="607" w:name="_Ref467379195"/>
      <w:bookmarkStart w:id="608" w:name="_Ref467379094"/>
      <w:bookmarkStart w:id="609" w:name="_Ref467378499"/>
      <w:bookmarkStart w:id="610" w:name="_Ref467379225"/>
      <w:bookmarkStart w:id="611" w:name="_Toc19614"/>
      <w:bookmarkStart w:id="612" w:name="_Toc279701240"/>
      <w:bookmarkStart w:id="613" w:name="_Toc16917"/>
      <w:bookmarkStart w:id="614" w:name="_Ref467379214"/>
      <w:r>
        <w:rPr>
          <w:rFonts w:hint="eastAsia" w:ascii="宋体" w:hAnsi="宋体" w:eastAsia="宋体" w:cs="宋体"/>
          <w:b/>
          <w:bCs/>
          <w:i w:val="0"/>
          <w:iCs w:val="0"/>
          <w:color w:val="auto"/>
          <w:sz w:val="24"/>
          <w:szCs w:val="24"/>
          <w:highlight w:val="none"/>
          <w:lang w:val="zh-CN"/>
        </w:rPr>
        <w:t>2.1 定义</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3DABC3C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本合同中的下列词语应按以下内容进行解释：</w:t>
      </w:r>
    </w:p>
    <w:p w14:paraId="029314F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2.1.1“合同”系指采购人和中标人签订的载明双方当事人所达成的协议，并包括所有的附件、附录和构成合同的其他文件。</w:t>
      </w:r>
    </w:p>
    <w:p w14:paraId="2F4EDFD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2.1.2“合同价”系指根据合同约定，中标人在完全履行合同义务后，采购人应支付给中标人的价格。</w:t>
      </w:r>
    </w:p>
    <w:p w14:paraId="5824C107">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2.1.3“服务”系指中标人根据合同约定应向采购人履行的除货物和工程以外的其他政府采购对象，包括采购人自身需要的服务和向社会公众提供的公共服务。</w:t>
      </w:r>
    </w:p>
    <w:p w14:paraId="1802AAD8">
      <w:pPr>
        <w:spacing w:line="360" w:lineRule="auto"/>
        <w:ind w:firstLine="435"/>
        <w:rPr>
          <w:rFonts w:hint="eastAsia" w:ascii="宋体" w:hAnsi="宋体" w:eastAsia="宋体" w:cs="宋体"/>
          <w:i w:val="0"/>
          <w:iCs w:val="0"/>
          <w:color w:val="auto"/>
          <w:sz w:val="24"/>
          <w:szCs w:val="24"/>
          <w:highlight w:val="none"/>
        </w:rPr>
      </w:pPr>
      <w:bookmarkStart w:id="615" w:name="_Ref467378840"/>
      <w:r>
        <w:rPr>
          <w:rFonts w:hint="eastAsia" w:ascii="宋体" w:hAnsi="宋体" w:eastAsia="宋体" w:cs="宋体"/>
          <w:i w:val="0"/>
          <w:iCs w:val="0"/>
          <w:color w:val="auto"/>
          <w:sz w:val="24"/>
          <w:szCs w:val="24"/>
          <w:highlight w:val="none"/>
        </w:rPr>
        <w:t>2.1.4“甲方”系指与中标人签署合同的采购人</w:t>
      </w:r>
      <w:bookmarkEnd w:id="615"/>
      <w:r>
        <w:rPr>
          <w:rFonts w:hint="eastAsia" w:ascii="宋体" w:hAnsi="宋体" w:eastAsia="宋体" w:cs="宋体"/>
          <w:i w:val="0"/>
          <w:iCs w:val="0"/>
          <w:color w:val="auto"/>
          <w:sz w:val="24"/>
          <w:szCs w:val="24"/>
          <w:highlight w:val="none"/>
        </w:rPr>
        <w:t>；采购人委托采购代理机构代表其与乙方签订合同的，采购人的授权委托书作为合同附件。</w:t>
      </w:r>
    </w:p>
    <w:p w14:paraId="1106E655">
      <w:pPr>
        <w:spacing w:line="360" w:lineRule="auto"/>
        <w:ind w:firstLine="435"/>
        <w:rPr>
          <w:rFonts w:hint="eastAsia" w:ascii="宋体" w:hAnsi="宋体" w:eastAsia="宋体" w:cs="宋体"/>
          <w:i w:val="0"/>
          <w:iCs w:val="0"/>
          <w:color w:val="auto"/>
          <w:sz w:val="24"/>
          <w:szCs w:val="24"/>
          <w:highlight w:val="none"/>
        </w:rPr>
      </w:pPr>
      <w:bookmarkStart w:id="616" w:name="_Ref467379400"/>
      <w:r>
        <w:rPr>
          <w:rFonts w:hint="eastAsia" w:ascii="宋体" w:hAnsi="宋体" w:eastAsia="宋体" w:cs="宋体"/>
          <w:i w:val="0"/>
          <w:iCs w:val="0"/>
          <w:color w:val="auto"/>
          <w:sz w:val="24"/>
          <w:szCs w:val="24"/>
          <w:highlight w:val="none"/>
        </w:rPr>
        <w:t>2.1.5“乙方”系指根据合同约定提供服务的中标人</w:t>
      </w:r>
      <w:bookmarkEnd w:id="616"/>
      <w:r>
        <w:rPr>
          <w:rFonts w:hint="eastAsia" w:ascii="宋体" w:hAnsi="宋体" w:eastAsia="宋体" w:cs="宋体"/>
          <w:i w:val="0"/>
          <w:iCs w:val="0"/>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8FF11B">
      <w:pPr>
        <w:spacing w:line="360" w:lineRule="auto"/>
        <w:ind w:firstLine="435"/>
        <w:rPr>
          <w:rFonts w:hint="eastAsia" w:ascii="宋体" w:hAnsi="宋体" w:eastAsia="宋体" w:cs="宋体"/>
          <w:i w:val="0"/>
          <w:iCs w:val="0"/>
          <w:color w:val="auto"/>
          <w:sz w:val="24"/>
          <w:szCs w:val="24"/>
          <w:highlight w:val="none"/>
        </w:rPr>
      </w:pPr>
      <w:bookmarkStart w:id="617" w:name="_Ref467379436"/>
      <w:r>
        <w:rPr>
          <w:rFonts w:hint="eastAsia" w:ascii="宋体" w:hAnsi="宋体" w:eastAsia="宋体" w:cs="宋体"/>
          <w:i w:val="0"/>
          <w:iCs w:val="0"/>
          <w:color w:val="auto"/>
          <w:sz w:val="24"/>
          <w:szCs w:val="24"/>
          <w:highlight w:val="none"/>
        </w:rPr>
        <w:t>2.1.6“现场”系指合同约定提供服务的地点。</w:t>
      </w:r>
      <w:bookmarkEnd w:id="617"/>
    </w:p>
    <w:p w14:paraId="6E2582CC">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18" w:name="_Toc28490"/>
      <w:bookmarkStart w:id="619" w:name="_Toc279701241"/>
      <w:bookmarkStart w:id="620" w:name="_Toc259093670"/>
      <w:bookmarkStart w:id="621" w:name="_Toc32504"/>
      <w:bookmarkStart w:id="622" w:name="_Toc13336"/>
      <w:bookmarkStart w:id="623" w:name="_Toc32079"/>
      <w:bookmarkStart w:id="624" w:name="_Toc27635"/>
      <w:bookmarkStart w:id="625" w:name="_Toc487900350"/>
      <w:r>
        <w:rPr>
          <w:rFonts w:hint="eastAsia" w:ascii="宋体" w:hAnsi="宋体" w:eastAsia="宋体" w:cs="宋体"/>
          <w:b/>
          <w:bCs/>
          <w:i w:val="0"/>
          <w:iCs w:val="0"/>
          <w:color w:val="auto"/>
          <w:sz w:val="24"/>
          <w:szCs w:val="24"/>
          <w:highlight w:val="none"/>
          <w:lang w:val="zh-CN"/>
        </w:rPr>
        <w:t>2.2 技术规范</w:t>
      </w:r>
      <w:bookmarkEnd w:id="618"/>
      <w:bookmarkEnd w:id="619"/>
      <w:bookmarkEnd w:id="620"/>
      <w:bookmarkEnd w:id="621"/>
      <w:bookmarkEnd w:id="622"/>
      <w:bookmarkEnd w:id="623"/>
      <w:bookmarkEnd w:id="624"/>
      <w:bookmarkEnd w:id="625"/>
    </w:p>
    <w:p w14:paraId="69A21D8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340A7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26" w:name="_Toc15907"/>
      <w:bookmarkStart w:id="627" w:name="_Toc487900351"/>
      <w:bookmarkStart w:id="628" w:name="_Toc279701242"/>
      <w:bookmarkStart w:id="629" w:name="_Toc27853"/>
      <w:bookmarkStart w:id="630" w:name="_Toc259093671"/>
      <w:bookmarkStart w:id="631" w:name="_Toc17683"/>
      <w:bookmarkStart w:id="632" w:name="_Toc9829"/>
      <w:bookmarkStart w:id="633" w:name="_Toc31634"/>
      <w:r>
        <w:rPr>
          <w:rFonts w:hint="eastAsia" w:ascii="宋体" w:hAnsi="宋体" w:eastAsia="宋体" w:cs="宋体"/>
          <w:b/>
          <w:bCs/>
          <w:i w:val="0"/>
          <w:iCs w:val="0"/>
          <w:color w:val="auto"/>
          <w:sz w:val="24"/>
          <w:szCs w:val="24"/>
          <w:highlight w:val="none"/>
          <w:lang w:val="zh-CN"/>
        </w:rPr>
        <w:t>2.3 知识产权</w:t>
      </w:r>
      <w:bookmarkEnd w:id="626"/>
      <w:bookmarkEnd w:id="627"/>
      <w:bookmarkEnd w:id="628"/>
      <w:bookmarkEnd w:id="629"/>
      <w:bookmarkEnd w:id="630"/>
      <w:bookmarkEnd w:id="631"/>
      <w:bookmarkEnd w:id="632"/>
      <w:bookmarkEnd w:id="633"/>
    </w:p>
    <w:p w14:paraId="0051651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1B5AB00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2.3.2具有知识产权的计算机软件等货物的知识产权归属，详见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7FDDB45A">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34" w:name="_Toc259093674"/>
      <w:bookmarkStart w:id="635" w:name="_Ref467378591"/>
      <w:bookmarkStart w:id="636" w:name="_Toc487900354"/>
      <w:bookmarkStart w:id="637" w:name="_Ref467379542"/>
      <w:bookmarkStart w:id="638" w:name="_Toc279701245"/>
      <w:bookmarkStart w:id="639" w:name="_Ref467378541"/>
      <w:bookmarkStart w:id="640" w:name="_Ref467379536"/>
      <w:bookmarkStart w:id="641" w:name="_Ref467379527"/>
      <w:bookmarkStart w:id="642" w:name="_Toc29150"/>
      <w:bookmarkStart w:id="643" w:name="_Toc30272"/>
      <w:bookmarkStart w:id="644" w:name="_Toc19074"/>
      <w:bookmarkStart w:id="645" w:name="_Toc28304"/>
      <w:bookmarkStart w:id="646" w:name="_Toc26182"/>
      <w:r>
        <w:rPr>
          <w:rFonts w:hint="eastAsia" w:ascii="宋体" w:hAnsi="宋体" w:eastAsia="宋体" w:cs="宋体"/>
          <w:b/>
          <w:bCs/>
          <w:i w:val="0"/>
          <w:iCs w:val="0"/>
          <w:color w:val="auto"/>
          <w:sz w:val="24"/>
          <w:szCs w:val="24"/>
          <w:highlight w:val="none"/>
          <w:lang w:val="zh-CN"/>
        </w:rPr>
        <w:t>2.</w:t>
      </w:r>
      <w:bookmarkEnd w:id="634"/>
      <w:bookmarkEnd w:id="635"/>
      <w:bookmarkEnd w:id="636"/>
      <w:bookmarkEnd w:id="637"/>
      <w:bookmarkEnd w:id="638"/>
      <w:bookmarkEnd w:id="639"/>
      <w:bookmarkEnd w:id="640"/>
      <w:bookmarkEnd w:id="641"/>
      <w:r>
        <w:rPr>
          <w:rFonts w:hint="eastAsia" w:ascii="宋体" w:hAnsi="宋体" w:eastAsia="宋体" w:cs="宋体"/>
          <w:b/>
          <w:bCs/>
          <w:i w:val="0"/>
          <w:iCs w:val="0"/>
          <w:color w:val="auto"/>
          <w:sz w:val="24"/>
          <w:szCs w:val="24"/>
          <w:highlight w:val="none"/>
          <w:lang w:val="zh-CN"/>
        </w:rPr>
        <w:t>4 履约检查和问题反馈</w:t>
      </w:r>
      <w:bookmarkEnd w:id="642"/>
      <w:bookmarkEnd w:id="643"/>
      <w:bookmarkEnd w:id="644"/>
      <w:bookmarkEnd w:id="645"/>
      <w:bookmarkEnd w:id="646"/>
    </w:p>
    <w:p w14:paraId="1F572855">
      <w:pPr>
        <w:spacing w:line="360" w:lineRule="auto"/>
        <w:ind w:firstLine="435"/>
        <w:rPr>
          <w:rFonts w:hint="eastAsia" w:ascii="宋体" w:hAnsi="宋体" w:eastAsia="宋体" w:cs="宋体"/>
          <w:i w:val="0"/>
          <w:iCs w:val="0"/>
          <w:color w:val="auto"/>
          <w:sz w:val="24"/>
          <w:szCs w:val="24"/>
          <w:highlight w:val="none"/>
        </w:rPr>
      </w:pPr>
      <w:bookmarkStart w:id="647" w:name="_Toc186431854"/>
      <w:bookmarkStart w:id="648" w:name="_Ref467379793"/>
      <w:bookmarkStart w:id="649" w:name="_Toc487900357"/>
      <w:bookmarkStart w:id="650" w:name="_Toc279701247"/>
      <w:bookmarkStart w:id="651" w:name="_Toc259093676"/>
      <w:bookmarkStart w:id="652" w:name="_Ref467379807"/>
      <w:r>
        <w:rPr>
          <w:rFonts w:hint="eastAsia" w:ascii="宋体" w:hAnsi="宋体" w:eastAsia="宋体" w:cs="宋体"/>
          <w:i w:val="0"/>
          <w:iCs w:val="0"/>
          <w:color w:val="auto"/>
          <w:sz w:val="24"/>
          <w:szCs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46A90DE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2.4.2合同履行期间，甲方有权将履行过程中出现的问题反馈给乙方，双方当事人应以书面形式约定需要完善和改进的内容</w:t>
      </w:r>
      <w:bookmarkEnd w:id="647"/>
      <w:bookmarkStart w:id="653" w:name="_Toc186431855"/>
      <w:r>
        <w:rPr>
          <w:rFonts w:hint="eastAsia" w:ascii="宋体" w:hAnsi="宋体" w:eastAsia="宋体" w:cs="宋体"/>
          <w:i w:val="0"/>
          <w:iCs w:val="0"/>
          <w:color w:val="auto"/>
          <w:sz w:val="24"/>
          <w:szCs w:val="24"/>
          <w:highlight w:val="none"/>
        </w:rPr>
        <w:t>。</w:t>
      </w:r>
    </w:p>
    <w:bookmarkEnd w:id="653"/>
    <w:p w14:paraId="37DDF5E5">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54" w:name="_Toc19219"/>
      <w:bookmarkStart w:id="655" w:name="_Toc745"/>
      <w:bookmarkStart w:id="656" w:name="_Toc7836"/>
      <w:bookmarkStart w:id="657" w:name="_Toc6918"/>
      <w:bookmarkStart w:id="658" w:name="_Toc28451"/>
      <w:r>
        <w:rPr>
          <w:rFonts w:hint="eastAsia" w:ascii="宋体" w:hAnsi="宋体" w:eastAsia="宋体" w:cs="宋体"/>
          <w:b/>
          <w:bCs/>
          <w:i w:val="0"/>
          <w:iCs w:val="0"/>
          <w:color w:val="auto"/>
          <w:sz w:val="24"/>
          <w:szCs w:val="24"/>
          <w:highlight w:val="none"/>
          <w:lang w:val="zh-CN"/>
        </w:rPr>
        <w:t>2.5 结算方式和付款条件</w:t>
      </w:r>
      <w:bookmarkEnd w:id="648"/>
      <w:bookmarkEnd w:id="649"/>
      <w:bookmarkEnd w:id="650"/>
      <w:bookmarkEnd w:id="651"/>
      <w:bookmarkEnd w:id="652"/>
      <w:bookmarkEnd w:id="654"/>
      <w:bookmarkEnd w:id="655"/>
      <w:bookmarkEnd w:id="656"/>
      <w:bookmarkEnd w:id="657"/>
      <w:bookmarkEnd w:id="658"/>
    </w:p>
    <w:p w14:paraId="350F9F1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0E66E798">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59" w:name="_Toc487900358"/>
      <w:bookmarkStart w:id="660" w:name="_Ref467379852"/>
      <w:bookmarkStart w:id="661" w:name="_Toc279701248"/>
      <w:bookmarkStart w:id="662" w:name="_Ref467379863"/>
      <w:bookmarkStart w:id="663" w:name="_Toc259093677"/>
      <w:bookmarkStart w:id="664" w:name="_Ref467379923"/>
      <w:bookmarkStart w:id="665" w:name="_Toc774"/>
      <w:bookmarkStart w:id="666" w:name="_Toc6627"/>
      <w:bookmarkStart w:id="667" w:name="_Toc8947"/>
      <w:bookmarkStart w:id="668" w:name="_Toc16110"/>
      <w:bookmarkStart w:id="669" w:name="_Toc3225"/>
      <w:r>
        <w:rPr>
          <w:rFonts w:hint="eastAsia" w:ascii="宋体" w:hAnsi="宋体" w:eastAsia="宋体" w:cs="宋体"/>
          <w:b/>
          <w:bCs/>
          <w:i w:val="0"/>
          <w:iCs w:val="0"/>
          <w:color w:val="auto"/>
          <w:sz w:val="24"/>
          <w:szCs w:val="24"/>
          <w:highlight w:val="none"/>
          <w:lang w:val="zh-CN"/>
        </w:rPr>
        <w:t>2.6 技术资料</w:t>
      </w:r>
      <w:bookmarkEnd w:id="659"/>
      <w:bookmarkEnd w:id="660"/>
      <w:bookmarkEnd w:id="661"/>
      <w:bookmarkEnd w:id="662"/>
      <w:bookmarkEnd w:id="663"/>
      <w:bookmarkEnd w:id="664"/>
      <w:r>
        <w:rPr>
          <w:rFonts w:hint="eastAsia" w:ascii="宋体" w:hAnsi="宋体" w:eastAsia="宋体" w:cs="宋体"/>
          <w:b/>
          <w:bCs/>
          <w:i w:val="0"/>
          <w:iCs w:val="0"/>
          <w:color w:val="auto"/>
          <w:sz w:val="24"/>
          <w:szCs w:val="24"/>
          <w:highlight w:val="none"/>
          <w:lang w:val="zh-CN"/>
        </w:rPr>
        <w:t>和保密义务</w:t>
      </w:r>
      <w:bookmarkEnd w:id="665"/>
      <w:bookmarkEnd w:id="666"/>
      <w:bookmarkEnd w:id="667"/>
      <w:bookmarkEnd w:id="668"/>
      <w:bookmarkEnd w:id="669"/>
    </w:p>
    <w:p w14:paraId="043E0FD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2.6.1乙方有权依据合同约定和项目需要，向甲方了解有关情况，调阅有关资料等，甲方应予积极配合；</w:t>
      </w:r>
    </w:p>
    <w:p w14:paraId="12D7ADE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2.6.2乙方有义务妥善保管和保护由甲方提供的前款信息和资料等；</w:t>
      </w:r>
    </w:p>
    <w:p w14:paraId="1BFAE2B4">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716C7F">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70" w:name="_Toc20401"/>
      <w:bookmarkStart w:id="671" w:name="_Toc7860"/>
      <w:bookmarkStart w:id="672" w:name="_Toc1434"/>
      <w:r>
        <w:rPr>
          <w:rFonts w:hint="eastAsia" w:ascii="宋体" w:hAnsi="宋体" w:eastAsia="宋体" w:cs="宋体"/>
          <w:b/>
          <w:bCs/>
          <w:i w:val="0"/>
          <w:iCs w:val="0"/>
          <w:color w:val="auto"/>
          <w:sz w:val="24"/>
          <w:szCs w:val="24"/>
          <w:highlight w:val="none"/>
          <w:lang w:val="zh-CN"/>
        </w:rPr>
        <w:t>2.7 质量保证</w:t>
      </w:r>
      <w:bookmarkEnd w:id="670"/>
      <w:bookmarkEnd w:id="671"/>
      <w:bookmarkEnd w:id="672"/>
    </w:p>
    <w:p w14:paraId="06F68E3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2.7.1乙方应建立和完善履行合同的内部质量保证体系，并提供相关内部规章制度给甲方，以便甲方进行监督检查；</w:t>
      </w:r>
    </w:p>
    <w:p w14:paraId="37CEC89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2.7.2乙方应保证履行合同的人员数量和素质、软件和硬件设备的配置、场地、环境和设施等满足全面履行合同的要求，并应接受甲方的监督检查。</w:t>
      </w:r>
    </w:p>
    <w:p w14:paraId="6EE54FD6">
      <w:pPr>
        <w:spacing w:line="360" w:lineRule="auto"/>
        <w:ind w:firstLine="437"/>
        <w:outlineLvl w:val="2"/>
        <w:rPr>
          <w:rFonts w:hint="eastAsia" w:ascii="宋体" w:hAnsi="宋体" w:eastAsia="宋体" w:cs="宋体"/>
          <w:b/>
          <w:i w:val="0"/>
          <w:iCs w:val="0"/>
          <w:color w:val="auto"/>
          <w:sz w:val="24"/>
          <w:szCs w:val="24"/>
          <w:highlight w:val="none"/>
        </w:rPr>
      </w:pPr>
      <w:bookmarkStart w:id="673" w:name="_Toc22267"/>
      <w:bookmarkStart w:id="674" w:name="_Toc27251"/>
      <w:bookmarkStart w:id="675" w:name="_Toc20440"/>
      <w:r>
        <w:rPr>
          <w:rFonts w:hint="eastAsia" w:ascii="宋体" w:hAnsi="宋体" w:eastAsia="宋体" w:cs="宋体"/>
          <w:b/>
          <w:i w:val="0"/>
          <w:iCs w:val="0"/>
          <w:color w:val="auto"/>
          <w:sz w:val="24"/>
          <w:szCs w:val="24"/>
          <w:highlight w:val="none"/>
        </w:rPr>
        <w:t>2.8 延迟履行</w:t>
      </w:r>
      <w:bookmarkEnd w:id="673"/>
      <w:bookmarkEnd w:id="674"/>
      <w:bookmarkEnd w:id="675"/>
    </w:p>
    <w:p w14:paraId="39241BB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46551B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76" w:name="_Toc7502"/>
      <w:bookmarkStart w:id="677" w:name="_Toc22045"/>
      <w:bookmarkStart w:id="678" w:name="_Toc106"/>
      <w:bookmarkStart w:id="679" w:name="_Ref467378121"/>
      <w:bookmarkStart w:id="680" w:name="_Toc259093683"/>
      <w:bookmarkStart w:id="681" w:name="_Toc487900364"/>
      <w:bookmarkStart w:id="682" w:name="_Toc279701254"/>
      <w:r>
        <w:rPr>
          <w:rFonts w:hint="eastAsia" w:ascii="宋体" w:hAnsi="宋体" w:eastAsia="宋体" w:cs="宋体"/>
          <w:b/>
          <w:bCs/>
          <w:i w:val="0"/>
          <w:iCs w:val="0"/>
          <w:color w:val="auto"/>
          <w:sz w:val="24"/>
          <w:szCs w:val="24"/>
          <w:highlight w:val="none"/>
          <w:lang w:val="zh-CN"/>
        </w:rPr>
        <w:t>2.9 合同变更</w:t>
      </w:r>
      <w:bookmarkEnd w:id="676"/>
      <w:bookmarkEnd w:id="677"/>
      <w:bookmarkEnd w:id="678"/>
    </w:p>
    <w:p w14:paraId="60F58CC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2.9.1双方当事人协商一致，可以签订书面补充合同的形式变更合同，但不得违背采购文件确定的事项；</w:t>
      </w:r>
    </w:p>
    <w:p w14:paraId="42F7E75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683" w:name="_Toc279701259"/>
      <w:bookmarkStart w:id="684" w:name="_Toc487900369"/>
      <w:bookmarkStart w:id="685" w:name="_Toc259093688"/>
    </w:p>
    <w:p w14:paraId="742F9E7E">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86" w:name="_Toc22955"/>
      <w:bookmarkStart w:id="687" w:name="_Toc20243"/>
      <w:bookmarkStart w:id="688" w:name="_Toc15237"/>
      <w:bookmarkStart w:id="689" w:name="_Toc19955"/>
      <w:bookmarkStart w:id="690" w:name="_Toc10366"/>
      <w:r>
        <w:rPr>
          <w:rFonts w:hint="eastAsia" w:ascii="宋体" w:hAnsi="宋体" w:eastAsia="宋体" w:cs="宋体"/>
          <w:b/>
          <w:bCs/>
          <w:i w:val="0"/>
          <w:iCs w:val="0"/>
          <w:color w:val="auto"/>
          <w:sz w:val="24"/>
          <w:szCs w:val="24"/>
          <w:highlight w:val="none"/>
          <w:lang w:val="zh-CN"/>
        </w:rPr>
        <w:t>2.10 合同转让</w:t>
      </w:r>
      <w:bookmarkEnd w:id="683"/>
      <w:bookmarkEnd w:id="684"/>
      <w:bookmarkEnd w:id="685"/>
      <w:r>
        <w:rPr>
          <w:rFonts w:hint="eastAsia" w:ascii="宋体" w:hAnsi="宋体" w:eastAsia="宋体" w:cs="宋体"/>
          <w:b/>
          <w:bCs/>
          <w:i w:val="0"/>
          <w:iCs w:val="0"/>
          <w:color w:val="auto"/>
          <w:sz w:val="24"/>
          <w:szCs w:val="24"/>
          <w:highlight w:val="none"/>
          <w:lang w:val="zh-CN"/>
        </w:rPr>
        <w:t>和分包</w:t>
      </w:r>
      <w:bookmarkEnd w:id="686"/>
      <w:bookmarkEnd w:id="687"/>
      <w:bookmarkEnd w:id="688"/>
      <w:bookmarkEnd w:id="689"/>
      <w:bookmarkEnd w:id="690"/>
    </w:p>
    <w:p w14:paraId="26ADD7C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4061B35">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91" w:name="_Toc14066"/>
      <w:bookmarkStart w:id="692" w:name="_Toc13566"/>
      <w:bookmarkStart w:id="693" w:name="_Toc22946"/>
      <w:bookmarkStart w:id="694" w:name="_Toc16508"/>
      <w:bookmarkStart w:id="695" w:name="_Toc10157"/>
      <w:r>
        <w:rPr>
          <w:rFonts w:hint="eastAsia" w:ascii="宋体" w:hAnsi="宋体" w:eastAsia="宋体" w:cs="宋体"/>
          <w:b/>
          <w:bCs/>
          <w:i w:val="0"/>
          <w:iCs w:val="0"/>
          <w:color w:val="auto"/>
          <w:sz w:val="24"/>
          <w:szCs w:val="24"/>
          <w:highlight w:val="none"/>
          <w:lang w:val="zh-CN"/>
        </w:rPr>
        <w:t>2.11 不可抗力</w:t>
      </w:r>
      <w:bookmarkEnd w:id="691"/>
      <w:bookmarkEnd w:id="692"/>
      <w:bookmarkEnd w:id="693"/>
      <w:bookmarkEnd w:id="694"/>
      <w:bookmarkEnd w:id="695"/>
    </w:p>
    <w:p w14:paraId="2E7E6126">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2.11.1如果任何一方遭遇法律规定的不可抗力，致使合同履行受阻时，履行合同的期限应予延长，延长的期限应相当于不可抗力所影响的时间；</w:t>
      </w:r>
    </w:p>
    <w:p w14:paraId="584AA56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2.11.2因不可抗力致使不能实现合同目的的，当事人可以解除合同；</w:t>
      </w:r>
    </w:p>
    <w:p w14:paraId="7EC56964">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2.11.3因不可抗力致使合同有变更必要的，双方当事人应在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约定时间内以书面形式变更合同；</w:t>
      </w:r>
    </w:p>
    <w:p w14:paraId="64C45C6C">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2.11.4受不可抗力影响的一方在不可抗力发生后，应在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约定时间内以书面形式通知对方当事人，并在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约定时间内，将有关部门出具的证明文件送达对方当事人。</w:t>
      </w:r>
    </w:p>
    <w:p w14:paraId="0737946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96" w:name="_Toc12787"/>
      <w:bookmarkStart w:id="697" w:name="_Toc30676"/>
      <w:bookmarkStart w:id="698" w:name="_Toc689"/>
      <w:bookmarkStart w:id="699" w:name="_Toc279701255"/>
      <w:bookmarkStart w:id="700" w:name="_Toc487900365"/>
      <w:bookmarkStart w:id="701" w:name="_Toc259093684"/>
      <w:bookmarkStart w:id="702" w:name="_Toc24332"/>
      <w:bookmarkStart w:id="703" w:name="_Toc6969"/>
      <w:r>
        <w:rPr>
          <w:rFonts w:hint="eastAsia" w:ascii="宋体" w:hAnsi="宋体" w:eastAsia="宋体" w:cs="宋体"/>
          <w:b/>
          <w:bCs/>
          <w:i w:val="0"/>
          <w:iCs w:val="0"/>
          <w:color w:val="auto"/>
          <w:sz w:val="24"/>
          <w:szCs w:val="24"/>
          <w:highlight w:val="none"/>
          <w:lang w:val="zh-CN"/>
        </w:rPr>
        <w:t>2.12 税费</w:t>
      </w:r>
      <w:bookmarkEnd w:id="696"/>
      <w:bookmarkEnd w:id="697"/>
      <w:bookmarkEnd w:id="698"/>
      <w:bookmarkEnd w:id="699"/>
      <w:bookmarkEnd w:id="700"/>
      <w:bookmarkEnd w:id="701"/>
      <w:bookmarkEnd w:id="702"/>
      <w:bookmarkEnd w:id="703"/>
    </w:p>
    <w:p w14:paraId="7FDC372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与合同有关的一切税费，均按照中华人民共和国法律的相关规定缴纳。</w:t>
      </w:r>
    </w:p>
    <w:p w14:paraId="485EEA4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704" w:name="_Toc259093687"/>
      <w:bookmarkStart w:id="705" w:name="_Toc30741"/>
      <w:bookmarkStart w:id="706" w:name="_Toc16959"/>
      <w:bookmarkStart w:id="707" w:name="_Toc279701258"/>
      <w:bookmarkStart w:id="708" w:name="_Toc8298"/>
      <w:bookmarkStart w:id="709" w:name="_Toc7102"/>
      <w:bookmarkStart w:id="710" w:name="_Toc487900368"/>
      <w:bookmarkStart w:id="711" w:name="_Toc2206"/>
      <w:r>
        <w:rPr>
          <w:rFonts w:hint="eastAsia" w:ascii="宋体" w:hAnsi="宋体" w:eastAsia="宋体" w:cs="宋体"/>
          <w:b/>
          <w:bCs/>
          <w:i w:val="0"/>
          <w:iCs w:val="0"/>
          <w:color w:val="auto"/>
          <w:sz w:val="24"/>
          <w:szCs w:val="24"/>
          <w:highlight w:val="none"/>
          <w:lang w:val="zh-CN"/>
        </w:rPr>
        <w:t>2.13 乙方破产</w:t>
      </w:r>
      <w:bookmarkEnd w:id="704"/>
      <w:bookmarkEnd w:id="705"/>
      <w:bookmarkEnd w:id="706"/>
      <w:bookmarkEnd w:id="707"/>
      <w:bookmarkEnd w:id="708"/>
      <w:bookmarkEnd w:id="709"/>
      <w:bookmarkEnd w:id="710"/>
      <w:bookmarkEnd w:id="711"/>
    </w:p>
    <w:p w14:paraId="4706273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79A5F8">
      <w:pPr>
        <w:spacing w:line="360" w:lineRule="auto"/>
        <w:ind w:firstLine="437"/>
        <w:outlineLvl w:val="2"/>
        <w:rPr>
          <w:rFonts w:hint="eastAsia" w:ascii="宋体" w:hAnsi="宋体" w:eastAsia="宋体" w:cs="宋体"/>
          <w:b/>
          <w:i w:val="0"/>
          <w:iCs w:val="0"/>
          <w:color w:val="auto"/>
          <w:sz w:val="24"/>
          <w:szCs w:val="24"/>
          <w:highlight w:val="none"/>
        </w:rPr>
      </w:pPr>
      <w:bookmarkStart w:id="712" w:name="_Toc29333"/>
      <w:bookmarkStart w:id="713" w:name="_Toc9036"/>
      <w:bookmarkStart w:id="714" w:name="_Toc15387"/>
      <w:bookmarkStart w:id="715" w:name="_Toc6134"/>
      <w:bookmarkStart w:id="716" w:name="_Toc13537"/>
      <w:r>
        <w:rPr>
          <w:rFonts w:hint="eastAsia" w:ascii="宋体" w:hAnsi="宋体" w:eastAsia="宋体" w:cs="宋体"/>
          <w:b/>
          <w:bCs/>
          <w:i w:val="0"/>
          <w:iCs w:val="0"/>
          <w:color w:val="auto"/>
          <w:sz w:val="24"/>
          <w:szCs w:val="24"/>
          <w:highlight w:val="none"/>
          <w:lang w:val="zh-CN"/>
        </w:rPr>
        <w:t>2.14 合同中止、终止</w:t>
      </w:r>
      <w:bookmarkEnd w:id="712"/>
      <w:bookmarkEnd w:id="713"/>
      <w:bookmarkEnd w:id="714"/>
      <w:bookmarkEnd w:id="715"/>
      <w:bookmarkEnd w:id="716"/>
    </w:p>
    <w:p w14:paraId="6151CDA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2.14.1双方当事人不得擅自中止或者终止合同；</w:t>
      </w:r>
    </w:p>
    <w:p w14:paraId="0A33DBB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51ADDB2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717" w:name="_Toc7061"/>
      <w:bookmarkStart w:id="718" w:name="_Toc14563"/>
      <w:bookmarkStart w:id="719" w:name="_Toc14791"/>
      <w:bookmarkStart w:id="720" w:name="_Toc6596"/>
      <w:bookmarkStart w:id="721" w:name="_Toc1125"/>
      <w:r>
        <w:rPr>
          <w:rFonts w:hint="eastAsia" w:ascii="宋体" w:hAnsi="宋体" w:eastAsia="宋体" w:cs="宋体"/>
          <w:b/>
          <w:bCs/>
          <w:i w:val="0"/>
          <w:iCs w:val="0"/>
          <w:color w:val="auto"/>
          <w:sz w:val="24"/>
          <w:szCs w:val="24"/>
          <w:highlight w:val="none"/>
          <w:lang w:val="zh-CN"/>
        </w:rPr>
        <w:t>2.15 检验和验收</w:t>
      </w:r>
      <w:bookmarkEnd w:id="717"/>
      <w:bookmarkEnd w:id="718"/>
      <w:bookmarkEnd w:id="719"/>
      <w:bookmarkEnd w:id="720"/>
      <w:bookmarkEnd w:id="721"/>
    </w:p>
    <w:p w14:paraId="4B523E1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2.15.1乙方按照</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的约定，定期提交服务报告，甲方按照</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的约定进行定期验收；</w:t>
      </w:r>
    </w:p>
    <w:p w14:paraId="2691C96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630CD7">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2.15.3检验和验收标准、程序等具体内容以及前述验收书的效力详见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bookmarkEnd w:id="679"/>
    <w:bookmarkEnd w:id="680"/>
    <w:bookmarkEnd w:id="681"/>
    <w:bookmarkEnd w:id="682"/>
    <w:p w14:paraId="73AF77C8">
      <w:pPr>
        <w:spacing w:line="360" w:lineRule="auto"/>
        <w:ind w:firstLine="437"/>
        <w:outlineLvl w:val="2"/>
        <w:rPr>
          <w:rFonts w:hint="eastAsia" w:ascii="宋体" w:hAnsi="宋体" w:eastAsia="宋体" w:cs="宋体"/>
          <w:b/>
          <w:bCs/>
          <w:i w:val="0"/>
          <w:iCs w:val="0"/>
          <w:color w:val="auto"/>
          <w:sz w:val="24"/>
          <w:szCs w:val="24"/>
          <w:highlight w:val="none"/>
        </w:rPr>
      </w:pPr>
      <w:bookmarkStart w:id="722" w:name="_Toc12773"/>
      <w:bookmarkStart w:id="723" w:name="_Toc259093692"/>
      <w:bookmarkStart w:id="724" w:name="_Toc487900373"/>
      <w:bookmarkStart w:id="725" w:name="_Toc31923"/>
      <w:bookmarkStart w:id="726" w:name="_Toc279701263"/>
      <w:bookmarkStart w:id="727" w:name="_Toc28706"/>
      <w:bookmarkStart w:id="728" w:name="_Toc10330"/>
      <w:bookmarkStart w:id="729" w:name="_Toc18567"/>
      <w:r>
        <w:rPr>
          <w:rFonts w:hint="eastAsia" w:ascii="宋体" w:hAnsi="宋体" w:eastAsia="宋体" w:cs="宋体"/>
          <w:b/>
          <w:bCs/>
          <w:i w:val="0"/>
          <w:iCs w:val="0"/>
          <w:color w:val="auto"/>
          <w:sz w:val="24"/>
          <w:szCs w:val="24"/>
          <w:highlight w:val="none"/>
        </w:rPr>
        <w:t xml:space="preserve">2.16 </w:t>
      </w:r>
      <w:r>
        <w:rPr>
          <w:rFonts w:hint="eastAsia" w:ascii="宋体" w:hAnsi="宋体" w:eastAsia="宋体" w:cs="宋体"/>
          <w:b/>
          <w:bCs/>
          <w:i w:val="0"/>
          <w:iCs w:val="0"/>
          <w:color w:val="auto"/>
          <w:sz w:val="24"/>
          <w:szCs w:val="24"/>
          <w:highlight w:val="none"/>
          <w:lang w:val="zh-CN"/>
        </w:rPr>
        <w:t>合同使用的文字和适用的法律</w:t>
      </w:r>
      <w:bookmarkEnd w:id="722"/>
      <w:bookmarkEnd w:id="723"/>
      <w:bookmarkEnd w:id="724"/>
      <w:bookmarkEnd w:id="725"/>
      <w:bookmarkEnd w:id="726"/>
      <w:bookmarkEnd w:id="727"/>
      <w:bookmarkEnd w:id="728"/>
      <w:bookmarkEnd w:id="729"/>
    </w:p>
    <w:p w14:paraId="584303E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2.16.1合同使用汉语书就、变更和解释；</w:t>
      </w:r>
    </w:p>
    <w:p w14:paraId="6120D4C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2.16.2合同适用中华人民共和国法律。</w:t>
      </w:r>
    </w:p>
    <w:p w14:paraId="6DD35A5C">
      <w:pPr>
        <w:spacing w:line="360" w:lineRule="auto"/>
        <w:ind w:firstLine="437"/>
        <w:outlineLvl w:val="2"/>
        <w:rPr>
          <w:rFonts w:hint="eastAsia" w:ascii="宋体" w:hAnsi="宋体" w:eastAsia="宋体" w:cs="宋体"/>
          <w:b/>
          <w:i w:val="0"/>
          <w:iCs w:val="0"/>
          <w:color w:val="auto"/>
          <w:sz w:val="24"/>
          <w:szCs w:val="24"/>
          <w:highlight w:val="none"/>
        </w:rPr>
      </w:pPr>
      <w:bookmarkStart w:id="730" w:name="_Toc12004"/>
      <w:bookmarkStart w:id="731" w:name="_Toc16673"/>
      <w:bookmarkStart w:id="732" w:name="_Toc30894"/>
      <w:bookmarkStart w:id="733" w:name="_Toc279701264"/>
      <w:bookmarkStart w:id="734" w:name="_Toc3148"/>
      <w:bookmarkStart w:id="735" w:name="_Toc259093693"/>
      <w:bookmarkStart w:id="736" w:name="_Toc13059"/>
      <w:bookmarkStart w:id="737" w:name="_Toc487900374"/>
      <w:r>
        <w:rPr>
          <w:rFonts w:hint="eastAsia" w:ascii="宋体" w:hAnsi="宋体" w:eastAsia="宋体" w:cs="宋体"/>
          <w:b/>
          <w:bCs/>
          <w:i w:val="0"/>
          <w:iCs w:val="0"/>
          <w:color w:val="auto"/>
          <w:sz w:val="24"/>
          <w:szCs w:val="24"/>
          <w:highlight w:val="none"/>
          <w:lang w:val="zh-CN"/>
        </w:rPr>
        <w:t>2.17 履约保证金</w:t>
      </w:r>
      <w:bookmarkEnd w:id="730"/>
      <w:bookmarkEnd w:id="731"/>
      <w:bookmarkEnd w:id="732"/>
      <w:bookmarkEnd w:id="733"/>
      <w:bookmarkEnd w:id="734"/>
      <w:bookmarkEnd w:id="735"/>
      <w:bookmarkEnd w:id="736"/>
    </w:p>
    <w:p w14:paraId="1C42A5B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2.17.1采购文件要求乙方提交履约保证金的，乙方应按</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约定的方式，以支票、汇票、本票或者金融机构、担保机构出具的保函等非现金形式提交；</w:t>
      </w:r>
    </w:p>
    <w:p w14:paraId="4D9AC60E">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2.17.2履约保证金在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约定期间内不予退还或者应完全有效，前述约定期间届满之日起</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个工作日内，甲方应将履约保证金退还乙方</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甲方</w:t>
      </w:r>
      <w:r>
        <w:rPr>
          <w:rFonts w:hint="eastAsia" w:ascii="宋体" w:hAnsi="宋体" w:eastAsia="宋体" w:cs="宋体"/>
          <w:i w:val="0"/>
          <w:iCs w:val="0"/>
          <w:color w:val="auto"/>
          <w:sz w:val="24"/>
          <w:szCs w:val="24"/>
          <w:highlight w:val="none"/>
        </w:rPr>
        <w:t>逾期退还履约保证金</w:t>
      </w:r>
      <w:r>
        <w:rPr>
          <w:rFonts w:hint="eastAsia" w:ascii="宋体" w:hAnsi="宋体" w:eastAsia="宋体" w:cs="宋体"/>
          <w:i w:val="0"/>
          <w:iCs w:val="0"/>
          <w:color w:val="auto"/>
          <w:sz w:val="24"/>
          <w:szCs w:val="24"/>
          <w:highlight w:val="none"/>
          <w:lang w:val="en-US" w:eastAsia="zh-CN"/>
        </w:rPr>
        <w:t>应承担违约责任。</w:t>
      </w:r>
    </w:p>
    <w:p w14:paraId="5DC1A76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37"/>
    <w:p w14:paraId="1186696B">
      <w:pPr>
        <w:spacing w:line="360" w:lineRule="auto"/>
        <w:ind w:firstLine="437"/>
        <w:outlineLvl w:val="2"/>
        <w:rPr>
          <w:rFonts w:hint="eastAsia" w:ascii="宋体" w:hAnsi="宋体" w:eastAsia="宋体" w:cs="宋体"/>
          <w:b/>
          <w:i w:val="0"/>
          <w:iCs w:val="0"/>
          <w:color w:val="auto"/>
          <w:sz w:val="24"/>
          <w:szCs w:val="24"/>
          <w:highlight w:val="none"/>
        </w:rPr>
      </w:pPr>
      <w:bookmarkStart w:id="738" w:name="_Toc7242"/>
      <w:bookmarkStart w:id="739" w:name="_Toc6885"/>
      <w:bookmarkStart w:id="740" w:name="_Toc19890"/>
      <w:bookmarkStart w:id="741" w:name="_Toc11238"/>
      <w:bookmarkStart w:id="742" w:name="_Toc14001"/>
      <w:r>
        <w:rPr>
          <w:rFonts w:hint="eastAsia" w:ascii="宋体" w:hAnsi="宋体" w:eastAsia="宋体" w:cs="宋体"/>
          <w:b/>
          <w:bCs/>
          <w:i w:val="0"/>
          <w:iCs w:val="0"/>
          <w:color w:val="auto"/>
          <w:sz w:val="24"/>
          <w:szCs w:val="24"/>
          <w:highlight w:val="none"/>
          <w:lang w:val="zh-CN"/>
        </w:rPr>
        <w:t>2.18 合同份数</w:t>
      </w:r>
      <w:bookmarkEnd w:id="738"/>
      <w:bookmarkEnd w:id="739"/>
      <w:bookmarkEnd w:id="740"/>
      <w:bookmarkEnd w:id="741"/>
      <w:bookmarkEnd w:id="742"/>
    </w:p>
    <w:p w14:paraId="1E34590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合同份数按</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规定，每份均具有同等法律效力。</w:t>
      </w:r>
    </w:p>
    <w:p w14:paraId="53F3690C">
      <w:pPr>
        <w:spacing w:line="360" w:lineRule="auto"/>
        <w:jc w:val="center"/>
        <w:outlineLvl w:val="1"/>
        <w:rPr>
          <w:rFonts w:hint="eastAsia" w:ascii="宋体" w:hAnsi="宋体" w:eastAsia="宋体" w:cs="宋体"/>
          <w:b/>
          <w:color w:val="auto"/>
          <w:sz w:val="36"/>
          <w:szCs w:val="36"/>
          <w:highlight w:val="none"/>
        </w:rPr>
      </w:pPr>
      <w:r>
        <w:rPr>
          <w:rFonts w:cs="Times New Roman" w:asciiTheme="minorEastAsia" w:hAnsiTheme="minorEastAsia" w:eastAsiaTheme="minorEastAsia"/>
          <w:color w:val="auto"/>
          <w:sz w:val="24"/>
          <w:szCs w:val="24"/>
          <w:highlight w:val="none"/>
        </w:rPr>
        <w:br w:type="page"/>
      </w:r>
      <w:bookmarkStart w:id="743" w:name="_Toc24453"/>
      <w:bookmarkStart w:id="744" w:name="_Toc19801"/>
      <w:bookmarkStart w:id="745" w:name="_Toc3736"/>
      <w:r>
        <w:rPr>
          <w:rFonts w:hint="eastAsia" w:ascii="宋体" w:hAnsi="宋体" w:eastAsia="宋体" w:cs="宋体"/>
          <w:b/>
          <w:color w:val="auto"/>
          <w:sz w:val="36"/>
          <w:szCs w:val="36"/>
          <w:highlight w:val="none"/>
        </w:rPr>
        <w:t>第三部分 合同专用条款</w:t>
      </w:r>
      <w:bookmarkEnd w:id="743"/>
      <w:bookmarkEnd w:id="744"/>
      <w:bookmarkEnd w:id="745"/>
    </w:p>
    <w:p w14:paraId="3D7C59F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3"/>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024E0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30CAE0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568" w:type="dxa"/>
            <w:vAlign w:val="center"/>
          </w:tcPr>
          <w:p w14:paraId="5E297E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47A1D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3B4B21CE">
            <w:pPr>
              <w:spacing w:line="560" w:lineRule="exact"/>
              <w:rPr>
                <w:rFonts w:hint="eastAsia" w:ascii="宋体" w:hAnsi="宋体" w:eastAsia="宋体" w:cs="宋体"/>
                <w:color w:val="auto"/>
                <w:sz w:val="24"/>
                <w:szCs w:val="24"/>
                <w:highlight w:val="none"/>
              </w:rPr>
            </w:pPr>
          </w:p>
        </w:tc>
        <w:tc>
          <w:tcPr>
            <w:tcW w:w="7568" w:type="dxa"/>
            <w:vAlign w:val="center"/>
          </w:tcPr>
          <w:p w14:paraId="40655C46">
            <w:pPr>
              <w:spacing w:line="560" w:lineRule="exact"/>
              <w:rPr>
                <w:rFonts w:hint="eastAsia" w:ascii="宋体" w:hAnsi="宋体" w:eastAsia="宋体" w:cs="宋体"/>
                <w:color w:val="auto"/>
                <w:sz w:val="24"/>
                <w:szCs w:val="24"/>
                <w:highlight w:val="none"/>
              </w:rPr>
            </w:pPr>
          </w:p>
        </w:tc>
      </w:tr>
      <w:tr w14:paraId="0B040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F3CD612">
            <w:pPr>
              <w:spacing w:line="560" w:lineRule="exact"/>
              <w:rPr>
                <w:rFonts w:hint="eastAsia" w:ascii="宋体" w:hAnsi="宋体" w:eastAsia="宋体" w:cs="宋体"/>
                <w:color w:val="auto"/>
                <w:sz w:val="24"/>
                <w:szCs w:val="24"/>
                <w:highlight w:val="none"/>
              </w:rPr>
            </w:pPr>
          </w:p>
        </w:tc>
        <w:tc>
          <w:tcPr>
            <w:tcW w:w="7568" w:type="dxa"/>
            <w:vAlign w:val="center"/>
          </w:tcPr>
          <w:p w14:paraId="32E7ECB0">
            <w:pPr>
              <w:spacing w:line="560" w:lineRule="exact"/>
              <w:rPr>
                <w:rFonts w:hint="eastAsia" w:ascii="宋体" w:hAnsi="宋体" w:eastAsia="宋体" w:cs="宋体"/>
                <w:color w:val="auto"/>
                <w:sz w:val="24"/>
                <w:szCs w:val="24"/>
                <w:highlight w:val="none"/>
              </w:rPr>
            </w:pPr>
          </w:p>
        </w:tc>
      </w:tr>
      <w:tr w14:paraId="1FC91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9AF35CA">
            <w:pPr>
              <w:spacing w:line="560" w:lineRule="exact"/>
              <w:rPr>
                <w:rFonts w:hint="eastAsia" w:ascii="宋体" w:hAnsi="宋体" w:eastAsia="宋体" w:cs="宋体"/>
                <w:color w:val="auto"/>
                <w:sz w:val="24"/>
                <w:szCs w:val="24"/>
                <w:highlight w:val="none"/>
              </w:rPr>
            </w:pPr>
          </w:p>
        </w:tc>
        <w:tc>
          <w:tcPr>
            <w:tcW w:w="7568" w:type="dxa"/>
            <w:vAlign w:val="center"/>
          </w:tcPr>
          <w:p w14:paraId="611385EA">
            <w:pPr>
              <w:spacing w:line="560" w:lineRule="exact"/>
              <w:rPr>
                <w:rFonts w:hint="eastAsia" w:ascii="宋体" w:hAnsi="宋体" w:eastAsia="宋体" w:cs="宋体"/>
                <w:color w:val="auto"/>
                <w:sz w:val="24"/>
                <w:szCs w:val="24"/>
                <w:highlight w:val="none"/>
              </w:rPr>
            </w:pPr>
          </w:p>
        </w:tc>
      </w:tr>
      <w:tr w14:paraId="4AA11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8C18170">
            <w:pPr>
              <w:spacing w:line="560" w:lineRule="exact"/>
              <w:rPr>
                <w:rFonts w:hint="eastAsia" w:ascii="宋体" w:hAnsi="宋体" w:eastAsia="宋体" w:cs="宋体"/>
                <w:color w:val="auto"/>
                <w:sz w:val="24"/>
                <w:szCs w:val="24"/>
                <w:highlight w:val="none"/>
              </w:rPr>
            </w:pPr>
          </w:p>
        </w:tc>
        <w:tc>
          <w:tcPr>
            <w:tcW w:w="7568" w:type="dxa"/>
            <w:vAlign w:val="center"/>
          </w:tcPr>
          <w:p w14:paraId="728B2346">
            <w:pPr>
              <w:spacing w:line="560" w:lineRule="exact"/>
              <w:rPr>
                <w:rFonts w:hint="eastAsia" w:ascii="宋体" w:hAnsi="宋体" w:eastAsia="宋体" w:cs="宋体"/>
                <w:color w:val="auto"/>
                <w:sz w:val="24"/>
                <w:szCs w:val="24"/>
                <w:highlight w:val="none"/>
              </w:rPr>
            </w:pPr>
          </w:p>
        </w:tc>
      </w:tr>
      <w:tr w14:paraId="2F6F8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4A51C9F">
            <w:pPr>
              <w:spacing w:line="560" w:lineRule="exact"/>
              <w:rPr>
                <w:rFonts w:hint="eastAsia" w:ascii="宋体" w:hAnsi="宋体" w:eastAsia="宋体" w:cs="宋体"/>
                <w:color w:val="auto"/>
                <w:sz w:val="24"/>
                <w:szCs w:val="24"/>
                <w:highlight w:val="none"/>
              </w:rPr>
            </w:pPr>
          </w:p>
        </w:tc>
        <w:tc>
          <w:tcPr>
            <w:tcW w:w="7568" w:type="dxa"/>
            <w:vAlign w:val="center"/>
          </w:tcPr>
          <w:p w14:paraId="41CA5680">
            <w:pPr>
              <w:spacing w:line="560" w:lineRule="exact"/>
              <w:rPr>
                <w:rFonts w:hint="eastAsia" w:ascii="宋体" w:hAnsi="宋体" w:eastAsia="宋体" w:cs="宋体"/>
                <w:color w:val="auto"/>
                <w:sz w:val="24"/>
                <w:szCs w:val="24"/>
                <w:highlight w:val="none"/>
                <w:u w:val="single"/>
              </w:rPr>
            </w:pPr>
          </w:p>
        </w:tc>
      </w:tr>
      <w:tr w14:paraId="3E013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9316856">
            <w:pPr>
              <w:spacing w:line="560" w:lineRule="exact"/>
              <w:rPr>
                <w:rFonts w:hint="eastAsia" w:ascii="宋体" w:hAnsi="宋体" w:eastAsia="宋体" w:cs="宋体"/>
                <w:color w:val="auto"/>
                <w:sz w:val="24"/>
                <w:szCs w:val="24"/>
                <w:highlight w:val="none"/>
              </w:rPr>
            </w:pPr>
          </w:p>
        </w:tc>
        <w:tc>
          <w:tcPr>
            <w:tcW w:w="7568" w:type="dxa"/>
            <w:vAlign w:val="center"/>
          </w:tcPr>
          <w:p w14:paraId="5CD2BDDA">
            <w:pPr>
              <w:spacing w:line="560" w:lineRule="exact"/>
              <w:rPr>
                <w:rFonts w:hint="eastAsia" w:ascii="宋体" w:hAnsi="宋体" w:eastAsia="宋体" w:cs="宋体"/>
                <w:color w:val="auto"/>
                <w:sz w:val="24"/>
                <w:szCs w:val="24"/>
                <w:highlight w:val="none"/>
              </w:rPr>
            </w:pPr>
          </w:p>
        </w:tc>
      </w:tr>
      <w:tr w14:paraId="3FED0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45B688D">
            <w:pPr>
              <w:spacing w:line="560" w:lineRule="exact"/>
              <w:rPr>
                <w:rFonts w:hint="eastAsia" w:ascii="宋体" w:hAnsi="宋体" w:eastAsia="宋体" w:cs="宋体"/>
                <w:color w:val="auto"/>
                <w:sz w:val="24"/>
                <w:szCs w:val="24"/>
                <w:highlight w:val="none"/>
              </w:rPr>
            </w:pPr>
          </w:p>
        </w:tc>
        <w:tc>
          <w:tcPr>
            <w:tcW w:w="7568" w:type="dxa"/>
            <w:vAlign w:val="center"/>
          </w:tcPr>
          <w:p w14:paraId="7E92421C">
            <w:pPr>
              <w:spacing w:line="560" w:lineRule="exact"/>
              <w:rPr>
                <w:rFonts w:hint="eastAsia" w:ascii="宋体" w:hAnsi="宋体" w:eastAsia="宋体" w:cs="宋体"/>
                <w:color w:val="auto"/>
                <w:sz w:val="24"/>
                <w:szCs w:val="24"/>
                <w:highlight w:val="none"/>
                <w:u w:val="single"/>
              </w:rPr>
            </w:pPr>
          </w:p>
        </w:tc>
      </w:tr>
      <w:tr w14:paraId="7AA8F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3B5D46E">
            <w:pPr>
              <w:spacing w:line="560" w:lineRule="exact"/>
              <w:rPr>
                <w:rFonts w:hint="eastAsia" w:ascii="宋体" w:hAnsi="宋体" w:eastAsia="宋体" w:cs="宋体"/>
                <w:color w:val="auto"/>
                <w:sz w:val="24"/>
                <w:szCs w:val="24"/>
                <w:highlight w:val="none"/>
              </w:rPr>
            </w:pPr>
          </w:p>
        </w:tc>
        <w:tc>
          <w:tcPr>
            <w:tcW w:w="7568" w:type="dxa"/>
            <w:vAlign w:val="center"/>
          </w:tcPr>
          <w:p w14:paraId="4A52371D">
            <w:pPr>
              <w:spacing w:line="560" w:lineRule="exact"/>
              <w:rPr>
                <w:rFonts w:hint="eastAsia" w:ascii="宋体" w:hAnsi="宋体" w:eastAsia="宋体" w:cs="宋体"/>
                <w:color w:val="auto"/>
                <w:sz w:val="24"/>
                <w:szCs w:val="24"/>
                <w:highlight w:val="none"/>
              </w:rPr>
            </w:pPr>
          </w:p>
        </w:tc>
      </w:tr>
      <w:tr w14:paraId="220B9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CD534FB">
            <w:pPr>
              <w:spacing w:line="560" w:lineRule="exact"/>
              <w:rPr>
                <w:rFonts w:hint="eastAsia" w:ascii="宋体" w:hAnsi="宋体" w:eastAsia="宋体" w:cs="宋体"/>
                <w:color w:val="auto"/>
                <w:sz w:val="24"/>
                <w:szCs w:val="24"/>
                <w:highlight w:val="none"/>
              </w:rPr>
            </w:pPr>
          </w:p>
        </w:tc>
        <w:tc>
          <w:tcPr>
            <w:tcW w:w="7568" w:type="dxa"/>
            <w:vAlign w:val="center"/>
          </w:tcPr>
          <w:p w14:paraId="6035952A">
            <w:pPr>
              <w:spacing w:line="560" w:lineRule="exact"/>
              <w:rPr>
                <w:rFonts w:hint="eastAsia" w:ascii="宋体" w:hAnsi="宋体" w:eastAsia="宋体" w:cs="宋体"/>
                <w:color w:val="auto"/>
                <w:sz w:val="24"/>
                <w:szCs w:val="24"/>
                <w:highlight w:val="none"/>
              </w:rPr>
            </w:pPr>
          </w:p>
        </w:tc>
      </w:tr>
      <w:tr w14:paraId="00AF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5C13F9E">
            <w:pPr>
              <w:spacing w:line="560" w:lineRule="exact"/>
              <w:rPr>
                <w:rFonts w:hint="eastAsia" w:ascii="宋体" w:hAnsi="宋体" w:eastAsia="宋体" w:cs="宋体"/>
                <w:color w:val="auto"/>
                <w:sz w:val="24"/>
                <w:szCs w:val="24"/>
                <w:highlight w:val="none"/>
              </w:rPr>
            </w:pPr>
          </w:p>
        </w:tc>
        <w:tc>
          <w:tcPr>
            <w:tcW w:w="7568" w:type="dxa"/>
            <w:vAlign w:val="center"/>
          </w:tcPr>
          <w:p w14:paraId="3AE9AB17">
            <w:pPr>
              <w:spacing w:line="560" w:lineRule="exact"/>
              <w:rPr>
                <w:rFonts w:hint="eastAsia" w:ascii="宋体" w:hAnsi="宋体" w:eastAsia="宋体" w:cs="宋体"/>
                <w:color w:val="auto"/>
                <w:sz w:val="24"/>
                <w:szCs w:val="24"/>
                <w:highlight w:val="none"/>
              </w:rPr>
            </w:pPr>
          </w:p>
        </w:tc>
      </w:tr>
      <w:tr w14:paraId="3EE9C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2A2E4F5">
            <w:pPr>
              <w:spacing w:line="56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0966F80C">
            <w:pPr>
              <w:spacing w:line="560" w:lineRule="exact"/>
              <w:rPr>
                <w:rFonts w:hint="eastAsia" w:ascii="宋体" w:hAnsi="宋体" w:eastAsia="宋体" w:cs="宋体"/>
                <w:color w:val="auto"/>
                <w:sz w:val="24"/>
                <w:szCs w:val="24"/>
                <w:highlight w:val="none"/>
              </w:rPr>
            </w:pPr>
          </w:p>
        </w:tc>
      </w:tr>
      <w:tr w14:paraId="504B1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E06642C">
            <w:pPr>
              <w:spacing w:line="56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48D2113A">
            <w:pPr>
              <w:spacing w:line="560" w:lineRule="exact"/>
              <w:rPr>
                <w:rFonts w:hint="eastAsia" w:ascii="宋体" w:hAnsi="宋体" w:eastAsia="宋体" w:cs="宋体"/>
                <w:color w:val="auto"/>
                <w:sz w:val="24"/>
                <w:szCs w:val="24"/>
                <w:highlight w:val="none"/>
              </w:rPr>
            </w:pPr>
          </w:p>
        </w:tc>
      </w:tr>
    </w:tbl>
    <w:p w14:paraId="1FAB85DE">
      <w:pPr>
        <w:spacing w:line="360" w:lineRule="auto"/>
        <w:rPr>
          <w:rFonts w:asciiTheme="minorEastAsia" w:hAnsiTheme="minorEastAsia" w:eastAsiaTheme="minorEastAsia"/>
          <w:color w:val="auto"/>
          <w:sz w:val="24"/>
          <w:highlight w:val="none"/>
        </w:rPr>
      </w:pPr>
    </w:p>
    <w:p w14:paraId="02ABD43E">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bookmarkEnd w:id="542"/>
    <w:p w14:paraId="5CAF3138">
      <w:pPr>
        <w:pStyle w:val="6"/>
        <w:bidi w:val="0"/>
        <w:rPr>
          <w:rFonts w:hint="eastAsia" w:ascii="宋体" w:hAnsi="宋体" w:eastAsia="宋体" w:cs="宋体"/>
          <w:lang w:val="en-US" w:eastAsia="zh-CN"/>
        </w:rPr>
      </w:pPr>
      <w:bookmarkStart w:id="746" w:name="_Toc28408"/>
      <w:bookmarkStart w:id="747" w:name="_Toc155185919"/>
      <w:bookmarkStart w:id="748" w:name="_Toc94"/>
      <w:bookmarkStart w:id="749" w:name="_Toc4770"/>
      <w:r>
        <w:rPr>
          <w:rFonts w:hint="eastAsia" w:ascii="宋体" w:hAnsi="宋体" w:eastAsia="宋体" w:cs="宋体"/>
          <w:lang w:val="en-US" w:eastAsia="zh-CN"/>
        </w:rPr>
        <w:t>第七章 投标文件格式</w:t>
      </w:r>
      <w:bookmarkEnd w:id="746"/>
      <w:bookmarkEnd w:id="747"/>
      <w:bookmarkEnd w:id="748"/>
      <w:bookmarkEnd w:id="749"/>
    </w:p>
    <w:p w14:paraId="375DA883">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6466A4DC">
      <w:pPr>
        <w:autoSpaceDE w:val="0"/>
        <w:autoSpaceDN w:val="0"/>
        <w:adjustRightInd w:val="0"/>
        <w:rPr>
          <w:color w:val="auto"/>
          <w:sz w:val="21"/>
          <w:szCs w:val="24"/>
          <w:highlight w:val="none"/>
        </w:rPr>
      </w:pPr>
    </w:p>
    <w:p w14:paraId="445E5BF7">
      <w:pPr>
        <w:autoSpaceDE w:val="0"/>
        <w:autoSpaceDN w:val="0"/>
        <w:adjustRightInd w:val="0"/>
        <w:rPr>
          <w:color w:val="auto"/>
          <w:sz w:val="21"/>
          <w:szCs w:val="24"/>
          <w:highlight w:val="none"/>
        </w:rPr>
      </w:pPr>
    </w:p>
    <w:p w14:paraId="6994B875">
      <w:pPr>
        <w:autoSpaceDE w:val="0"/>
        <w:autoSpaceDN w:val="0"/>
        <w:adjustRightInd w:val="0"/>
        <w:rPr>
          <w:color w:val="auto"/>
          <w:sz w:val="21"/>
          <w:szCs w:val="24"/>
          <w:highlight w:val="none"/>
        </w:rPr>
      </w:pPr>
    </w:p>
    <w:p w14:paraId="2280C3BA">
      <w:pPr>
        <w:pStyle w:val="7"/>
        <w:bidi w:val="0"/>
        <w:jc w:val="center"/>
        <w:rPr>
          <w:sz w:val="84"/>
          <w:szCs w:val="84"/>
        </w:rPr>
      </w:pPr>
      <w:bookmarkStart w:id="750" w:name="_Toc29969"/>
      <w:r>
        <w:rPr>
          <w:rFonts w:hint="eastAsia"/>
          <w:sz w:val="84"/>
          <w:szCs w:val="84"/>
        </w:rPr>
        <w:t>投 标 文 件</w:t>
      </w:r>
      <w:bookmarkEnd w:id="750"/>
    </w:p>
    <w:p w14:paraId="026E8C70">
      <w:pPr>
        <w:autoSpaceDE w:val="0"/>
        <w:autoSpaceDN w:val="0"/>
        <w:adjustRightInd w:val="0"/>
        <w:rPr>
          <w:color w:val="auto"/>
          <w:sz w:val="21"/>
          <w:szCs w:val="21"/>
          <w:highlight w:val="none"/>
        </w:rPr>
      </w:pPr>
    </w:p>
    <w:p w14:paraId="3AC4FDEC">
      <w:pPr>
        <w:autoSpaceDE w:val="0"/>
        <w:autoSpaceDN w:val="0"/>
        <w:adjustRightInd w:val="0"/>
        <w:rPr>
          <w:color w:val="auto"/>
          <w:sz w:val="21"/>
          <w:szCs w:val="21"/>
          <w:highlight w:val="none"/>
        </w:rPr>
      </w:pPr>
    </w:p>
    <w:p w14:paraId="5A805ADF">
      <w:pPr>
        <w:autoSpaceDE w:val="0"/>
        <w:autoSpaceDN w:val="0"/>
        <w:adjustRightInd w:val="0"/>
        <w:rPr>
          <w:color w:val="auto"/>
          <w:sz w:val="21"/>
          <w:szCs w:val="21"/>
          <w:highlight w:val="none"/>
        </w:rPr>
      </w:pPr>
    </w:p>
    <w:p w14:paraId="63F784D3">
      <w:pPr>
        <w:autoSpaceDE w:val="0"/>
        <w:autoSpaceDN w:val="0"/>
        <w:adjustRightInd w:val="0"/>
        <w:rPr>
          <w:color w:val="auto"/>
          <w:sz w:val="21"/>
          <w:szCs w:val="21"/>
          <w:highlight w:val="none"/>
        </w:rPr>
      </w:pPr>
    </w:p>
    <w:p w14:paraId="530A0D2F">
      <w:pPr>
        <w:autoSpaceDE w:val="0"/>
        <w:autoSpaceDN w:val="0"/>
        <w:adjustRightInd w:val="0"/>
        <w:rPr>
          <w:color w:val="auto"/>
          <w:sz w:val="21"/>
          <w:szCs w:val="21"/>
          <w:highlight w:val="none"/>
        </w:rPr>
      </w:pPr>
    </w:p>
    <w:p w14:paraId="2085130F">
      <w:pPr>
        <w:autoSpaceDE w:val="0"/>
        <w:autoSpaceDN w:val="0"/>
        <w:adjustRightInd w:val="0"/>
        <w:rPr>
          <w:color w:val="auto"/>
          <w:sz w:val="21"/>
          <w:szCs w:val="21"/>
          <w:highlight w:val="none"/>
        </w:rPr>
      </w:pPr>
    </w:p>
    <w:p w14:paraId="39700BDA">
      <w:pPr>
        <w:autoSpaceDE w:val="0"/>
        <w:autoSpaceDN w:val="0"/>
        <w:adjustRightInd w:val="0"/>
        <w:rPr>
          <w:color w:val="auto"/>
          <w:sz w:val="21"/>
          <w:szCs w:val="21"/>
          <w:highlight w:val="none"/>
        </w:rPr>
      </w:pPr>
    </w:p>
    <w:p w14:paraId="6334E3E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5A643116">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58E4F8B1">
      <w:pPr>
        <w:ind w:left="420" w:leftChars="175"/>
        <w:rPr>
          <w:rFonts w:hint="eastAsia" w:ascii="宋体" w:hAnsi="宋体" w:eastAsia="宋体" w:cs="宋体"/>
          <w:i w:val="0"/>
          <w:iCs w:val="0"/>
          <w:color w:val="auto"/>
          <w:sz w:val="36"/>
          <w:szCs w:val="36"/>
          <w:highlight w:val="none"/>
        </w:rPr>
      </w:pPr>
      <w:r>
        <w:rPr>
          <w:rFonts w:hint="eastAsia" w:cs="宋体"/>
          <w:i w:val="0"/>
          <w:iCs w:val="0"/>
          <w:color w:val="auto"/>
          <w:sz w:val="36"/>
          <w:szCs w:val="36"/>
          <w:highlight w:val="none"/>
          <w:lang w:val="en-US" w:eastAsia="zh-CN"/>
        </w:rPr>
        <w:t>供 应 商</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15BCD2A7">
      <w:pPr>
        <w:ind w:left="420" w:leftChars="175"/>
        <w:rPr>
          <w:rFonts w:hint="eastAsia" w:ascii="宋体" w:hAnsi="宋体" w:eastAsia="宋体" w:cs="宋体"/>
          <w:i w:val="0"/>
          <w:iCs w:val="0"/>
          <w:color w:val="auto"/>
          <w:sz w:val="36"/>
          <w:szCs w:val="36"/>
          <w:highlight w:val="none"/>
        </w:rPr>
      </w:pPr>
      <w:r>
        <w:rPr>
          <w:rFonts w:hint="eastAsia" w:cs="宋体"/>
          <w:i w:val="0"/>
          <w:iCs w:val="0"/>
          <w:color w:val="auto"/>
          <w:sz w:val="36"/>
          <w:szCs w:val="36"/>
          <w:highlight w:val="none"/>
          <w:lang w:val="en-US" w:eastAsia="zh-CN"/>
        </w:rPr>
        <w:t>联系人</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09FFA4AE">
      <w:pPr>
        <w:ind w:left="420" w:leftChars="175"/>
        <w:rPr>
          <w:rFonts w:hint="eastAsia" w:ascii="宋体" w:hAnsi="宋体" w:eastAsia="宋体" w:cs="宋体"/>
          <w:i w:val="0"/>
          <w:iCs w:val="0"/>
          <w:color w:val="auto"/>
          <w:sz w:val="36"/>
          <w:szCs w:val="36"/>
          <w:highlight w:val="none"/>
        </w:rPr>
      </w:pPr>
      <w:r>
        <w:rPr>
          <w:rFonts w:hint="eastAsia" w:cs="宋体"/>
          <w:i w:val="0"/>
          <w:iCs w:val="0"/>
          <w:color w:val="auto"/>
          <w:sz w:val="36"/>
          <w:szCs w:val="36"/>
          <w:highlight w:val="none"/>
          <w:lang w:val="en-US" w:eastAsia="zh-CN"/>
        </w:rPr>
        <w:t>联系电话</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61BBAE95">
      <w:pPr>
        <w:ind w:left="420" w:leftChars="175"/>
        <w:rPr>
          <w:rFonts w:hint="eastAsia" w:ascii="宋体" w:hAnsi="宋体" w:eastAsia="宋体" w:cs="宋体"/>
          <w:i w:val="0"/>
          <w:iCs w:val="0"/>
          <w:color w:val="auto"/>
          <w:sz w:val="36"/>
          <w:szCs w:val="36"/>
          <w:highlight w:val="none"/>
        </w:rPr>
      </w:pPr>
      <w:r>
        <w:rPr>
          <w:rFonts w:hint="eastAsia" w:cs="宋体"/>
          <w:i w:val="0"/>
          <w:iCs w:val="0"/>
          <w:color w:val="auto"/>
          <w:sz w:val="36"/>
          <w:szCs w:val="36"/>
          <w:highlight w:val="none"/>
          <w:lang w:val="en-US" w:eastAsia="zh-CN"/>
        </w:rPr>
        <w:t>联系地址</w:t>
      </w:r>
      <w:r>
        <w:rPr>
          <w:rFonts w:hint="eastAsia" w:ascii="宋体" w:hAnsi="宋体" w:eastAsia="宋体" w:cs="宋体"/>
          <w:i w:val="0"/>
          <w:iCs w:val="0"/>
          <w:color w:val="auto"/>
          <w:sz w:val="36"/>
          <w:szCs w:val="36"/>
          <w:highlight w:val="none"/>
        </w:rPr>
        <w:t>：</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r>
        <w:rPr>
          <w:rFonts w:hint="eastAsia" w:ascii="宋体" w:hAnsi="宋体" w:eastAsia="宋体" w:cs="宋体"/>
          <w:i w:val="0"/>
          <w:iCs w:val="0"/>
          <w:color w:val="auto"/>
          <w:sz w:val="36"/>
          <w:szCs w:val="36"/>
          <w:highlight w:val="none"/>
          <w:u w:val="single"/>
          <w:lang w:val="en-US" w:eastAsia="zh-CN"/>
        </w:rPr>
        <w:t xml:space="preserve"> </w:t>
      </w:r>
      <w:r>
        <w:rPr>
          <w:rFonts w:hint="eastAsia" w:ascii="宋体" w:hAnsi="宋体" w:eastAsia="宋体" w:cs="宋体"/>
          <w:i w:val="0"/>
          <w:iCs w:val="0"/>
          <w:color w:val="auto"/>
          <w:sz w:val="36"/>
          <w:szCs w:val="36"/>
          <w:highlight w:val="none"/>
          <w:u w:val="single"/>
        </w:rPr>
        <w:t xml:space="preserve">              </w:t>
      </w:r>
    </w:p>
    <w:p w14:paraId="41949919">
      <w:pPr>
        <w:ind w:firstLine="640" w:firstLineChars="200"/>
        <w:jc w:val="center"/>
        <w:rPr>
          <w:rFonts w:hint="eastAsia" w:cs="仿宋_GB2312"/>
          <w:i w:val="0"/>
          <w:iCs w:val="0"/>
          <w:color w:val="auto"/>
          <w:highlight w:val="none"/>
          <w:lang w:val="zh-CN"/>
        </w:rPr>
      </w:pPr>
      <w:r>
        <w:rPr>
          <w:rFonts w:hint="eastAsia" w:ascii="宋体" w:hAnsi="宋体" w:eastAsia="宋体" w:cs="宋体"/>
          <w:i w:val="0"/>
          <w:iCs w:val="0"/>
          <w:color w:val="auto"/>
          <w:sz w:val="32"/>
          <w:szCs w:val="32"/>
          <w:highlight w:val="none"/>
        </w:rPr>
        <w:t>年   月    日</w:t>
      </w:r>
    </w:p>
    <w:p w14:paraId="6447D651">
      <w:pPr>
        <w:rPr>
          <w:color w:val="auto"/>
          <w:highlight w:val="none"/>
          <w:lang w:val="zh-CN"/>
        </w:rPr>
      </w:pPr>
      <w:r>
        <w:rPr>
          <w:color w:val="auto"/>
          <w:highlight w:val="none"/>
          <w:lang w:val="zh-CN"/>
        </w:rPr>
        <w:br w:type="page"/>
      </w:r>
    </w:p>
    <w:p w14:paraId="215FC2E3">
      <w:pPr>
        <w:pStyle w:val="7"/>
        <w:bidi w:val="0"/>
        <w:rPr>
          <w:rFonts w:hint="eastAsia"/>
          <w:sz w:val="28"/>
          <w:szCs w:val="28"/>
          <w:lang w:val="en-US" w:eastAsia="zh-CN"/>
        </w:rPr>
      </w:pPr>
      <w:bookmarkStart w:id="751" w:name="_Toc25215"/>
      <w:bookmarkStart w:id="752" w:name="_Toc155185927"/>
      <w:r>
        <w:rPr>
          <w:rFonts w:hint="eastAsia"/>
          <w:sz w:val="28"/>
          <w:szCs w:val="28"/>
          <w:lang w:val="en-US" w:eastAsia="zh-CN"/>
        </w:rPr>
        <w:t>一、满足《中华人民共和国政府采购法》第二十二条规定</w:t>
      </w:r>
      <w:bookmarkEnd w:id="751"/>
    </w:p>
    <w:bookmarkEnd w:id="752"/>
    <w:p w14:paraId="4C03246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（一）法人、其他组织或者自然人的证明文件</w:t>
      </w:r>
    </w:p>
    <w:p w14:paraId="2881C9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1、投标人</w:t>
      </w:r>
      <w:r>
        <w:rPr>
          <w:rFonts w:hint="eastAsia" w:ascii="宋体" w:hAnsi="宋体" w:eastAsia="宋体" w:cs="宋体"/>
          <w:b w:val="0"/>
          <w:bCs w:val="0"/>
          <w:color w:val="auto"/>
          <w:kern w:val="0"/>
          <w:sz w:val="24"/>
          <w:szCs w:val="24"/>
          <w:highlight w:val="none"/>
          <w:lang w:val="en-US" w:eastAsia="zh-CN"/>
        </w:rPr>
        <w:t>为企业（包括合伙企业）的，应提供有效的“营业执照”；</w:t>
      </w:r>
    </w:p>
    <w:p w14:paraId="1CA280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2、投标人</w:t>
      </w:r>
      <w:r>
        <w:rPr>
          <w:rFonts w:hint="eastAsia" w:ascii="宋体" w:hAnsi="宋体" w:eastAsia="宋体" w:cs="宋体"/>
          <w:b w:val="0"/>
          <w:bCs w:val="0"/>
          <w:color w:val="auto"/>
          <w:kern w:val="0"/>
          <w:sz w:val="24"/>
          <w:szCs w:val="24"/>
          <w:highlight w:val="none"/>
          <w:lang w:val="en-US" w:eastAsia="zh-CN"/>
        </w:rPr>
        <w:t>为事业单位的，应提供有效的“事业单位法人证书”；</w:t>
      </w:r>
    </w:p>
    <w:p w14:paraId="4C09FD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3、投标人</w:t>
      </w:r>
      <w:r>
        <w:rPr>
          <w:rFonts w:hint="eastAsia" w:ascii="宋体" w:hAnsi="宋体" w:eastAsia="宋体" w:cs="宋体"/>
          <w:b w:val="0"/>
          <w:bCs w:val="0"/>
          <w:color w:val="auto"/>
          <w:kern w:val="0"/>
          <w:sz w:val="24"/>
          <w:szCs w:val="24"/>
          <w:highlight w:val="none"/>
          <w:lang w:val="en-US" w:eastAsia="zh-CN"/>
        </w:rPr>
        <w:t>为非企业机构的，应提供有效的“执业许可证”、“登记证书”等证明文件；</w:t>
      </w:r>
    </w:p>
    <w:p w14:paraId="323934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4、投标人</w:t>
      </w:r>
      <w:r>
        <w:rPr>
          <w:rFonts w:hint="eastAsia" w:ascii="宋体" w:hAnsi="宋体" w:eastAsia="宋体" w:cs="宋体"/>
          <w:b w:val="0"/>
          <w:bCs w:val="0"/>
          <w:color w:val="auto"/>
          <w:kern w:val="0"/>
          <w:sz w:val="24"/>
          <w:szCs w:val="24"/>
          <w:highlight w:val="none"/>
          <w:lang w:val="en-US" w:eastAsia="zh-CN"/>
        </w:rPr>
        <w:t>是个体工商户的，应提供有效的“个体工商户营业执照”；</w:t>
      </w:r>
    </w:p>
    <w:p w14:paraId="47F836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5、投标人</w:t>
      </w:r>
      <w:r>
        <w:rPr>
          <w:rFonts w:hint="eastAsia" w:ascii="宋体" w:hAnsi="宋体" w:eastAsia="宋体" w:cs="宋体"/>
          <w:b w:val="0"/>
          <w:bCs w:val="0"/>
          <w:color w:val="auto"/>
          <w:kern w:val="0"/>
          <w:sz w:val="24"/>
          <w:szCs w:val="24"/>
          <w:highlight w:val="none"/>
          <w:lang w:val="en-US" w:eastAsia="zh-CN"/>
        </w:rPr>
        <w:t>是自然人的，应提供有效的自然人身份证明</w:t>
      </w:r>
      <w:r>
        <w:rPr>
          <w:rFonts w:hint="eastAsia" w:cs="宋体"/>
          <w:b w:val="0"/>
          <w:bCs w:val="0"/>
          <w:color w:val="auto"/>
          <w:kern w:val="0"/>
          <w:sz w:val="24"/>
          <w:szCs w:val="24"/>
          <w:highlight w:val="none"/>
          <w:lang w:val="en-US" w:eastAsia="zh-CN"/>
        </w:rPr>
        <w:t>。</w:t>
      </w:r>
    </w:p>
    <w:p w14:paraId="77687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p>
    <w:p w14:paraId="2FE2A9CA">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br w:type="page"/>
      </w:r>
    </w:p>
    <w:p w14:paraId="6FC7F68F">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eastAsia="宋体" w:cstheme="majorBidi"/>
          <w:b/>
          <w:bCs/>
          <w:color w:val="auto"/>
          <w:kern w:val="2"/>
          <w:sz w:val="24"/>
          <w:szCs w:val="24"/>
          <w:highlight w:val="none"/>
          <w:lang w:val="en-US" w:eastAsia="zh-CN" w:bidi="ar-SA"/>
        </w:rPr>
      </w:pPr>
      <w:bookmarkStart w:id="753" w:name="_Toc15114"/>
      <w:bookmarkStart w:id="754" w:name="_Toc23771"/>
      <w:r>
        <w:rPr>
          <w:rFonts w:hint="eastAsia" w:eastAsia="宋体" w:cstheme="majorBidi"/>
          <w:b/>
          <w:bCs/>
          <w:color w:val="auto"/>
          <w:kern w:val="2"/>
          <w:sz w:val="24"/>
          <w:szCs w:val="24"/>
          <w:highlight w:val="none"/>
          <w:lang w:val="en-US" w:eastAsia="zh-CN" w:bidi="ar-SA"/>
        </w:rPr>
        <w:t>（二）政府采购供应商信用承诺函</w:t>
      </w:r>
      <w:bookmarkEnd w:id="753"/>
      <w:bookmarkEnd w:id="754"/>
    </w:p>
    <w:p w14:paraId="695B752A">
      <w:pPr>
        <w:spacing w:line="56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单位名称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自然人姓名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1BF1CBCB">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314E343E">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负责人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2F4CE840">
      <w:pPr>
        <w:spacing w:line="560" w:lineRule="exact"/>
        <w:ind w:firstLine="480" w:firstLineChars="200"/>
        <w:rPr>
          <w:rFonts w:hint="eastAsia" w:ascii="宋体" w:hAnsi="宋体" w:eastAsia="宋体" w:cs="宋体"/>
          <w:color w:val="auto"/>
          <w:kern w:val="0"/>
          <w:sz w:val="24"/>
          <w:szCs w:val="24"/>
          <w:highlight w:val="none"/>
        </w:rPr>
      </w:pPr>
    </w:p>
    <w:p w14:paraId="776D8704">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自愿参加本次政府采购活动，严格遵守《中华人民共和国政府采购法》及相关法律法规，坚守公开、公平、公正和诚实信用等原则，依法诚信经营，并郑重承诺：    </w:t>
      </w:r>
    </w:p>
    <w:p w14:paraId="353CD750">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符合《中华人民共和国政府采购法》第二十二条规定：</w:t>
      </w:r>
    </w:p>
    <w:p w14:paraId="6C579D2A">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具有独立承担民事责任的能力;</w:t>
      </w:r>
    </w:p>
    <w:p w14:paraId="1253879B">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具有良好的商业信誉和健全的财务会计制度;</w:t>
      </w:r>
    </w:p>
    <w:p w14:paraId="550B1CDF">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具有履行合同所必需的设备和专业技术能力;</w:t>
      </w:r>
    </w:p>
    <w:p w14:paraId="221E549B">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有依法缴纳税收和社会保障资金的良好记录;</w:t>
      </w:r>
    </w:p>
    <w:p w14:paraId="56D831AE">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参加政府采购活动前三年内，在经营活动中没有重大违法记录;</w:t>
      </w:r>
    </w:p>
    <w:p w14:paraId="126A1FC2">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符合法律、行政法规规定的其他条件。</w:t>
      </w:r>
    </w:p>
    <w:p w14:paraId="48BFD221">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未被列入严重违法失信名单、失信被执行人</w:t>
      </w:r>
      <w:r>
        <w:rPr>
          <w:rFonts w:hint="eastAsia" w:ascii="宋体" w:hAnsi="宋体" w:eastAsia="宋体" w:cs="宋体"/>
          <w:color w:val="auto"/>
          <w:kern w:val="0"/>
          <w:sz w:val="24"/>
          <w:szCs w:val="24"/>
          <w:highlight w:val="none"/>
          <w:lang w:eastAsia="zh-CN"/>
        </w:rPr>
        <w:t>名单</w:t>
      </w:r>
      <w:r>
        <w:rPr>
          <w:rFonts w:hint="eastAsia" w:ascii="宋体" w:hAnsi="宋体" w:eastAsia="宋体" w:cs="宋体"/>
          <w:color w:val="auto"/>
          <w:kern w:val="0"/>
          <w:sz w:val="24"/>
          <w:szCs w:val="24"/>
          <w:highlight w:val="none"/>
        </w:rPr>
        <w:t>、重大税收违法失信主体、政府采购严重违法失信行为记录名</w:t>
      </w:r>
      <w:r>
        <w:rPr>
          <w:rFonts w:hint="eastAsia" w:ascii="宋体" w:hAnsi="宋体" w:eastAsia="宋体" w:cs="宋体"/>
          <w:color w:val="auto"/>
          <w:kern w:val="0"/>
          <w:sz w:val="24"/>
          <w:szCs w:val="24"/>
          <w:highlight w:val="none"/>
          <w:lang w:eastAsia="zh-CN"/>
        </w:rPr>
        <w:t>单</w:t>
      </w:r>
      <w:r>
        <w:rPr>
          <w:rFonts w:hint="eastAsia" w:ascii="宋体" w:hAnsi="宋体" w:eastAsia="宋体" w:cs="宋体"/>
          <w:color w:val="auto"/>
          <w:kern w:val="0"/>
          <w:sz w:val="24"/>
          <w:szCs w:val="24"/>
          <w:highlight w:val="none"/>
        </w:rPr>
        <w:t>。</w:t>
      </w:r>
    </w:p>
    <w:p w14:paraId="30747A83">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三、如果本公司（本人）有幸中标（成交），在合同签订之前，采购单位有权要求本公司（本人）提供资格证明材料原件进行核验。</w:t>
      </w:r>
    </w:p>
    <w:p w14:paraId="663B7525">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四、我单位</w:t>
      </w:r>
      <w:r>
        <w:rPr>
          <w:rFonts w:hint="eastAsia" w:ascii="宋体" w:hAnsi="宋体" w:eastAsia="宋体" w:cs="宋体"/>
          <w:color w:val="auto"/>
          <w:kern w:val="0"/>
          <w:sz w:val="24"/>
          <w:szCs w:val="24"/>
          <w:highlight w:val="none"/>
          <w:lang w:eastAsia="zh-CN"/>
        </w:rPr>
        <w:t>（本人）</w:t>
      </w:r>
      <w:r>
        <w:rPr>
          <w:rFonts w:hint="eastAsia" w:ascii="宋体" w:hAnsi="宋体" w:eastAsia="宋体" w:cs="宋体"/>
          <w:color w:val="auto"/>
          <w:kern w:val="0"/>
          <w:sz w:val="24"/>
          <w:szCs w:val="24"/>
          <w:highlight w:val="none"/>
        </w:rPr>
        <w:t>保证上述承诺事项的真实性。如有弄虚作假或其他违法违规行为，自愿按照规定将违背承诺行为作为失信行为记录到社会信用信息平台，并视同为“提供虚假材料谋取中标、成交”按照</w:t>
      </w:r>
      <w:r>
        <w:rPr>
          <w:rFonts w:hint="eastAsia"/>
          <w:color w:val="auto"/>
          <w:highlight w:val="none"/>
        </w:rPr>
        <w:t>《中华人民共和国政府采购法》</w:t>
      </w:r>
      <w:r>
        <w:rPr>
          <w:rFonts w:hint="eastAsia" w:ascii="宋体" w:hAnsi="宋体" w:eastAsia="宋体" w:cs="宋体"/>
          <w:color w:val="auto"/>
          <w:kern w:val="0"/>
          <w:sz w:val="24"/>
          <w:szCs w:val="24"/>
          <w:highlight w:val="none"/>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B6C39AD">
      <w:pPr>
        <w:spacing w:line="560" w:lineRule="exact"/>
        <w:rPr>
          <w:rFonts w:hint="eastAsia" w:ascii="宋体" w:hAnsi="宋体" w:eastAsia="宋体" w:cs="宋体"/>
          <w:color w:val="auto"/>
          <w:kern w:val="0"/>
          <w:sz w:val="24"/>
          <w:szCs w:val="24"/>
          <w:highlight w:val="none"/>
        </w:rPr>
      </w:pPr>
    </w:p>
    <w:p w14:paraId="49F57DB1">
      <w:pPr>
        <w:spacing w:line="560" w:lineRule="exact"/>
        <w:rPr>
          <w:rFonts w:hint="eastAsia" w:ascii="宋体" w:hAnsi="宋体" w:eastAsia="宋体" w:cs="宋体"/>
          <w:color w:val="auto"/>
          <w:kern w:val="0"/>
          <w:sz w:val="24"/>
          <w:szCs w:val="24"/>
          <w:highlight w:val="none"/>
        </w:rPr>
      </w:pPr>
    </w:p>
    <w:p w14:paraId="5AA48816">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cs="宋体"/>
          <w:color w:val="auto"/>
          <w:kern w:val="0"/>
          <w:sz w:val="24"/>
          <w:szCs w:val="24"/>
          <w:highlight w:val="none"/>
          <w:lang w:val="en-US" w:eastAsia="zh-CN"/>
        </w:rPr>
        <w:t>名称</w:t>
      </w:r>
      <w:r>
        <w:rPr>
          <w:rFonts w:hint="eastAsia" w:ascii="宋体" w:hAnsi="宋体" w:eastAsia="宋体" w:cs="宋体"/>
          <w:color w:val="auto"/>
          <w:kern w:val="0"/>
          <w:sz w:val="24"/>
          <w:szCs w:val="24"/>
          <w:highlight w:val="none"/>
          <w:lang w:eastAsia="zh-CN"/>
        </w:rPr>
        <w:t>（</w:t>
      </w:r>
      <w:r>
        <w:rPr>
          <w:rFonts w:hint="eastAsia" w:cs="宋体"/>
          <w:color w:val="auto"/>
          <w:kern w:val="0"/>
          <w:sz w:val="24"/>
          <w:szCs w:val="24"/>
          <w:highlight w:val="none"/>
          <w:lang w:eastAsia="zh-CN"/>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45C65A8C">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w:t>
      </w:r>
    </w:p>
    <w:p w14:paraId="524E5ADC">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2CB41018">
      <w:pPr>
        <w:widowControl/>
        <w:spacing w:line="560" w:lineRule="exact"/>
        <w:ind w:firstLine="630"/>
        <w:jc w:val="left"/>
        <w:rPr>
          <w:rFonts w:hint="eastAsia" w:ascii="宋体" w:hAnsi="宋体" w:eastAsia="宋体" w:cs="宋体"/>
          <w:color w:val="auto"/>
          <w:kern w:val="0"/>
          <w:sz w:val="24"/>
          <w:szCs w:val="24"/>
          <w:highlight w:val="none"/>
        </w:rPr>
      </w:pPr>
    </w:p>
    <w:p w14:paraId="67DF1B87">
      <w:pPr>
        <w:rPr>
          <w:rFonts w:ascii="Arial" w:hAnsi="Arial" w:cs="Arial"/>
          <w:color w:val="auto"/>
          <w:szCs w:val="21"/>
          <w:highlight w:val="none"/>
        </w:rPr>
      </w:pPr>
      <w:r>
        <w:rPr>
          <w:rFonts w:ascii="Arial" w:hAnsi="Arial" w:cs="Arial"/>
          <w:color w:val="auto"/>
          <w:szCs w:val="21"/>
          <w:highlight w:val="none"/>
        </w:rPr>
        <w:br w:type="page"/>
      </w:r>
    </w:p>
    <w:p w14:paraId="70BE810B">
      <w:pPr>
        <w:bidi w:val="0"/>
        <w:rPr>
          <w:rFonts w:hint="eastAsia"/>
          <w:sz w:val="28"/>
          <w:szCs w:val="24"/>
          <w:lang w:val="zh-CN" w:eastAsia="zh-CN"/>
        </w:rPr>
      </w:pPr>
      <w:bookmarkStart w:id="755" w:name="_Toc109899917"/>
      <w:bookmarkStart w:id="756" w:name="_Toc109899498"/>
      <w:bookmarkStart w:id="757" w:name="_Toc109900336"/>
      <w:bookmarkStart w:id="758" w:name="_Toc140132840"/>
      <w:bookmarkStart w:id="759" w:name="_Toc155185930"/>
      <w:bookmarkStart w:id="760" w:name="_Toc163492923"/>
      <w:bookmarkStart w:id="761" w:name="_Toc21383"/>
      <w:r>
        <w:rPr>
          <w:rFonts w:hint="eastAsia"/>
          <w:b/>
          <w:bCs/>
          <w:sz w:val="28"/>
          <w:szCs w:val="24"/>
          <w:lang w:val="en-US" w:eastAsia="zh-CN"/>
        </w:rPr>
        <w:t>二、</w:t>
      </w:r>
      <w:bookmarkEnd w:id="755"/>
      <w:bookmarkEnd w:id="756"/>
      <w:bookmarkEnd w:id="757"/>
      <w:bookmarkEnd w:id="758"/>
      <w:bookmarkEnd w:id="759"/>
      <w:bookmarkEnd w:id="760"/>
      <w:bookmarkStart w:id="762" w:name="_Toc155185931"/>
      <w:r>
        <w:rPr>
          <w:rFonts w:hint="eastAsia"/>
          <w:b/>
          <w:bCs/>
          <w:sz w:val="28"/>
          <w:szCs w:val="24"/>
          <w:lang w:val="zh-CN" w:eastAsia="zh-CN"/>
        </w:rPr>
        <w:t>联合体协议书</w:t>
      </w:r>
      <w:bookmarkEnd w:id="762"/>
      <w:r>
        <w:rPr>
          <w:rFonts w:hint="eastAsia"/>
          <w:sz w:val="28"/>
          <w:szCs w:val="24"/>
          <w:lang w:val="zh-CN" w:eastAsia="zh-CN"/>
        </w:rPr>
        <w:t>【如适用】</w:t>
      </w:r>
      <w:bookmarkEnd w:id="761"/>
    </w:p>
    <w:p w14:paraId="39563C7F">
      <w:pPr>
        <w:snapToGrid w:val="0"/>
        <w:spacing w:line="360" w:lineRule="auto"/>
        <w:jc w:val="center"/>
        <w:outlineLvl w:val="0"/>
        <w:rPr>
          <w:rFonts w:hint="eastAsia" w:ascii="宋体" w:hAnsi="宋体" w:cs="宋体"/>
          <w:b/>
          <w:color w:val="auto"/>
          <w:kern w:val="0"/>
          <w:sz w:val="32"/>
          <w:szCs w:val="32"/>
          <w:highlight w:val="none"/>
        </w:rPr>
      </w:pPr>
    </w:p>
    <w:p w14:paraId="23E3BC9F">
      <w:pPr>
        <w:snapToGrid w:val="0"/>
        <w:spacing w:line="360" w:lineRule="auto"/>
        <w:jc w:val="center"/>
        <w:outlineLvl w:val="0"/>
        <w:rPr>
          <w:rFonts w:hint="eastAsia" w:ascii="宋体" w:hAnsi="宋体" w:cs="宋体"/>
          <w:b/>
          <w:color w:val="auto"/>
          <w:kern w:val="0"/>
          <w:sz w:val="32"/>
          <w:szCs w:val="32"/>
          <w:highlight w:val="none"/>
        </w:rPr>
      </w:pPr>
      <w:bookmarkStart w:id="763" w:name="_Toc631"/>
      <w:bookmarkStart w:id="764" w:name="_Toc6437"/>
      <w:bookmarkStart w:id="765" w:name="_Toc9915"/>
      <w:bookmarkStart w:id="766" w:name="_Toc25634"/>
      <w:r>
        <w:rPr>
          <w:rFonts w:hint="eastAsia" w:ascii="宋体" w:hAnsi="宋体" w:cs="宋体"/>
          <w:b/>
          <w:color w:val="auto"/>
          <w:kern w:val="0"/>
          <w:sz w:val="32"/>
          <w:szCs w:val="32"/>
          <w:highlight w:val="none"/>
        </w:rPr>
        <w:t>联合体协议书</w:t>
      </w:r>
      <w:bookmarkEnd w:id="763"/>
      <w:bookmarkEnd w:id="764"/>
      <w:bookmarkEnd w:id="765"/>
      <w:bookmarkEnd w:id="766"/>
    </w:p>
    <w:p w14:paraId="6795462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w:t>
      </w:r>
      <w:r>
        <w:rPr>
          <w:rFonts w:hint="eastAsia" w:cs="宋体"/>
          <w:b/>
          <w:color w:val="auto"/>
          <w:sz w:val="24"/>
          <w:highlight w:val="none"/>
          <w:lang w:val="en-US" w:eastAsia="zh-CN"/>
        </w:rPr>
        <w:t>体</w:t>
      </w:r>
      <w:r>
        <w:rPr>
          <w:rFonts w:hint="eastAsia" w:ascii="宋体" w:hAnsi="宋体" w:cs="宋体"/>
          <w:b/>
          <w:color w:val="auto"/>
          <w:sz w:val="24"/>
          <w:highlight w:val="none"/>
        </w:rPr>
        <w:t>协议</w:t>
      </w:r>
      <w:r>
        <w:rPr>
          <w:rFonts w:hint="eastAsia" w:cs="宋体"/>
          <w:b/>
          <w:color w:val="auto"/>
          <w:sz w:val="24"/>
          <w:highlight w:val="none"/>
          <w:lang w:val="en-US" w:eastAsia="zh-CN"/>
        </w:rPr>
        <w:t>书</w:t>
      </w:r>
      <w:r>
        <w:rPr>
          <w:rFonts w:hint="eastAsia" w:ascii="宋体" w:hAnsi="宋体" w:cs="宋体"/>
          <w:b/>
          <w:color w:val="auto"/>
          <w:sz w:val="24"/>
          <w:highlight w:val="none"/>
        </w:rPr>
        <w:t>；本项目不接受联合体投标或者投标人不以联合体形式投标的，则不需要提供）</w:t>
      </w:r>
    </w:p>
    <w:p w14:paraId="14187E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cs="宋体"/>
          <w:color w:val="auto"/>
          <w:sz w:val="24"/>
          <w:highlight w:val="none"/>
          <w:lang w:val="en-US" w:eastAsia="zh-CN"/>
        </w:rPr>
        <w:t>项目</w:t>
      </w:r>
      <w:r>
        <w:rPr>
          <w:rFonts w:hint="eastAsia" w:ascii="宋体" w:hAnsi="宋体" w:cs="宋体"/>
          <w:color w:val="auto"/>
          <w:sz w:val="24"/>
          <w:highlight w:val="none"/>
        </w:rPr>
        <w:t>编号</w:t>
      </w:r>
      <w:r>
        <w:rPr>
          <w:rFonts w:hint="eastAsia" w:cs="宋体"/>
          <w:color w:val="auto"/>
          <w:sz w:val="24"/>
          <w:highlight w:val="none"/>
          <w:lang w:val="en-US" w:eastAsia="zh-CN"/>
        </w:rPr>
        <w:t>/包号</w:t>
      </w:r>
      <w:r>
        <w:rPr>
          <w:rFonts w:hint="eastAsia" w:ascii="宋体" w:hAnsi="宋体" w:cs="宋体"/>
          <w:color w:val="auto"/>
          <w:sz w:val="24"/>
          <w:highlight w:val="none"/>
        </w:rPr>
        <w:t>：</w:t>
      </w:r>
      <w:r>
        <w:rPr>
          <w:rFonts w:hint="eastAsia"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82E87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FA3C7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94C75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742291A">
      <w:pPr>
        <w:snapToGrid w:val="0"/>
        <w:spacing w:line="360" w:lineRule="auto"/>
        <w:ind w:firstLine="576"/>
        <w:rPr>
          <w:rFonts w:ascii="宋体" w:hAnsi="宋体" w:cs="宋体"/>
          <w:color w:val="auto"/>
          <w:kern w:val="0"/>
          <w:sz w:val="24"/>
          <w:highlight w:val="none"/>
          <w:lang w:val="zh-CN"/>
        </w:rPr>
      </w:pPr>
      <w:bookmarkStart w:id="76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承担</w:t>
      </w:r>
      <w:r>
        <w:rPr>
          <w:rFonts w:hint="eastAsia" w:ascii="宋体" w:hAnsi="宋体" w:cs="宋体"/>
          <w:color w:val="auto"/>
          <w:kern w:val="0"/>
          <w:sz w:val="24"/>
          <w:highlight w:val="none"/>
          <w:lang w:val="en-US" w:eastAsia="zh-CN"/>
        </w:rPr>
        <w:t>项目采购合同金额的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，负责</w:t>
      </w:r>
      <w:r>
        <w:rPr>
          <w:rFonts w:hint="eastAsia" w:ascii="宋体" w:hAnsi="宋体" w:cs="宋体"/>
          <w:color w:val="auto"/>
          <w:kern w:val="0"/>
          <w:sz w:val="24"/>
          <w:highlight w:val="none"/>
          <w:lang w:val="zh-CN"/>
        </w:rPr>
        <w:t>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F758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承担</w:t>
      </w:r>
      <w:r>
        <w:rPr>
          <w:rFonts w:hint="eastAsia" w:ascii="宋体" w:hAnsi="宋体" w:cs="宋体"/>
          <w:color w:val="auto"/>
          <w:kern w:val="0"/>
          <w:sz w:val="24"/>
          <w:highlight w:val="none"/>
          <w:lang w:val="en-US" w:eastAsia="zh-CN"/>
        </w:rPr>
        <w:t>项目采购合同金额的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，负责</w:t>
      </w:r>
      <w:r>
        <w:rPr>
          <w:rFonts w:hint="eastAsia" w:ascii="宋体" w:hAnsi="宋体" w:cs="宋体"/>
          <w:color w:val="auto"/>
          <w:kern w:val="0"/>
          <w:sz w:val="24"/>
          <w:highlight w:val="none"/>
          <w:lang w:val="zh-CN"/>
        </w:rPr>
        <w:t>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E4350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767"/>
    <w:p w14:paraId="417425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049397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cs="宋体"/>
          <w:color w:val="auto"/>
          <w:kern w:val="0"/>
          <w:sz w:val="24"/>
          <w:highlight w:val="none"/>
          <w:lang w:val="en-US" w:eastAsia="zh-CN"/>
        </w:rPr>
        <w:t>服务及</w:t>
      </w:r>
      <w:r>
        <w:rPr>
          <w:rFonts w:hint="eastAsia" w:ascii="宋体" w:hAnsi="宋体" w:cs="宋体"/>
          <w:color w:val="auto"/>
          <w:kern w:val="0"/>
          <w:sz w:val="24"/>
          <w:highlight w:val="none"/>
        </w:rPr>
        <w:t>货物由小微企业</w:t>
      </w:r>
      <w:r>
        <w:rPr>
          <w:rFonts w:hint="eastAsia" w:cs="宋体"/>
          <w:color w:val="auto"/>
          <w:kern w:val="0"/>
          <w:sz w:val="24"/>
          <w:highlight w:val="none"/>
          <w:lang w:val="en-US" w:eastAsia="zh-CN"/>
        </w:rPr>
        <w:t>提供和</w:t>
      </w:r>
      <w:r>
        <w:rPr>
          <w:rFonts w:hint="eastAsia" w:ascii="宋体" w:hAnsi="宋体" w:cs="宋体"/>
          <w:color w:val="auto"/>
          <w:kern w:val="0"/>
          <w:sz w:val="24"/>
          <w:highlight w:val="none"/>
        </w:rPr>
        <w:t>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w:t>
      </w:r>
      <w:r>
        <w:rPr>
          <w:rFonts w:hint="eastAsia" w:cs="宋体"/>
          <w:b/>
          <w:color w:val="auto"/>
          <w:kern w:val="0"/>
          <w:sz w:val="24"/>
          <w:highlight w:val="none"/>
          <w:lang w:val="en-US" w:eastAsia="zh-CN"/>
        </w:rPr>
        <w:t>体</w:t>
      </w:r>
      <w:r>
        <w:rPr>
          <w:rFonts w:hint="eastAsia" w:ascii="宋体" w:hAnsi="宋体" w:cs="宋体"/>
          <w:b/>
          <w:color w:val="auto"/>
          <w:kern w:val="0"/>
          <w:sz w:val="24"/>
          <w:highlight w:val="none"/>
          <w:lang w:val="zh-CN"/>
        </w:rPr>
        <w:t>协议</w:t>
      </w:r>
      <w:r>
        <w:rPr>
          <w:rFonts w:hint="eastAsia" w:cs="宋体"/>
          <w:b/>
          <w:color w:val="auto"/>
          <w:kern w:val="0"/>
          <w:sz w:val="24"/>
          <w:highlight w:val="none"/>
          <w:lang w:val="en-US" w:eastAsia="zh-CN"/>
        </w:rPr>
        <w:t>书</w:t>
      </w:r>
      <w:r>
        <w:rPr>
          <w:rFonts w:hint="eastAsia" w:ascii="宋体" w:hAnsi="宋体" w:cs="宋体"/>
          <w:b/>
          <w:color w:val="auto"/>
          <w:kern w:val="0"/>
          <w:sz w:val="24"/>
          <w:highlight w:val="none"/>
          <w:lang w:val="zh-CN"/>
        </w:rPr>
        <w:t>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C0B64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w:t>
      </w:r>
      <w:r>
        <w:rPr>
          <w:rFonts w:hint="eastAsia" w:cs="宋体"/>
          <w:b/>
          <w:bCs/>
          <w:color w:val="auto"/>
          <w:sz w:val="24"/>
          <w:highlight w:val="none"/>
          <w:lang w:val="en-US" w:eastAsia="zh-CN"/>
        </w:rPr>
        <w:t>体</w:t>
      </w:r>
      <w:r>
        <w:rPr>
          <w:rFonts w:hint="eastAsia" w:ascii="宋体" w:hAnsi="宋体" w:cs="宋体"/>
          <w:b/>
          <w:bCs/>
          <w:color w:val="auto"/>
          <w:sz w:val="24"/>
          <w:highlight w:val="none"/>
        </w:rPr>
        <w:t>协议</w:t>
      </w:r>
      <w:r>
        <w:rPr>
          <w:rFonts w:hint="eastAsia" w:cs="宋体"/>
          <w:b/>
          <w:bCs/>
          <w:color w:val="auto"/>
          <w:sz w:val="24"/>
          <w:highlight w:val="none"/>
          <w:lang w:val="en-US" w:eastAsia="zh-CN"/>
        </w:rPr>
        <w:t>书</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EC462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合同，并就采购合同约定的事项对采购人承担连带责任。</w:t>
      </w:r>
    </w:p>
    <w:p w14:paraId="0B6A82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18CE9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3C062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DAC400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B293209">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4、</w:t>
      </w:r>
      <w:r>
        <w:rPr>
          <w:rFonts w:hint="eastAsia" w:ascii="宋体" w:hAnsi="宋体" w:cs="宋体"/>
          <w:color w:val="auto"/>
          <w:kern w:val="0"/>
          <w:sz w:val="24"/>
          <w:highlight w:val="none"/>
          <w:lang w:val="zh-CN"/>
        </w:rPr>
        <w:t>其他：……</w:t>
      </w:r>
    </w:p>
    <w:p w14:paraId="43009373">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5、</w:t>
      </w:r>
      <w:r>
        <w:rPr>
          <w:rFonts w:hint="eastAsia" w:ascii="宋体" w:hAnsi="宋体" w:cs="宋体"/>
          <w:color w:val="auto"/>
          <w:kern w:val="0"/>
          <w:sz w:val="24"/>
          <w:highlight w:val="none"/>
          <w:lang w:val="zh-CN"/>
        </w:rPr>
        <w:t>本协议书自签署之日起生效，若未中标，自本次投标有效期结束后自行失效；若中标，自合同书规定的期限之后自行失效。</w:t>
      </w:r>
    </w:p>
    <w:p w14:paraId="580F475F">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6、</w:t>
      </w:r>
      <w:r>
        <w:rPr>
          <w:rFonts w:hint="eastAsia" w:ascii="宋体" w:hAnsi="宋体" w:cs="宋体"/>
          <w:color w:val="auto"/>
          <w:kern w:val="0"/>
          <w:sz w:val="24"/>
          <w:highlight w:val="none"/>
          <w:lang w:val="zh-CN"/>
        </w:rPr>
        <w:t>本协议书正本一式</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份，联合体成员各执</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份；副本一式</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份，联合体成员各执</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w:t>
      </w:r>
    </w:p>
    <w:p w14:paraId="75ABC4BD">
      <w:pPr>
        <w:snapToGrid w:val="0"/>
        <w:spacing w:line="360" w:lineRule="auto"/>
        <w:ind w:firstLine="576"/>
        <w:rPr>
          <w:rFonts w:hint="eastAsia" w:ascii="宋体" w:hAnsi="宋体" w:cs="宋体"/>
          <w:color w:val="auto"/>
          <w:kern w:val="0"/>
          <w:sz w:val="24"/>
          <w:highlight w:val="none"/>
          <w:lang w:val="zh-CN"/>
        </w:rPr>
      </w:pPr>
    </w:p>
    <w:p w14:paraId="4D791421">
      <w:pPr>
        <w:snapToGrid w:val="0"/>
        <w:spacing w:line="360" w:lineRule="auto"/>
        <w:ind w:firstLine="576"/>
        <w:rPr>
          <w:rFonts w:hint="eastAsia" w:ascii="宋体" w:hAnsi="宋体" w:cs="宋体"/>
          <w:color w:val="auto"/>
          <w:kern w:val="0"/>
          <w:sz w:val="24"/>
          <w:highlight w:val="none"/>
          <w:lang w:val="zh-CN"/>
        </w:rPr>
      </w:pPr>
    </w:p>
    <w:p w14:paraId="1BE31DA1">
      <w:pPr>
        <w:snapToGrid w:val="0"/>
        <w:spacing w:line="36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0F946487">
      <w:pPr>
        <w:snapToGrid w:val="0"/>
        <w:spacing w:line="36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2C01AA7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4D03F6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9BB115A">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8A2ACB2">
      <w:pPr>
        <w:keepNext w:val="0"/>
        <w:keepLines w:val="0"/>
        <w:pageBreakBefore w:val="0"/>
        <w:kinsoku/>
        <w:overflowPunct/>
        <w:topLinePunct w:val="0"/>
        <w:autoSpaceDE/>
        <w:autoSpaceDN/>
        <w:bidi w:val="0"/>
        <w:spacing w:before="157" w:beforeLines="50" w:after="157" w:afterLines="50"/>
        <w:ind w:left="2520" w:leftChars="1050"/>
        <w:textAlignment w:val="auto"/>
        <w:rPr>
          <w:rFonts w:cs="Tahoma"/>
          <w:color w:val="auto"/>
          <w:highlight w:val="none"/>
          <w:u w:val="single"/>
        </w:rPr>
      </w:pPr>
      <w:r>
        <w:rPr>
          <w:rFonts w:cs="Tahoma"/>
          <w:color w:val="auto"/>
          <w:highlight w:val="none"/>
          <w:u w:val="single"/>
        </w:rPr>
        <w:br w:type="page"/>
      </w:r>
    </w:p>
    <w:p w14:paraId="054D30BD">
      <w:pPr>
        <w:bidi w:val="0"/>
        <w:rPr>
          <w:rFonts w:hint="eastAsia"/>
          <w:sz w:val="28"/>
          <w:szCs w:val="24"/>
          <w:lang w:val="zh-CN" w:eastAsia="zh-CN"/>
        </w:rPr>
      </w:pPr>
      <w:bookmarkStart w:id="768" w:name="_Toc156490356"/>
      <w:bookmarkStart w:id="769" w:name="_Toc31421"/>
      <w:bookmarkStart w:id="770" w:name="_Toc162299566"/>
      <w:bookmarkStart w:id="771" w:name="_Hlk101169080"/>
      <w:r>
        <w:rPr>
          <w:rFonts w:hint="eastAsia"/>
          <w:b/>
          <w:bCs/>
          <w:sz w:val="28"/>
          <w:szCs w:val="24"/>
          <w:lang w:val="en-US" w:eastAsia="zh-CN"/>
        </w:rPr>
        <w:t>三、</w:t>
      </w:r>
      <w:r>
        <w:rPr>
          <w:rFonts w:hint="eastAsia"/>
          <w:b/>
          <w:bCs/>
          <w:sz w:val="28"/>
          <w:szCs w:val="24"/>
          <w:lang w:val="zh-CN" w:eastAsia="zh-CN"/>
        </w:rPr>
        <w:t>分包意向协议书</w:t>
      </w:r>
      <w:r>
        <w:rPr>
          <w:rFonts w:hint="eastAsia"/>
          <w:sz w:val="28"/>
          <w:szCs w:val="24"/>
          <w:lang w:val="zh-CN" w:eastAsia="zh-CN"/>
        </w:rPr>
        <w:t>【如适用】</w:t>
      </w:r>
      <w:bookmarkEnd w:id="768"/>
      <w:bookmarkEnd w:id="769"/>
      <w:bookmarkEnd w:id="770"/>
    </w:p>
    <w:p w14:paraId="72EF9FB2">
      <w:pPr>
        <w:snapToGrid w:val="0"/>
        <w:spacing w:line="360" w:lineRule="auto"/>
        <w:jc w:val="center"/>
        <w:outlineLvl w:val="0"/>
        <w:rPr>
          <w:rFonts w:hint="eastAsia" w:ascii="宋体" w:hAnsi="宋体" w:cs="宋体"/>
          <w:b/>
          <w:color w:val="auto"/>
          <w:kern w:val="0"/>
          <w:sz w:val="32"/>
          <w:szCs w:val="32"/>
          <w:highlight w:val="none"/>
        </w:rPr>
      </w:pPr>
    </w:p>
    <w:p w14:paraId="7214AD2B">
      <w:pPr>
        <w:snapToGrid w:val="0"/>
        <w:spacing w:line="360" w:lineRule="auto"/>
        <w:jc w:val="center"/>
        <w:outlineLvl w:val="0"/>
        <w:rPr>
          <w:rFonts w:hint="eastAsia" w:ascii="宋体" w:hAnsi="宋体" w:eastAsia="宋体" w:cs="宋体"/>
          <w:b/>
          <w:color w:val="auto"/>
          <w:kern w:val="0"/>
          <w:sz w:val="32"/>
          <w:szCs w:val="32"/>
          <w:highlight w:val="none"/>
          <w:lang w:val="en-US" w:eastAsia="zh-CN"/>
        </w:rPr>
      </w:pPr>
      <w:bookmarkStart w:id="772" w:name="_Toc766"/>
      <w:bookmarkStart w:id="773" w:name="_Toc13860"/>
      <w:bookmarkStart w:id="774" w:name="_Toc24460"/>
      <w:bookmarkStart w:id="775" w:name="_Toc16974"/>
      <w:r>
        <w:rPr>
          <w:rFonts w:hint="eastAsia" w:ascii="宋体" w:hAnsi="宋体" w:cs="宋体"/>
          <w:b/>
          <w:color w:val="auto"/>
          <w:kern w:val="0"/>
          <w:sz w:val="32"/>
          <w:szCs w:val="32"/>
          <w:highlight w:val="none"/>
        </w:rPr>
        <w:t>分包意向协议</w:t>
      </w:r>
      <w:r>
        <w:rPr>
          <w:rFonts w:hint="eastAsia" w:ascii="宋体" w:hAnsi="宋体" w:cs="宋体"/>
          <w:b/>
          <w:color w:val="auto"/>
          <w:kern w:val="0"/>
          <w:sz w:val="32"/>
          <w:szCs w:val="32"/>
          <w:highlight w:val="none"/>
          <w:lang w:val="en-US" w:eastAsia="zh-CN"/>
        </w:rPr>
        <w:t>书</w:t>
      </w:r>
      <w:bookmarkEnd w:id="772"/>
      <w:bookmarkEnd w:id="773"/>
      <w:bookmarkEnd w:id="774"/>
      <w:bookmarkEnd w:id="775"/>
    </w:p>
    <w:p w14:paraId="4E9F0BF4">
      <w:pPr>
        <w:widowControl/>
        <w:spacing w:line="360" w:lineRule="auto"/>
        <w:ind w:firstLine="120" w:firstLineChars="50"/>
        <w:jc w:val="left"/>
        <w:rPr>
          <w:rFonts w:hint="eastAsia" w:ascii="宋体" w:hAnsi="宋体" w:eastAsia="宋体" w:cs="宋体"/>
          <w:color w:val="auto"/>
          <w:sz w:val="24"/>
          <w:highlight w:val="none"/>
          <w:lang w:eastAsia="zh-CN"/>
        </w:rPr>
      </w:pPr>
      <w:r>
        <w:rPr>
          <w:rFonts w:hint="eastAsia" w:cs="宋体"/>
          <w:color w:val="auto"/>
          <w:sz w:val="24"/>
          <w:highlight w:val="none"/>
          <w:lang w:eastAsia="zh-CN"/>
        </w:rPr>
        <w:t>【</w:t>
      </w:r>
      <w:r>
        <w:rPr>
          <w:rFonts w:hint="eastAsia" w:ascii="宋体" w:hAnsi="宋体" w:cs="宋体"/>
          <w:b/>
          <w:color w:val="auto"/>
          <w:sz w:val="24"/>
          <w:highlight w:val="none"/>
        </w:rPr>
        <w:t>中标后以分包方式履行合同的，提供分包意向协议</w:t>
      </w:r>
      <w:r>
        <w:rPr>
          <w:rFonts w:hint="eastAsia" w:cs="宋体"/>
          <w:b/>
          <w:color w:val="auto"/>
          <w:sz w:val="24"/>
          <w:highlight w:val="none"/>
          <w:lang w:val="en-US" w:eastAsia="zh-CN"/>
        </w:rPr>
        <w:t>书</w:t>
      </w:r>
      <w:r>
        <w:rPr>
          <w:rFonts w:hint="eastAsia" w:ascii="宋体" w:hAnsi="宋体" w:cs="宋体"/>
          <w:b/>
          <w:color w:val="auto"/>
          <w:sz w:val="24"/>
          <w:highlight w:val="none"/>
        </w:rPr>
        <w:t>；采购人不同意分包或者投标人中标后不以分包方式履行合同的，则不需要提供。</w:t>
      </w:r>
      <w:r>
        <w:rPr>
          <w:rFonts w:hint="eastAsia" w:cs="宋体"/>
          <w:color w:val="auto"/>
          <w:sz w:val="24"/>
          <w:highlight w:val="none"/>
          <w:lang w:eastAsia="zh-CN"/>
        </w:rPr>
        <w:t>】</w:t>
      </w:r>
    </w:p>
    <w:p w14:paraId="5791A4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cs="宋体"/>
          <w:color w:val="auto"/>
          <w:sz w:val="24"/>
          <w:highlight w:val="none"/>
          <w:lang w:val="en-US" w:eastAsia="zh-CN"/>
        </w:rPr>
        <w:t>项目</w:t>
      </w:r>
      <w:r>
        <w:rPr>
          <w:rFonts w:hint="eastAsia" w:ascii="宋体" w:hAnsi="宋体" w:cs="宋体"/>
          <w:color w:val="auto"/>
          <w:sz w:val="24"/>
          <w:highlight w:val="none"/>
        </w:rPr>
        <w:t>编号</w:t>
      </w:r>
      <w:r>
        <w:rPr>
          <w:rFonts w:hint="eastAsia" w:cs="宋体"/>
          <w:color w:val="auto"/>
          <w:sz w:val="24"/>
          <w:highlight w:val="none"/>
          <w:lang w:val="en-US" w:eastAsia="zh-CN"/>
        </w:rPr>
        <w:t>/包号</w:t>
      </w:r>
      <w:r>
        <w:rPr>
          <w:rFonts w:hint="eastAsia" w:ascii="宋体" w:hAnsi="宋体" w:cs="宋体"/>
          <w:color w:val="auto"/>
          <w:sz w:val="24"/>
          <w:highlight w:val="none"/>
        </w:rPr>
        <w:t>：</w:t>
      </w:r>
      <w:r>
        <w:rPr>
          <w:rFonts w:hint="eastAsia"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cs="宋体"/>
          <w:color w:val="auto"/>
          <w:kern w:val="0"/>
          <w:sz w:val="24"/>
          <w:highlight w:val="none"/>
          <w:lang w:val="en-US" w:eastAsia="zh-CN"/>
        </w:rPr>
        <w:t>书</w:t>
      </w:r>
      <w:r>
        <w:rPr>
          <w:rFonts w:hint="eastAsia" w:ascii="宋体" w:hAnsi="宋体" w:cs="宋体"/>
          <w:color w:val="auto"/>
          <w:kern w:val="0"/>
          <w:sz w:val="24"/>
          <w:highlight w:val="none"/>
          <w:lang w:val="zh-CN"/>
        </w:rPr>
        <w:t xml:space="preserve">。 </w:t>
      </w:r>
    </w:p>
    <w:p w14:paraId="545E90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E0873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7B916C5">
      <w:pPr>
        <w:pStyle w:val="7"/>
        <w:tabs>
          <w:tab w:val="left" w:pos="432"/>
        </w:tabs>
        <w:ind w:left="758" w:leftChars="316" w:firstLine="229" w:firstLineChars="95"/>
        <w:rPr>
          <w:rFonts w:ascii="宋体" w:hAnsi="宋体" w:eastAsia="宋体" w:cs="宋体"/>
          <w:color w:val="auto"/>
          <w:kern w:val="0"/>
          <w:sz w:val="24"/>
          <w:szCs w:val="24"/>
          <w:highlight w:val="none"/>
        </w:rPr>
      </w:pPr>
      <w:bookmarkStart w:id="776" w:name="_Toc29070"/>
      <w:bookmarkStart w:id="777" w:name="_Toc7988"/>
      <w:r>
        <w:rPr>
          <w:rFonts w:hint="eastAsia" w:ascii="宋体" w:hAnsi="宋体" w:eastAsia="宋体" w:cs="宋体"/>
          <w:color w:val="auto"/>
          <w:kern w:val="0"/>
          <w:sz w:val="24"/>
          <w:szCs w:val="24"/>
          <w:highlight w:val="none"/>
        </w:rPr>
        <w:t>……</w:t>
      </w:r>
      <w:bookmarkEnd w:id="776"/>
      <w:bookmarkEnd w:id="777"/>
    </w:p>
    <w:p w14:paraId="042688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88898B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cs="宋体"/>
          <w:color w:val="auto"/>
          <w:kern w:val="0"/>
          <w:sz w:val="24"/>
          <w:highlight w:val="none"/>
          <w:u w:val="single"/>
          <w:lang w:val="en-US" w:eastAsia="zh-CN"/>
        </w:rPr>
        <w:t>服务</w:t>
      </w:r>
      <w:r>
        <w:rPr>
          <w:rFonts w:hint="eastAsia" w:ascii="宋体" w:hAnsi="宋体" w:cs="宋体"/>
          <w:color w:val="auto"/>
          <w:kern w:val="0"/>
          <w:sz w:val="24"/>
          <w:highlight w:val="none"/>
          <w:u w:val="single"/>
        </w:rPr>
        <w:t>全部由小微企业</w:t>
      </w:r>
      <w:r>
        <w:rPr>
          <w:rFonts w:hint="eastAsia" w:cs="宋体"/>
          <w:color w:val="auto"/>
          <w:kern w:val="0"/>
          <w:sz w:val="24"/>
          <w:highlight w:val="none"/>
          <w:u w:val="single"/>
          <w:lang w:val="en-US" w:eastAsia="zh-CN"/>
        </w:rPr>
        <w:t>承担</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w:t>
      </w:r>
      <w:r>
        <w:rPr>
          <w:rFonts w:hint="eastAsia" w:cs="宋体"/>
          <w:b/>
          <w:color w:val="auto"/>
          <w:kern w:val="0"/>
          <w:sz w:val="24"/>
          <w:highlight w:val="none"/>
          <w:lang w:val="en-US" w:eastAsia="zh-CN"/>
        </w:rPr>
        <w:t>书</w:t>
      </w:r>
      <w:r>
        <w:rPr>
          <w:rFonts w:hint="eastAsia" w:ascii="宋体" w:hAnsi="宋体" w:cs="宋体"/>
          <w:b/>
          <w:color w:val="auto"/>
          <w:kern w:val="0"/>
          <w:sz w:val="24"/>
          <w:highlight w:val="none"/>
          <w:lang w:val="zh-CN"/>
        </w:rPr>
        <w:t>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45FF20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77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cs="宋体"/>
          <w:b/>
          <w:color w:val="auto"/>
          <w:kern w:val="0"/>
          <w:sz w:val="24"/>
          <w:highlight w:val="none"/>
          <w:lang w:val="en-US" w:eastAsia="zh-CN"/>
        </w:rPr>
        <w:t>书</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778"/>
    </w:p>
    <w:p w14:paraId="51C56E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F26E4A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92502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369B1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7AB0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32B92C8">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79FAF7">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7F77B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CBB9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D83C4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DC21D17">
      <w:pPr>
        <w:snapToGrid w:val="0"/>
        <w:spacing w:line="360" w:lineRule="auto"/>
        <w:ind w:left="5861"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0286910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63AD0D69">
      <w:pPr>
        <w:snapToGrid w:val="0"/>
        <w:spacing w:line="360" w:lineRule="auto"/>
        <w:jc w:val="right"/>
        <w:rPr>
          <w:rFonts w:ascii="宋体" w:hAnsi="宋体" w:cs="宋体"/>
          <w:color w:val="auto"/>
          <w:kern w:val="0"/>
          <w:sz w:val="24"/>
          <w:highlight w:val="none"/>
          <w:lang w:val="zh-CN"/>
        </w:rPr>
      </w:pPr>
    </w:p>
    <w:p w14:paraId="102F6BD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2C38D7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9A2F910">
      <w:pPr>
        <w:spacing w:line="360" w:lineRule="auto"/>
        <w:ind w:right="420"/>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7F0D76CC">
      <w:pPr>
        <w:topLinePunct/>
        <w:ind w:firstLine="480" w:firstLineChars="200"/>
        <w:rPr>
          <w:rFonts w:hint="eastAsia"/>
          <w:color w:val="auto"/>
          <w:szCs w:val="32"/>
          <w:highlight w:val="none"/>
        </w:rPr>
      </w:pPr>
    </w:p>
    <w:p w14:paraId="5F400CB9">
      <w:pPr>
        <w:topLinePunct/>
        <w:ind w:firstLine="480" w:firstLineChars="200"/>
        <w:rPr>
          <w:rFonts w:hint="eastAsia"/>
          <w:color w:val="auto"/>
          <w:szCs w:val="32"/>
          <w:highlight w:val="none"/>
        </w:rPr>
      </w:pPr>
    </w:p>
    <w:p w14:paraId="11CAF290">
      <w:pPr>
        <w:topLinePunct/>
        <w:ind w:firstLine="480" w:firstLineChars="200"/>
        <w:rPr>
          <w:rFonts w:hint="eastAsia"/>
          <w:color w:val="auto"/>
          <w:szCs w:val="32"/>
          <w:highlight w:val="none"/>
        </w:rPr>
      </w:pPr>
    </w:p>
    <w:p w14:paraId="35CFE103">
      <w:pPr>
        <w:topLinePunct/>
        <w:ind w:firstLine="480" w:firstLineChars="200"/>
        <w:rPr>
          <w:rFonts w:hint="eastAsia"/>
          <w:color w:val="auto"/>
          <w:szCs w:val="32"/>
          <w:highlight w:val="none"/>
        </w:rPr>
      </w:pPr>
    </w:p>
    <w:bookmarkEnd w:id="771"/>
    <w:p w14:paraId="5775F461">
      <w:pPr>
        <w:ind w:left="2520" w:leftChars="1050"/>
        <w:rPr>
          <w:color w:val="auto"/>
          <w:highlight w:val="none"/>
        </w:rPr>
      </w:pPr>
      <w:r>
        <w:rPr>
          <w:rFonts w:cs="Courier New"/>
          <w:color w:val="auto"/>
          <w:szCs w:val="24"/>
          <w:highlight w:val="none"/>
        </w:rPr>
        <w:br w:type="page"/>
      </w:r>
    </w:p>
    <w:p w14:paraId="6C745F3D">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779" w:name="_Toc163492926"/>
      <w:bookmarkStart w:id="780" w:name="_Toc155185932"/>
      <w:bookmarkStart w:id="781" w:name="_Toc8875"/>
      <w:r>
        <w:rPr>
          <w:rFonts w:hint="eastAsia" w:cstheme="majorBidi"/>
          <w:b/>
          <w:bCs/>
          <w:color w:val="auto"/>
          <w:kern w:val="2"/>
          <w:sz w:val="28"/>
          <w:szCs w:val="28"/>
          <w:highlight w:val="none"/>
          <w:lang w:val="en-US" w:eastAsia="zh-CN" w:bidi="ar-SA"/>
        </w:rPr>
        <w:t>四</w:t>
      </w:r>
      <w:r>
        <w:rPr>
          <w:rFonts w:hint="eastAsia" w:eastAsia="宋体" w:asciiTheme="majorHAnsi" w:hAnsiTheme="majorHAnsi" w:cstheme="majorBidi"/>
          <w:b/>
          <w:bCs/>
          <w:color w:val="auto"/>
          <w:kern w:val="2"/>
          <w:sz w:val="28"/>
          <w:szCs w:val="28"/>
          <w:highlight w:val="none"/>
          <w:lang w:val="en-US" w:eastAsia="zh-CN" w:bidi="ar-SA"/>
        </w:rPr>
        <w:t>、</w:t>
      </w:r>
      <w:bookmarkEnd w:id="779"/>
      <w:bookmarkEnd w:id="780"/>
      <w:r>
        <w:rPr>
          <w:rFonts w:hint="eastAsia" w:eastAsia="宋体" w:asciiTheme="majorHAnsi" w:hAnsiTheme="majorHAnsi" w:cstheme="majorBidi"/>
          <w:b/>
          <w:bCs/>
          <w:color w:val="auto"/>
          <w:kern w:val="2"/>
          <w:sz w:val="28"/>
          <w:szCs w:val="28"/>
          <w:highlight w:val="none"/>
          <w:lang w:val="en-US" w:eastAsia="zh-CN" w:bidi="ar-SA"/>
        </w:rPr>
        <w:t>落实政府采购政策相关证明文件</w:t>
      </w:r>
      <w:bookmarkEnd w:id="781"/>
    </w:p>
    <w:p w14:paraId="0076F407">
      <w:pPr>
        <w:pStyle w:val="8"/>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782" w:name="_Toc163492938"/>
      <w:bookmarkStart w:id="783" w:name="_Toc8350"/>
      <w:bookmarkStart w:id="784" w:name="_Toc17038"/>
      <w:r>
        <w:rPr>
          <w:rFonts w:hint="eastAsia" w:ascii="宋体" w:hAnsi="宋体" w:eastAsia="宋体" w:cs="宋体"/>
          <w:b/>
          <w:bCs/>
          <w:color w:val="auto"/>
          <w:kern w:val="2"/>
          <w:sz w:val="24"/>
          <w:szCs w:val="24"/>
          <w:highlight w:val="none"/>
          <w:lang w:val="en-US" w:eastAsia="zh-CN" w:bidi="ar-SA"/>
        </w:rPr>
        <w:t>（一）节能环保产品清单及证明材料</w:t>
      </w:r>
      <w:r>
        <w:rPr>
          <w:rFonts w:hint="eastAsia" w:ascii="宋体" w:hAnsi="宋体" w:eastAsia="宋体" w:cs="宋体"/>
          <w:b w:val="0"/>
          <w:bCs w:val="0"/>
          <w:color w:val="auto"/>
          <w:kern w:val="2"/>
          <w:sz w:val="24"/>
          <w:szCs w:val="24"/>
          <w:highlight w:val="none"/>
          <w:lang w:val="en-US" w:eastAsia="zh-CN" w:bidi="ar-SA"/>
        </w:rPr>
        <w:t>【如适用】</w:t>
      </w:r>
      <w:bookmarkEnd w:id="782"/>
      <w:bookmarkEnd w:id="783"/>
      <w:bookmarkEnd w:id="784"/>
    </w:p>
    <w:p w14:paraId="129366EF">
      <w:pPr>
        <w:spacing w:line="30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/包号</w:t>
      </w:r>
      <w:r>
        <w:rPr>
          <w:rFonts w:hint="eastAsia" w:ascii="宋体" w:hAnsi="宋体" w:eastAsia="宋体" w:cs="宋体"/>
          <w:color w:val="auto"/>
          <w:sz w:val="24"/>
          <w:szCs w:val="24"/>
          <w:highlight w:val="none"/>
        </w:rPr>
        <w:t>：</w:t>
      </w:r>
    </w:p>
    <w:p w14:paraId="51FADA0E">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节能产品</w:t>
      </w:r>
    </w:p>
    <w:tbl>
      <w:tblPr>
        <w:tblStyle w:val="3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147"/>
        <w:gridCol w:w="972"/>
        <w:gridCol w:w="792"/>
        <w:gridCol w:w="696"/>
        <w:gridCol w:w="648"/>
        <w:gridCol w:w="1128"/>
        <w:gridCol w:w="1224"/>
        <w:gridCol w:w="1582"/>
      </w:tblGrid>
      <w:tr w14:paraId="214B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19BA53A1">
            <w:pPr>
              <w:pStyle w:val="52"/>
              <w:jc w:val="center"/>
              <w:rPr>
                <w:color w:val="auto"/>
                <w:sz w:val="21"/>
                <w:szCs w:val="21"/>
                <w:highlight w:val="none"/>
              </w:rPr>
            </w:pPr>
            <w:r>
              <w:rPr>
                <w:rFonts w:hint="eastAsia"/>
                <w:color w:val="auto"/>
                <w:sz w:val="21"/>
                <w:szCs w:val="21"/>
                <w:highlight w:val="none"/>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33C66ABB">
            <w:pPr>
              <w:pStyle w:val="52"/>
              <w:jc w:val="center"/>
              <w:rPr>
                <w:color w:val="auto"/>
                <w:sz w:val="21"/>
                <w:szCs w:val="21"/>
                <w:highlight w:val="none"/>
              </w:rPr>
            </w:pPr>
            <w:r>
              <w:rPr>
                <w:rFonts w:hint="eastAsia"/>
                <w:color w:val="auto"/>
                <w:sz w:val="21"/>
                <w:szCs w:val="21"/>
                <w:highlight w:val="none"/>
              </w:rPr>
              <w:t>设备名称</w:t>
            </w:r>
          </w:p>
        </w:tc>
        <w:tc>
          <w:tcPr>
            <w:tcW w:w="972" w:type="dxa"/>
            <w:tcBorders>
              <w:top w:val="single" w:color="auto" w:sz="4" w:space="0"/>
              <w:left w:val="single" w:color="auto" w:sz="4" w:space="0"/>
              <w:bottom w:val="single" w:color="auto" w:sz="4" w:space="0"/>
              <w:right w:val="single" w:color="auto" w:sz="4" w:space="0"/>
            </w:tcBorders>
            <w:vAlign w:val="center"/>
          </w:tcPr>
          <w:p w14:paraId="0A6767B6">
            <w:pPr>
              <w:pStyle w:val="52"/>
              <w:jc w:val="center"/>
              <w:rPr>
                <w:color w:val="auto"/>
                <w:sz w:val="21"/>
                <w:szCs w:val="21"/>
                <w:highlight w:val="none"/>
              </w:rPr>
            </w:pPr>
            <w:r>
              <w:rPr>
                <w:rFonts w:hint="eastAsia"/>
                <w:color w:val="auto"/>
                <w:sz w:val="21"/>
                <w:szCs w:val="21"/>
                <w:highlight w:val="none"/>
              </w:rPr>
              <w:t>制造商名称</w:t>
            </w:r>
          </w:p>
        </w:tc>
        <w:tc>
          <w:tcPr>
            <w:tcW w:w="792" w:type="dxa"/>
            <w:tcBorders>
              <w:top w:val="single" w:color="auto" w:sz="4" w:space="0"/>
              <w:left w:val="single" w:color="auto" w:sz="4" w:space="0"/>
              <w:bottom w:val="single" w:color="auto" w:sz="4" w:space="0"/>
              <w:right w:val="single" w:color="auto" w:sz="4" w:space="0"/>
            </w:tcBorders>
            <w:vAlign w:val="center"/>
          </w:tcPr>
          <w:p w14:paraId="31DEE91E">
            <w:pPr>
              <w:pStyle w:val="52"/>
              <w:jc w:val="center"/>
              <w:rPr>
                <w:color w:val="auto"/>
                <w:sz w:val="21"/>
                <w:szCs w:val="21"/>
                <w:highlight w:val="none"/>
              </w:rPr>
            </w:pPr>
            <w:r>
              <w:rPr>
                <w:rFonts w:hint="eastAsia"/>
                <w:color w:val="auto"/>
                <w:sz w:val="21"/>
                <w:szCs w:val="21"/>
                <w:highlight w:val="none"/>
              </w:rPr>
              <w:t>品牌</w:t>
            </w:r>
          </w:p>
        </w:tc>
        <w:tc>
          <w:tcPr>
            <w:tcW w:w="696" w:type="dxa"/>
            <w:tcBorders>
              <w:top w:val="single" w:color="auto" w:sz="4" w:space="0"/>
              <w:left w:val="single" w:color="auto" w:sz="4" w:space="0"/>
              <w:bottom w:val="single" w:color="auto" w:sz="4" w:space="0"/>
              <w:right w:val="single" w:color="auto" w:sz="4" w:space="0"/>
            </w:tcBorders>
            <w:vAlign w:val="center"/>
          </w:tcPr>
          <w:p w14:paraId="5BB11F42">
            <w:pPr>
              <w:pStyle w:val="52"/>
              <w:jc w:val="center"/>
              <w:rPr>
                <w:color w:val="auto"/>
                <w:sz w:val="21"/>
                <w:szCs w:val="21"/>
                <w:highlight w:val="none"/>
              </w:rPr>
            </w:pPr>
            <w:r>
              <w:rPr>
                <w:rFonts w:hint="eastAsia"/>
                <w:color w:val="auto"/>
                <w:sz w:val="21"/>
                <w:szCs w:val="21"/>
                <w:highlight w:val="none"/>
              </w:rPr>
              <w:t>型号</w:t>
            </w:r>
          </w:p>
        </w:tc>
        <w:tc>
          <w:tcPr>
            <w:tcW w:w="648" w:type="dxa"/>
            <w:tcBorders>
              <w:top w:val="single" w:color="auto" w:sz="4" w:space="0"/>
              <w:left w:val="single" w:color="auto" w:sz="4" w:space="0"/>
              <w:bottom w:val="single" w:color="auto" w:sz="4" w:space="0"/>
              <w:right w:val="single" w:color="auto" w:sz="4" w:space="0"/>
            </w:tcBorders>
            <w:vAlign w:val="center"/>
          </w:tcPr>
          <w:p w14:paraId="146CD78D">
            <w:pPr>
              <w:pStyle w:val="52"/>
              <w:jc w:val="center"/>
              <w:rPr>
                <w:color w:val="auto"/>
                <w:sz w:val="21"/>
                <w:szCs w:val="21"/>
                <w:highlight w:val="none"/>
              </w:rPr>
            </w:pPr>
            <w:r>
              <w:rPr>
                <w:rFonts w:hint="eastAsia"/>
                <w:color w:val="auto"/>
                <w:sz w:val="21"/>
                <w:szCs w:val="21"/>
                <w:highlight w:val="none"/>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52ABF9B6">
            <w:pPr>
              <w:pStyle w:val="52"/>
              <w:jc w:val="center"/>
              <w:rPr>
                <w:color w:val="auto"/>
                <w:sz w:val="21"/>
                <w:szCs w:val="21"/>
                <w:highlight w:val="none"/>
              </w:rPr>
            </w:pPr>
            <w:r>
              <w:rPr>
                <w:rFonts w:hint="eastAsia"/>
                <w:color w:val="auto"/>
                <w:sz w:val="21"/>
                <w:szCs w:val="21"/>
                <w:highlight w:val="none"/>
              </w:rPr>
              <w:t>单价</w:t>
            </w:r>
          </w:p>
          <w:p w14:paraId="022A35EE">
            <w:pPr>
              <w:pStyle w:val="52"/>
              <w:jc w:val="center"/>
              <w:rPr>
                <w:color w:val="auto"/>
                <w:sz w:val="21"/>
                <w:szCs w:val="21"/>
                <w:highlight w:val="none"/>
              </w:rPr>
            </w:pPr>
            <w:r>
              <w:rPr>
                <w:rFonts w:hint="eastAsia"/>
                <w:color w:val="auto"/>
                <w:sz w:val="21"/>
                <w:szCs w:val="21"/>
                <w:highlight w:val="none"/>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47F9C89C">
            <w:pPr>
              <w:pStyle w:val="52"/>
              <w:jc w:val="center"/>
              <w:rPr>
                <w:color w:val="auto"/>
                <w:sz w:val="21"/>
                <w:szCs w:val="21"/>
                <w:highlight w:val="none"/>
              </w:rPr>
            </w:pPr>
            <w:r>
              <w:rPr>
                <w:rFonts w:hint="eastAsia"/>
                <w:color w:val="auto"/>
                <w:sz w:val="21"/>
                <w:szCs w:val="21"/>
                <w:highlight w:val="none"/>
              </w:rPr>
              <w:t>总价</w:t>
            </w:r>
          </w:p>
          <w:p w14:paraId="13E39665">
            <w:pPr>
              <w:pStyle w:val="52"/>
              <w:jc w:val="center"/>
              <w:rPr>
                <w:color w:val="auto"/>
                <w:sz w:val="21"/>
                <w:szCs w:val="21"/>
                <w:highlight w:val="none"/>
              </w:rPr>
            </w:pPr>
            <w:r>
              <w:rPr>
                <w:rFonts w:hint="eastAsia"/>
                <w:color w:val="auto"/>
                <w:sz w:val="21"/>
                <w:szCs w:val="21"/>
                <w:highlight w:val="none"/>
              </w:rPr>
              <w:t>（万元）</w:t>
            </w:r>
          </w:p>
        </w:tc>
        <w:tc>
          <w:tcPr>
            <w:tcW w:w="1582" w:type="dxa"/>
            <w:tcBorders>
              <w:top w:val="single" w:color="auto" w:sz="4" w:space="0"/>
              <w:left w:val="single" w:color="auto" w:sz="4" w:space="0"/>
              <w:bottom w:val="single" w:color="auto" w:sz="4" w:space="0"/>
              <w:right w:val="single" w:color="auto" w:sz="4" w:space="0"/>
            </w:tcBorders>
            <w:vAlign w:val="center"/>
          </w:tcPr>
          <w:p w14:paraId="5EF1CA54">
            <w:pPr>
              <w:pStyle w:val="52"/>
              <w:jc w:val="center"/>
              <w:rPr>
                <w:color w:val="auto"/>
                <w:sz w:val="21"/>
                <w:szCs w:val="21"/>
                <w:highlight w:val="none"/>
              </w:rPr>
            </w:pPr>
            <w:r>
              <w:rPr>
                <w:rFonts w:hint="eastAsia"/>
                <w:color w:val="auto"/>
                <w:sz w:val="21"/>
                <w:szCs w:val="21"/>
                <w:highlight w:val="none"/>
              </w:rPr>
              <w:t>属强制采购或优先采购</w:t>
            </w:r>
          </w:p>
        </w:tc>
      </w:tr>
      <w:tr w14:paraId="2E90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ADB00D2">
            <w:pPr>
              <w:pStyle w:val="52"/>
              <w:numPr>
                <w:ilvl w:val="0"/>
                <w:numId w:val="5"/>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3FEE94B">
            <w:pPr>
              <w:pStyle w:val="52"/>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510BB06E">
            <w:pPr>
              <w:pStyle w:val="52"/>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6C5A5920">
            <w:pPr>
              <w:pStyle w:val="52"/>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35E1910D">
            <w:pPr>
              <w:pStyle w:val="52"/>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2648ECA9">
            <w:pPr>
              <w:pStyle w:val="52"/>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264C2E61">
            <w:pPr>
              <w:pStyle w:val="52"/>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725FE785">
            <w:pPr>
              <w:pStyle w:val="52"/>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464D763D">
            <w:pPr>
              <w:pStyle w:val="52"/>
              <w:jc w:val="center"/>
              <w:rPr>
                <w:color w:val="auto"/>
                <w:sz w:val="21"/>
                <w:szCs w:val="21"/>
                <w:highlight w:val="none"/>
              </w:rPr>
            </w:pPr>
          </w:p>
        </w:tc>
      </w:tr>
      <w:tr w14:paraId="37C9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2FEF61DD">
            <w:pPr>
              <w:pStyle w:val="52"/>
              <w:numPr>
                <w:ilvl w:val="0"/>
                <w:numId w:val="5"/>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0416B1F1">
            <w:pPr>
              <w:pStyle w:val="52"/>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2C36B510">
            <w:pPr>
              <w:pStyle w:val="52"/>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50AC0C7C">
            <w:pPr>
              <w:pStyle w:val="52"/>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67CCBE2">
            <w:pPr>
              <w:pStyle w:val="52"/>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2BBEE273">
            <w:pPr>
              <w:pStyle w:val="52"/>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0202F913">
            <w:pPr>
              <w:pStyle w:val="52"/>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4965158B">
            <w:pPr>
              <w:pStyle w:val="52"/>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4778C7D9">
            <w:pPr>
              <w:pStyle w:val="52"/>
              <w:jc w:val="center"/>
              <w:rPr>
                <w:color w:val="auto"/>
                <w:sz w:val="21"/>
                <w:szCs w:val="21"/>
                <w:highlight w:val="none"/>
              </w:rPr>
            </w:pPr>
          </w:p>
        </w:tc>
      </w:tr>
      <w:tr w14:paraId="54DD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48CCAB2">
            <w:pPr>
              <w:pStyle w:val="52"/>
              <w:numPr>
                <w:ilvl w:val="0"/>
                <w:numId w:val="5"/>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25CCB97">
            <w:pPr>
              <w:pStyle w:val="52"/>
              <w:jc w:val="center"/>
              <w:rPr>
                <w:color w:val="auto"/>
                <w:sz w:val="21"/>
                <w:szCs w:val="21"/>
                <w:highlight w:val="none"/>
              </w:rPr>
            </w:pPr>
            <w:r>
              <w:rPr>
                <w:color w:val="auto"/>
                <w:sz w:val="21"/>
                <w:szCs w:val="21"/>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14:paraId="20FBEE7F">
            <w:pPr>
              <w:pStyle w:val="52"/>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2FABF0FD">
            <w:pPr>
              <w:pStyle w:val="52"/>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641EE4F1">
            <w:pPr>
              <w:pStyle w:val="52"/>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34758BE8">
            <w:pPr>
              <w:pStyle w:val="52"/>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4A503622">
            <w:pPr>
              <w:pStyle w:val="52"/>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73CD9502">
            <w:pPr>
              <w:pStyle w:val="52"/>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51E5F4FE">
            <w:pPr>
              <w:pStyle w:val="52"/>
              <w:jc w:val="center"/>
              <w:rPr>
                <w:color w:val="auto"/>
                <w:sz w:val="21"/>
                <w:szCs w:val="21"/>
                <w:highlight w:val="none"/>
              </w:rPr>
            </w:pPr>
          </w:p>
        </w:tc>
      </w:tr>
    </w:tbl>
    <w:p w14:paraId="0BF4E52B">
      <w:pPr>
        <w:spacing w:line="300" w:lineRule="auto"/>
        <w:rPr>
          <w:rFonts w:ascii="Arial" w:hAnsi="Arial" w:cs="Arial"/>
          <w:color w:val="auto"/>
          <w:szCs w:val="21"/>
          <w:highlight w:val="none"/>
        </w:rPr>
      </w:pPr>
    </w:p>
    <w:p w14:paraId="37B13C23">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环保产品</w:t>
      </w:r>
    </w:p>
    <w:tbl>
      <w:tblPr>
        <w:tblStyle w:val="3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75A5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E1C37F0">
            <w:pPr>
              <w:pStyle w:val="52"/>
              <w:jc w:val="center"/>
              <w:rPr>
                <w:color w:val="auto"/>
                <w:sz w:val="21"/>
                <w:szCs w:val="21"/>
                <w:highlight w:val="none"/>
              </w:rPr>
            </w:pPr>
            <w:r>
              <w:rPr>
                <w:rFonts w:hint="eastAsia"/>
                <w:color w:val="auto"/>
                <w:sz w:val="21"/>
                <w:szCs w:val="21"/>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61FD081C">
            <w:pPr>
              <w:pStyle w:val="52"/>
              <w:jc w:val="center"/>
              <w:rPr>
                <w:color w:val="auto"/>
                <w:sz w:val="21"/>
                <w:szCs w:val="21"/>
                <w:highlight w:val="none"/>
              </w:rPr>
            </w:pPr>
            <w:r>
              <w:rPr>
                <w:rFonts w:hint="eastAsia"/>
                <w:color w:val="auto"/>
                <w:sz w:val="21"/>
                <w:szCs w:val="21"/>
                <w:highlight w:val="none"/>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29856322">
            <w:pPr>
              <w:pStyle w:val="52"/>
              <w:jc w:val="center"/>
              <w:rPr>
                <w:color w:val="auto"/>
                <w:sz w:val="21"/>
                <w:szCs w:val="21"/>
                <w:highlight w:val="none"/>
              </w:rPr>
            </w:pPr>
            <w:r>
              <w:rPr>
                <w:rFonts w:hint="eastAsia"/>
                <w:color w:val="auto"/>
                <w:sz w:val="21"/>
                <w:szCs w:val="21"/>
                <w:highlight w:val="none"/>
              </w:rPr>
              <w:t>制造商</w:t>
            </w:r>
          </w:p>
          <w:p w14:paraId="43D7ECA8">
            <w:pPr>
              <w:pStyle w:val="52"/>
              <w:jc w:val="center"/>
              <w:rPr>
                <w:color w:val="auto"/>
                <w:sz w:val="21"/>
                <w:szCs w:val="21"/>
                <w:highlight w:val="none"/>
              </w:rPr>
            </w:pPr>
            <w:r>
              <w:rPr>
                <w:rFonts w:hint="eastAsia"/>
                <w:color w:val="auto"/>
                <w:sz w:val="21"/>
                <w:szCs w:val="21"/>
                <w:highlight w:val="none"/>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3DA2F666">
            <w:pPr>
              <w:pStyle w:val="52"/>
              <w:jc w:val="center"/>
              <w:rPr>
                <w:color w:val="auto"/>
                <w:sz w:val="21"/>
                <w:szCs w:val="21"/>
                <w:highlight w:val="none"/>
              </w:rPr>
            </w:pPr>
            <w:r>
              <w:rPr>
                <w:rFonts w:hint="eastAsia"/>
                <w:color w:val="auto"/>
                <w:sz w:val="21"/>
                <w:szCs w:val="21"/>
                <w:highlight w:val="none"/>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4C041C3A">
            <w:pPr>
              <w:pStyle w:val="52"/>
              <w:jc w:val="center"/>
              <w:rPr>
                <w:color w:val="auto"/>
                <w:sz w:val="21"/>
                <w:szCs w:val="21"/>
                <w:highlight w:val="none"/>
              </w:rPr>
            </w:pPr>
            <w:r>
              <w:rPr>
                <w:rFonts w:hint="eastAsia"/>
                <w:color w:val="auto"/>
                <w:sz w:val="21"/>
                <w:szCs w:val="21"/>
                <w:highlight w:val="none"/>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5EC682A5">
            <w:pPr>
              <w:pStyle w:val="52"/>
              <w:jc w:val="center"/>
              <w:rPr>
                <w:color w:val="auto"/>
                <w:sz w:val="21"/>
                <w:szCs w:val="21"/>
                <w:highlight w:val="none"/>
              </w:rPr>
            </w:pPr>
            <w:r>
              <w:rPr>
                <w:rFonts w:hint="eastAsia"/>
                <w:color w:val="auto"/>
                <w:sz w:val="21"/>
                <w:szCs w:val="21"/>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5112D1F1">
            <w:pPr>
              <w:pStyle w:val="52"/>
              <w:jc w:val="center"/>
              <w:rPr>
                <w:color w:val="auto"/>
                <w:sz w:val="21"/>
                <w:szCs w:val="21"/>
                <w:highlight w:val="none"/>
              </w:rPr>
            </w:pPr>
            <w:r>
              <w:rPr>
                <w:rFonts w:hint="eastAsia"/>
                <w:color w:val="auto"/>
                <w:sz w:val="21"/>
                <w:szCs w:val="21"/>
                <w:highlight w:val="none"/>
              </w:rPr>
              <w:t>单价</w:t>
            </w:r>
          </w:p>
          <w:p w14:paraId="0270B2E8">
            <w:pPr>
              <w:pStyle w:val="52"/>
              <w:jc w:val="center"/>
              <w:rPr>
                <w:color w:val="auto"/>
                <w:sz w:val="21"/>
                <w:szCs w:val="21"/>
                <w:highlight w:val="none"/>
              </w:rPr>
            </w:pPr>
            <w:r>
              <w:rPr>
                <w:rFonts w:hint="eastAsia"/>
                <w:color w:val="auto"/>
                <w:sz w:val="21"/>
                <w:szCs w:val="21"/>
                <w:highlight w:val="none"/>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52D01C53">
            <w:pPr>
              <w:pStyle w:val="52"/>
              <w:jc w:val="center"/>
              <w:rPr>
                <w:color w:val="auto"/>
                <w:sz w:val="21"/>
                <w:szCs w:val="21"/>
                <w:highlight w:val="none"/>
              </w:rPr>
            </w:pPr>
            <w:r>
              <w:rPr>
                <w:rFonts w:hint="eastAsia"/>
                <w:color w:val="auto"/>
                <w:sz w:val="21"/>
                <w:szCs w:val="21"/>
                <w:highlight w:val="none"/>
              </w:rPr>
              <w:t>总价</w:t>
            </w:r>
          </w:p>
          <w:p w14:paraId="461D4258">
            <w:pPr>
              <w:pStyle w:val="52"/>
              <w:jc w:val="center"/>
              <w:rPr>
                <w:color w:val="auto"/>
                <w:sz w:val="21"/>
                <w:szCs w:val="21"/>
                <w:highlight w:val="none"/>
              </w:rPr>
            </w:pPr>
            <w:r>
              <w:rPr>
                <w:rFonts w:hint="eastAsia"/>
                <w:color w:val="auto"/>
                <w:sz w:val="21"/>
                <w:szCs w:val="21"/>
                <w:highlight w:val="none"/>
              </w:rPr>
              <w:t>（万元）</w:t>
            </w:r>
          </w:p>
        </w:tc>
      </w:tr>
      <w:tr w14:paraId="3C06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7FEDD7F">
            <w:pPr>
              <w:pStyle w:val="52"/>
              <w:numPr>
                <w:ilvl w:val="0"/>
                <w:numId w:val="6"/>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5E411FCE">
            <w:pPr>
              <w:pStyle w:val="52"/>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F21DE2B">
            <w:pPr>
              <w:pStyle w:val="52"/>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C5EDF09">
            <w:pPr>
              <w:pStyle w:val="52"/>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D72516A">
            <w:pPr>
              <w:pStyle w:val="52"/>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6E3E6DE">
            <w:pPr>
              <w:pStyle w:val="52"/>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58F18718">
            <w:pPr>
              <w:pStyle w:val="52"/>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44FAA2A4">
            <w:pPr>
              <w:pStyle w:val="52"/>
              <w:jc w:val="center"/>
              <w:rPr>
                <w:color w:val="auto"/>
                <w:sz w:val="21"/>
                <w:szCs w:val="21"/>
                <w:highlight w:val="none"/>
              </w:rPr>
            </w:pPr>
          </w:p>
        </w:tc>
      </w:tr>
      <w:tr w14:paraId="507C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1CEE92A2">
            <w:pPr>
              <w:pStyle w:val="52"/>
              <w:numPr>
                <w:ilvl w:val="0"/>
                <w:numId w:val="6"/>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37004DF9">
            <w:pPr>
              <w:pStyle w:val="52"/>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07819FE1">
            <w:pPr>
              <w:pStyle w:val="52"/>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DD8FC99">
            <w:pPr>
              <w:pStyle w:val="52"/>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FB45CEE">
            <w:pPr>
              <w:pStyle w:val="52"/>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552F00C">
            <w:pPr>
              <w:pStyle w:val="52"/>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50679DB2">
            <w:pPr>
              <w:pStyle w:val="52"/>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4241F95D">
            <w:pPr>
              <w:pStyle w:val="52"/>
              <w:jc w:val="center"/>
              <w:rPr>
                <w:color w:val="auto"/>
                <w:sz w:val="21"/>
                <w:szCs w:val="21"/>
                <w:highlight w:val="none"/>
              </w:rPr>
            </w:pPr>
          </w:p>
        </w:tc>
      </w:tr>
      <w:tr w14:paraId="5757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FF9C542">
            <w:pPr>
              <w:pStyle w:val="52"/>
              <w:numPr>
                <w:ilvl w:val="0"/>
                <w:numId w:val="6"/>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256190D9">
            <w:pPr>
              <w:pStyle w:val="52"/>
              <w:jc w:val="center"/>
              <w:rPr>
                <w:color w:val="auto"/>
                <w:sz w:val="21"/>
                <w:szCs w:val="21"/>
                <w:highlight w:val="none"/>
              </w:rPr>
            </w:pPr>
            <w:r>
              <w:rPr>
                <w:color w:val="auto"/>
                <w:sz w:val="21"/>
                <w:szCs w:val="21"/>
                <w:highlight w:val="none"/>
              </w:rPr>
              <w:t>……</w:t>
            </w:r>
          </w:p>
        </w:tc>
        <w:tc>
          <w:tcPr>
            <w:tcW w:w="1272" w:type="dxa"/>
            <w:tcBorders>
              <w:top w:val="single" w:color="auto" w:sz="4" w:space="0"/>
              <w:left w:val="single" w:color="auto" w:sz="4" w:space="0"/>
              <w:bottom w:val="single" w:color="auto" w:sz="4" w:space="0"/>
              <w:right w:val="single" w:color="auto" w:sz="4" w:space="0"/>
            </w:tcBorders>
            <w:vAlign w:val="center"/>
          </w:tcPr>
          <w:p w14:paraId="329185C8">
            <w:pPr>
              <w:pStyle w:val="52"/>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278FA62">
            <w:pPr>
              <w:pStyle w:val="52"/>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DC75679">
            <w:pPr>
              <w:pStyle w:val="52"/>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7EAC5B30">
            <w:pPr>
              <w:pStyle w:val="52"/>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78F02ED0">
            <w:pPr>
              <w:pStyle w:val="52"/>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61916AC5">
            <w:pPr>
              <w:pStyle w:val="52"/>
              <w:jc w:val="center"/>
              <w:rPr>
                <w:color w:val="auto"/>
                <w:sz w:val="21"/>
                <w:szCs w:val="21"/>
                <w:highlight w:val="none"/>
              </w:rPr>
            </w:pPr>
          </w:p>
        </w:tc>
      </w:tr>
    </w:tbl>
    <w:p w14:paraId="04CE5F65">
      <w:pPr>
        <w:spacing w:line="300" w:lineRule="auto"/>
        <w:rPr>
          <w:rFonts w:ascii="Arial" w:hAnsi="Arial" w:cs="Arial"/>
          <w:color w:val="auto"/>
          <w:szCs w:val="21"/>
          <w:highlight w:val="none"/>
        </w:rPr>
      </w:pPr>
    </w:p>
    <w:p w14:paraId="4FDC8CEF">
      <w:pPr>
        <w:rPr>
          <w:rFonts w:ascii="Arial" w:hAnsi="Arial" w:cs="Arial"/>
          <w:b/>
          <w:color w:val="auto"/>
          <w:sz w:val="21"/>
          <w:szCs w:val="21"/>
          <w:highlight w:val="none"/>
        </w:rPr>
      </w:pPr>
      <w:r>
        <w:rPr>
          <w:rFonts w:hint="eastAsia" w:ascii="Arial" w:hAnsi="Arial" w:cs="Arial"/>
          <w:b/>
          <w:color w:val="auto"/>
          <w:sz w:val="21"/>
          <w:szCs w:val="21"/>
          <w:highlight w:val="none"/>
        </w:rPr>
        <w:t>特别说明：投标人应将所投产品中节能、环保产品分别列入上表中，并按本招标文件</w:t>
      </w:r>
      <w:r>
        <w:rPr>
          <w:rFonts w:hint="eastAsia" w:ascii="Arial" w:hAnsi="Arial" w:cs="Arial"/>
          <w:b/>
          <w:color w:val="auto"/>
          <w:sz w:val="21"/>
          <w:szCs w:val="21"/>
          <w:highlight w:val="none"/>
          <w:lang w:val="en-US" w:eastAsia="zh-CN"/>
        </w:rPr>
        <w:t>“</w:t>
      </w:r>
      <w:r>
        <w:rPr>
          <w:rFonts w:hint="eastAsia" w:ascii="Arial" w:hAnsi="Arial" w:cs="Arial"/>
          <w:b/>
          <w:color w:val="auto"/>
          <w:sz w:val="21"/>
          <w:szCs w:val="21"/>
          <w:highlight w:val="none"/>
        </w:rPr>
        <w:t>第二章</w:t>
      </w:r>
      <w:r>
        <w:rPr>
          <w:rFonts w:hint="eastAsia" w:ascii="Arial" w:hAnsi="Arial" w:cs="Arial"/>
          <w:b/>
          <w:color w:val="auto"/>
          <w:sz w:val="21"/>
          <w:szCs w:val="21"/>
          <w:highlight w:val="none"/>
          <w:lang w:val="en-US" w:eastAsia="zh-CN"/>
        </w:rPr>
        <w:t>投标人须知”</w:t>
      </w:r>
      <w:r>
        <w:rPr>
          <w:rFonts w:hint="eastAsia" w:ascii="Arial" w:hAnsi="Arial" w:cs="Arial"/>
          <w:b/>
          <w:color w:val="auto"/>
          <w:sz w:val="21"/>
          <w:szCs w:val="21"/>
          <w:highlight w:val="none"/>
        </w:rPr>
        <w:t>提供相关证明材料，未填写本表或未提供有效认证证书</w:t>
      </w:r>
      <w:r>
        <w:rPr>
          <w:rFonts w:ascii="Arial" w:hAnsi="Arial" w:cs="Arial"/>
          <w:b/>
          <w:color w:val="auto"/>
          <w:sz w:val="21"/>
          <w:szCs w:val="21"/>
          <w:highlight w:val="none"/>
        </w:rPr>
        <w:t>的</w:t>
      </w:r>
      <w:r>
        <w:rPr>
          <w:rFonts w:hint="eastAsia" w:ascii="Arial" w:hAnsi="Arial" w:cs="Arial"/>
          <w:b/>
          <w:color w:val="auto"/>
          <w:sz w:val="21"/>
          <w:szCs w:val="21"/>
          <w:highlight w:val="none"/>
        </w:rPr>
        <w:t>不给予</w:t>
      </w:r>
      <w:r>
        <w:rPr>
          <w:rFonts w:ascii="Arial" w:hAnsi="Arial" w:cs="Arial"/>
          <w:b/>
          <w:color w:val="auto"/>
          <w:sz w:val="21"/>
          <w:szCs w:val="21"/>
          <w:highlight w:val="none"/>
        </w:rPr>
        <w:t>价格扣除</w:t>
      </w:r>
      <w:r>
        <w:rPr>
          <w:rFonts w:hint="eastAsia" w:ascii="Arial" w:hAnsi="Arial" w:cs="Arial"/>
          <w:b/>
          <w:color w:val="auto"/>
          <w:sz w:val="21"/>
          <w:szCs w:val="21"/>
          <w:highlight w:val="none"/>
        </w:rPr>
        <w:t>。</w:t>
      </w:r>
    </w:p>
    <w:p w14:paraId="4AE49928">
      <w:pPr>
        <w:spacing w:line="300" w:lineRule="auto"/>
        <w:rPr>
          <w:rFonts w:ascii="Arial" w:hAnsi="Arial" w:cs="Arial"/>
          <w:color w:val="auto"/>
          <w:szCs w:val="21"/>
          <w:highlight w:val="none"/>
        </w:rPr>
      </w:pPr>
    </w:p>
    <w:p w14:paraId="054561CD">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31A4D567">
      <w:pPr>
        <w:rPr>
          <w:rFonts w:ascii="Arial" w:hAnsi="Arial" w:cs="Arial"/>
          <w:color w:val="auto"/>
          <w:szCs w:val="21"/>
          <w:highlight w:val="none"/>
        </w:rPr>
      </w:pPr>
      <w:r>
        <w:rPr>
          <w:rFonts w:ascii="Arial" w:hAnsi="Arial" w:cs="Arial"/>
          <w:color w:val="auto"/>
          <w:szCs w:val="21"/>
          <w:highlight w:val="none"/>
        </w:rPr>
        <w:t>日期：</w:t>
      </w:r>
    </w:p>
    <w:p w14:paraId="0A67E61C">
      <w:pPr>
        <w:rPr>
          <w:rFonts w:ascii="Arial" w:hAnsi="Arial" w:cs="Arial"/>
          <w:color w:val="auto"/>
          <w:szCs w:val="21"/>
          <w:highlight w:val="none"/>
        </w:rPr>
      </w:pPr>
    </w:p>
    <w:p w14:paraId="70617D68">
      <w:pPr>
        <w:rPr>
          <w:rFonts w:ascii="Arial" w:hAnsi="Arial" w:cs="Arial"/>
          <w:color w:val="auto"/>
          <w:szCs w:val="21"/>
          <w:highlight w:val="none"/>
        </w:rPr>
      </w:pPr>
      <w:r>
        <w:rPr>
          <w:rFonts w:ascii="Arial" w:hAnsi="Arial" w:cs="Arial"/>
          <w:color w:val="auto"/>
          <w:szCs w:val="21"/>
          <w:highlight w:val="none"/>
        </w:rPr>
        <w:br w:type="page"/>
      </w:r>
    </w:p>
    <w:p w14:paraId="2A9F81A4">
      <w:pPr>
        <w:pStyle w:val="8"/>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theme="minorBidi"/>
          <w:b/>
          <w:bCs/>
          <w:color w:val="auto"/>
          <w:kern w:val="2"/>
          <w:sz w:val="24"/>
          <w:szCs w:val="24"/>
          <w:highlight w:val="none"/>
          <w:lang w:val="en-US" w:eastAsia="zh-CN" w:bidi="ar-SA"/>
        </w:rPr>
      </w:pPr>
      <w:bookmarkStart w:id="785" w:name="_Toc29603"/>
      <w:bookmarkStart w:id="786" w:name="_Toc24277"/>
      <w:bookmarkStart w:id="787" w:name="_Toc163492939"/>
      <w:r>
        <w:rPr>
          <w:rFonts w:hint="eastAsia" w:ascii="宋体" w:hAnsi="宋体" w:eastAsia="宋体" w:cstheme="minorBidi"/>
          <w:b/>
          <w:bCs/>
          <w:color w:val="auto"/>
          <w:kern w:val="2"/>
          <w:sz w:val="24"/>
          <w:szCs w:val="24"/>
          <w:highlight w:val="none"/>
          <w:lang w:val="en-US" w:eastAsia="zh-CN" w:bidi="ar-SA"/>
        </w:rPr>
        <w:t>（二）中小企业声明函</w:t>
      </w:r>
      <w:r>
        <w:rPr>
          <w:rFonts w:hint="eastAsia" w:ascii="宋体" w:hAnsi="宋体" w:eastAsia="宋体" w:cstheme="minorBidi"/>
          <w:b w:val="0"/>
          <w:bCs w:val="0"/>
          <w:color w:val="auto"/>
          <w:kern w:val="2"/>
          <w:sz w:val="24"/>
          <w:szCs w:val="24"/>
          <w:highlight w:val="none"/>
          <w:lang w:val="en-US" w:eastAsia="zh-CN" w:bidi="ar-SA"/>
        </w:rPr>
        <w:t>【</w:t>
      </w:r>
      <w:r>
        <w:rPr>
          <w:rFonts w:hint="eastAsia" w:cstheme="minorBidi"/>
          <w:b w:val="0"/>
          <w:bCs w:val="0"/>
          <w:i w:val="0"/>
          <w:iCs w:val="0"/>
          <w:color w:val="auto"/>
          <w:kern w:val="2"/>
          <w:sz w:val="24"/>
          <w:szCs w:val="24"/>
          <w:highlight w:val="none"/>
          <w:lang w:val="en-US" w:eastAsia="zh-CN" w:bidi="ar-SA"/>
        </w:rPr>
        <w:t>如专门面向中小企业采购的项目，此函可放于此处，否则，应后置于“其他资格证明文件”</w:t>
      </w:r>
      <w:r>
        <w:rPr>
          <w:rFonts w:hint="eastAsia" w:ascii="宋体" w:hAnsi="宋体" w:eastAsia="宋体" w:cstheme="minorBidi"/>
          <w:b w:val="0"/>
          <w:bCs w:val="0"/>
          <w:color w:val="auto"/>
          <w:kern w:val="2"/>
          <w:sz w:val="24"/>
          <w:szCs w:val="24"/>
          <w:highlight w:val="none"/>
          <w:lang w:val="en-US" w:eastAsia="zh-CN" w:bidi="ar-SA"/>
        </w:rPr>
        <w:t>】</w:t>
      </w:r>
      <w:bookmarkEnd w:id="785"/>
      <w:bookmarkEnd w:id="786"/>
      <w:bookmarkEnd w:id="787"/>
    </w:p>
    <w:p w14:paraId="16CFCD4A">
      <w:pPr>
        <w:pStyle w:val="4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b/>
          <w:bCs/>
          <w:color w:val="auto"/>
          <w:sz w:val="32"/>
          <w:szCs w:val="32"/>
          <w:highlight w:val="none"/>
        </w:rPr>
      </w:pPr>
    </w:p>
    <w:p w14:paraId="0D7CD940">
      <w:pPr>
        <w:pStyle w:val="42"/>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中小企业声明函</w:t>
      </w:r>
    </w:p>
    <w:p w14:paraId="5688740A">
      <w:pPr>
        <w:ind w:firstLine="504" w:firstLineChars="200"/>
        <w:rPr>
          <w:rFonts w:hint="eastAsia" w:cs="宋体"/>
          <w:color w:val="auto"/>
          <w:spacing w:val="6"/>
          <w:szCs w:val="24"/>
          <w:highlight w:val="none"/>
        </w:rPr>
      </w:pPr>
      <w:r>
        <w:rPr>
          <w:rFonts w:hint="eastAsia" w:cs="宋体"/>
          <w:color w:val="auto"/>
          <w:spacing w:val="6"/>
          <w:szCs w:val="24"/>
          <w:highlight w:val="none"/>
        </w:rPr>
        <w:t>本公司（联合体）郑重声明，根据《政府采购促进中小企业发展管理办法》（财库﹝2020﹞46 号）的规定，本公司（联合体）参加</w:t>
      </w:r>
      <w:r>
        <w:rPr>
          <w:rFonts w:hint="eastAsia" w:cs="宋体"/>
          <w:color w:val="auto"/>
          <w:spacing w:val="6"/>
          <w:szCs w:val="24"/>
          <w:highlight w:val="none"/>
          <w:u w:val="single"/>
        </w:rPr>
        <w:t xml:space="preserve"> （单位名称）</w:t>
      </w:r>
      <w:r>
        <w:rPr>
          <w:rFonts w:hint="eastAsia" w:cs="宋体"/>
          <w:color w:val="auto"/>
          <w:spacing w:val="6"/>
          <w:szCs w:val="24"/>
          <w:highlight w:val="none"/>
        </w:rPr>
        <w:t xml:space="preserve"> 的</w:t>
      </w:r>
      <w:r>
        <w:rPr>
          <w:rFonts w:hint="eastAsia" w:cs="宋体"/>
          <w:color w:val="auto"/>
          <w:spacing w:val="6"/>
          <w:szCs w:val="24"/>
          <w:highlight w:val="none"/>
          <w:u w:val="single"/>
        </w:rPr>
        <w:t xml:space="preserve"> （项目名称） </w:t>
      </w:r>
      <w:r>
        <w:rPr>
          <w:rFonts w:hint="eastAsia" w:cs="宋体"/>
          <w:color w:val="auto"/>
          <w:spacing w:val="6"/>
          <w:szCs w:val="24"/>
          <w:highlight w:val="none"/>
        </w:rPr>
        <w:t>采购活动，服务全部由符合政策要求的中小企业承接。相关企业（含联合体中的中小企业、签订分包意向协议的中小企业）的具体情况如下：</w:t>
      </w:r>
    </w:p>
    <w:p w14:paraId="57A088DF">
      <w:pPr>
        <w:ind w:firstLine="504" w:firstLineChars="200"/>
        <w:rPr>
          <w:rFonts w:hint="eastAsia" w:cs="宋体"/>
          <w:color w:val="auto"/>
          <w:spacing w:val="6"/>
          <w:szCs w:val="24"/>
          <w:highlight w:val="none"/>
        </w:rPr>
      </w:pPr>
      <w:r>
        <w:rPr>
          <w:rFonts w:hint="eastAsia" w:cs="宋体"/>
          <w:color w:val="auto"/>
          <w:spacing w:val="6"/>
          <w:szCs w:val="24"/>
          <w:highlight w:val="none"/>
        </w:rPr>
        <w:t xml:space="preserve">1. </w:t>
      </w:r>
      <w:r>
        <w:rPr>
          <w:rFonts w:hint="eastAsia" w:cs="宋体"/>
          <w:color w:val="auto"/>
          <w:spacing w:val="6"/>
          <w:szCs w:val="24"/>
          <w:highlight w:val="none"/>
          <w:u w:val="single"/>
        </w:rPr>
        <w:t xml:space="preserve">（标的名称）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（采购文件中明确的所属行业） </w:t>
      </w:r>
      <w:r>
        <w:rPr>
          <w:rFonts w:hint="eastAsia" w:cs="宋体"/>
          <w:color w:val="auto"/>
          <w:spacing w:val="6"/>
          <w:szCs w:val="24"/>
          <w:highlight w:val="none"/>
        </w:rPr>
        <w:t>；承接企业为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（中型企业、小型企业、微型企业）</w:t>
      </w:r>
      <w:r>
        <w:rPr>
          <w:rFonts w:hint="eastAsia" w:cs="宋体"/>
          <w:color w:val="auto"/>
          <w:spacing w:val="6"/>
          <w:szCs w:val="24"/>
          <w:highlight w:val="none"/>
        </w:rPr>
        <w:t>；</w:t>
      </w:r>
    </w:p>
    <w:p w14:paraId="222AFB4D">
      <w:pPr>
        <w:ind w:firstLine="504" w:firstLineChars="200"/>
        <w:rPr>
          <w:rFonts w:hint="eastAsia" w:cs="宋体"/>
          <w:color w:val="auto"/>
          <w:spacing w:val="6"/>
          <w:szCs w:val="24"/>
          <w:highlight w:val="none"/>
        </w:rPr>
      </w:pPr>
      <w:r>
        <w:rPr>
          <w:rFonts w:hint="eastAsia" w:cs="宋体"/>
          <w:color w:val="auto"/>
          <w:spacing w:val="6"/>
          <w:szCs w:val="24"/>
          <w:highlight w:val="none"/>
        </w:rPr>
        <w:t>2.</w:t>
      </w:r>
      <w:r>
        <w:rPr>
          <w:rFonts w:hint="eastAsia" w:cs="宋体"/>
          <w:color w:val="auto"/>
          <w:spacing w:val="6"/>
          <w:szCs w:val="24"/>
          <w:highlight w:val="none"/>
          <w:u w:val="single"/>
        </w:rPr>
        <w:t xml:space="preserve"> （标的名称）</w:t>
      </w:r>
      <w:r>
        <w:rPr>
          <w:rFonts w:hint="eastAsia" w:cs="宋体"/>
          <w:color w:val="auto"/>
          <w:spacing w:val="6"/>
          <w:szCs w:val="24"/>
          <w:highlight w:val="none"/>
        </w:rPr>
        <w:t xml:space="preserve"> ，属于</w:t>
      </w:r>
      <w:r>
        <w:rPr>
          <w:rFonts w:hint="eastAsia" w:cs="宋体"/>
          <w:color w:val="auto"/>
          <w:spacing w:val="6"/>
          <w:szCs w:val="24"/>
          <w:highlight w:val="none"/>
          <w:u w:val="single"/>
        </w:rPr>
        <w:t xml:space="preserve"> （采购文件中明确的所属行业） </w:t>
      </w:r>
      <w:r>
        <w:rPr>
          <w:rFonts w:hint="eastAsia" w:cs="宋体"/>
          <w:color w:val="auto"/>
          <w:spacing w:val="6"/>
          <w:szCs w:val="24"/>
          <w:highlight w:val="none"/>
        </w:rPr>
        <w:t>；承接企业为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（中型企业、小型企业、微型企业）</w:t>
      </w:r>
      <w:r>
        <w:rPr>
          <w:rFonts w:hint="eastAsia" w:cs="宋体"/>
          <w:color w:val="auto"/>
          <w:spacing w:val="6"/>
          <w:szCs w:val="24"/>
          <w:highlight w:val="none"/>
        </w:rPr>
        <w:t>；</w:t>
      </w:r>
    </w:p>
    <w:p w14:paraId="39DCDC52">
      <w:pPr>
        <w:ind w:firstLine="504" w:firstLineChars="200"/>
        <w:rPr>
          <w:rFonts w:hint="eastAsia" w:cs="宋体"/>
          <w:color w:val="auto"/>
          <w:spacing w:val="6"/>
          <w:szCs w:val="24"/>
          <w:highlight w:val="none"/>
        </w:rPr>
      </w:pPr>
      <w:r>
        <w:rPr>
          <w:rFonts w:hint="eastAsia" w:cs="宋体"/>
          <w:color w:val="auto"/>
          <w:spacing w:val="6"/>
          <w:szCs w:val="24"/>
          <w:highlight w:val="none"/>
        </w:rPr>
        <w:t>……</w:t>
      </w:r>
    </w:p>
    <w:p w14:paraId="708F1D10">
      <w:pPr>
        <w:ind w:firstLine="504" w:firstLineChars="200"/>
        <w:rPr>
          <w:rFonts w:hint="eastAsia" w:cs="宋体"/>
          <w:color w:val="auto"/>
          <w:spacing w:val="6"/>
          <w:szCs w:val="24"/>
          <w:highlight w:val="none"/>
        </w:rPr>
      </w:pPr>
      <w:r>
        <w:rPr>
          <w:rFonts w:hint="eastAsia" w:cs="宋体"/>
          <w:color w:val="auto"/>
          <w:spacing w:val="6"/>
          <w:szCs w:val="24"/>
          <w:highlight w:val="none"/>
        </w:rPr>
        <w:t>以上企业，不属于大企业的分支机构，不存在控股股东为大企业的情形，也不存在与大企业的负责人为同一人的情形。</w:t>
      </w:r>
    </w:p>
    <w:p w14:paraId="02D6F1D3">
      <w:pPr>
        <w:ind w:firstLine="504" w:firstLineChars="200"/>
        <w:rPr>
          <w:rFonts w:hint="eastAsia" w:cs="宋体"/>
          <w:color w:val="auto"/>
          <w:spacing w:val="6"/>
          <w:szCs w:val="24"/>
          <w:highlight w:val="none"/>
        </w:rPr>
      </w:pPr>
      <w:r>
        <w:rPr>
          <w:rFonts w:hint="eastAsia" w:cs="宋体"/>
          <w:color w:val="auto"/>
          <w:spacing w:val="6"/>
          <w:szCs w:val="24"/>
          <w:highlight w:val="none"/>
        </w:rPr>
        <w:t>本企业对上述声明内容的真实性负责。如有虚假，将依法承担相应责任。</w:t>
      </w:r>
    </w:p>
    <w:p w14:paraId="1ADB2C8D">
      <w:pPr>
        <w:ind w:firstLine="504" w:firstLineChars="200"/>
        <w:rPr>
          <w:rFonts w:cs="宋体"/>
          <w:color w:val="auto"/>
          <w:spacing w:val="6"/>
          <w:szCs w:val="24"/>
          <w:highlight w:val="none"/>
        </w:rPr>
      </w:pPr>
    </w:p>
    <w:p w14:paraId="5A6D844B">
      <w:pPr>
        <w:ind w:right="1008" w:firstLine="4788" w:firstLineChars="1900"/>
        <w:rPr>
          <w:rFonts w:cs="宋体"/>
          <w:color w:val="auto"/>
          <w:spacing w:val="6"/>
          <w:szCs w:val="24"/>
          <w:highlight w:val="none"/>
        </w:rPr>
      </w:pPr>
    </w:p>
    <w:p w14:paraId="165AEE2D">
      <w:pPr>
        <w:ind w:right="1008" w:firstLine="4284" w:firstLineChars="1700"/>
        <w:rPr>
          <w:rFonts w:cs="宋体"/>
          <w:color w:val="auto"/>
          <w:spacing w:val="6"/>
          <w:szCs w:val="24"/>
          <w:highlight w:val="none"/>
        </w:rPr>
      </w:pPr>
      <w:r>
        <w:rPr>
          <w:rFonts w:hint="eastAsia" w:cs="宋体"/>
          <w:color w:val="auto"/>
          <w:spacing w:val="6"/>
          <w:szCs w:val="24"/>
          <w:highlight w:val="none"/>
          <w:lang w:val="en-US" w:eastAsia="zh-CN"/>
        </w:rPr>
        <w:t>投标人</w:t>
      </w:r>
      <w:r>
        <w:rPr>
          <w:rFonts w:hint="eastAsia" w:cs="宋体"/>
          <w:color w:val="auto"/>
          <w:spacing w:val="6"/>
          <w:szCs w:val="24"/>
          <w:highlight w:val="none"/>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宋体"/>
          <w:color w:val="auto"/>
          <w:spacing w:val="6"/>
          <w:szCs w:val="24"/>
          <w:highlight w:val="none"/>
        </w:rPr>
        <w:t>：</w:t>
      </w:r>
    </w:p>
    <w:p w14:paraId="5183E380">
      <w:pPr>
        <w:ind w:right="1008" w:firstLine="4284" w:firstLineChars="1700"/>
        <w:rPr>
          <w:rFonts w:hint="default" w:eastAsia="宋体" w:cs="宋体"/>
          <w:color w:val="auto"/>
          <w:spacing w:val="6"/>
          <w:szCs w:val="24"/>
          <w:highlight w:val="none"/>
          <w:lang w:val="en-US" w:eastAsia="zh-CN"/>
        </w:rPr>
      </w:pPr>
      <w:r>
        <w:rPr>
          <w:rFonts w:hint="eastAsia" w:cs="宋体"/>
          <w:color w:val="auto"/>
          <w:spacing w:val="6"/>
          <w:szCs w:val="24"/>
          <w:highlight w:val="none"/>
        </w:rPr>
        <w:t>日期：</w:t>
      </w:r>
      <w:r>
        <w:rPr>
          <w:rFonts w:hint="eastAsia" w:cs="宋体"/>
          <w:color w:val="auto"/>
          <w:spacing w:val="6"/>
          <w:szCs w:val="24"/>
          <w:highlight w:val="none"/>
          <w:lang w:val="en-US" w:eastAsia="zh-CN"/>
        </w:rPr>
        <w:t xml:space="preserve">   年  月  日</w:t>
      </w:r>
    </w:p>
    <w:p w14:paraId="7BA8C73B">
      <w:pPr>
        <w:ind w:firstLine="504" w:firstLineChars="200"/>
        <w:rPr>
          <w:rFonts w:cs="宋体"/>
          <w:color w:val="auto"/>
          <w:spacing w:val="6"/>
          <w:szCs w:val="24"/>
          <w:highlight w:val="none"/>
        </w:rPr>
      </w:pPr>
    </w:p>
    <w:p w14:paraId="748B4DD4">
      <w:pPr>
        <w:rPr>
          <w:rFonts w:hint="default" w:cs="宋体"/>
          <w:b/>
          <w:bCs/>
          <w:color w:val="auto"/>
          <w:spacing w:val="6"/>
          <w:sz w:val="21"/>
          <w:szCs w:val="21"/>
          <w:highlight w:val="none"/>
          <w:lang w:val="en-US" w:eastAsia="zh-CN"/>
        </w:rPr>
      </w:pPr>
      <w:r>
        <w:rPr>
          <w:rFonts w:hint="eastAsia" w:cs="宋体"/>
          <w:b/>
          <w:bCs/>
          <w:color w:val="auto"/>
          <w:spacing w:val="6"/>
          <w:sz w:val="21"/>
          <w:szCs w:val="21"/>
          <w:highlight w:val="none"/>
        </w:rPr>
        <w:t>说明：</w:t>
      </w:r>
      <w:r>
        <w:rPr>
          <w:rFonts w:hint="eastAsia" w:cs="宋体"/>
          <w:b/>
          <w:bCs/>
          <w:color w:val="auto"/>
          <w:spacing w:val="6"/>
          <w:sz w:val="21"/>
          <w:szCs w:val="21"/>
          <w:highlight w:val="none"/>
          <w:lang w:val="en-US" w:eastAsia="zh-CN"/>
        </w:rPr>
        <w:t>1.重要提示：供应商应仔细阅读本函附件1关于“中小企业声明函”的填写要求及提交要求，否则，因填写或提交等产生的一切不利后果，须自行承担。</w:t>
      </w:r>
    </w:p>
    <w:p w14:paraId="126DF3AF">
      <w:pPr>
        <w:ind w:firstLine="668" w:firstLineChars="300"/>
        <w:rPr>
          <w:rFonts w:cs="宋体"/>
          <w:color w:val="auto"/>
          <w:spacing w:val="6"/>
          <w:sz w:val="21"/>
          <w:szCs w:val="21"/>
          <w:highlight w:val="none"/>
        </w:rPr>
      </w:pPr>
      <w:r>
        <w:rPr>
          <w:rFonts w:hint="eastAsia" w:cs="宋体"/>
          <w:b/>
          <w:bCs/>
          <w:color w:val="auto"/>
          <w:spacing w:val="6"/>
          <w:sz w:val="21"/>
          <w:szCs w:val="21"/>
          <w:highlight w:val="none"/>
          <w:lang w:val="en-US" w:eastAsia="zh-CN"/>
        </w:rPr>
        <w:t>2.</w:t>
      </w:r>
      <w:r>
        <w:rPr>
          <w:rFonts w:hint="eastAsia" w:cs="宋体"/>
          <w:color w:val="auto"/>
          <w:spacing w:val="6"/>
          <w:sz w:val="21"/>
          <w:szCs w:val="21"/>
          <w:highlight w:val="none"/>
        </w:rPr>
        <w:t>从业人员、营业收入、资产总额填报上一年度数据，无上一年度数据的新成立企业可不填报。</w:t>
      </w:r>
    </w:p>
    <w:p w14:paraId="13E0A5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7EA8D88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3EF0BA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5190A2D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color w:val="auto"/>
          <w:highlight w:val="none"/>
          <w:lang w:val="en-US" w:eastAsia="zh-CN"/>
        </w:rPr>
      </w:pPr>
      <w:r>
        <w:rPr>
          <w:rFonts w:hint="eastAsia"/>
          <w:b/>
          <w:bCs/>
          <w:color w:val="auto"/>
          <w:highlight w:val="none"/>
          <w:lang w:val="en-US" w:eastAsia="zh-CN"/>
        </w:rPr>
        <w:t xml:space="preserve">附件1 </w:t>
      </w:r>
    </w:p>
    <w:p w14:paraId="5E2CB0B5">
      <w:pPr>
        <w:keepNext w:val="0"/>
        <w:keepLines w:val="0"/>
        <w:widowControl/>
        <w:suppressLineNumbers w:val="0"/>
        <w:ind w:firstLine="562" w:firstLineChars="200"/>
        <w:jc w:val="left"/>
        <w:rPr>
          <w:rStyle w:val="36"/>
          <w:rFonts w:hint="eastAsia" w:ascii="宋体" w:hAnsi="宋体" w:eastAsia="宋体" w:cs="宋体"/>
          <w:color w:val="auto"/>
          <w:kern w:val="0"/>
          <w:sz w:val="28"/>
          <w:szCs w:val="28"/>
          <w:highlight w:val="none"/>
          <w:lang w:val="en-US" w:eastAsia="zh-CN" w:bidi="ar"/>
        </w:rPr>
      </w:pPr>
    </w:p>
    <w:p w14:paraId="62EF0AA4">
      <w:pPr>
        <w:keepNext w:val="0"/>
        <w:keepLines w:val="0"/>
        <w:widowControl/>
        <w:suppressLineNumbers w:val="0"/>
        <w:ind w:firstLine="482" w:firstLineChars="200"/>
        <w:jc w:val="left"/>
        <w:rPr>
          <w:rStyle w:val="36"/>
          <w:rFonts w:hint="eastAsia" w:ascii="宋体" w:hAnsi="宋体" w:eastAsia="宋体" w:cs="宋体"/>
          <w:color w:val="auto"/>
          <w:kern w:val="0"/>
          <w:sz w:val="28"/>
          <w:szCs w:val="28"/>
          <w:highlight w:val="none"/>
          <w:lang w:val="en-US" w:eastAsia="zh-CN" w:bidi="ar"/>
        </w:rPr>
      </w:pPr>
      <w:r>
        <w:rPr>
          <w:rStyle w:val="36"/>
          <w:rFonts w:hint="eastAsia" w:ascii="宋体" w:hAnsi="宋体" w:eastAsia="宋体" w:cs="宋体"/>
          <w:color w:val="auto"/>
          <w:kern w:val="0"/>
          <w:sz w:val="24"/>
          <w:szCs w:val="24"/>
          <w:highlight w:val="none"/>
          <w:lang w:val="en-US" w:eastAsia="zh-CN" w:bidi="ar"/>
        </w:rPr>
        <w:t>（一）关于</w:t>
      </w:r>
      <w:r>
        <w:rPr>
          <w:rStyle w:val="36"/>
          <w:rFonts w:hint="eastAsia" w:cs="宋体"/>
          <w:color w:val="auto"/>
          <w:kern w:val="0"/>
          <w:sz w:val="24"/>
          <w:szCs w:val="24"/>
          <w:highlight w:val="none"/>
          <w:lang w:val="en-US" w:eastAsia="zh-CN" w:bidi="ar"/>
        </w:rPr>
        <w:t>“</w:t>
      </w:r>
      <w:r>
        <w:rPr>
          <w:rStyle w:val="36"/>
          <w:rFonts w:hint="eastAsia" w:ascii="宋体" w:hAnsi="宋体" w:eastAsia="宋体" w:cs="宋体"/>
          <w:color w:val="auto"/>
          <w:kern w:val="0"/>
          <w:sz w:val="24"/>
          <w:szCs w:val="24"/>
          <w:highlight w:val="none"/>
          <w:lang w:val="en-US" w:eastAsia="zh-CN" w:bidi="ar"/>
        </w:rPr>
        <w:t>中小企业声明函</w:t>
      </w:r>
      <w:r>
        <w:rPr>
          <w:rStyle w:val="36"/>
          <w:rFonts w:hint="eastAsia" w:cs="宋体"/>
          <w:color w:val="auto"/>
          <w:kern w:val="0"/>
          <w:sz w:val="24"/>
          <w:szCs w:val="24"/>
          <w:highlight w:val="none"/>
          <w:lang w:val="en-US" w:eastAsia="zh-CN" w:bidi="ar"/>
        </w:rPr>
        <w:t>”</w:t>
      </w:r>
      <w:r>
        <w:rPr>
          <w:rStyle w:val="36"/>
          <w:rFonts w:hint="eastAsia" w:ascii="宋体" w:hAnsi="宋体" w:eastAsia="宋体" w:cs="宋体"/>
          <w:color w:val="auto"/>
          <w:kern w:val="0"/>
          <w:sz w:val="24"/>
          <w:szCs w:val="24"/>
          <w:highlight w:val="none"/>
          <w:lang w:val="en-US" w:eastAsia="zh-CN" w:bidi="ar"/>
        </w:rPr>
        <w:t>的填写要求</w:t>
      </w:r>
    </w:p>
    <w:p w14:paraId="6BC4DF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具体填写要求如下：</w:t>
      </w:r>
    </w:p>
    <w:p w14:paraId="414BDE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1.“单位名称”应填写采购人名称。</w:t>
      </w:r>
    </w:p>
    <w:p w14:paraId="3C1114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02B61C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9C823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34D66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3941B3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C9C37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5.“企业名称”应填写投标（响应）的货物制造商/服务承接商/工程承建商（根据项目属性确定）。</w:t>
      </w:r>
    </w:p>
    <w:p w14:paraId="1A04AF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对于分包方式面向中小企业采购的项目，“企业名称”应填写分包部分采购标的对应的货物制造商/服务承接商/工程承建商（根据项目属性确定）。</w:t>
      </w:r>
    </w:p>
    <w:p w14:paraId="67D008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47482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6.从业人员、资产总额指标以上年度末数据为依据，营业收入指标以上年度累计数据为依据。无上年度数据的新成立企业可不填报。</w:t>
      </w:r>
    </w:p>
    <w:p w14:paraId="417BBF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载明的货物制造商/服务承接商/工程承建商（根据项目属性确定）是否属于采购文件所属行业的中型企业/小型企业/微型企业。</w:t>
      </w:r>
    </w:p>
    <w:p w14:paraId="0A3DD5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BA9439A">
      <w:pPr>
        <w:keepNext w:val="0"/>
        <w:keepLines w:val="0"/>
        <w:widowControl/>
        <w:suppressLineNumbers w:val="0"/>
        <w:ind w:firstLine="482" w:firstLineChars="200"/>
        <w:jc w:val="left"/>
        <w:rPr>
          <w:rStyle w:val="36"/>
          <w:rFonts w:hint="eastAsia" w:ascii="宋体" w:hAnsi="宋体" w:eastAsia="宋体" w:cs="宋体"/>
          <w:color w:val="auto"/>
          <w:kern w:val="0"/>
          <w:sz w:val="24"/>
          <w:szCs w:val="24"/>
          <w:highlight w:val="none"/>
          <w:lang w:val="en-US" w:eastAsia="zh-CN" w:bidi="ar"/>
        </w:rPr>
      </w:pPr>
      <w:r>
        <w:rPr>
          <w:rStyle w:val="36"/>
          <w:rFonts w:hint="eastAsia" w:ascii="宋体" w:hAnsi="宋体" w:eastAsia="宋体" w:cs="宋体"/>
          <w:color w:val="auto"/>
          <w:kern w:val="0"/>
          <w:sz w:val="24"/>
          <w:szCs w:val="24"/>
          <w:highlight w:val="none"/>
          <w:lang w:val="en-US" w:eastAsia="zh-CN" w:bidi="ar"/>
        </w:rPr>
        <w:t>（二）关于“中小企业声明函”的提交要求</w:t>
      </w:r>
    </w:p>
    <w:p w14:paraId="5F29A0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1.投标（响应）供应商对</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的真实性负责。投标（响应）供应商应当核实投标（响应）的货物制造商/服务承接商/工程承建商（根据项目属性确定）的相关信息，如对相关信息了解不充分，或者不能确定相关信息真实、准确的，不建议出具</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w:t>
      </w:r>
    </w:p>
    <w:p w14:paraId="49FFD3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2.鼓励供应商在投标（响应）时一并提供对货物制造商、服务承接商、工程承建商相关信息的核实核验情况以及其他佐证材料。</w:t>
      </w:r>
    </w:p>
    <w:p w14:paraId="15483C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3.如供应商提供的</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E224C04">
      <w:pPr>
        <w:rPr>
          <w:rFonts w:cs="宋体"/>
          <w:color w:val="auto"/>
          <w:spacing w:val="6"/>
          <w:sz w:val="21"/>
          <w:szCs w:val="21"/>
          <w:highlight w:val="none"/>
        </w:rPr>
      </w:pPr>
    </w:p>
    <w:p w14:paraId="6B42F924">
      <w:pPr>
        <w:rPr>
          <w:rFonts w:cs="宋体"/>
          <w:color w:val="auto"/>
          <w:spacing w:val="6"/>
          <w:sz w:val="21"/>
          <w:szCs w:val="21"/>
          <w:highlight w:val="none"/>
        </w:rPr>
      </w:pPr>
    </w:p>
    <w:p w14:paraId="1FCED5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sectPr>
          <w:headerReference r:id="rId10" w:type="default"/>
          <w:footerReference r:id="rId11" w:type="default"/>
          <w:pgSz w:w="11905" w:h="16840"/>
          <w:pgMar w:top="1440" w:right="1797" w:bottom="1440" w:left="1797" w:header="851" w:footer="850" w:gutter="0"/>
          <w:pgBorders>
            <w:top w:val="none" w:sz="0" w:space="0"/>
            <w:left w:val="none" w:sz="0" w:space="0"/>
            <w:bottom w:val="none" w:sz="0" w:space="0"/>
            <w:right w:val="none" w:sz="0" w:space="0"/>
          </w:pgBorders>
          <w:pgNumType w:fmt="decimal"/>
          <w:cols w:space="720" w:num="1"/>
        </w:sectPr>
      </w:pPr>
    </w:p>
    <w:p w14:paraId="511B2B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附件2：</w:t>
      </w:r>
    </w:p>
    <w:p w14:paraId="639A9CC2">
      <w:pPr>
        <w:pStyle w:val="2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关于印发中小企业划型标准规定的通知</w:t>
      </w:r>
    </w:p>
    <w:p w14:paraId="259220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6"/>
          <w:rFonts w:hint="eastAsia" w:ascii="宋体" w:hAnsi="宋体" w:eastAsia="宋体" w:cs="宋体"/>
          <w:b w:val="0"/>
          <w:color w:val="auto"/>
          <w:sz w:val="24"/>
          <w:szCs w:val="24"/>
          <w:highlight w:val="none"/>
        </w:rPr>
      </w:pPr>
      <w:r>
        <w:rPr>
          <w:rStyle w:val="36"/>
          <w:rFonts w:hint="eastAsia" w:ascii="宋体" w:hAnsi="宋体" w:eastAsia="宋体" w:cs="宋体"/>
          <w:b w:val="0"/>
          <w:color w:val="auto"/>
          <w:sz w:val="24"/>
          <w:szCs w:val="24"/>
          <w:highlight w:val="none"/>
        </w:rPr>
        <w:t>工信部联企业〔2011〕300号</w:t>
      </w:r>
    </w:p>
    <w:p w14:paraId="0E959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6"/>
          <w:rFonts w:hint="eastAsia" w:ascii="宋体" w:hAnsi="宋体" w:eastAsia="宋体" w:cs="宋体"/>
          <w:b w:val="0"/>
          <w:color w:val="auto"/>
          <w:sz w:val="24"/>
          <w:szCs w:val="24"/>
          <w:highlight w:val="none"/>
        </w:rPr>
      </w:pPr>
    </w:p>
    <w:p w14:paraId="289C59A7">
      <w:pPr>
        <w:keepNext w:val="0"/>
        <w:keepLines w:val="0"/>
        <w:pageBreakBefore w:val="0"/>
        <w:widowControl w:val="0"/>
        <w:kinsoku/>
        <w:wordWrap/>
        <w:overflowPunct/>
        <w:topLinePunct w:val="0"/>
        <w:autoSpaceDE/>
        <w:autoSpaceDN/>
        <w:bidi w:val="0"/>
        <w:adjustRightInd/>
        <w:snapToGrid/>
        <w:spacing w:line="360" w:lineRule="exact"/>
        <w:textAlignment w:val="auto"/>
        <w:rPr>
          <w:rStyle w:val="36"/>
          <w:rFonts w:hint="eastAsia" w:ascii="宋体" w:hAnsi="宋体" w:eastAsia="宋体" w:cs="宋体"/>
          <w:b w:val="0"/>
          <w:color w:val="auto"/>
          <w:sz w:val="24"/>
          <w:szCs w:val="24"/>
          <w:highlight w:val="none"/>
        </w:rPr>
      </w:pPr>
      <w:r>
        <w:rPr>
          <w:rStyle w:val="36"/>
          <w:rFonts w:hint="eastAsia" w:ascii="宋体" w:hAnsi="宋体" w:eastAsia="宋体" w:cs="宋体"/>
          <w:b w:val="0"/>
          <w:color w:val="auto"/>
          <w:sz w:val="24"/>
          <w:szCs w:val="24"/>
          <w:highlight w:val="none"/>
        </w:rPr>
        <w:t>各省、自治区、直辖市人民政府，国务院各部委、各直属机构及有关单位：</w:t>
      </w:r>
    </w:p>
    <w:p w14:paraId="11AACCD7">
      <w:pPr>
        <w:keepNext w:val="0"/>
        <w:keepLines w:val="0"/>
        <w:pageBreakBefore w:val="0"/>
        <w:widowControl w:val="0"/>
        <w:kinsoku/>
        <w:wordWrap/>
        <w:overflowPunct/>
        <w:topLinePunct w:val="0"/>
        <w:autoSpaceDE/>
        <w:autoSpaceDN/>
        <w:bidi w:val="0"/>
        <w:adjustRightInd/>
        <w:snapToGrid/>
        <w:spacing w:line="36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9C3063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工业和信息化部　国家统计局</w:t>
      </w:r>
    </w:p>
    <w:p w14:paraId="5C55A29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国家发展和改革委员会　财政部</w:t>
      </w:r>
    </w:p>
    <w:p w14:paraId="6F52758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二○一一年六月十八日</w:t>
      </w:r>
    </w:p>
    <w:p w14:paraId="75F0B3C6">
      <w:pPr>
        <w:keepNext w:val="0"/>
        <w:keepLines w:val="0"/>
        <w:pageBreakBefore w:val="0"/>
        <w:widowControl w:val="0"/>
        <w:kinsoku/>
        <w:wordWrap/>
        <w:overflowPunct/>
        <w:topLinePunct w:val="0"/>
        <w:autoSpaceDE/>
        <w:autoSpaceDN/>
        <w:bidi w:val="0"/>
        <w:adjustRightInd/>
        <w:snapToGrid/>
        <w:spacing w:line="36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xml:space="preserve"> </w:t>
      </w:r>
    </w:p>
    <w:p w14:paraId="3E2FDB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6"/>
          <w:rFonts w:hint="eastAsia" w:ascii="宋体" w:hAnsi="宋体" w:eastAsia="宋体" w:cs="宋体"/>
          <w:b/>
          <w:bCs w:val="0"/>
          <w:color w:val="auto"/>
          <w:sz w:val="28"/>
          <w:szCs w:val="28"/>
          <w:highlight w:val="none"/>
        </w:rPr>
      </w:pPr>
      <w:r>
        <w:rPr>
          <w:rStyle w:val="36"/>
          <w:rFonts w:hint="eastAsia" w:ascii="宋体" w:hAnsi="宋体" w:eastAsia="宋体" w:cs="宋体"/>
          <w:b/>
          <w:bCs w:val="0"/>
          <w:color w:val="auto"/>
          <w:sz w:val="28"/>
          <w:szCs w:val="28"/>
          <w:highlight w:val="none"/>
        </w:rPr>
        <w:t>中小企业划型标准规定</w:t>
      </w:r>
    </w:p>
    <w:p w14:paraId="7440C465">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一、根据《中华人民共和国中小企业促进法》和《国务院关于进一步促进中小企业发展的若干意见》(国发〔2009〕36号)，制定本规定。</w:t>
      </w:r>
    </w:p>
    <w:p w14:paraId="507AD261">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二、中小企业划分为中型、小型、微型三种类型，具体标准根据企业从业人员、营业收入、资产总额等指标，结合行业特点制定。</w:t>
      </w:r>
    </w:p>
    <w:p w14:paraId="58A39619">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5AE90D">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四、各行业划型标准为：</w:t>
      </w:r>
    </w:p>
    <w:p w14:paraId="6B4E2D0C">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9E2F5AC">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582AE">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1D138B">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EB3B7">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EB118A">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14A6D2">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FCEC98">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4D3E4D">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462725">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7CBAA6">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AAA96">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C394A7">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121D1E">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AB8718">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81398">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509B953B">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五、企业类型的划分以统计部门的统计数据为依据。</w:t>
      </w:r>
    </w:p>
    <w:p w14:paraId="77228C0D">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六、本规定适用于在中华人民共和国境内依法设立的各类所有制和各种组织形式的企业。个体工商户和本规定以外的行业，参照本规定进行划型。</w:t>
      </w:r>
    </w:p>
    <w:p w14:paraId="5F4BB8EA">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50AEC1">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八、本规定由工业和信息化部、国家统计局会同有关部门根据《国民经济行业分类》修订情况和企业发展变化情况适时修订。</w:t>
      </w:r>
    </w:p>
    <w:p w14:paraId="69D789A4">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九、本规定由工业和信息化部、国家统计局会同有关部门负责解释。</w:t>
      </w:r>
    </w:p>
    <w:p w14:paraId="4299A031">
      <w:pPr>
        <w:keepNext w:val="0"/>
        <w:keepLines w:val="0"/>
        <w:pageBreakBefore w:val="0"/>
        <w:widowControl w:val="0"/>
        <w:kinsoku/>
        <w:wordWrap/>
        <w:overflowPunct/>
        <w:topLinePunct w:val="0"/>
        <w:autoSpaceDE/>
        <w:autoSpaceDN/>
        <w:bidi w:val="0"/>
        <w:adjustRightInd/>
        <w:snapToGrid/>
        <w:spacing w:line="40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十、本规定自发布之日起执行，原国家经贸委、原国家计委、财政部和国家统计局2003年颁布的《中小企业标准暂行规定》同时废止。</w:t>
      </w:r>
    </w:p>
    <w:p w14:paraId="5BCE9D64">
      <w:pPr>
        <w:rPr>
          <w:rFonts w:cs="宋体"/>
          <w:color w:val="auto"/>
          <w:spacing w:val="6"/>
          <w:sz w:val="21"/>
          <w:szCs w:val="21"/>
          <w:highlight w:val="none"/>
        </w:rPr>
      </w:pPr>
      <w:r>
        <w:rPr>
          <w:rFonts w:cs="宋体"/>
          <w:color w:val="auto"/>
          <w:spacing w:val="6"/>
          <w:sz w:val="21"/>
          <w:szCs w:val="21"/>
          <w:highlight w:val="none"/>
        </w:rPr>
        <w:br w:type="page"/>
      </w:r>
    </w:p>
    <w:p w14:paraId="07DD59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bookmarkStart w:id="788" w:name="_Toc163492940"/>
      <w:r>
        <w:rPr>
          <w:rFonts w:hint="eastAsia"/>
          <w:b/>
          <w:bCs/>
          <w:color w:val="auto"/>
          <w:highlight w:val="none"/>
          <w:lang w:val="en-US" w:eastAsia="zh-CN"/>
        </w:rPr>
        <w:t>附件3：</w:t>
      </w:r>
    </w:p>
    <w:p w14:paraId="754A877D">
      <w:pPr>
        <w:rPr>
          <w:rFonts w:hint="eastAsia" w:cs="宋体"/>
          <w:color w:val="auto"/>
          <w:spacing w:val="6"/>
          <w:sz w:val="21"/>
          <w:szCs w:val="21"/>
          <w:highlight w:val="none"/>
        </w:rPr>
      </w:pPr>
    </w:p>
    <w:p w14:paraId="36D4DB1B">
      <w:pPr>
        <w:pStyle w:val="2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关于印发《金融业企业划型标准规定》的通知</w:t>
      </w:r>
    </w:p>
    <w:p w14:paraId="46F847F3">
      <w:pPr>
        <w:jc w:val="center"/>
        <w:rPr>
          <w:rStyle w:val="36"/>
          <w:rFonts w:hint="eastAsia" w:ascii="宋体" w:hAnsi="宋体" w:eastAsia="宋体" w:cs="宋体"/>
          <w:b w:val="0"/>
          <w:color w:val="auto"/>
          <w:sz w:val="24"/>
          <w:szCs w:val="24"/>
          <w:highlight w:val="none"/>
        </w:rPr>
      </w:pPr>
      <w:r>
        <w:rPr>
          <w:rStyle w:val="36"/>
          <w:rFonts w:hint="eastAsia" w:ascii="宋体" w:hAnsi="宋体" w:eastAsia="宋体" w:cs="宋体"/>
          <w:b w:val="0"/>
          <w:color w:val="auto"/>
          <w:sz w:val="24"/>
          <w:szCs w:val="24"/>
          <w:highlight w:val="none"/>
        </w:rPr>
        <w:t>银发〔2015〕309号</w:t>
      </w:r>
    </w:p>
    <w:p w14:paraId="6EBA1AEF">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12B6BFCB">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53F6A9E3">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6"/>
          <w:rFonts w:hint="eastAsia" w:ascii="宋体" w:hAnsi="宋体" w:eastAsia="宋体" w:cs="宋体"/>
          <w:b w:val="0"/>
          <w:bCs w:val="0"/>
          <w:color w:val="auto"/>
          <w:sz w:val="24"/>
          <w:szCs w:val="24"/>
          <w:highlight w:val="none"/>
        </w:rPr>
      </w:pPr>
    </w:p>
    <w:p w14:paraId="5AE5F476">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附件：金融业企业划型标准规定</w:t>
      </w:r>
    </w:p>
    <w:p w14:paraId="575D4BF4">
      <w:pPr>
        <w:keepNext w:val="0"/>
        <w:keepLines w:val="0"/>
        <w:pageBreakBefore w:val="0"/>
        <w:widowControl w:val="0"/>
        <w:kinsoku/>
        <w:wordWrap/>
        <w:overflowPunct/>
        <w:topLinePunct w:val="0"/>
        <w:autoSpaceDE/>
        <w:autoSpaceDN/>
        <w:bidi w:val="0"/>
        <w:adjustRightInd/>
        <w:snapToGrid/>
        <w:spacing w:line="460" w:lineRule="exact"/>
        <w:textAlignment w:val="auto"/>
        <w:rPr>
          <w:rStyle w:val="36"/>
          <w:rFonts w:hint="eastAsia" w:ascii="宋体" w:hAnsi="宋体" w:eastAsia="宋体" w:cs="宋体"/>
          <w:b w:val="0"/>
          <w:bCs w:val="0"/>
          <w:color w:val="auto"/>
          <w:sz w:val="24"/>
          <w:szCs w:val="24"/>
          <w:highlight w:val="none"/>
        </w:rPr>
      </w:pPr>
      <w:r>
        <w:rPr>
          <w:rFonts w:hint="eastAsia" w:cs="宋体"/>
          <w:color w:val="auto"/>
          <w:spacing w:val="6"/>
          <w:sz w:val="24"/>
          <w:szCs w:val="24"/>
          <w:highlight w:val="none"/>
        </w:rPr>
        <w:t>                                      </w:t>
      </w:r>
      <w:r>
        <w:rPr>
          <w:rStyle w:val="36"/>
          <w:rFonts w:hint="eastAsia" w:ascii="宋体" w:hAnsi="宋体" w:eastAsia="宋体" w:cs="宋体"/>
          <w:b w:val="0"/>
          <w:bCs w:val="0"/>
          <w:color w:val="auto"/>
          <w:sz w:val="24"/>
          <w:szCs w:val="24"/>
          <w:highlight w:val="none"/>
        </w:rPr>
        <w:t>       </w:t>
      </w:r>
      <w:r>
        <w:rPr>
          <w:rStyle w:val="36"/>
          <w:rFonts w:hint="eastAsia" w:cs="宋体"/>
          <w:b w:val="0"/>
          <w:bCs w:val="0"/>
          <w:color w:val="auto"/>
          <w:sz w:val="24"/>
          <w:szCs w:val="24"/>
          <w:highlight w:val="none"/>
          <w:lang w:val="en-US" w:eastAsia="zh-CN"/>
        </w:rPr>
        <w:t xml:space="preserve">                            </w:t>
      </w:r>
      <w:r>
        <w:rPr>
          <w:rStyle w:val="36"/>
          <w:rFonts w:hint="eastAsia" w:ascii="宋体" w:hAnsi="宋体" w:eastAsia="宋体" w:cs="宋体"/>
          <w:b w:val="0"/>
          <w:bCs w:val="0"/>
          <w:color w:val="auto"/>
          <w:sz w:val="24"/>
          <w:szCs w:val="24"/>
          <w:highlight w:val="none"/>
        </w:rPr>
        <w:t>中国人民银行</w:t>
      </w:r>
    </w:p>
    <w:p w14:paraId="0E162F05">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中国银行业监督管理委员会</w:t>
      </w:r>
    </w:p>
    <w:p w14:paraId="644A820C">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中国证券监督管理委员会</w:t>
      </w:r>
    </w:p>
    <w:p w14:paraId="13427FED">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中国保险监督管理委员会</w:t>
      </w:r>
    </w:p>
    <w:p w14:paraId="189E390E">
      <w:pPr>
        <w:keepNext w:val="0"/>
        <w:keepLines w:val="0"/>
        <w:pageBreakBefore w:val="0"/>
        <w:widowControl w:val="0"/>
        <w:kinsoku/>
        <w:wordWrap/>
        <w:overflowPunct/>
        <w:topLinePunct w:val="0"/>
        <w:autoSpaceDE/>
        <w:autoSpaceDN/>
        <w:bidi w:val="0"/>
        <w:adjustRightInd/>
        <w:snapToGrid/>
        <w:spacing w:line="460" w:lineRule="exact"/>
        <w:ind w:firstLine="2160" w:firstLineChars="900"/>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中华人民共和国国家统计局</w:t>
      </w:r>
    </w:p>
    <w:p w14:paraId="35EB1163">
      <w:pPr>
        <w:keepNext w:val="0"/>
        <w:keepLines w:val="0"/>
        <w:pageBreakBefore w:val="0"/>
        <w:widowControl w:val="0"/>
        <w:kinsoku/>
        <w:wordWrap/>
        <w:overflowPunct/>
        <w:topLinePunct w:val="0"/>
        <w:autoSpaceDE/>
        <w:autoSpaceDN/>
        <w:bidi w:val="0"/>
        <w:adjustRightInd/>
        <w:snapToGrid/>
        <w:spacing w:line="460" w:lineRule="exact"/>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                                                     </w:t>
      </w:r>
      <w:r>
        <w:rPr>
          <w:rStyle w:val="36"/>
          <w:rFonts w:hint="eastAsia" w:cs="宋体"/>
          <w:b w:val="0"/>
          <w:bCs w:val="0"/>
          <w:color w:val="auto"/>
          <w:sz w:val="24"/>
          <w:szCs w:val="24"/>
          <w:highlight w:val="none"/>
          <w:lang w:val="en-US" w:eastAsia="zh-CN"/>
        </w:rPr>
        <w:t xml:space="preserve">     </w:t>
      </w:r>
      <w:r>
        <w:rPr>
          <w:rStyle w:val="36"/>
          <w:rFonts w:hint="eastAsia" w:ascii="宋体" w:hAnsi="宋体" w:eastAsia="宋体" w:cs="宋体"/>
          <w:b w:val="0"/>
          <w:bCs w:val="0"/>
          <w:color w:val="auto"/>
          <w:sz w:val="24"/>
          <w:szCs w:val="24"/>
          <w:highlight w:val="none"/>
        </w:rPr>
        <w:t> 2015年9月28日</w:t>
      </w:r>
    </w:p>
    <w:p w14:paraId="2D875BF0">
      <w:pPr>
        <w:rPr>
          <w:rFonts w:hint="eastAsia" w:cs="宋体"/>
          <w:color w:val="auto"/>
          <w:spacing w:val="6"/>
          <w:sz w:val="21"/>
          <w:szCs w:val="21"/>
          <w:highlight w:val="none"/>
        </w:rPr>
      </w:pPr>
    </w:p>
    <w:p w14:paraId="3D3E2F07">
      <w:pPr>
        <w:rPr>
          <w:rFonts w:hint="eastAsia" w:cs="宋体"/>
          <w:color w:val="auto"/>
          <w:spacing w:val="6"/>
          <w:sz w:val="21"/>
          <w:szCs w:val="21"/>
          <w:highlight w:val="none"/>
          <w:lang w:val="en-US" w:eastAsia="zh-CN"/>
        </w:rPr>
      </w:pPr>
    </w:p>
    <w:p w14:paraId="7D55D2C4">
      <w:pPr>
        <w:rPr>
          <w:rFonts w:hint="eastAsia" w:cs="宋体"/>
          <w:color w:val="auto"/>
          <w:spacing w:val="6"/>
          <w:sz w:val="21"/>
          <w:szCs w:val="21"/>
          <w:highlight w:val="none"/>
          <w:lang w:val="en-US" w:eastAsia="zh-CN"/>
        </w:rPr>
      </w:pPr>
    </w:p>
    <w:p w14:paraId="535B7B3C">
      <w:pPr>
        <w:rPr>
          <w:rFonts w:hint="eastAsia" w:cs="宋体"/>
          <w:color w:val="auto"/>
          <w:spacing w:val="6"/>
          <w:sz w:val="21"/>
          <w:szCs w:val="21"/>
          <w:highlight w:val="none"/>
          <w:lang w:val="en-US" w:eastAsia="zh-CN"/>
        </w:rPr>
      </w:pPr>
    </w:p>
    <w:p w14:paraId="0003DA46">
      <w:pPr>
        <w:rPr>
          <w:rFonts w:hint="eastAsia" w:cs="宋体"/>
          <w:color w:val="auto"/>
          <w:spacing w:val="6"/>
          <w:sz w:val="21"/>
          <w:szCs w:val="21"/>
          <w:highlight w:val="none"/>
          <w:lang w:val="en-US" w:eastAsia="zh-CN"/>
        </w:rPr>
      </w:pPr>
    </w:p>
    <w:p w14:paraId="2EB5298D">
      <w:pPr>
        <w:rPr>
          <w:rFonts w:hint="eastAsia" w:cs="宋体"/>
          <w:color w:val="auto"/>
          <w:spacing w:val="6"/>
          <w:sz w:val="21"/>
          <w:szCs w:val="21"/>
          <w:highlight w:val="none"/>
          <w:lang w:val="en-US" w:eastAsia="zh-CN"/>
        </w:rPr>
      </w:pPr>
    </w:p>
    <w:p w14:paraId="22DC8AB1">
      <w:pPr>
        <w:rPr>
          <w:rFonts w:hint="eastAsia" w:cs="宋体"/>
          <w:color w:val="auto"/>
          <w:spacing w:val="6"/>
          <w:sz w:val="21"/>
          <w:szCs w:val="21"/>
          <w:highlight w:val="none"/>
          <w:lang w:val="en-US" w:eastAsia="zh-CN"/>
        </w:rPr>
      </w:pPr>
    </w:p>
    <w:p w14:paraId="62A6A0C9">
      <w:pPr>
        <w:rPr>
          <w:rFonts w:hint="eastAsia" w:cs="宋体"/>
          <w:color w:val="auto"/>
          <w:spacing w:val="6"/>
          <w:sz w:val="21"/>
          <w:szCs w:val="21"/>
          <w:highlight w:val="none"/>
          <w:lang w:val="en-US" w:eastAsia="zh-CN"/>
        </w:rPr>
      </w:pPr>
    </w:p>
    <w:p w14:paraId="10A8E63C">
      <w:pPr>
        <w:rPr>
          <w:rFonts w:hint="eastAsia" w:cs="宋体"/>
          <w:color w:val="auto"/>
          <w:spacing w:val="6"/>
          <w:sz w:val="21"/>
          <w:szCs w:val="21"/>
          <w:highlight w:val="none"/>
          <w:lang w:val="en-US" w:eastAsia="zh-CN"/>
        </w:rPr>
      </w:pPr>
    </w:p>
    <w:p w14:paraId="422FF70F">
      <w:pPr>
        <w:rPr>
          <w:rFonts w:hint="eastAsia" w:cs="宋体"/>
          <w:color w:val="auto"/>
          <w:spacing w:val="6"/>
          <w:sz w:val="21"/>
          <w:szCs w:val="21"/>
          <w:highlight w:val="none"/>
        </w:rPr>
      </w:pPr>
      <w:r>
        <w:rPr>
          <w:rFonts w:hint="eastAsia" w:cs="宋体"/>
          <w:color w:val="auto"/>
          <w:spacing w:val="6"/>
          <w:sz w:val="21"/>
          <w:szCs w:val="21"/>
          <w:highlight w:val="none"/>
          <w:lang w:val="en-US" w:eastAsia="zh-CN"/>
        </w:rPr>
        <w:t>附件</w:t>
      </w:r>
      <w:r>
        <w:rPr>
          <w:rFonts w:hint="eastAsia" w:cs="宋体"/>
          <w:color w:val="auto"/>
          <w:spacing w:val="6"/>
          <w:sz w:val="21"/>
          <w:szCs w:val="21"/>
          <w:highlight w:val="none"/>
        </w:rPr>
        <w:t>              </w:t>
      </w:r>
    </w:p>
    <w:p w14:paraId="3E48D324">
      <w:pPr>
        <w:pStyle w:val="21"/>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金融业企业划型标准规定</w:t>
      </w:r>
    </w:p>
    <w:p w14:paraId="5AB18E4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D87CEE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二、适用范围。本规定适用于从事《国民经济行业分类》（GB/T4754-2011）中J门类（金融业）活动的企业。</w:t>
      </w:r>
    </w:p>
    <w:p w14:paraId="405839B7">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99C178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7793BE62">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五、指标标准值。依据指标标准值，将各类金融业企业划分为大、中、小、微四个规模类型，中型企业标准上限及以上的为大型企业。</w:t>
      </w:r>
    </w:p>
    <w:p w14:paraId="520E443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3C947BA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6D9795B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76FAEF4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09CAA27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1C3C0055">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158B91F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78FD5B1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lang w:eastAsia="zh-CN"/>
        </w:rPr>
      </w:pPr>
      <w:r>
        <w:rPr>
          <w:rStyle w:val="36"/>
          <w:rFonts w:hint="eastAsia" w:ascii="宋体" w:hAnsi="宋体" w:eastAsia="宋体" w:cs="宋体"/>
          <w:b w:val="0"/>
          <w:b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6"/>
          <w:rFonts w:hint="eastAsia" w:cs="宋体"/>
          <w:b w:val="0"/>
          <w:bCs w:val="0"/>
          <w:color w:val="auto"/>
          <w:sz w:val="24"/>
          <w:szCs w:val="24"/>
          <w:highlight w:val="none"/>
          <w:lang w:eastAsia="zh-CN"/>
        </w:rPr>
        <w:t>。</w:t>
      </w:r>
    </w:p>
    <w:p w14:paraId="064C9A6D">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6"/>
          <w:rFonts w:hint="eastAsia" w:cs="宋体"/>
          <w:b w:val="0"/>
          <w:bCs w:val="0"/>
          <w:color w:val="auto"/>
          <w:sz w:val="24"/>
          <w:szCs w:val="24"/>
          <w:highlight w:val="none"/>
          <w:lang w:eastAsia="zh-CN"/>
        </w:rPr>
        <w:t>，</w:t>
      </w:r>
      <w:r>
        <w:rPr>
          <w:rStyle w:val="36"/>
          <w:rFonts w:hint="eastAsia" w:ascii="宋体" w:hAnsi="宋体" w:eastAsia="宋体" w:cs="宋体"/>
          <w:b w:val="0"/>
          <w:bCs w:val="0"/>
          <w:color w:val="auto"/>
          <w:sz w:val="24"/>
          <w:szCs w:val="24"/>
          <w:highlight w:val="none"/>
        </w:rPr>
        <w:t>方便政府部门和社会各界查询使用。</w:t>
      </w:r>
    </w:p>
    <w:p w14:paraId="2C50E64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七、标准值的评估和调整。金融业企业划型标准工作组每五年对划型标准值受经济发展与通货膨胀等因素的影响程度进行评估和调整。</w:t>
      </w:r>
    </w:p>
    <w:p w14:paraId="350BE40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lang w:eastAsia="zh-CN"/>
        </w:rPr>
      </w:pPr>
      <w:r>
        <w:rPr>
          <w:rStyle w:val="36"/>
          <w:rFonts w:hint="eastAsia" w:ascii="宋体" w:hAnsi="宋体" w:eastAsia="宋体" w:cs="宋体"/>
          <w:b w:val="0"/>
          <w:b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36"/>
          <w:rFonts w:hint="eastAsia" w:cs="宋体"/>
          <w:b w:val="0"/>
          <w:bCs w:val="0"/>
          <w:color w:val="auto"/>
          <w:sz w:val="24"/>
          <w:szCs w:val="24"/>
          <w:highlight w:val="none"/>
          <w:lang w:eastAsia="zh-CN"/>
        </w:rPr>
        <w:t>。</w:t>
      </w:r>
    </w:p>
    <w:p w14:paraId="61D82EC5">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lang w:eastAsia="zh-CN"/>
        </w:rPr>
      </w:pPr>
      <w:r>
        <w:rPr>
          <w:rStyle w:val="36"/>
          <w:rFonts w:hint="eastAsia" w:ascii="宋体" w:hAnsi="宋体" w:eastAsia="宋体" w:cs="宋体"/>
          <w:b w:val="0"/>
          <w:bCs w:val="0"/>
          <w:color w:val="auto"/>
          <w:sz w:val="24"/>
          <w:szCs w:val="24"/>
          <w:highlight w:val="none"/>
        </w:rPr>
        <w:t>九、融资担保公司参照本规定中“除贷款公司、小额贷款公司、典当行以外的其他金融机构”标准划型</w:t>
      </w:r>
      <w:r>
        <w:rPr>
          <w:rStyle w:val="36"/>
          <w:rFonts w:hint="eastAsia" w:cs="宋体"/>
          <w:b w:val="0"/>
          <w:bCs w:val="0"/>
          <w:color w:val="auto"/>
          <w:sz w:val="24"/>
          <w:szCs w:val="24"/>
          <w:highlight w:val="none"/>
          <w:lang w:eastAsia="zh-CN"/>
        </w:rPr>
        <w:t>。</w:t>
      </w:r>
    </w:p>
    <w:p w14:paraId="63FF348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十、本规定由人民银行会同银监会、证监会、保监会和统计局负责解释。</w:t>
      </w:r>
    </w:p>
    <w:p w14:paraId="0114765C">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lang w:eastAsia="zh-CN"/>
        </w:rPr>
      </w:pPr>
      <w:r>
        <w:rPr>
          <w:rStyle w:val="36"/>
          <w:rFonts w:hint="eastAsia" w:ascii="宋体" w:hAnsi="宋体" w:eastAsia="宋体" w:cs="宋体"/>
          <w:b w:val="0"/>
          <w:bCs w:val="0"/>
          <w:color w:val="auto"/>
          <w:sz w:val="24"/>
          <w:szCs w:val="24"/>
          <w:highlight w:val="none"/>
        </w:rPr>
        <w:t>十一、本规定自发布之日起实施</w:t>
      </w:r>
      <w:r>
        <w:rPr>
          <w:rStyle w:val="36"/>
          <w:rFonts w:hint="eastAsia" w:cs="宋体"/>
          <w:b w:val="0"/>
          <w:bCs w:val="0"/>
          <w:color w:val="auto"/>
          <w:sz w:val="24"/>
          <w:szCs w:val="24"/>
          <w:highlight w:val="none"/>
          <w:lang w:eastAsia="zh-CN"/>
        </w:rPr>
        <w:t>。</w:t>
      </w:r>
    </w:p>
    <w:p w14:paraId="74D817B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rPr>
      </w:pPr>
    </w:p>
    <w:p w14:paraId="4033EFE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6"/>
          <w:rFonts w:hint="eastAsia" w:ascii="宋体" w:hAnsi="宋体" w:eastAsia="宋体" w:cs="宋体"/>
          <w:b w:val="0"/>
          <w:bCs w:val="0"/>
          <w:color w:val="auto"/>
          <w:sz w:val="24"/>
          <w:szCs w:val="24"/>
          <w:highlight w:val="none"/>
        </w:rPr>
      </w:pPr>
      <w:r>
        <w:rPr>
          <w:rStyle w:val="36"/>
          <w:rFonts w:hint="eastAsia" w:ascii="宋体" w:hAnsi="宋体" w:eastAsia="宋体" w:cs="宋体"/>
          <w:b w:val="0"/>
          <w:bCs w:val="0"/>
          <w:color w:val="auto"/>
          <w:sz w:val="24"/>
          <w:szCs w:val="24"/>
          <w:highlight w:val="none"/>
        </w:rPr>
        <w:t>附:金融业企业划型标准</w:t>
      </w:r>
    </w:p>
    <w:p w14:paraId="4CB94869">
      <w:pPr>
        <w:rPr>
          <w:rFonts w:cs="宋体"/>
          <w:color w:val="auto"/>
          <w:spacing w:val="6"/>
          <w:sz w:val="21"/>
          <w:szCs w:val="21"/>
          <w:highlight w:val="none"/>
        </w:rPr>
      </w:pPr>
    </w:p>
    <w:p w14:paraId="018058A8">
      <w:pPr>
        <w:rPr>
          <w:rFonts w:hint="eastAsia" w:cs="宋体"/>
          <w:color w:val="auto"/>
          <w:spacing w:val="6"/>
          <w:sz w:val="24"/>
          <w:szCs w:val="24"/>
          <w:highlight w:val="none"/>
          <w:lang w:val="en-US" w:eastAsia="zh-CN"/>
        </w:rPr>
      </w:pPr>
    </w:p>
    <w:p w14:paraId="5023B69E">
      <w:pPr>
        <w:rPr>
          <w:rFonts w:hint="eastAsia" w:cs="宋体"/>
          <w:color w:val="auto"/>
          <w:spacing w:val="6"/>
          <w:sz w:val="24"/>
          <w:szCs w:val="24"/>
          <w:highlight w:val="none"/>
          <w:lang w:val="en-US" w:eastAsia="zh-CN"/>
        </w:rPr>
      </w:pPr>
    </w:p>
    <w:p w14:paraId="5F7D4B83">
      <w:pPr>
        <w:rPr>
          <w:rFonts w:hint="eastAsia" w:cs="宋体"/>
          <w:color w:val="auto"/>
          <w:spacing w:val="6"/>
          <w:sz w:val="24"/>
          <w:szCs w:val="24"/>
          <w:highlight w:val="none"/>
          <w:lang w:val="en-US" w:eastAsia="zh-CN"/>
        </w:rPr>
      </w:pPr>
    </w:p>
    <w:p w14:paraId="20B74F82">
      <w:pPr>
        <w:rPr>
          <w:rFonts w:hint="eastAsia" w:cs="宋体"/>
          <w:color w:val="auto"/>
          <w:spacing w:val="6"/>
          <w:sz w:val="24"/>
          <w:szCs w:val="24"/>
          <w:highlight w:val="none"/>
          <w:lang w:val="en-US" w:eastAsia="zh-CN"/>
        </w:rPr>
      </w:pPr>
    </w:p>
    <w:p w14:paraId="568CB75F">
      <w:pPr>
        <w:rPr>
          <w:rFonts w:hint="eastAsia" w:cs="宋体"/>
          <w:color w:val="auto"/>
          <w:spacing w:val="6"/>
          <w:sz w:val="24"/>
          <w:szCs w:val="24"/>
          <w:highlight w:val="none"/>
          <w:lang w:val="en-US" w:eastAsia="zh-CN"/>
        </w:rPr>
      </w:pPr>
    </w:p>
    <w:p w14:paraId="46228B00">
      <w:pPr>
        <w:rPr>
          <w:rFonts w:hint="eastAsia" w:cs="宋体"/>
          <w:color w:val="auto"/>
          <w:spacing w:val="6"/>
          <w:sz w:val="24"/>
          <w:szCs w:val="24"/>
          <w:highlight w:val="none"/>
          <w:lang w:val="en-US" w:eastAsia="zh-CN"/>
        </w:rPr>
      </w:pPr>
    </w:p>
    <w:p w14:paraId="70123D58">
      <w:pPr>
        <w:rPr>
          <w:rFonts w:hint="eastAsia" w:cs="宋体"/>
          <w:color w:val="auto"/>
          <w:spacing w:val="6"/>
          <w:sz w:val="24"/>
          <w:szCs w:val="24"/>
          <w:highlight w:val="none"/>
          <w:lang w:val="en-US" w:eastAsia="zh-CN"/>
        </w:rPr>
      </w:pPr>
      <w:r>
        <w:rPr>
          <w:rFonts w:hint="eastAsia" w:cs="宋体"/>
          <w:color w:val="auto"/>
          <w:spacing w:val="6"/>
          <w:sz w:val="24"/>
          <w:szCs w:val="24"/>
          <w:highlight w:val="none"/>
          <w:lang w:val="en-US" w:eastAsia="zh-CN"/>
        </w:rPr>
        <w:t>附</w:t>
      </w:r>
    </w:p>
    <w:p w14:paraId="7EB97DB1">
      <w:pPr>
        <w:pStyle w:val="21"/>
        <w:keepNext w:val="0"/>
        <w:keepLines w:val="0"/>
        <w:pageBreakBefore w:val="0"/>
        <w:widowControl w:val="0"/>
        <w:kinsoku/>
        <w:wordWrap/>
        <w:overflowPunct/>
        <w:topLinePunct w:val="0"/>
        <w:autoSpaceDE/>
        <w:autoSpaceDN/>
        <w:bidi w:val="0"/>
        <w:adjustRightInd/>
        <w:snapToGrid/>
        <w:spacing w:before="100" w:after="100"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w:t>
      </w:r>
    </w:p>
    <w:tbl>
      <w:tblPr>
        <w:tblStyle w:val="34"/>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6C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Align w:val="center"/>
          </w:tcPr>
          <w:p w14:paraId="25F9841A">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行业</w:t>
            </w:r>
          </w:p>
        </w:tc>
        <w:tc>
          <w:tcPr>
            <w:tcW w:w="1817" w:type="dxa"/>
            <w:vAlign w:val="center"/>
          </w:tcPr>
          <w:p w14:paraId="3B4008BC">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类别</w:t>
            </w:r>
          </w:p>
        </w:tc>
        <w:tc>
          <w:tcPr>
            <w:tcW w:w="1143" w:type="dxa"/>
            <w:vAlign w:val="center"/>
          </w:tcPr>
          <w:p w14:paraId="199F0882">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类型</w:t>
            </w:r>
          </w:p>
        </w:tc>
        <w:tc>
          <w:tcPr>
            <w:tcW w:w="3251" w:type="dxa"/>
            <w:vAlign w:val="center"/>
          </w:tcPr>
          <w:p w14:paraId="715E5C3B">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资产总额</w:t>
            </w:r>
          </w:p>
        </w:tc>
      </w:tr>
      <w:tr w14:paraId="471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233504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货币金融服务</w:t>
            </w:r>
          </w:p>
        </w:tc>
        <w:tc>
          <w:tcPr>
            <w:tcW w:w="1168" w:type="dxa"/>
            <w:vMerge w:val="restart"/>
            <w:vAlign w:val="center"/>
          </w:tcPr>
          <w:p w14:paraId="4350DE8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货币银行服务</w:t>
            </w:r>
          </w:p>
        </w:tc>
        <w:tc>
          <w:tcPr>
            <w:tcW w:w="1817" w:type="dxa"/>
            <w:vMerge w:val="restart"/>
            <w:vAlign w:val="center"/>
          </w:tcPr>
          <w:p w14:paraId="6D5CDA82">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银行业存款类金融机构</w:t>
            </w:r>
          </w:p>
        </w:tc>
        <w:tc>
          <w:tcPr>
            <w:tcW w:w="1143" w:type="dxa"/>
            <w:vAlign w:val="center"/>
          </w:tcPr>
          <w:p w14:paraId="18DA8CED">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中型</w:t>
            </w:r>
          </w:p>
        </w:tc>
        <w:tc>
          <w:tcPr>
            <w:tcW w:w="3251" w:type="dxa"/>
            <w:vAlign w:val="center"/>
          </w:tcPr>
          <w:p w14:paraId="6553EDDF">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7DD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5D803A9">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5CFC2BC">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392AD96A">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146F4352">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0C95576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738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44DEC46">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47E3A4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43C1290">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0A8569B9">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29C9E0F4">
            <w:pPr>
              <w:spacing w:line="240" w:lineRule="auto"/>
              <w:jc w:val="center"/>
              <w:rPr>
                <w:rFonts w:hint="eastAsia" w:ascii="宋体" w:hAnsi="宋体" w:eastAsia="宋体" w:cs="宋体"/>
                <w:color w:val="auto"/>
                <w:spacing w:val="6"/>
                <w:sz w:val="21"/>
                <w:szCs w:val="21"/>
                <w:highlight w:val="none"/>
                <w:vertAlign w:val="baseline"/>
                <w:lang w:val="en-US"/>
              </w:rPr>
            </w:pPr>
            <w:r>
              <w:rPr>
                <w:rFonts w:hint="eastAsia" w:ascii="宋体" w:hAnsi="宋体" w:eastAsia="宋体" w:cs="宋体"/>
                <w:color w:val="auto"/>
                <w:spacing w:val="6"/>
                <w:sz w:val="21"/>
                <w:szCs w:val="21"/>
                <w:highlight w:val="none"/>
                <w:vertAlign w:val="baseline"/>
                <w:lang w:val="en-US" w:eastAsia="zh-CN"/>
              </w:rPr>
              <w:t>50亿元以下</w:t>
            </w:r>
          </w:p>
        </w:tc>
      </w:tr>
      <w:tr w14:paraId="1C15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2A12E1E">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56574B6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非货币银行服务</w:t>
            </w:r>
          </w:p>
        </w:tc>
        <w:tc>
          <w:tcPr>
            <w:tcW w:w="1817" w:type="dxa"/>
            <w:vMerge w:val="restart"/>
            <w:vAlign w:val="center"/>
          </w:tcPr>
          <w:p w14:paraId="7DD2F497">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46609FB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88F5BE5">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29D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0CFE49B">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EF9025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CC015F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0699B1D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56E78EC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0CA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EE674B4">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17EDCC4">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DEB5E2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4E9D4A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00D701CA">
            <w:pPr>
              <w:spacing w:line="240" w:lineRule="auto"/>
              <w:jc w:val="center"/>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50亿元以下</w:t>
            </w:r>
          </w:p>
        </w:tc>
      </w:tr>
      <w:tr w14:paraId="4B53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D041F7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95688A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restart"/>
            <w:vAlign w:val="center"/>
          </w:tcPr>
          <w:p w14:paraId="2420EBEF">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705DE84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007BBC2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39E6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180FDC1">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078270CB">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0CBA769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EA1A43D">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220FC05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7A6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C9F23C9">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693061F1">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241FB1E">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076913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03E9BD7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10E7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3A884F55">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资本市场服务</w:t>
            </w:r>
          </w:p>
        </w:tc>
        <w:tc>
          <w:tcPr>
            <w:tcW w:w="1817" w:type="dxa"/>
            <w:vMerge w:val="restart"/>
            <w:vAlign w:val="center"/>
          </w:tcPr>
          <w:p w14:paraId="6E78CF8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证券业金融机构</w:t>
            </w:r>
          </w:p>
        </w:tc>
        <w:tc>
          <w:tcPr>
            <w:tcW w:w="1143" w:type="dxa"/>
            <w:shd w:val="clear" w:color="auto" w:fill="auto"/>
            <w:vAlign w:val="center"/>
          </w:tcPr>
          <w:p w14:paraId="0414261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4444928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100亿元（含）至1000亿元</w:t>
            </w:r>
          </w:p>
        </w:tc>
      </w:tr>
      <w:tr w14:paraId="0F1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3B06C7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9421CAF">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4B5A7F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A9C4DF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10亿元（含）至100亿元</w:t>
            </w:r>
          </w:p>
        </w:tc>
      </w:tr>
      <w:tr w14:paraId="01E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65FECC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ADD78C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0F7AF9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43D0131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10亿元以下</w:t>
            </w:r>
          </w:p>
        </w:tc>
      </w:tr>
      <w:tr w14:paraId="331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FAED34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保险业</w:t>
            </w:r>
          </w:p>
        </w:tc>
        <w:tc>
          <w:tcPr>
            <w:tcW w:w="1817" w:type="dxa"/>
            <w:vMerge w:val="restart"/>
            <w:vAlign w:val="center"/>
          </w:tcPr>
          <w:p w14:paraId="73A1B699">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保险业金融机构</w:t>
            </w:r>
          </w:p>
        </w:tc>
        <w:tc>
          <w:tcPr>
            <w:tcW w:w="1143" w:type="dxa"/>
            <w:shd w:val="clear" w:color="auto" w:fill="auto"/>
            <w:vAlign w:val="center"/>
          </w:tcPr>
          <w:p w14:paraId="7046BDE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41B9BB4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400亿元（含）至5000亿元</w:t>
            </w:r>
          </w:p>
        </w:tc>
      </w:tr>
      <w:tr w14:paraId="386F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8C86132">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2ACF5AB">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361981C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7F195A7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133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7051FBA8">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1A95E01E">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DD1435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9F4DBB0">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1B38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6A4EBA5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其他金融业</w:t>
            </w:r>
          </w:p>
        </w:tc>
        <w:tc>
          <w:tcPr>
            <w:tcW w:w="1168" w:type="dxa"/>
            <w:vMerge w:val="restart"/>
            <w:vAlign w:val="center"/>
          </w:tcPr>
          <w:p w14:paraId="741CF03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金融信托与管理服务</w:t>
            </w:r>
          </w:p>
        </w:tc>
        <w:tc>
          <w:tcPr>
            <w:tcW w:w="1817" w:type="dxa"/>
            <w:vMerge w:val="restart"/>
            <w:vAlign w:val="center"/>
          </w:tcPr>
          <w:p w14:paraId="70836B6C">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信托公司</w:t>
            </w:r>
          </w:p>
        </w:tc>
        <w:tc>
          <w:tcPr>
            <w:tcW w:w="1143" w:type="dxa"/>
            <w:shd w:val="clear" w:color="auto" w:fill="auto"/>
            <w:vAlign w:val="center"/>
          </w:tcPr>
          <w:p w14:paraId="03C999A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0C96EED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400亿元（含）至1000亿元</w:t>
            </w:r>
          </w:p>
        </w:tc>
      </w:tr>
      <w:tr w14:paraId="394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38E5D4F">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343FC29">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EB960A0">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D76C17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0E689FD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3E9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1E32AA3">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41AB74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15F254D">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60C098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33182E4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61C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A3463AD">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65B7535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控股公司服务</w:t>
            </w:r>
          </w:p>
        </w:tc>
        <w:tc>
          <w:tcPr>
            <w:tcW w:w="1817" w:type="dxa"/>
            <w:vMerge w:val="restart"/>
            <w:vAlign w:val="center"/>
          </w:tcPr>
          <w:p w14:paraId="5AA3A788">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金融控股公司</w:t>
            </w:r>
          </w:p>
        </w:tc>
        <w:tc>
          <w:tcPr>
            <w:tcW w:w="1143" w:type="dxa"/>
            <w:shd w:val="clear" w:color="auto" w:fill="auto"/>
            <w:vAlign w:val="center"/>
          </w:tcPr>
          <w:p w14:paraId="6A34EBF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863D8F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61E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7F9BDD8">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774A5596">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58174A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3D84EB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434D1F5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245B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88472C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DB4D286">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2B6EDD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72A904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FC344B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3F9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046E9137">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10B14656">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其他未包括的金融业</w:t>
            </w:r>
          </w:p>
        </w:tc>
        <w:tc>
          <w:tcPr>
            <w:tcW w:w="1817" w:type="dxa"/>
            <w:vMerge w:val="restart"/>
            <w:vAlign w:val="center"/>
          </w:tcPr>
          <w:p w14:paraId="3E665F4F">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0051027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6033F5D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34E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04848A28">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2F2E72F9">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179DE2D0">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E62333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2916BB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6DDC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0F1E7A7B">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08010151">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71A393FF">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68714F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913FA3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bl>
    <w:p w14:paraId="76252C9C">
      <w:pPr>
        <w:pStyle w:val="21"/>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_GBK" w:hAnsi="方正小标宋_GBK" w:eastAsia="方正小标宋_GBK" w:cs="方正小标宋_GBK"/>
          <w:bCs/>
          <w:color w:val="auto"/>
          <w:sz w:val="36"/>
          <w:szCs w:val="36"/>
          <w:highlight w:val="none"/>
          <w:lang w:val="en-US" w:eastAsia="zh-CN"/>
        </w:rPr>
      </w:pPr>
      <w:r>
        <w:rPr>
          <w:rFonts w:cs="宋体"/>
          <w:color w:val="auto"/>
          <w:spacing w:val="6"/>
          <w:sz w:val="21"/>
          <w:szCs w:val="21"/>
          <w:highlight w:val="none"/>
        </w:rPr>
        <w:br w:type="page"/>
      </w:r>
    </w:p>
    <w:p w14:paraId="0711552D">
      <w:pPr>
        <w:pStyle w:val="8"/>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789" w:name="_Toc16227"/>
      <w:bookmarkStart w:id="790" w:name="_Toc30764"/>
      <w:r>
        <w:rPr>
          <w:rFonts w:hint="eastAsia" w:ascii="宋体" w:hAnsi="宋体" w:eastAsia="宋体" w:cstheme="minorBidi"/>
          <w:b/>
          <w:bCs/>
          <w:color w:val="auto"/>
          <w:kern w:val="2"/>
          <w:sz w:val="24"/>
          <w:szCs w:val="24"/>
          <w:highlight w:val="none"/>
          <w:lang w:val="en-US" w:eastAsia="zh-CN" w:bidi="ar-SA"/>
        </w:rPr>
        <w:t>（三）监狱企业证明文件</w:t>
      </w:r>
      <w:r>
        <w:rPr>
          <w:rFonts w:hint="eastAsia" w:ascii="宋体" w:hAnsi="宋体" w:eastAsia="宋体" w:cstheme="minorBidi"/>
          <w:b w:val="0"/>
          <w:bCs w:val="0"/>
          <w:color w:val="auto"/>
          <w:kern w:val="2"/>
          <w:sz w:val="24"/>
          <w:szCs w:val="24"/>
          <w:highlight w:val="none"/>
          <w:lang w:val="en-US" w:eastAsia="zh-CN" w:bidi="ar-SA"/>
        </w:rPr>
        <w:t>【如适用】</w:t>
      </w:r>
      <w:bookmarkEnd w:id="788"/>
      <w:bookmarkEnd w:id="789"/>
      <w:bookmarkEnd w:id="790"/>
    </w:p>
    <w:p w14:paraId="744F56E2">
      <w:pPr>
        <w:rPr>
          <w:rFonts w:cs="仿宋_GB2312"/>
          <w:b/>
          <w:color w:val="auto"/>
          <w:sz w:val="24"/>
          <w:szCs w:val="24"/>
          <w:highlight w:val="none"/>
        </w:rPr>
      </w:pPr>
    </w:p>
    <w:p w14:paraId="23D1BFCD">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【监狱企业应当提供由省级及以上监狱管理局、戒毒管理局（含新疆生产建设兵团）出具的监狱企业的证明文件，格式</w:t>
      </w:r>
      <w:r>
        <w:rPr>
          <w:rFonts w:hint="eastAsia" w:ascii="宋体" w:hAnsi="宋体" w:eastAsia="宋体" w:cs="宋体"/>
          <w:color w:val="auto"/>
          <w:sz w:val="24"/>
          <w:szCs w:val="24"/>
          <w:highlight w:val="none"/>
          <w:lang w:val="en-US" w:eastAsia="zh-CN"/>
        </w:rPr>
        <w:t>如下</w:t>
      </w:r>
      <w:r>
        <w:rPr>
          <w:rFonts w:hint="eastAsia" w:ascii="宋体" w:hAnsi="宋体" w:eastAsia="宋体" w:cs="宋体"/>
          <w:color w:val="auto"/>
          <w:sz w:val="24"/>
          <w:szCs w:val="24"/>
          <w:highlight w:val="none"/>
        </w:rPr>
        <w:t>】。</w:t>
      </w:r>
    </w:p>
    <w:p w14:paraId="75238DB1">
      <w:pPr>
        <w:pStyle w:val="21"/>
        <w:spacing w:line="360" w:lineRule="auto"/>
        <w:jc w:val="center"/>
        <w:rPr>
          <w:rFonts w:hint="eastAsia" w:ascii="宋体" w:hAnsi="宋体" w:eastAsia="宋体" w:cs="宋体"/>
          <w:b/>
          <w:bCs w:val="0"/>
          <w:color w:val="auto"/>
          <w:sz w:val="32"/>
          <w:szCs w:val="32"/>
          <w:highlight w:val="none"/>
        </w:rPr>
      </w:pPr>
    </w:p>
    <w:p w14:paraId="3EAA5E2A">
      <w:pPr>
        <w:pStyle w:val="21"/>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监狱企业证明函</w:t>
      </w:r>
    </w:p>
    <w:p w14:paraId="73EFA9C1">
      <w:pPr>
        <w:spacing w:line="360" w:lineRule="auto"/>
        <w:rPr>
          <w:rFonts w:hint="eastAsia" w:ascii="仿宋_GB2312" w:hAnsi="仿宋_GB2312" w:eastAsia="仿宋_GB2312" w:cs="仿宋_GB2312"/>
          <w:color w:val="auto"/>
          <w:sz w:val="32"/>
          <w:szCs w:val="32"/>
          <w:highlight w:val="none"/>
        </w:rPr>
      </w:pPr>
    </w:p>
    <w:p w14:paraId="7E6FDB37">
      <w:pPr>
        <w:ind w:firstLine="504" w:firstLineChars="200"/>
        <w:rPr>
          <w:rFonts w:hint="eastAsia" w:cs="宋体"/>
          <w:color w:val="auto"/>
          <w:spacing w:val="6"/>
          <w:szCs w:val="24"/>
          <w:highlight w:val="none"/>
        </w:rPr>
      </w:pPr>
      <w:r>
        <w:rPr>
          <w:rFonts w:hint="eastAsia" w:cs="宋体"/>
          <w:color w:val="auto"/>
          <w:spacing w:val="6"/>
          <w:szCs w:val="24"/>
          <w:highlight w:val="none"/>
        </w:rPr>
        <w:t>本公司郑重声明，根据财政部、司法部《关于政府采购支持监狱企业发展有关问题的通知》（财库</w:t>
      </w:r>
      <w:r>
        <w:rPr>
          <w:rFonts w:hint="eastAsia" w:ascii="微软雅黑" w:hAnsi="微软雅黑" w:eastAsia="微软雅黑" w:cs="微软雅黑"/>
          <w:color w:val="auto"/>
          <w:spacing w:val="6"/>
          <w:szCs w:val="24"/>
          <w:highlight w:val="none"/>
          <w:lang w:eastAsia="zh-CN"/>
        </w:rPr>
        <w:t>〔</w:t>
      </w:r>
      <w:r>
        <w:rPr>
          <w:rFonts w:hint="eastAsia" w:cs="宋体"/>
          <w:color w:val="auto"/>
          <w:spacing w:val="6"/>
          <w:szCs w:val="24"/>
          <w:highlight w:val="none"/>
        </w:rPr>
        <w:t>2014</w:t>
      </w:r>
      <w:r>
        <w:rPr>
          <w:rFonts w:hint="eastAsia" w:ascii="微软雅黑" w:hAnsi="微软雅黑" w:eastAsia="微软雅黑" w:cs="微软雅黑"/>
          <w:color w:val="auto"/>
          <w:spacing w:val="6"/>
          <w:szCs w:val="24"/>
          <w:highlight w:val="none"/>
          <w:lang w:eastAsia="zh-CN"/>
        </w:rPr>
        <w:t>〕</w:t>
      </w:r>
      <w:r>
        <w:rPr>
          <w:rFonts w:hint="eastAsia" w:cs="宋体"/>
          <w:color w:val="auto"/>
          <w:spacing w:val="6"/>
          <w:szCs w:val="24"/>
          <w:highlight w:val="none"/>
        </w:rPr>
        <w:t>68号）的规定，本公司为监狱企业。</w:t>
      </w:r>
    </w:p>
    <w:p w14:paraId="3C2CE4C6">
      <w:pPr>
        <w:spacing w:line="360" w:lineRule="auto"/>
        <w:rPr>
          <w:rFonts w:hint="eastAsia" w:ascii="宋体" w:hAnsi="宋体" w:eastAsia="宋体" w:cs="宋体"/>
          <w:color w:val="auto"/>
          <w:sz w:val="24"/>
          <w:szCs w:val="24"/>
          <w:highlight w:val="none"/>
        </w:rPr>
      </w:pPr>
    </w:p>
    <w:p w14:paraId="25406F97">
      <w:pPr>
        <w:ind w:firstLine="4440" w:firstLineChars="1850"/>
        <w:rPr>
          <w:rFonts w:hint="eastAsia" w:ascii="宋体" w:hAnsi="宋体" w:eastAsia="宋体" w:cs="宋体"/>
          <w:color w:val="auto"/>
          <w:sz w:val="24"/>
          <w:szCs w:val="24"/>
          <w:highlight w:val="none"/>
        </w:rPr>
      </w:pPr>
    </w:p>
    <w:p w14:paraId="44FF352C">
      <w:pPr>
        <w:ind w:firstLine="4440" w:firstLineChars="1850"/>
        <w:rPr>
          <w:rFonts w:hint="eastAsia" w:ascii="宋体" w:hAnsi="宋体" w:eastAsia="宋体" w:cs="宋体"/>
          <w:color w:val="auto"/>
          <w:sz w:val="24"/>
          <w:szCs w:val="24"/>
          <w:highlight w:val="none"/>
        </w:rPr>
      </w:pPr>
    </w:p>
    <w:p w14:paraId="0841D36F">
      <w:pPr>
        <w:ind w:right="1008" w:firstLine="4284" w:firstLineChars="17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投标人</w:t>
      </w:r>
      <w:r>
        <w:rPr>
          <w:rFonts w:hint="eastAsia" w:ascii="宋体" w:hAnsi="宋体" w:eastAsia="宋体" w:cs="宋体"/>
          <w:color w:val="auto"/>
          <w:spacing w:val="6"/>
          <w:sz w:val="24"/>
          <w:szCs w:val="24"/>
          <w:highlight w:val="none"/>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spacing w:val="6"/>
          <w:sz w:val="24"/>
          <w:szCs w:val="24"/>
          <w:highlight w:val="none"/>
        </w:rPr>
        <w:t>：</w:t>
      </w:r>
    </w:p>
    <w:p w14:paraId="3678CEA7">
      <w:pPr>
        <w:ind w:right="1008" w:firstLine="4284" w:firstLineChars="17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75D11779">
      <w:pPr>
        <w:spacing w:line="360" w:lineRule="auto"/>
        <w:ind w:firstLine="240" w:firstLineChars="100"/>
        <w:rPr>
          <w:rFonts w:hint="eastAsia" w:ascii="宋体" w:hAnsi="宋体" w:eastAsia="宋体" w:cs="宋体"/>
          <w:color w:val="auto"/>
          <w:sz w:val="24"/>
          <w:szCs w:val="24"/>
          <w:highlight w:val="none"/>
        </w:rPr>
      </w:pPr>
    </w:p>
    <w:p w14:paraId="7B8735C9">
      <w:pPr>
        <w:spacing w:line="360" w:lineRule="auto"/>
        <w:ind w:firstLine="240" w:firstLineChars="100"/>
        <w:rPr>
          <w:rFonts w:hint="eastAsia" w:ascii="宋体" w:hAnsi="宋体" w:eastAsia="宋体" w:cs="宋体"/>
          <w:color w:val="auto"/>
          <w:sz w:val="24"/>
          <w:szCs w:val="24"/>
          <w:highlight w:val="none"/>
        </w:rPr>
      </w:pPr>
    </w:p>
    <w:p w14:paraId="32722C7E">
      <w:pPr>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省级以上监狱管理局、戒毒管理局</w:t>
      </w:r>
    </w:p>
    <w:p w14:paraId="20204BC0">
      <w:pPr>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（含新疆生产建设兵团）（盖章）：  </w:t>
      </w:r>
    </w:p>
    <w:p w14:paraId="4A414B41">
      <w:pPr>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028B0253">
      <w:pPr>
        <w:spacing w:line="360" w:lineRule="auto"/>
        <w:ind w:firstLine="240" w:firstLineChars="100"/>
        <w:rPr>
          <w:rFonts w:hint="eastAsia" w:ascii="宋体" w:hAnsi="宋体" w:eastAsia="宋体" w:cs="宋体"/>
          <w:color w:val="auto"/>
          <w:sz w:val="24"/>
          <w:szCs w:val="24"/>
          <w:highlight w:val="none"/>
        </w:rPr>
      </w:pPr>
    </w:p>
    <w:p w14:paraId="4A20867A">
      <w:pPr>
        <w:spacing w:line="360" w:lineRule="auto"/>
        <w:ind w:firstLine="4000" w:firstLineChars="1250"/>
        <w:rPr>
          <w:rFonts w:hint="eastAsia" w:ascii="仿宋_GB2312" w:hAnsi="仿宋_GB2312" w:eastAsia="仿宋_GB2312" w:cs="仿宋_GB2312"/>
          <w:color w:val="auto"/>
          <w:sz w:val="32"/>
          <w:szCs w:val="32"/>
          <w:highlight w:val="none"/>
        </w:rPr>
      </w:pPr>
    </w:p>
    <w:p w14:paraId="206A9633">
      <w:pPr>
        <w:spacing w:line="360" w:lineRule="auto"/>
        <w:rPr>
          <w:rFonts w:hint="eastAsia" w:ascii="仿宋_GB2312" w:hAnsi="仿宋_GB2312" w:eastAsia="仿宋_GB2312" w:cs="仿宋_GB2312"/>
          <w:color w:val="auto"/>
          <w:sz w:val="32"/>
          <w:szCs w:val="32"/>
          <w:highlight w:val="none"/>
        </w:rPr>
      </w:pPr>
    </w:p>
    <w:p w14:paraId="283F77FC">
      <w:pPr>
        <w:widowControl/>
        <w:spacing w:before="100" w:beforeAutospacing="1" w:after="100" w:afterAutospacing="1"/>
        <w:rPr>
          <w:rFonts w:ascii="Arial" w:hAnsi="Arial" w:cs="Arial"/>
          <w:color w:val="auto"/>
          <w:sz w:val="21"/>
          <w:szCs w:val="21"/>
          <w:highlight w:val="none"/>
        </w:rPr>
      </w:pPr>
    </w:p>
    <w:p w14:paraId="3ACDD48E">
      <w:pPr>
        <w:widowControl/>
        <w:spacing w:before="100" w:beforeAutospacing="1" w:after="100" w:afterAutospacing="1"/>
        <w:rPr>
          <w:rFonts w:ascii="Arial" w:hAnsi="Arial" w:cs="Arial"/>
          <w:color w:val="auto"/>
          <w:sz w:val="21"/>
          <w:szCs w:val="21"/>
          <w:highlight w:val="none"/>
        </w:rPr>
      </w:pPr>
    </w:p>
    <w:p w14:paraId="22F7A202">
      <w:pPr>
        <w:widowControl/>
        <w:spacing w:before="100" w:beforeAutospacing="1" w:after="100" w:afterAutospacing="1"/>
        <w:rPr>
          <w:rFonts w:ascii="Arial" w:hAnsi="Arial" w:cs="Arial"/>
          <w:color w:val="auto"/>
          <w:sz w:val="21"/>
          <w:szCs w:val="21"/>
          <w:highlight w:val="none"/>
        </w:rPr>
      </w:pPr>
    </w:p>
    <w:p w14:paraId="05E6EFA2">
      <w:pPr>
        <w:pStyle w:val="8"/>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791" w:name="_Toc13465"/>
      <w:bookmarkStart w:id="792" w:name="_Toc163492941"/>
      <w:bookmarkStart w:id="793" w:name="_Toc31652"/>
      <w:r>
        <w:rPr>
          <w:rFonts w:hint="eastAsia" w:ascii="宋体" w:hAnsi="宋体" w:eastAsia="宋体" w:cstheme="minorBidi"/>
          <w:b/>
          <w:bCs/>
          <w:color w:val="auto"/>
          <w:kern w:val="2"/>
          <w:sz w:val="24"/>
          <w:szCs w:val="24"/>
          <w:highlight w:val="none"/>
          <w:lang w:val="en-US" w:eastAsia="zh-CN" w:bidi="ar-SA"/>
        </w:rPr>
        <w:t>（四）残疾人福利性单位声明函</w:t>
      </w:r>
      <w:r>
        <w:rPr>
          <w:rFonts w:hint="eastAsia" w:ascii="宋体" w:hAnsi="宋体" w:eastAsia="宋体" w:cstheme="minorBidi"/>
          <w:b w:val="0"/>
          <w:bCs w:val="0"/>
          <w:color w:val="auto"/>
          <w:kern w:val="2"/>
          <w:sz w:val="24"/>
          <w:szCs w:val="24"/>
          <w:highlight w:val="none"/>
          <w:lang w:val="en-US" w:eastAsia="zh-CN" w:bidi="ar-SA"/>
        </w:rPr>
        <w:t>【如适用】</w:t>
      </w:r>
      <w:bookmarkEnd w:id="791"/>
      <w:bookmarkEnd w:id="792"/>
      <w:bookmarkEnd w:id="793"/>
    </w:p>
    <w:p w14:paraId="0EAC9468">
      <w:pPr>
        <w:pStyle w:val="42"/>
        <w:numPr>
          <w:ilvl w:val="0"/>
          <w:numId w:val="0"/>
        </w:numPr>
        <w:ind w:left="420" w:leftChars="0" w:hanging="420" w:firstLineChars="0"/>
        <w:jc w:val="center"/>
        <w:rPr>
          <w:rFonts w:hint="eastAsia"/>
          <w:b/>
          <w:bCs/>
          <w:color w:val="auto"/>
          <w:sz w:val="32"/>
          <w:szCs w:val="32"/>
          <w:highlight w:val="none"/>
        </w:rPr>
      </w:pPr>
    </w:p>
    <w:p w14:paraId="091B47EA">
      <w:pPr>
        <w:pStyle w:val="42"/>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残疾人福利性单位声明函</w:t>
      </w:r>
    </w:p>
    <w:p w14:paraId="28D13EE8">
      <w:pPr>
        <w:wordWrap w:val="0"/>
        <w:ind w:firstLine="480" w:firstLineChars="200"/>
        <w:rPr>
          <w:rFonts w:hint="eastAsia"/>
          <w:color w:val="auto"/>
          <w:szCs w:val="24"/>
          <w:highlight w:val="none"/>
        </w:rPr>
      </w:pPr>
    </w:p>
    <w:p w14:paraId="2B2B6A0A">
      <w:pPr>
        <w:wordWrap w:val="0"/>
        <w:ind w:firstLine="480" w:firstLineChars="200"/>
        <w:rPr>
          <w:i w:val="0"/>
          <w:iCs w:val="0"/>
          <w:color w:val="auto"/>
          <w:szCs w:val="24"/>
          <w:highlight w:val="none"/>
        </w:rPr>
      </w:pPr>
      <w:r>
        <w:rPr>
          <w:rFonts w:hint="eastAsia"/>
          <w:i w:val="0"/>
          <w:iCs w:val="0"/>
          <w:color w:val="auto"/>
          <w:szCs w:val="24"/>
          <w:highlight w:val="none"/>
        </w:rPr>
        <w:t>本公司（联合体）郑重声明，根据《财政部 民政部 中国残疾人联合会关于促进残疾人就业政府采购政策的通知》（财库〔2017〕141号）的规定，本公司（联合体）参加</w:t>
      </w:r>
      <w:r>
        <w:rPr>
          <w:rFonts w:hint="eastAsia"/>
          <w:i w:val="0"/>
          <w:iCs w:val="0"/>
          <w:color w:val="auto"/>
          <w:szCs w:val="24"/>
          <w:highlight w:val="none"/>
          <w:u w:val="single"/>
        </w:rPr>
        <w:t xml:space="preserve"> （单位名称） </w:t>
      </w:r>
      <w:r>
        <w:rPr>
          <w:rFonts w:hint="eastAsia"/>
          <w:i w:val="0"/>
          <w:iCs w:val="0"/>
          <w:color w:val="auto"/>
          <w:szCs w:val="24"/>
          <w:highlight w:val="none"/>
        </w:rPr>
        <w:t>的</w:t>
      </w:r>
      <w:r>
        <w:rPr>
          <w:rFonts w:hint="eastAsia"/>
          <w:i w:val="0"/>
          <w:iCs w:val="0"/>
          <w:color w:val="auto"/>
          <w:szCs w:val="24"/>
          <w:highlight w:val="none"/>
          <w:u w:val="single"/>
        </w:rPr>
        <w:t xml:space="preserve"> （项目名称） </w:t>
      </w:r>
      <w:r>
        <w:rPr>
          <w:rFonts w:hint="eastAsia"/>
          <w:i w:val="0"/>
          <w:iCs w:val="0"/>
          <w:color w:val="auto"/>
          <w:szCs w:val="24"/>
          <w:highlight w:val="none"/>
        </w:rPr>
        <w:t>采购活动，提供的</w:t>
      </w:r>
      <w:r>
        <w:rPr>
          <w:rFonts w:hint="eastAsia"/>
          <w:i w:val="0"/>
          <w:iCs w:val="0"/>
          <w:color w:val="auto"/>
          <w:szCs w:val="24"/>
          <w:highlight w:val="none"/>
          <w:lang w:val="en-US" w:eastAsia="zh-CN"/>
        </w:rPr>
        <w:t>服务及</w:t>
      </w:r>
      <w:r>
        <w:rPr>
          <w:rFonts w:hint="eastAsia"/>
          <w:i w:val="0"/>
          <w:iCs w:val="0"/>
          <w:color w:val="auto"/>
          <w:szCs w:val="24"/>
          <w:highlight w:val="none"/>
        </w:rPr>
        <w:t>货物</w:t>
      </w:r>
      <w:r>
        <w:rPr>
          <w:rFonts w:hint="eastAsia"/>
          <w:b/>
          <w:i w:val="0"/>
          <w:iCs w:val="0"/>
          <w:color w:val="auto"/>
          <w:szCs w:val="24"/>
          <w:highlight w:val="none"/>
        </w:rPr>
        <w:t>全部由</w:t>
      </w:r>
      <w:r>
        <w:rPr>
          <w:rFonts w:hint="eastAsia"/>
          <w:i w:val="0"/>
          <w:iCs w:val="0"/>
          <w:color w:val="auto"/>
          <w:szCs w:val="24"/>
          <w:highlight w:val="none"/>
        </w:rPr>
        <w:t>符合政策要求的</w:t>
      </w:r>
      <w:r>
        <w:rPr>
          <w:rFonts w:hint="eastAsia"/>
          <w:b/>
          <w:i w:val="0"/>
          <w:iCs w:val="0"/>
          <w:color w:val="auto"/>
          <w:szCs w:val="24"/>
          <w:highlight w:val="none"/>
        </w:rPr>
        <w:t>残疾人福利性单位</w:t>
      </w:r>
      <w:r>
        <w:rPr>
          <w:rFonts w:hint="eastAsia"/>
          <w:b/>
          <w:i w:val="0"/>
          <w:iCs w:val="0"/>
          <w:color w:val="auto"/>
          <w:szCs w:val="24"/>
          <w:highlight w:val="none"/>
          <w:lang w:val="en-US" w:eastAsia="zh-CN"/>
        </w:rPr>
        <w:t>提供和</w:t>
      </w:r>
      <w:r>
        <w:rPr>
          <w:rFonts w:hint="eastAsia"/>
          <w:b/>
          <w:i w:val="0"/>
          <w:iCs w:val="0"/>
          <w:color w:val="auto"/>
          <w:szCs w:val="24"/>
          <w:highlight w:val="none"/>
        </w:rPr>
        <w:t>制造</w:t>
      </w:r>
      <w:r>
        <w:rPr>
          <w:rFonts w:hint="eastAsia"/>
          <w:i w:val="0"/>
          <w:iCs w:val="0"/>
          <w:color w:val="auto"/>
          <w:szCs w:val="24"/>
          <w:highlight w:val="none"/>
        </w:rPr>
        <w:t>。相关企业（含联合体中的残疾人福利性单位、签订分包意向协议</w:t>
      </w:r>
      <w:r>
        <w:rPr>
          <w:rFonts w:hint="eastAsia"/>
          <w:i w:val="0"/>
          <w:iCs w:val="0"/>
          <w:color w:val="auto"/>
          <w:szCs w:val="24"/>
          <w:highlight w:val="none"/>
          <w:lang w:val="en-US" w:eastAsia="zh-CN"/>
        </w:rPr>
        <w:t>书</w:t>
      </w:r>
      <w:r>
        <w:rPr>
          <w:rFonts w:hint="eastAsia"/>
          <w:i w:val="0"/>
          <w:iCs w:val="0"/>
          <w:color w:val="auto"/>
          <w:szCs w:val="24"/>
          <w:highlight w:val="none"/>
        </w:rPr>
        <w:t>的残疾人福利性单位）的具体情况如下：</w:t>
      </w:r>
    </w:p>
    <w:p w14:paraId="2B0D31AB">
      <w:pPr>
        <w:wordWrap w:val="0"/>
        <w:ind w:firstLine="480" w:firstLineChars="200"/>
        <w:rPr>
          <w:i w:val="0"/>
          <w:iCs w:val="0"/>
          <w:color w:val="auto"/>
          <w:szCs w:val="24"/>
          <w:highlight w:val="none"/>
        </w:rPr>
      </w:pPr>
      <w:r>
        <w:rPr>
          <w:rFonts w:hint="eastAsia"/>
          <w:i w:val="0"/>
          <w:iCs w:val="0"/>
          <w:color w:val="auto"/>
          <w:szCs w:val="24"/>
          <w:highlight w:val="none"/>
        </w:rPr>
        <w:t>1.</w:t>
      </w:r>
      <w:r>
        <w:rPr>
          <w:rFonts w:hint="eastAsia"/>
          <w:i w:val="0"/>
          <w:iCs w:val="0"/>
          <w:color w:val="auto"/>
          <w:szCs w:val="24"/>
          <w:highlight w:val="none"/>
          <w:u w:val="single"/>
        </w:rPr>
        <w:t xml:space="preserve"> （标的名称） </w:t>
      </w:r>
      <w:r>
        <w:rPr>
          <w:rFonts w:hint="eastAsia"/>
          <w:i w:val="0"/>
          <w:iCs w:val="0"/>
          <w:color w:val="auto"/>
          <w:szCs w:val="24"/>
          <w:highlight w:val="none"/>
        </w:rPr>
        <w:t>，</w:t>
      </w:r>
      <w:r>
        <w:rPr>
          <w:rFonts w:hint="eastAsia"/>
          <w:i w:val="0"/>
          <w:iCs w:val="0"/>
          <w:color w:val="auto"/>
          <w:szCs w:val="24"/>
          <w:highlight w:val="none"/>
          <w:lang w:val="en-US" w:eastAsia="zh-CN"/>
        </w:rPr>
        <w:t>承接单位</w:t>
      </w:r>
      <w:r>
        <w:rPr>
          <w:rFonts w:hint="eastAsia"/>
          <w:i w:val="0"/>
          <w:iCs w:val="0"/>
          <w:color w:val="auto"/>
          <w:szCs w:val="24"/>
          <w:highlight w:val="none"/>
        </w:rPr>
        <w:t xml:space="preserve">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138F8FD5">
      <w:pPr>
        <w:wordWrap w:val="0"/>
        <w:ind w:firstLine="480" w:firstLineChars="200"/>
        <w:rPr>
          <w:i w:val="0"/>
          <w:iCs w:val="0"/>
          <w:color w:val="auto"/>
          <w:szCs w:val="24"/>
          <w:highlight w:val="none"/>
        </w:rPr>
      </w:pPr>
      <w:r>
        <w:rPr>
          <w:rFonts w:hint="eastAsia"/>
          <w:i w:val="0"/>
          <w:iCs w:val="0"/>
          <w:color w:val="auto"/>
          <w:szCs w:val="24"/>
          <w:highlight w:val="none"/>
        </w:rPr>
        <w:t xml:space="preserve">2. </w:t>
      </w:r>
      <w:r>
        <w:rPr>
          <w:rFonts w:hint="eastAsia"/>
          <w:i w:val="0"/>
          <w:iCs w:val="0"/>
          <w:color w:val="auto"/>
          <w:szCs w:val="24"/>
          <w:highlight w:val="none"/>
          <w:u w:val="single"/>
        </w:rPr>
        <w:t xml:space="preserve">（标的名称） </w:t>
      </w:r>
      <w:r>
        <w:rPr>
          <w:rFonts w:hint="eastAsia"/>
          <w:i w:val="0"/>
          <w:iCs w:val="0"/>
          <w:color w:val="auto"/>
          <w:szCs w:val="24"/>
          <w:highlight w:val="none"/>
        </w:rPr>
        <w:t>，</w:t>
      </w:r>
      <w:r>
        <w:rPr>
          <w:rFonts w:hint="eastAsia"/>
          <w:i w:val="0"/>
          <w:iCs w:val="0"/>
          <w:color w:val="auto"/>
          <w:szCs w:val="24"/>
          <w:highlight w:val="none"/>
          <w:lang w:val="en-US" w:eastAsia="zh-CN"/>
        </w:rPr>
        <w:t>承接单位</w:t>
      </w:r>
      <w:r>
        <w:rPr>
          <w:rFonts w:hint="eastAsia"/>
          <w:i w:val="0"/>
          <w:iCs w:val="0"/>
          <w:color w:val="auto"/>
          <w:szCs w:val="24"/>
          <w:highlight w:val="none"/>
        </w:rPr>
        <w:t xml:space="preserve">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7FB12063">
      <w:pPr>
        <w:wordWrap w:val="0"/>
        <w:ind w:firstLine="480" w:firstLineChars="200"/>
        <w:rPr>
          <w:i w:val="0"/>
          <w:iCs w:val="0"/>
          <w:color w:val="auto"/>
          <w:szCs w:val="24"/>
          <w:highlight w:val="none"/>
        </w:rPr>
      </w:pPr>
      <w:r>
        <w:rPr>
          <w:rFonts w:hint="eastAsia"/>
          <w:i w:val="0"/>
          <w:iCs w:val="0"/>
          <w:color w:val="auto"/>
          <w:szCs w:val="24"/>
          <w:highlight w:val="none"/>
        </w:rPr>
        <w:t>……</w:t>
      </w:r>
    </w:p>
    <w:p w14:paraId="7B8F3287">
      <w:pPr>
        <w:wordWrap w:val="0"/>
        <w:ind w:firstLine="480" w:firstLineChars="200"/>
        <w:rPr>
          <w:i w:val="0"/>
          <w:iCs w:val="0"/>
          <w:color w:val="auto"/>
          <w:szCs w:val="24"/>
          <w:highlight w:val="none"/>
        </w:rPr>
      </w:pPr>
      <w:r>
        <w:rPr>
          <w:rFonts w:hint="eastAsia"/>
          <w:i w:val="0"/>
          <w:iCs w:val="0"/>
          <w:color w:val="auto"/>
          <w:szCs w:val="24"/>
          <w:highlight w:val="none"/>
        </w:rPr>
        <w:t>以上企业，不属于大企业的分支机构，不存在控股股东为大企业的情形，也不存在与大企业的负责人为同一人的情形。</w:t>
      </w:r>
    </w:p>
    <w:p w14:paraId="18EB7223">
      <w:pPr>
        <w:wordWrap w:val="0"/>
        <w:ind w:left="1087" w:leftChars="200" w:hanging="607" w:hangingChars="253"/>
        <w:rPr>
          <w:color w:val="auto"/>
          <w:szCs w:val="24"/>
          <w:highlight w:val="none"/>
        </w:rPr>
      </w:pPr>
      <w:r>
        <w:rPr>
          <w:rFonts w:hint="eastAsia"/>
          <w:color w:val="auto"/>
          <w:szCs w:val="24"/>
          <w:highlight w:val="none"/>
        </w:rPr>
        <w:t>本企业对上述声明内容的真实性负责。如有虚假，将依法承担相应责任。</w:t>
      </w:r>
    </w:p>
    <w:p w14:paraId="44C7A080">
      <w:pPr>
        <w:wordWrap w:val="0"/>
        <w:ind w:left="1091" w:hanging="1091" w:hangingChars="453"/>
        <w:rPr>
          <w:b/>
          <w:bCs/>
          <w:color w:val="auto"/>
          <w:szCs w:val="24"/>
          <w:highlight w:val="none"/>
        </w:rPr>
      </w:pPr>
    </w:p>
    <w:p w14:paraId="43523196">
      <w:pPr>
        <w:wordWrap w:val="0"/>
        <w:ind w:left="1091" w:hanging="1091" w:hangingChars="453"/>
        <w:rPr>
          <w:bCs/>
          <w:color w:val="auto"/>
          <w:szCs w:val="24"/>
          <w:highlight w:val="none"/>
        </w:rPr>
      </w:pPr>
      <w:r>
        <w:rPr>
          <w:rFonts w:hint="eastAsia"/>
          <w:b/>
          <w:bCs/>
          <w:color w:val="auto"/>
          <w:szCs w:val="24"/>
          <w:highlight w:val="none"/>
        </w:rPr>
        <w:t>说明：</w:t>
      </w:r>
      <w:r>
        <w:rPr>
          <w:rFonts w:hint="eastAsia"/>
          <w:bCs/>
          <w:color w:val="auto"/>
          <w:szCs w:val="24"/>
          <w:highlight w:val="none"/>
        </w:rPr>
        <w:t>1、</w:t>
      </w:r>
      <w:r>
        <w:rPr>
          <w:rFonts w:hint="eastAsia"/>
          <w:bCs/>
          <w:color w:val="auto"/>
          <w:szCs w:val="24"/>
          <w:highlight w:val="none"/>
          <w:lang w:val="en-US" w:eastAsia="zh-CN"/>
        </w:rPr>
        <w:t>服务及</w:t>
      </w:r>
      <w:r>
        <w:rPr>
          <w:rFonts w:hint="eastAsia"/>
          <w:bCs/>
          <w:color w:val="auto"/>
          <w:szCs w:val="21"/>
          <w:highlight w:val="none"/>
          <w:lang w:val="zh-CN"/>
        </w:rPr>
        <w:t>货物应当全部由符合政策要求的残疾人福利性单位</w:t>
      </w:r>
      <w:r>
        <w:rPr>
          <w:rFonts w:hint="eastAsia"/>
          <w:bCs/>
          <w:color w:val="auto"/>
          <w:szCs w:val="21"/>
          <w:highlight w:val="none"/>
          <w:lang w:val="en-US" w:eastAsia="zh-CN"/>
        </w:rPr>
        <w:t>提供及</w:t>
      </w:r>
      <w:r>
        <w:rPr>
          <w:rFonts w:hint="eastAsia"/>
          <w:bCs/>
          <w:color w:val="auto"/>
          <w:szCs w:val="21"/>
          <w:highlight w:val="none"/>
          <w:lang w:val="zh-CN"/>
        </w:rPr>
        <w:t>生产且使用该残疾人福利性单位商号或注册商标（与代理商或投标人无关）；应当严格按上述格式及内容进行填写（应当明确每个标的的生产企业类型及相关数据），否则导致的后果由投标人自行承担；</w:t>
      </w:r>
    </w:p>
    <w:p w14:paraId="2288B711">
      <w:pPr>
        <w:wordWrap w:val="0"/>
        <w:ind w:left="1087" w:hanging="1087" w:hangingChars="453"/>
        <w:rPr>
          <w:rFonts w:cs="Courier New"/>
          <w:color w:val="auto"/>
          <w:szCs w:val="21"/>
          <w:highlight w:val="none"/>
        </w:rPr>
      </w:pPr>
      <w:r>
        <w:rPr>
          <w:rFonts w:hint="eastAsia"/>
          <w:bCs/>
          <w:color w:val="auto"/>
          <w:szCs w:val="21"/>
          <w:highlight w:val="none"/>
          <w:lang w:val="zh-CN"/>
        </w:rPr>
        <w:t xml:space="preserve">      2、</w:t>
      </w:r>
      <w:r>
        <w:rPr>
          <w:rFonts w:hint="eastAsia" w:cs="Courier New"/>
          <w:color w:val="auto"/>
          <w:szCs w:val="21"/>
          <w:highlight w:val="none"/>
        </w:rPr>
        <w:t>以联合体形式参加的，应</w:t>
      </w:r>
      <w:r>
        <w:rPr>
          <w:rFonts w:hint="eastAsia"/>
          <w:bCs/>
          <w:color w:val="auto"/>
          <w:szCs w:val="21"/>
          <w:highlight w:val="none"/>
          <w:lang w:val="zh-CN"/>
        </w:rPr>
        <w:t>当</w:t>
      </w:r>
      <w:r>
        <w:rPr>
          <w:rFonts w:hint="eastAsia" w:cs="Courier New"/>
          <w:color w:val="auto"/>
          <w:szCs w:val="21"/>
          <w:highlight w:val="none"/>
        </w:rPr>
        <w:t>由联合体各方盖章。</w:t>
      </w:r>
    </w:p>
    <w:p w14:paraId="71983F83">
      <w:pPr>
        <w:wordWrap w:val="0"/>
        <w:spacing w:before="100" w:beforeAutospacing="1" w:after="100" w:afterAutospacing="1"/>
        <w:ind w:firstLine="3316" w:firstLineChars="1382"/>
        <w:rPr>
          <w:bCs/>
          <w:color w:val="auto"/>
          <w:szCs w:val="21"/>
          <w:highlight w:val="none"/>
          <w:lang w:val="zh-CN"/>
        </w:rPr>
      </w:pPr>
      <w:r>
        <w:rPr>
          <w:rFonts w:hint="eastAsia"/>
          <w:bCs/>
          <w:color w:val="auto"/>
          <w:szCs w:val="21"/>
          <w:highlight w:val="none"/>
          <w:lang w:val="zh-CN"/>
        </w:rPr>
        <w:t>投标人</w:t>
      </w:r>
      <w:r>
        <w:rPr>
          <w:rFonts w:hint="eastAsia"/>
          <w:bCs/>
          <w:color w:val="auto"/>
          <w:szCs w:val="21"/>
          <w:highlight w:val="none"/>
          <w:lang w:val="en-US" w:eastAsia="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bCs/>
          <w:color w:val="auto"/>
          <w:szCs w:val="21"/>
          <w:highlight w:val="none"/>
          <w:lang w:val="zh-CN"/>
        </w:rPr>
        <w:t>：</w:t>
      </w:r>
      <w:r>
        <w:rPr>
          <w:rFonts w:hint="eastAsia"/>
          <w:bCs/>
          <w:color w:val="auto"/>
          <w:szCs w:val="21"/>
          <w:highlight w:val="none"/>
          <w:u w:val="single"/>
          <w:lang w:val="zh-CN"/>
        </w:rPr>
        <w:t xml:space="preserve">              </w:t>
      </w:r>
    </w:p>
    <w:p w14:paraId="3A972AC9">
      <w:pPr>
        <w:wordWrap w:val="0"/>
        <w:spacing w:before="100" w:beforeAutospacing="1" w:after="100" w:afterAutospacing="1"/>
        <w:ind w:firstLine="3316" w:firstLineChars="1382"/>
        <w:rPr>
          <w:color w:val="auto"/>
          <w:highlight w:val="none"/>
        </w:rPr>
      </w:pPr>
      <w:r>
        <w:rPr>
          <w:rFonts w:hint="eastAsia"/>
          <w:color w:val="auto"/>
          <w:szCs w:val="24"/>
          <w:highlight w:val="none"/>
        </w:rPr>
        <w:t>日</w:t>
      </w:r>
      <w:r>
        <w:rPr>
          <w:color w:val="auto"/>
          <w:szCs w:val="24"/>
          <w:highlight w:val="none"/>
        </w:rPr>
        <w:t xml:space="preserve">  </w:t>
      </w:r>
      <w:r>
        <w:rPr>
          <w:rFonts w:hint="eastAsia"/>
          <w:color w:val="auto"/>
          <w:szCs w:val="24"/>
          <w:highlight w:val="none"/>
        </w:rPr>
        <w:t>期：</w:t>
      </w:r>
      <w:r>
        <w:rPr>
          <w:bCs/>
          <w:color w:val="auto"/>
          <w:szCs w:val="24"/>
          <w:highlight w:val="none"/>
          <w:u w:val="single"/>
        </w:rPr>
        <w:t xml:space="preserve">                         </w:t>
      </w:r>
    </w:p>
    <w:p w14:paraId="6F5F8DCA">
      <w:pPr>
        <w:ind w:left="4620" w:firstLine="281" w:firstLineChars="100"/>
        <w:rPr>
          <w:rFonts w:cs="仿宋_GB2312"/>
          <w:b/>
          <w:color w:val="auto"/>
          <w:sz w:val="28"/>
          <w:szCs w:val="28"/>
          <w:highlight w:val="none"/>
        </w:rPr>
      </w:pPr>
    </w:p>
    <w:p w14:paraId="7BDD1A80">
      <w:pPr>
        <w:rPr>
          <w:color w:val="auto"/>
          <w:highlight w:val="none"/>
        </w:rPr>
      </w:pPr>
      <w:r>
        <w:rPr>
          <w:color w:val="auto"/>
          <w:highlight w:val="none"/>
        </w:rPr>
        <w:br w:type="page"/>
      </w:r>
    </w:p>
    <w:p w14:paraId="4B9EE2D8">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stheme="majorBidi"/>
          <w:b/>
          <w:bCs/>
          <w:color w:val="auto"/>
          <w:kern w:val="2"/>
          <w:sz w:val="28"/>
          <w:szCs w:val="28"/>
          <w:highlight w:val="none"/>
          <w:lang w:val="en-US" w:eastAsia="zh-CN" w:bidi="ar-SA"/>
        </w:rPr>
      </w:pPr>
      <w:bookmarkStart w:id="794" w:name="_Toc24696"/>
      <w:r>
        <w:rPr>
          <w:rFonts w:hint="eastAsia" w:cstheme="majorBidi"/>
          <w:b/>
          <w:bCs/>
          <w:color w:val="auto"/>
          <w:kern w:val="2"/>
          <w:sz w:val="28"/>
          <w:szCs w:val="28"/>
          <w:highlight w:val="none"/>
          <w:lang w:val="en-US" w:eastAsia="zh-CN" w:bidi="ar-SA"/>
        </w:rPr>
        <w:t>五、不参与围标串标承诺书</w:t>
      </w:r>
      <w:bookmarkEnd w:id="794"/>
    </w:p>
    <w:p w14:paraId="70D7F20B">
      <w:pPr>
        <w:pStyle w:val="7"/>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eastAsia="宋体" w:asciiTheme="majorHAnsi" w:hAnsiTheme="majorHAnsi" w:cstheme="majorBidi"/>
          <w:b/>
          <w:bCs/>
          <w:color w:val="auto"/>
          <w:kern w:val="2"/>
          <w:sz w:val="32"/>
          <w:szCs w:val="32"/>
          <w:highlight w:val="none"/>
          <w:lang w:val="en-US" w:eastAsia="zh-CN" w:bidi="ar-SA"/>
        </w:rPr>
      </w:pPr>
    </w:p>
    <w:p w14:paraId="75FF23AC">
      <w:pPr>
        <w:jc w:val="center"/>
        <w:rPr>
          <w:rFonts w:hint="eastAsia"/>
          <w:color w:val="auto"/>
          <w:highlight w:val="none"/>
          <w:lang w:val="en-US" w:eastAsia="zh-CN"/>
        </w:rPr>
      </w:pPr>
      <w:r>
        <w:rPr>
          <w:rFonts w:hint="eastAsia" w:cstheme="majorBidi"/>
          <w:b/>
          <w:bCs/>
          <w:color w:val="auto"/>
          <w:kern w:val="2"/>
          <w:sz w:val="32"/>
          <w:szCs w:val="32"/>
          <w:highlight w:val="none"/>
          <w:lang w:val="en-US" w:eastAsia="zh-CN" w:bidi="ar-SA"/>
        </w:rPr>
        <w:t>不参与围标串标承诺书</w:t>
      </w:r>
    </w:p>
    <w:p w14:paraId="6B233C07">
      <w:pPr>
        <w:rPr>
          <w:rFonts w:hint="eastAsia"/>
          <w:color w:val="auto"/>
          <w:highlight w:val="none"/>
          <w:lang w:val="en-US" w:eastAsia="zh-CN"/>
        </w:rPr>
      </w:pPr>
      <w:r>
        <w:rPr>
          <w:rFonts w:hint="eastAsia"/>
          <w:color w:val="auto"/>
          <w:highlight w:val="none"/>
          <w:lang w:val="en-US" w:eastAsia="zh-CN"/>
        </w:rPr>
        <w:t>  </w:t>
      </w:r>
    </w:p>
    <w:p w14:paraId="1ACC5C3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本人作为经授权的投标人代表,清楚知晓我单位本项目投标活动,对以下事项作出承诺：</w:t>
      </w:r>
    </w:p>
    <w:p w14:paraId="398E608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p>
    <w:p w14:paraId="26BB11E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一、我单位和我本人遵循公开透明、公平竞争、公正和诚实信用的原则,依法依规参与本项目竞标。</w:t>
      </w:r>
    </w:p>
    <w:p w14:paraId="10BBFC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二、我单位和我本人在本项目政府采购投标活动中,未参与围标串标。</w:t>
      </w:r>
    </w:p>
    <w:p w14:paraId="1A7E347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三、我单位如被查实在本项目政府采购投标活动中存在围标串标的，递交投标文件行为作为实施串通投标违法行为的关键环节,由我单位及法定代表人承担相应的法律责任，接受相应行政处罚和失信惩戒。</w:t>
      </w:r>
    </w:p>
    <w:p w14:paraId="29E3C848">
      <w:pPr>
        <w:pStyle w:val="18"/>
        <w:rPr>
          <w:rFonts w:hint="eastAsia"/>
          <w:color w:val="auto"/>
          <w:highlight w:val="none"/>
          <w:lang w:val="en-US" w:eastAsia="zh-CN"/>
        </w:rPr>
      </w:pPr>
    </w:p>
    <w:p w14:paraId="39CB3E48">
      <w:pPr>
        <w:spacing w:line="560" w:lineRule="exact"/>
        <w:rPr>
          <w:rFonts w:hint="eastAsia" w:ascii="宋体" w:hAnsi="宋体" w:eastAsia="宋体" w:cs="宋体"/>
          <w:color w:val="auto"/>
          <w:kern w:val="0"/>
          <w:sz w:val="24"/>
          <w:szCs w:val="24"/>
          <w:highlight w:val="none"/>
        </w:rPr>
      </w:pPr>
    </w:p>
    <w:p w14:paraId="19648C53">
      <w:pPr>
        <w:spacing w:line="560" w:lineRule="exac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投标人</w:t>
      </w:r>
      <w:r>
        <w:rPr>
          <w:rFonts w:hint="eastAsia"/>
          <w:bCs/>
          <w:color w:val="auto"/>
          <w:szCs w:val="21"/>
          <w:highlight w:val="none"/>
          <w:lang w:val="en-US" w:eastAsia="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rPr>
        <w:t>：</w:t>
      </w:r>
    </w:p>
    <w:p w14:paraId="2CCE383A">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w:t>
      </w:r>
    </w:p>
    <w:p w14:paraId="692B3277">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13DA43E0">
      <w:pPr>
        <w:widowControl/>
        <w:spacing w:line="560" w:lineRule="exact"/>
        <w:ind w:firstLine="630"/>
        <w:jc w:val="left"/>
        <w:rPr>
          <w:rFonts w:hint="eastAsia" w:ascii="宋体" w:hAnsi="宋体" w:eastAsia="宋体" w:cs="宋体"/>
          <w:color w:val="auto"/>
          <w:kern w:val="0"/>
          <w:sz w:val="24"/>
          <w:szCs w:val="24"/>
          <w:highlight w:val="none"/>
        </w:rPr>
      </w:pPr>
    </w:p>
    <w:p w14:paraId="7CD72A88">
      <w:pPr>
        <w:pStyle w:val="18"/>
        <w:rPr>
          <w:rFonts w:hint="eastAsia"/>
          <w:color w:val="auto"/>
          <w:highlight w:val="none"/>
          <w:lang w:val="en-US" w:eastAsia="zh-CN"/>
        </w:rPr>
      </w:pPr>
    </w:p>
    <w:p w14:paraId="6FC519D1">
      <w:pPr>
        <w:pStyle w:val="18"/>
        <w:rPr>
          <w:rFonts w:hint="eastAsia"/>
          <w:color w:val="auto"/>
          <w:highlight w:val="none"/>
          <w:lang w:val="en-US" w:eastAsia="zh-CN"/>
        </w:rPr>
      </w:pPr>
    </w:p>
    <w:p w14:paraId="7500053D">
      <w:pPr>
        <w:pStyle w:val="18"/>
        <w:rPr>
          <w:rFonts w:hint="eastAsia"/>
          <w:color w:val="auto"/>
          <w:highlight w:val="none"/>
          <w:lang w:val="en-US" w:eastAsia="zh-CN"/>
        </w:rPr>
      </w:pPr>
    </w:p>
    <w:p w14:paraId="5BF64493">
      <w:pPr>
        <w:pStyle w:val="18"/>
        <w:rPr>
          <w:rFonts w:hint="eastAsia"/>
          <w:color w:val="auto"/>
          <w:highlight w:val="none"/>
          <w:lang w:val="en-US" w:eastAsia="zh-CN"/>
        </w:rPr>
      </w:pPr>
    </w:p>
    <w:p w14:paraId="5CA01A8B">
      <w:pPr>
        <w:pStyle w:val="18"/>
        <w:rPr>
          <w:rFonts w:hint="eastAsia"/>
          <w:color w:val="auto"/>
          <w:highlight w:val="none"/>
          <w:lang w:val="en-US" w:eastAsia="zh-CN"/>
        </w:rPr>
      </w:pPr>
    </w:p>
    <w:p w14:paraId="029F743D">
      <w:pPr>
        <w:pStyle w:val="18"/>
        <w:rPr>
          <w:rFonts w:hint="eastAsia"/>
          <w:color w:val="auto"/>
          <w:highlight w:val="none"/>
          <w:lang w:val="en-US" w:eastAsia="zh-CN"/>
        </w:rPr>
      </w:pPr>
    </w:p>
    <w:p w14:paraId="41587146">
      <w:pPr>
        <w:pStyle w:val="18"/>
        <w:rPr>
          <w:rFonts w:hint="eastAsia"/>
          <w:color w:val="auto"/>
          <w:highlight w:val="none"/>
          <w:lang w:val="en-US" w:eastAsia="zh-CN"/>
        </w:rPr>
      </w:pPr>
    </w:p>
    <w:p w14:paraId="7CD2757F">
      <w:pPr>
        <w:pStyle w:val="18"/>
        <w:rPr>
          <w:rFonts w:hint="eastAsia"/>
          <w:color w:val="auto"/>
          <w:highlight w:val="none"/>
          <w:lang w:val="en-US" w:eastAsia="zh-CN"/>
        </w:rPr>
      </w:pPr>
    </w:p>
    <w:p w14:paraId="7EE0D7C2">
      <w:pPr>
        <w:pStyle w:val="18"/>
        <w:rPr>
          <w:rFonts w:hint="eastAsia"/>
          <w:color w:val="auto"/>
          <w:highlight w:val="none"/>
          <w:lang w:val="en-US" w:eastAsia="zh-CN"/>
        </w:rPr>
      </w:pPr>
    </w:p>
    <w:p w14:paraId="34406338">
      <w:pPr>
        <w:pStyle w:val="18"/>
        <w:rPr>
          <w:rFonts w:hint="eastAsia"/>
          <w:color w:val="auto"/>
          <w:highlight w:val="none"/>
          <w:lang w:val="en-US" w:eastAsia="zh-CN"/>
        </w:rPr>
      </w:pPr>
    </w:p>
    <w:p w14:paraId="30C8D33E">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zh-CN" w:eastAsia="zh-CN" w:bidi="ar-SA"/>
        </w:rPr>
      </w:pPr>
      <w:bookmarkStart w:id="795" w:name="_Toc2869"/>
      <w:r>
        <w:rPr>
          <w:rFonts w:hint="eastAsia" w:cstheme="majorBidi"/>
          <w:b/>
          <w:bCs/>
          <w:color w:val="auto"/>
          <w:kern w:val="2"/>
          <w:sz w:val="28"/>
          <w:szCs w:val="28"/>
          <w:highlight w:val="none"/>
          <w:lang w:val="en-US" w:eastAsia="zh-CN" w:bidi="ar-SA"/>
        </w:rPr>
        <w:t>六</w:t>
      </w:r>
      <w:r>
        <w:rPr>
          <w:rFonts w:hint="eastAsia" w:eastAsia="宋体" w:asciiTheme="majorHAnsi" w:hAnsiTheme="majorHAnsi" w:cstheme="majorBidi"/>
          <w:b/>
          <w:bCs/>
          <w:color w:val="auto"/>
          <w:kern w:val="2"/>
          <w:sz w:val="28"/>
          <w:szCs w:val="28"/>
          <w:highlight w:val="none"/>
          <w:lang w:val="en-US" w:eastAsia="zh-CN" w:bidi="ar-SA"/>
        </w:rPr>
        <w:t>、</w:t>
      </w:r>
      <w:r>
        <w:rPr>
          <w:rFonts w:hint="eastAsia" w:eastAsia="宋体" w:asciiTheme="majorHAnsi" w:hAnsiTheme="majorHAnsi" w:cstheme="majorBidi"/>
          <w:b/>
          <w:bCs/>
          <w:color w:val="auto"/>
          <w:kern w:val="2"/>
          <w:sz w:val="28"/>
          <w:szCs w:val="28"/>
          <w:highlight w:val="none"/>
          <w:lang w:val="zh-CN" w:eastAsia="zh-CN" w:bidi="ar-SA"/>
        </w:rPr>
        <w:t>其他资格证明文件</w:t>
      </w:r>
      <w:bookmarkEnd w:id="795"/>
    </w:p>
    <w:p w14:paraId="0C24F0AE">
      <w:pPr>
        <w:pStyle w:val="40"/>
        <w:rPr>
          <w:rFonts w:hint="eastAsia"/>
          <w:color w:val="auto"/>
          <w:highlight w:val="none"/>
        </w:rPr>
      </w:pPr>
      <w:r>
        <w:rPr>
          <w:rFonts w:hint="eastAsia" w:cs="Courier New"/>
          <w:color w:val="auto"/>
          <w:szCs w:val="24"/>
          <w:highlight w:val="none"/>
        </w:rPr>
        <w:t>投标人认为需提供的其它相关资格证明材料</w:t>
      </w:r>
    </w:p>
    <w:p w14:paraId="7C2C3E83">
      <w:pPr>
        <w:pStyle w:val="40"/>
        <w:rPr>
          <w:rFonts w:hint="eastAsia"/>
          <w:color w:val="auto"/>
          <w:highlight w:val="none"/>
        </w:rPr>
      </w:pPr>
    </w:p>
    <w:p w14:paraId="58A36194">
      <w:pPr>
        <w:pStyle w:val="40"/>
        <w:rPr>
          <w:rFonts w:hint="eastAsia"/>
          <w:color w:val="auto"/>
          <w:highlight w:val="none"/>
        </w:rPr>
      </w:pPr>
    </w:p>
    <w:p w14:paraId="3553B395">
      <w:pPr>
        <w:pStyle w:val="40"/>
        <w:rPr>
          <w:rFonts w:hint="eastAsia"/>
          <w:color w:val="auto"/>
          <w:highlight w:val="none"/>
        </w:rPr>
      </w:pPr>
    </w:p>
    <w:p w14:paraId="49D404FC">
      <w:pPr>
        <w:pStyle w:val="40"/>
        <w:rPr>
          <w:rFonts w:hint="eastAsia"/>
          <w:color w:val="auto"/>
          <w:highlight w:val="none"/>
        </w:rPr>
      </w:pPr>
    </w:p>
    <w:p w14:paraId="4B98E4B6">
      <w:pPr>
        <w:pStyle w:val="40"/>
        <w:rPr>
          <w:rFonts w:hint="eastAsia"/>
          <w:color w:val="auto"/>
          <w:highlight w:val="none"/>
        </w:rPr>
      </w:pPr>
    </w:p>
    <w:p w14:paraId="737FEDD3">
      <w:pPr>
        <w:pStyle w:val="40"/>
        <w:rPr>
          <w:rFonts w:hint="eastAsia"/>
          <w:color w:val="auto"/>
          <w:highlight w:val="none"/>
        </w:rPr>
      </w:pPr>
    </w:p>
    <w:p w14:paraId="1C876135">
      <w:pPr>
        <w:pStyle w:val="40"/>
        <w:rPr>
          <w:rFonts w:hint="eastAsia"/>
          <w:color w:val="auto"/>
          <w:highlight w:val="none"/>
        </w:rPr>
      </w:pPr>
    </w:p>
    <w:p w14:paraId="7E85C842">
      <w:pPr>
        <w:pStyle w:val="40"/>
        <w:rPr>
          <w:rFonts w:hint="eastAsia"/>
          <w:color w:val="auto"/>
          <w:highlight w:val="none"/>
        </w:rPr>
      </w:pPr>
    </w:p>
    <w:p w14:paraId="4CBE3B0D">
      <w:pPr>
        <w:pStyle w:val="40"/>
        <w:rPr>
          <w:rFonts w:hint="eastAsia"/>
          <w:color w:val="auto"/>
          <w:highlight w:val="none"/>
        </w:rPr>
      </w:pPr>
    </w:p>
    <w:p w14:paraId="2E6E451F">
      <w:pPr>
        <w:pStyle w:val="40"/>
        <w:rPr>
          <w:rFonts w:hint="eastAsia"/>
          <w:color w:val="auto"/>
          <w:highlight w:val="none"/>
        </w:rPr>
      </w:pPr>
    </w:p>
    <w:p w14:paraId="38DC2C55">
      <w:pPr>
        <w:pStyle w:val="40"/>
        <w:rPr>
          <w:rFonts w:hint="eastAsia"/>
          <w:color w:val="auto"/>
          <w:highlight w:val="none"/>
        </w:rPr>
      </w:pPr>
    </w:p>
    <w:p w14:paraId="04DAFD3C">
      <w:pPr>
        <w:pStyle w:val="40"/>
        <w:rPr>
          <w:rFonts w:hint="eastAsia"/>
          <w:color w:val="auto"/>
          <w:highlight w:val="none"/>
        </w:rPr>
      </w:pPr>
    </w:p>
    <w:p w14:paraId="51E24CDC">
      <w:pPr>
        <w:pStyle w:val="40"/>
        <w:rPr>
          <w:rFonts w:hint="eastAsia"/>
          <w:color w:val="auto"/>
          <w:highlight w:val="none"/>
        </w:rPr>
      </w:pPr>
    </w:p>
    <w:p w14:paraId="1AC1942E">
      <w:pPr>
        <w:pStyle w:val="40"/>
        <w:rPr>
          <w:rFonts w:hint="eastAsia"/>
          <w:color w:val="auto"/>
          <w:highlight w:val="none"/>
        </w:rPr>
      </w:pPr>
    </w:p>
    <w:p w14:paraId="4722E259">
      <w:pPr>
        <w:pStyle w:val="40"/>
        <w:rPr>
          <w:rFonts w:hint="eastAsia"/>
          <w:color w:val="auto"/>
          <w:highlight w:val="none"/>
        </w:rPr>
      </w:pPr>
    </w:p>
    <w:p w14:paraId="07033BD3">
      <w:pPr>
        <w:pStyle w:val="40"/>
        <w:rPr>
          <w:rFonts w:hint="eastAsia"/>
          <w:color w:val="auto"/>
          <w:highlight w:val="none"/>
        </w:rPr>
      </w:pPr>
    </w:p>
    <w:p w14:paraId="6E1D094D">
      <w:pPr>
        <w:pStyle w:val="40"/>
        <w:rPr>
          <w:rFonts w:hint="eastAsia"/>
          <w:color w:val="auto"/>
          <w:highlight w:val="none"/>
        </w:rPr>
      </w:pPr>
    </w:p>
    <w:p w14:paraId="23B0DB54">
      <w:pPr>
        <w:pStyle w:val="40"/>
        <w:rPr>
          <w:rFonts w:hint="eastAsia"/>
          <w:color w:val="auto"/>
          <w:highlight w:val="none"/>
        </w:rPr>
      </w:pPr>
    </w:p>
    <w:p w14:paraId="07159DF6">
      <w:pPr>
        <w:pStyle w:val="40"/>
        <w:rPr>
          <w:rFonts w:hint="eastAsia"/>
          <w:color w:val="auto"/>
          <w:highlight w:val="none"/>
        </w:rPr>
      </w:pPr>
    </w:p>
    <w:p w14:paraId="44B3A5AA">
      <w:pPr>
        <w:pStyle w:val="40"/>
        <w:rPr>
          <w:rFonts w:hint="eastAsia"/>
          <w:color w:val="auto"/>
          <w:highlight w:val="none"/>
        </w:rPr>
      </w:pPr>
    </w:p>
    <w:p w14:paraId="05BB178A">
      <w:pPr>
        <w:pStyle w:val="40"/>
        <w:rPr>
          <w:rFonts w:hint="eastAsia"/>
          <w:color w:val="auto"/>
          <w:highlight w:val="none"/>
        </w:rPr>
      </w:pPr>
    </w:p>
    <w:p w14:paraId="0E7980AB">
      <w:pPr>
        <w:pStyle w:val="40"/>
        <w:rPr>
          <w:rFonts w:hint="eastAsia"/>
          <w:color w:val="auto"/>
          <w:highlight w:val="none"/>
        </w:rPr>
      </w:pPr>
    </w:p>
    <w:p w14:paraId="5A09B930">
      <w:pPr>
        <w:pStyle w:val="40"/>
        <w:rPr>
          <w:rFonts w:hint="eastAsia"/>
          <w:color w:val="auto"/>
          <w:highlight w:val="none"/>
        </w:rPr>
      </w:pPr>
    </w:p>
    <w:p w14:paraId="3FB1F62E">
      <w:pPr>
        <w:pStyle w:val="40"/>
        <w:rPr>
          <w:rFonts w:hint="eastAsia"/>
          <w:color w:val="auto"/>
          <w:highlight w:val="none"/>
        </w:rPr>
      </w:pPr>
    </w:p>
    <w:p w14:paraId="69D25AC1">
      <w:pPr>
        <w:pStyle w:val="40"/>
        <w:rPr>
          <w:rFonts w:hint="eastAsia"/>
          <w:color w:val="auto"/>
          <w:highlight w:val="none"/>
        </w:rPr>
      </w:pPr>
    </w:p>
    <w:p w14:paraId="3E9AC4C9">
      <w:pPr>
        <w:pStyle w:val="40"/>
        <w:rPr>
          <w:rFonts w:hint="eastAsia"/>
          <w:color w:val="auto"/>
          <w:highlight w:val="none"/>
        </w:rPr>
      </w:pPr>
    </w:p>
    <w:p w14:paraId="730DA0BC">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bookmarkStart w:id="796" w:name="_Toc28928"/>
      <w:r>
        <w:rPr>
          <w:rFonts w:hint="eastAsia" w:cstheme="majorBidi"/>
          <w:b/>
          <w:bCs/>
          <w:color w:val="auto"/>
          <w:kern w:val="2"/>
          <w:sz w:val="32"/>
          <w:szCs w:val="32"/>
          <w:highlight w:val="none"/>
          <w:lang w:val="en-US" w:eastAsia="zh-CN" w:bidi="ar-SA"/>
        </w:rPr>
        <w:t>七、开标一览表</w:t>
      </w:r>
      <w:bookmarkEnd w:id="796"/>
    </w:p>
    <w:p w14:paraId="2AB3D72A">
      <w:pPr>
        <w:spacing w:line="300" w:lineRule="auto"/>
        <w:rPr>
          <w:rFonts w:cs="仿宋_GB2312"/>
          <w:color w:val="auto"/>
          <w:szCs w:val="24"/>
          <w:highlight w:val="none"/>
        </w:rPr>
      </w:pPr>
    </w:p>
    <w:p w14:paraId="33486E36">
      <w:pPr>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p>
    <w:p w14:paraId="5940ECBC">
      <w:pPr>
        <w:rPr>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p>
    <w:tbl>
      <w:tblPr>
        <w:tblStyle w:val="3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5F27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8B46E6E">
            <w:pPr>
              <w:widowControl/>
              <w:autoSpaceDE w:val="0"/>
              <w:autoSpaceDN w:val="0"/>
              <w:jc w:val="center"/>
              <w:textAlignment w:val="bottom"/>
              <w:rPr>
                <w:color w:val="auto"/>
                <w:sz w:val="24"/>
                <w:szCs w:val="24"/>
                <w:highlight w:val="none"/>
              </w:rPr>
            </w:pPr>
            <w:r>
              <w:rPr>
                <w:rFonts w:hint="eastAsia"/>
                <w:color w:val="auto"/>
                <w:sz w:val="24"/>
                <w:szCs w:val="24"/>
                <w:highlight w:val="none"/>
              </w:rPr>
              <w:t>序号</w:t>
            </w:r>
          </w:p>
        </w:tc>
        <w:tc>
          <w:tcPr>
            <w:tcW w:w="2352" w:type="dxa"/>
            <w:vAlign w:val="center"/>
          </w:tcPr>
          <w:p w14:paraId="5D10FF2E">
            <w:pPr>
              <w:widowControl/>
              <w:autoSpaceDE w:val="0"/>
              <w:autoSpaceDN w:val="0"/>
              <w:ind w:left="851" w:hanging="851"/>
              <w:jc w:val="center"/>
              <w:textAlignment w:val="bottom"/>
              <w:rPr>
                <w:color w:val="auto"/>
                <w:sz w:val="24"/>
                <w:szCs w:val="24"/>
                <w:highlight w:val="none"/>
              </w:rPr>
            </w:pPr>
            <w:r>
              <w:rPr>
                <w:rFonts w:hint="eastAsia"/>
                <w:color w:val="auto"/>
                <w:sz w:val="24"/>
                <w:szCs w:val="24"/>
                <w:highlight w:val="none"/>
              </w:rPr>
              <w:t>投标报价</w:t>
            </w:r>
          </w:p>
        </w:tc>
        <w:tc>
          <w:tcPr>
            <w:tcW w:w="2161" w:type="dxa"/>
            <w:vAlign w:val="center"/>
          </w:tcPr>
          <w:p w14:paraId="48CC1886">
            <w:pPr>
              <w:widowControl/>
              <w:autoSpaceDE w:val="0"/>
              <w:autoSpaceDN w:val="0"/>
              <w:ind w:left="851" w:hanging="851"/>
              <w:jc w:val="center"/>
              <w:textAlignment w:val="bottom"/>
              <w:rPr>
                <w:color w:val="auto"/>
                <w:sz w:val="24"/>
                <w:szCs w:val="24"/>
                <w:highlight w:val="none"/>
              </w:rPr>
            </w:pPr>
            <w:r>
              <w:rPr>
                <w:rFonts w:hint="eastAsia"/>
                <w:color w:val="auto"/>
                <w:sz w:val="24"/>
                <w:szCs w:val="24"/>
                <w:highlight w:val="none"/>
                <w:lang w:val="en-US" w:eastAsia="zh-CN"/>
              </w:rPr>
              <w:t>服务</w:t>
            </w:r>
            <w:r>
              <w:rPr>
                <w:rFonts w:hint="eastAsia"/>
                <w:color w:val="auto"/>
                <w:sz w:val="24"/>
                <w:szCs w:val="24"/>
                <w:highlight w:val="none"/>
              </w:rPr>
              <w:t>期限</w:t>
            </w:r>
          </w:p>
        </w:tc>
        <w:tc>
          <w:tcPr>
            <w:tcW w:w="2611" w:type="dxa"/>
            <w:vAlign w:val="center"/>
          </w:tcPr>
          <w:p w14:paraId="620875ED">
            <w:pPr>
              <w:widowControl/>
              <w:autoSpaceDE w:val="0"/>
              <w:autoSpaceDN w:val="0"/>
              <w:jc w:val="center"/>
              <w:textAlignment w:val="bottom"/>
              <w:rPr>
                <w:color w:val="auto"/>
                <w:sz w:val="24"/>
                <w:szCs w:val="24"/>
                <w:highlight w:val="none"/>
              </w:rPr>
            </w:pPr>
            <w:r>
              <w:rPr>
                <w:rFonts w:hint="eastAsia"/>
                <w:color w:val="auto"/>
                <w:sz w:val="24"/>
                <w:szCs w:val="24"/>
                <w:highlight w:val="none"/>
              </w:rPr>
              <w:t>备注（如有）</w:t>
            </w:r>
          </w:p>
        </w:tc>
      </w:tr>
      <w:tr w14:paraId="1B09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73431128">
            <w:pPr>
              <w:jc w:val="center"/>
              <w:rPr>
                <w:color w:val="auto"/>
                <w:sz w:val="24"/>
                <w:szCs w:val="24"/>
                <w:highlight w:val="none"/>
              </w:rPr>
            </w:pPr>
          </w:p>
        </w:tc>
        <w:tc>
          <w:tcPr>
            <w:tcW w:w="2352" w:type="dxa"/>
            <w:vAlign w:val="center"/>
          </w:tcPr>
          <w:p w14:paraId="45A40F19">
            <w:pPr>
              <w:widowControl/>
              <w:autoSpaceDE w:val="0"/>
              <w:autoSpaceDN w:val="0"/>
              <w:spacing w:line="240" w:lineRule="auto"/>
              <w:ind w:left="851" w:hanging="851"/>
              <w:jc w:val="both"/>
              <w:textAlignment w:val="bottom"/>
              <w:rPr>
                <w:rFonts w:hint="eastAsia"/>
                <w:color w:val="auto"/>
                <w:sz w:val="24"/>
                <w:szCs w:val="24"/>
                <w:highlight w:val="none"/>
                <w:lang w:val="en-US" w:eastAsia="zh-CN"/>
              </w:rPr>
            </w:pPr>
            <w:r>
              <w:rPr>
                <w:rFonts w:hint="eastAsia"/>
                <w:color w:val="auto"/>
                <w:sz w:val="24"/>
                <w:szCs w:val="24"/>
                <w:highlight w:val="none"/>
                <w:lang w:val="en-US" w:eastAsia="zh-CN"/>
              </w:rPr>
              <w:t>小写：</w:t>
            </w:r>
          </w:p>
          <w:p w14:paraId="52F86517">
            <w:pPr>
              <w:jc w:val="both"/>
              <w:rPr>
                <w:color w:val="auto"/>
                <w:sz w:val="24"/>
                <w:szCs w:val="24"/>
                <w:highlight w:val="none"/>
              </w:rPr>
            </w:pPr>
            <w:r>
              <w:rPr>
                <w:rFonts w:hint="eastAsia"/>
                <w:color w:val="auto"/>
                <w:sz w:val="24"/>
                <w:szCs w:val="24"/>
                <w:highlight w:val="none"/>
                <w:lang w:val="en-US" w:eastAsia="zh-CN"/>
              </w:rPr>
              <w:t>大写：</w:t>
            </w:r>
          </w:p>
        </w:tc>
        <w:tc>
          <w:tcPr>
            <w:tcW w:w="2161" w:type="dxa"/>
            <w:vAlign w:val="center"/>
          </w:tcPr>
          <w:p w14:paraId="3409D243">
            <w:pPr>
              <w:jc w:val="center"/>
              <w:rPr>
                <w:color w:val="auto"/>
                <w:sz w:val="24"/>
                <w:szCs w:val="24"/>
                <w:highlight w:val="none"/>
              </w:rPr>
            </w:pPr>
          </w:p>
        </w:tc>
        <w:tc>
          <w:tcPr>
            <w:tcW w:w="2611" w:type="dxa"/>
            <w:vAlign w:val="center"/>
          </w:tcPr>
          <w:p w14:paraId="35602B49">
            <w:pPr>
              <w:jc w:val="center"/>
              <w:rPr>
                <w:color w:val="auto"/>
                <w:sz w:val="24"/>
                <w:szCs w:val="24"/>
                <w:highlight w:val="none"/>
              </w:rPr>
            </w:pPr>
          </w:p>
        </w:tc>
      </w:tr>
    </w:tbl>
    <w:p w14:paraId="486E37D7">
      <w:pPr>
        <w:spacing w:line="300" w:lineRule="auto"/>
        <w:rPr>
          <w:rFonts w:ascii="Arial" w:hAnsi="Arial" w:cs="Arial"/>
          <w:color w:val="auto"/>
          <w:szCs w:val="21"/>
          <w:highlight w:val="none"/>
          <w:u w:val="single"/>
        </w:rPr>
      </w:pPr>
    </w:p>
    <w:p w14:paraId="0270EFB4">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6302F8A6">
      <w:pPr>
        <w:spacing w:line="300" w:lineRule="auto"/>
        <w:rPr>
          <w:rFonts w:ascii="Arial" w:hAnsi="Arial" w:cs="Arial"/>
          <w:color w:val="auto"/>
          <w:szCs w:val="21"/>
          <w:highlight w:val="none"/>
          <w:u w:val="single"/>
        </w:rPr>
      </w:pPr>
      <w:r>
        <w:rPr>
          <w:rFonts w:ascii="Arial" w:hAnsi="Arial" w:cs="Arial"/>
          <w:color w:val="auto"/>
          <w:szCs w:val="21"/>
          <w:highlight w:val="none"/>
        </w:rPr>
        <w:t>日期：</w:t>
      </w:r>
    </w:p>
    <w:p w14:paraId="722CC087">
      <w:pPr>
        <w:rPr>
          <w:rFonts w:cs="Arial"/>
          <w:color w:val="auto"/>
          <w:szCs w:val="24"/>
          <w:highlight w:val="none"/>
        </w:rPr>
      </w:pPr>
    </w:p>
    <w:p w14:paraId="21BB3A26">
      <w:pPr>
        <w:pStyle w:val="18"/>
        <w:rPr>
          <w:rFonts w:cs="Arial"/>
          <w:color w:val="auto"/>
          <w:szCs w:val="24"/>
          <w:highlight w:val="none"/>
        </w:rPr>
      </w:pPr>
    </w:p>
    <w:p w14:paraId="4C551945">
      <w:pPr>
        <w:pStyle w:val="18"/>
        <w:rPr>
          <w:rFonts w:cs="Arial"/>
          <w:color w:val="auto"/>
          <w:szCs w:val="24"/>
          <w:highlight w:val="none"/>
        </w:rPr>
      </w:pPr>
    </w:p>
    <w:p w14:paraId="09ACCEBB">
      <w:pPr>
        <w:pStyle w:val="18"/>
        <w:rPr>
          <w:rFonts w:cs="Arial"/>
          <w:color w:val="auto"/>
          <w:szCs w:val="24"/>
          <w:highlight w:val="none"/>
        </w:rPr>
      </w:pPr>
    </w:p>
    <w:p w14:paraId="54CAC625">
      <w:pPr>
        <w:pStyle w:val="18"/>
        <w:rPr>
          <w:rFonts w:cs="Arial"/>
          <w:color w:val="auto"/>
          <w:szCs w:val="24"/>
          <w:highlight w:val="none"/>
        </w:rPr>
      </w:pPr>
    </w:p>
    <w:p w14:paraId="5D119674">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7BF32AC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1.此表用于开标唱标之用。</w:t>
      </w:r>
    </w:p>
    <w:p w14:paraId="7C88578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2.表中投标报价即为优惠后报价，并作为评审及定标依据。任何有选择或有条件的投标报价，或者表中某一包填写多个报价，均为无效报价。</w:t>
      </w:r>
    </w:p>
    <w:p w14:paraId="3B3B887F">
      <w:pPr>
        <w:pStyle w:val="18"/>
        <w:ind w:firstLine="420" w:firstLineChars="200"/>
        <w:rPr>
          <w:rFonts w:hint="eastAsia" w:ascii="宋体" w:hAnsi="宋体" w:eastAsia="宋体" w:cs="宋体"/>
          <w:color w:val="auto"/>
          <w:sz w:val="24"/>
          <w:szCs w:val="24"/>
          <w:highlight w:val="none"/>
        </w:rPr>
        <w:sectPr>
          <w:pgSz w:w="11905" w:h="16840"/>
          <w:pgMar w:top="1440" w:right="1797" w:bottom="1440" w:left="1797" w:header="851" w:footer="850"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.表中大写与小写不一致的，以大写为准。</w:t>
      </w:r>
    </w:p>
    <w:p w14:paraId="7B2B178E">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bookmarkStart w:id="797" w:name="_Toc17062"/>
      <w:r>
        <w:rPr>
          <w:rFonts w:hint="eastAsia" w:cstheme="majorBidi"/>
          <w:b/>
          <w:bCs/>
          <w:color w:val="auto"/>
          <w:kern w:val="2"/>
          <w:sz w:val="32"/>
          <w:szCs w:val="32"/>
          <w:highlight w:val="none"/>
          <w:lang w:val="en-US" w:eastAsia="zh-CN" w:bidi="ar-SA"/>
        </w:rPr>
        <w:t>八、分项报价表</w:t>
      </w:r>
      <w:bookmarkEnd w:id="797"/>
    </w:p>
    <w:p w14:paraId="25D833CC">
      <w:pPr>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6FFFD51E">
      <w:pPr>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p>
    <w:tbl>
      <w:tblPr>
        <w:tblStyle w:val="3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64BB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359B3E0">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720" w:type="dxa"/>
            <w:vAlign w:val="center"/>
          </w:tcPr>
          <w:p w14:paraId="088C5C1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065" w:type="dxa"/>
            <w:vAlign w:val="center"/>
          </w:tcPr>
          <w:p w14:paraId="73E95872">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65" w:type="dxa"/>
            <w:vAlign w:val="center"/>
          </w:tcPr>
          <w:p w14:paraId="46AE39CD">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tc>
        <w:tc>
          <w:tcPr>
            <w:tcW w:w="1066" w:type="dxa"/>
            <w:vAlign w:val="center"/>
          </w:tcPr>
          <w:p w14:paraId="39D56880">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w:t>
            </w:r>
            <w:r>
              <w:rPr>
                <w:rFonts w:hint="eastAsia" w:ascii="宋体" w:hAnsi="宋体" w:eastAsia="宋体" w:cs="宋体"/>
                <w:color w:val="auto"/>
                <w:sz w:val="21"/>
                <w:szCs w:val="21"/>
                <w:highlight w:val="none"/>
              </w:rPr>
              <w:t>价</w:t>
            </w:r>
          </w:p>
        </w:tc>
        <w:tc>
          <w:tcPr>
            <w:tcW w:w="947" w:type="dxa"/>
            <w:vAlign w:val="center"/>
          </w:tcPr>
          <w:p w14:paraId="7A267799">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67A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A5FF6D0">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720" w:type="dxa"/>
            <w:vAlign w:val="center"/>
          </w:tcPr>
          <w:p w14:paraId="07A38CC0">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0D2CE283">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47A98B0">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439055D0">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53350EE9">
            <w:pPr>
              <w:adjustRightInd w:val="0"/>
              <w:snapToGrid w:val="0"/>
              <w:spacing w:line="240" w:lineRule="auto"/>
              <w:jc w:val="center"/>
              <w:rPr>
                <w:rFonts w:hint="eastAsia" w:ascii="宋体" w:hAnsi="宋体" w:eastAsia="宋体" w:cs="宋体"/>
                <w:color w:val="auto"/>
                <w:sz w:val="21"/>
                <w:szCs w:val="21"/>
                <w:highlight w:val="none"/>
              </w:rPr>
            </w:pPr>
          </w:p>
        </w:tc>
      </w:tr>
      <w:tr w14:paraId="510B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0E786EF">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720" w:type="dxa"/>
            <w:vAlign w:val="center"/>
          </w:tcPr>
          <w:p w14:paraId="19F17531">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5FA2A257">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34862ED">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604070DF">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45B52869">
            <w:pPr>
              <w:adjustRightInd w:val="0"/>
              <w:snapToGrid w:val="0"/>
              <w:spacing w:line="240" w:lineRule="auto"/>
              <w:jc w:val="center"/>
              <w:rPr>
                <w:rFonts w:hint="eastAsia" w:ascii="宋体" w:hAnsi="宋体" w:eastAsia="宋体" w:cs="宋体"/>
                <w:color w:val="auto"/>
                <w:sz w:val="21"/>
                <w:szCs w:val="21"/>
                <w:highlight w:val="none"/>
              </w:rPr>
            </w:pPr>
          </w:p>
        </w:tc>
      </w:tr>
      <w:tr w14:paraId="1022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47A33D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720" w:type="dxa"/>
            <w:vAlign w:val="center"/>
          </w:tcPr>
          <w:p w14:paraId="7605B56B">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2DB12A28">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17BFF74">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4B6F17D3">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1E8ED10E">
            <w:pPr>
              <w:adjustRightInd w:val="0"/>
              <w:snapToGrid w:val="0"/>
              <w:spacing w:line="240" w:lineRule="auto"/>
              <w:jc w:val="center"/>
              <w:rPr>
                <w:rFonts w:hint="eastAsia" w:ascii="宋体" w:hAnsi="宋体" w:eastAsia="宋体" w:cs="宋体"/>
                <w:color w:val="auto"/>
                <w:sz w:val="21"/>
                <w:szCs w:val="21"/>
                <w:highlight w:val="none"/>
              </w:rPr>
            </w:pPr>
          </w:p>
        </w:tc>
      </w:tr>
      <w:tr w14:paraId="353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BB358B2">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720" w:type="dxa"/>
            <w:vAlign w:val="center"/>
          </w:tcPr>
          <w:p w14:paraId="0B0031F2">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1A9AB905">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20C40B8C">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7FDFD679">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3C259360">
            <w:pPr>
              <w:adjustRightInd w:val="0"/>
              <w:snapToGrid w:val="0"/>
              <w:spacing w:line="240" w:lineRule="auto"/>
              <w:jc w:val="center"/>
              <w:rPr>
                <w:rFonts w:hint="eastAsia" w:ascii="宋体" w:hAnsi="宋体" w:eastAsia="宋体" w:cs="宋体"/>
                <w:color w:val="auto"/>
                <w:sz w:val="21"/>
                <w:szCs w:val="21"/>
                <w:highlight w:val="none"/>
              </w:rPr>
            </w:pPr>
          </w:p>
        </w:tc>
      </w:tr>
      <w:tr w14:paraId="51C6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ED2AC16">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720" w:type="dxa"/>
            <w:vAlign w:val="center"/>
          </w:tcPr>
          <w:p w14:paraId="2B6E9910">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4E951A1">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5D9FC8D6">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7745BDE0">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2F20BA25">
            <w:pPr>
              <w:adjustRightInd w:val="0"/>
              <w:snapToGrid w:val="0"/>
              <w:spacing w:line="240" w:lineRule="auto"/>
              <w:jc w:val="center"/>
              <w:rPr>
                <w:rFonts w:hint="eastAsia" w:ascii="宋体" w:hAnsi="宋体" w:eastAsia="宋体" w:cs="宋体"/>
                <w:color w:val="auto"/>
                <w:sz w:val="21"/>
                <w:szCs w:val="21"/>
                <w:highlight w:val="none"/>
              </w:rPr>
            </w:pPr>
          </w:p>
        </w:tc>
      </w:tr>
      <w:tr w14:paraId="054C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69BF07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720" w:type="dxa"/>
            <w:vAlign w:val="center"/>
          </w:tcPr>
          <w:p w14:paraId="63E7761B">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BA61A9A">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7DCA522F">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68A27993">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33A904F9">
            <w:pPr>
              <w:adjustRightInd w:val="0"/>
              <w:snapToGrid w:val="0"/>
              <w:spacing w:line="240" w:lineRule="auto"/>
              <w:jc w:val="center"/>
              <w:rPr>
                <w:rFonts w:hint="eastAsia" w:ascii="宋体" w:hAnsi="宋体" w:eastAsia="宋体" w:cs="宋体"/>
                <w:color w:val="auto"/>
                <w:sz w:val="21"/>
                <w:szCs w:val="21"/>
                <w:highlight w:val="none"/>
              </w:rPr>
            </w:pPr>
          </w:p>
        </w:tc>
      </w:tr>
      <w:tr w14:paraId="57BA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8C27991">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720" w:type="dxa"/>
            <w:vAlign w:val="center"/>
          </w:tcPr>
          <w:p w14:paraId="7864625B">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2B4D906C">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A8DF27F">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54C5FBF7">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2690F475">
            <w:pPr>
              <w:adjustRightInd w:val="0"/>
              <w:snapToGrid w:val="0"/>
              <w:spacing w:line="240" w:lineRule="auto"/>
              <w:jc w:val="center"/>
              <w:rPr>
                <w:rFonts w:hint="eastAsia" w:ascii="宋体" w:hAnsi="宋体" w:eastAsia="宋体" w:cs="宋体"/>
                <w:color w:val="auto"/>
                <w:sz w:val="21"/>
                <w:szCs w:val="21"/>
                <w:highlight w:val="none"/>
              </w:rPr>
            </w:pPr>
          </w:p>
        </w:tc>
      </w:tr>
      <w:tr w14:paraId="27FC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F063049">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720" w:type="dxa"/>
            <w:vAlign w:val="center"/>
          </w:tcPr>
          <w:p w14:paraId="7C3908AC">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62E8E82">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F2704AB">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79394E0B">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5A8DCEE1">
            <w:pPr>
              <w:adjustRightInd w:val="0"/>
              <w:snapToGrid w:val="0"/>
              <w:spacing w:line="240" w:lineRule="auto"/>
              <w:jc w:val="center"/>
              <w:rPr>
                <w:rFonts w:hint="eastAsia" w:ascii="宋体" w:hAnsi="宋体" w:eastAsia="宋体" w:cs="宋体"/>
                <w:color w:val="auto"/>
                <w:sz w:val="21"/>
                <w:szCs w:val="21"/>
                <w:highlight w:val="none"/>
              </w:rPr>
            </w:pPr>
          </w:p>
        </w:tc>
      </w:tr>
      <w:tr w14:paraId="2D0B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shd w:val="clear" w:color="auto" w:fill="auto"/>
            <w:vAlign w:val="center"/>
          </w:tcPr>
          <w:p w14:paraId="36B30C90">
            <w:pPr>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3720" w:type="dxa"/>
            <w:shd w:val="clear" w:color="auto" w:fill="auto"/>
            <w:vAlign w:val="center"/>
          </w:tcPr>
          <w:p w14:paraId="547CA859">
            <w:pPr>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1065" w:type="dxa"/>
            <w:vAlign w:val="center"/>
          </w:tcPr>
          <w:p w14:paraId="7B9DBE1E">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851C226">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39505459">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14D910E3">
            <w:pPr>
              <w:adjustRightInd w:val="0"/>
              <w:snapToGrid w:val="0"/>
              <w:spacing w:line="240" w:lineRule="auto"/>
              <w:jc w:val="center"/>
              <w:rPr>
                <w:rFonts w:hint="eastAsia" w:ascii="宋体" w:hAnsi="宋体" w:eastAsia="宋体" w:cs="宋体"/>
                <w:color w:val="auto"/>
                <w:sz w:val="21"/>
                <w:szCs w:val="21"/>
                <w:highlight w:val="none"/>
              </w:rPr>
            </w:pPr>
          </w:p>
        </w:tc>
      </w:tr>
      <w:tr w14:paraId="0CAB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9727E85">
            <w:pPr>
              <w:adjustRightInd w:val="0"/>
              <w:snapToGrid w:val="0"/>
              <w:spacing w:line="240" w:lineRule="auto"/>
              <w:jc w:val="center"/>
              <w:rPr>
                <w:rFonts w:hint="eastAsia" w:ascii="宋体" w:hAnsi="宋体" w:eastAsia="宋体" w:cs="宋体"/>
                <w:color w:val="auto"/>
                <w:sz w:val="21"/>
                <w:szCs w:val="21"/>
                <w:highlight w:val="none"/>
              </w:rPr>
            </w:pPr>
          </w:p>
        </w:tc>
        <w:tc>
          <w:tcPr>
            <w:tcW w:w="3720" w:type="dxa"/>
            <w:vAlign w:val="center"/>
          </w:tcPr>
          <w:p w14:paraId="6E3D4C24">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其他费用</w:t>
            </w:r>
          </w:p>
        </w:tc>
        <w:tc>
          <w:tcPr>
            <w:tcW w:w="1065" w:type="dxa"/>
            <w:vAlign w:val="center"/>
          </w:tcPr>
          <w:p w14:paraId="34269FA2">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46717F9">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61629B6A">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7F337C52">
            <w:pPr>
              <w:adjustRightInd w:val="0"/>
              <w:snapToGrid w:val="0"/>
              <w:spacing w:line="240" w:lineRule="auto"/>
              <w:jc w:val="center"/>
              <w:rPr>
                <w:rFonts w:hint="eastAsia" w:ascii="宋体" w:hAnsi="宋体" w:eastAsia="宋体" w:cs="宋体"/>
                <w:color w:val="auto"/>
                <w:sz w:val="21"/>
                <w:szCs w:val="21"/>
                <w:highlight w:val="none"/>
              </w:rPr>
            </w:pPr>
          </w:p>
        </w:tc>
      </w:tr>
      <w:tr w14:paraId="209E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C355F28">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720" w:type="dxa"/>
            <w:vAlign w:val="center"/>
          </w:tcPr>
          <w:p w14:paraId="5D4BF5AE">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65" w:type="dxa"/>
            <w:vAlign w:val="center"/>
          </w:tcPr>
          <w:p w14:paraId="3E6B6F32">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02B6CE3C">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15025601">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39116035">
            <w:pPr>
              <w:adjustRightInd w:val="0"/>
              <w:snapToGrid w:val="0"/>
              <w:spacing w:line="240" w:lineRule="auto"/>
              <w:jc w:val="center"/>
              <w:rPr>
                <w:rFonts w:hint="eastAsia" w:ascii="宋体" w:hAnsi="宋体" w:eastAsia="宋体" w:cs="宋体"/>
                <w:color w:val="auto"/>
                <w:sz w:val="21"/>
                <w:szCs w:val="21"/>
                <w:highlight w:val="none"/>
              </w:rPr>
            </w:pPr>
          </w:p>
        </w:tc>
      </w:tr>
      <w:tr w14:paraId="16F6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0EDD5DA9">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投标报价合计（元）</w:t>
            </w:r>
          </w:p>
        </w:tc>
        <w:tc>
          <w:tcPr>
            <w:tcW w:w="2013" w:type="dxa"/>
            <w:gridSpan w:val="2"/>
            <w:vAlign w:val="center"/>
          </w:tcPr>
          <w:p w14:paraId="0609C717">
            <w:pPr>
              <w:adjustRightInd w:val="0"/>
              <w:snapToGrid w:val="0"/>
              <w:spacing w:line="240" w:lineRule="auto"/>
              <w:jc w:val="center"/>
              <w:rPr>
                <w:rFonts w:hint="eastAsia" w:ascii="宋体" w:hAnsi="宋体" w:eastAsia="宋体" w:cs="宋体"/>
                <w:color w:val="auto"/>
                <w:sz w:val="21"/>
                <w:szCs w:val="21"/>
                <w:highlight w:val="none"/>
              </w:rPr>
            </w:pPr>
          </w:p>
        </w:tc>
      </w:tr>
    </w:tbl>
    <w:p w14:paraId="62480CF8">
      <w:pPr>
        <w:spacing w:line="300" w:lineRule="auto"/>
        <w:rPr>
          <w:rFonts w:ascii="Arial" w:hAnsi="Arial" w:cs="Arial"/>
          <w:color w:val="auto"/>
          <w:szCs w:val="21"/>
          <w:highlight w:val="none"/>
        </w:rPr>
      </w:pPr>
    </w:p>
    <w:p w14:paraId="51101AF7">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ascii="宋体" w:hAnsi="宋体" w:cs="宋体"/>
          <w:color w:val="auto"/>
          <w:kern w:val="0"/>
          <w:sz w:val="24"/>
          <w:highlight w:val="none"/>
          <w:lang w:val="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rPr>
          <w:rFonts w:ascii="Arial" w:hAnsi="Arial" w:cs="Arial"/>
          <w:color w:val="auto"/>
          <w:szCs w:val="21"/>
          <w:highlight w:val="none"/>
        </w:rPr>
      </w:pPr>
      <w:r>
        <w:rPr>
          <w:rFonts w:ascii="Arial" w:hAnsi="Arial" w:cs="Arial"/>
          <w:color w:val="auto"/>
          <w:szCs w:val="21"/>
          <w:highlight w:val="none"/>
        </w:rPr>
        <w:t>日期：</w:t>
      </w:r>
    </w:p>
    <w:p w14:paraId="28F15BC4">
      <w:pPr>
        <w:spacing w:line="300" w:lineRule="auto"/>
        <w:rPr>
          <w:rFonts w:ascii="Arial" w:hAnsi="Arial" w:cs="Arial"/>
          <w:color w:val="auto"/>
          <w:szCs w:val="21"/>
          <w:highlight w:val="none"/>
        </w:rPr>
      </w:pPr>
    </w:p>
    <w:p w14:paraId="19373AA9">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4681585F">
      <w:pPr>
        <w:spacing w:line="360" w:lineRule="auto"/>
        <w:ind w:firstLine="435"/>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按照本表填写的各项目的投标报价合计填写到</w:t>
      </w:r>
      <w:r>
        <w:rPr>
          <w:rFonts w:hint="eastAsia" w:ascii="宋体" w:hAnsi="宋体" w:eastAsia="宋体" w:cs="宋体"/>
          <w:color w:val="auto"/>
          <w:sz w:val="21"/>
          <w:szCs w:val="21"/>
          <w:highlight w:val="none"/>
          <w:lang w:val="en-US" w:eastAsia="zh-CN"/>
        </w:rPr>
        <w:t>“开标一览表”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投标报价</w:t>
      </w:r>
      <w:r>
        <w:rPr>
          <w:rFonts w:hint="eastAsia"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栏中。</w:t>
      </w:r>
    </w:p>
    <w:p w14:paraId="25B9431E">
      <w:pPr>
        <w:spacing w:line="360" w:lineRule="auto"/>
        <w:ind w:firstLine="435"/>
        <w:rPr>
          <w:rFonts w:hint="eastAsia" w:ascii="宋体" w:hAnsi="宋体" w:eastAsia="宋体" w:cs="宋体"/>
          <w:color w:val="auto"/>
          <w:sz w:val="24"/>
          <w:szCs w:val="24"/>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.所列服务为对应本项目需求的全部服务内容。如有漏项或缺项，投标人承担全部责任。</w:t>
      </w:r>
      <w:r>
        <w:rPr>
          <w:rFonts w:hint="eastAsia" w:ascii="宋体" w:hAnsi="宋体" w:eastAsia="宋体" w:cs="宋体"/>
          <w:color w:val="auto"/>
          <w:sz w:val="24"/>
          <w:szCs w:val="24"/>
          <w:highlight w:val="none"/>
        </w:rPr>
        <w:br w:type="page"/>
      </w:r>
    </w:p>
    <w:p w14:paraId="374BEE88">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798" w:name="_Toc25402"/>
      <w:bookmarkStart w:id="799" w:name="_Toc109900327"/>
      <w:bookmarkStart w:id="800" w:name="_Toc3577"/>
      <w:bookmarkStart w:id="801" w:name="_Toc109899908"/>
      <w:bookmarkStart w:id="802" w:name="_Toc140132831"/>
      <w:bookmarkStart w:id="803" w:name="_Toc23604"/>
      <w:bookmarkStart w:id="804" w:name="_Toc155185921"/>
      <w:bookmarkStart w:id="805" w:name="_Toc109899489"/>
      <w:r>
        <w:rPr>
          <w:rFonts w:hint="eastAsia" w:cstheme="majorBidi"/>
          <w:b/>
          <w:bCs/>
          <w:color w:val="auto"/>
          <w:kern w:val="2"/>
          <w:sz w:val="32"/>
          <w:szCs w:val="32"/>
          <w:highlight w:val="none"/>
          <w:lang w:val="en-US" w:eastAsia="zh-CN" w:bidi="ar-SA"/>
        </w:rPr>
        <w:t>九</w:t>
      </w:r>
      <w:r>
        <w:rPr>
          <w:rFonts w:hint="eastAsia" w:eastAsia="宋体" w:asciiTheme="majorHAnsi" w:hAnsiTheme="majorHAnsi" w:cstheme="majorBidi"/>
          <w:b/>
          <w:bCs/>
          <w:color w:val="auto"/>
          <w:kern w:val="2"/>
          <w:sz w:val="32"/>
          <w:szCs w:val="32"/>
          <w:highlight w:val="none"/>
          <w:lang w:val="en-US" w:eastAsia="zh-CN" w:bidi="ar-SA"/>
        </w:rPr>
        <w:t>、投标函</w:t>
      </w:r>
      <w:bookmarkEnd w:id="798"/>
      <w:bookmarkEnd w:id="799"/>
      <w:bookmarkEnd w:id="800"/>
      <w:bookmarkEnd w:id="801"/>
      <w:bookmarkEnd w:id="802"/>
      <w:bookmarkEnd w:id="803"/>
      <w:bookmarkEnd w:id="804"/>
      <w:bookmarkEnd w:id="805"/>
    </w:p>
    <w:p w14:paraId="0ABD9EA3">
      <w:pPr>
        <w:rPr>
          <w:color w:val="auto"/>
          <w:highlight w:val="none"/>
        </w:rPr>
      </w:pPr>
      <w:r>
        <w:rPr>
          <w:rFonts w:hint="eastAsia"/>
          <w:color w:val="auto"/>
          <w:highlight w:val="none"/>
        </w:rPr>
        <w:t>致：（采购人）</w:t>
      </w:r>
    </w:p>
    <w:p w14:paraId="35C4266A">
      <w:pPr>
        <w:ind w:firstLine="480" w:firstLineChars="200"/>
        <w:rPr>
          <w:rFonts w:cs="仿宋_GB2312"/>
          <w:b/>
          <w:bCs/>
          <w:color w:val="auto"/>
          <w:szCs w:val="24"/>
          <w:highlight w:val="none"/>
        </w:rPr>
      </w:pPr>
      <w:r>
        <w:rPr>
          <w:rFonts w:hint="eastAsia" w:cs="仿宋_GB2312"/>
          <w:color w:val="auto"/>
          <w:szCs w:val="24"/>
          <w:highlight w:val="none"/>
        </w:rPr>
        <w:t>根据贵方</w:t>
      </w:r>
      <w:r>
        <w:rPr>
          <w:rFonts w:hint="eastAsia" w:cs="仿宋_GB2312"/>
          <w:color w:val="auto"/>
          <w:szCs w:val="24"/>
          <w:highlight w:val="none"/>
          <w:u w:val="single"/>
        </w:rPr>
        <w:t>（项目名称）（项目编号</w:t>
      </w:r>
      <w:r>
        <w:rPr>
          <w:rFonts w:hint="eastAsia" w:cs="仿宋_GB2312"/>
          <w:color w:val="auto"/>
          <w:szCs w:val="24"/>
          <w:highlight w:val="none"/>
          <w:u w:val="single"/>
          <w:lang w:val="en-US" w:eastAsia="zh-CN"/>
        </w:rPr>
        <w:t>/包号</w:t>
      </w:r>
      <w:r>
        <w:rPr>
          <w:rFonts w:hint="eastAsia" w:cs="仿宋_GB2312"/>
          <w:color w:val="auto"/>
          <w:szCs w:val="24"/>
          <w:highlight w:val="none"/>
          <w:u w:val="single"/>
        </w:rPr>
        <w:t>）</w:t>
      </w:r>
      <w:r>
        <w:rPr>
          <w:rFonts w:hint="eastAsia" w:cs="仿宋_GB2312"/>
          <w:color w:val="auto"/>
          <w:szCs w:val="24"/>
          <w:highlight w:val="none"/>
          <w:lang w:val="en-US" w:eastAsia="zh-CN"/>
        </w:rPr>
        <w:t>项目</w:t>
      </w:r>
      <w:r>
        <w:rPr>
          <w:rFonts w:hint="eastAsia" w:cs="仿宋_GB2312"/>
          <w:color w:val="auto"/>
          <w:szCs w:val="24"/>
          <w:highlight w:val="none"/>
        </w:rPr>
        <w:t>的</w:t>
      </w:r>
      <w:r>
        <w:rPr>
          <w:rFonts w:hint="eastAsia" w:cs="仿宋_GB2312"/>
          <w:color w:val="auto"/>
          <w:szCs w:val="24"/>
          <w:highlight w:val="none"/>
          <w:lang w:val="en-US" w:eastAsia="zh-CN"/>
        </w:rPr>
        <w:t>招标公告</w:t>
      </w:r>
      <w:r>
        <w:rPr>
          <w:rFonts w:hint="eastAsia" w:cs="仿宋_GB2312"/>
          <w:color w:val="auto"/>
          <w:szCs w:val="24"/>
          <w:highlight w:val="none"/>
        </w:rPr>
        <w:t>，签字代表</w:t>
      </w:r>
      <w:r>
        <w:rPr>
          <w:rFonts w:hint="eastAsia" w:cs="仿宋_GB2312"/>
          <w:color w:val="auto"/>
          <w:szCs w:val="24"/>
          <w:highlight w:val="none"/>
          <w:u w:val="single"/>
        </w:rPr>
        <w:t>（姓名、职务）</w:t>
      </w:r>
      <w:r>
        <w:rPr>
          <w:rFonts w:hint="eastAsia" w:cs="仿宋_GB2312"/>
          <w:color w:val="auto"/>
          <w:szCs w:val="24"/>
          <w:highlight w:val="none"/>
        </w:rPr>
        <w:t>经正式授权并代表投标人</w:t>
      </w:r>
      <w:r>
        <w:rPr>
          <w:rFonts w:hint="eastAsia" w:cs="仿宋_GB2312"/>
          <w:color w:val="auto"/>
          <w:szCs w:val="24"/>
          <w:highlight w:val="none"/>
          <w:u w:val="single"/>
        </w:rPr>
        <w:t>（投标人名称、地址）</w:t>
      </w:r>
      <w:r>
        <w:rPr>
          <w:rFonts w:hint="eastAsia" w:cs="仿宋_GB2312"/>
          <w:color w:val="auto"/>
          <w:szCs w:val="24"/>
          <w:highlight w:val="none"/>
        </w:rPr>
        <w:t>提交下述文件</w:t>
      </w:r>
      <w:r>
        <w:rPr>
          <w:rFonts w:hint="eastAsia" w:cs="仿宋_GB2312"/>
          <w:b/>
          <w:bCs/>
          <w:color w:val="auto"/>
          <w:szCs w:val="24"/>
          <w:highlight w:val="none"/>
        </w:rPr>
        <w:t>：</w:t>
      </w:r>
    </w:p>
    <w:p w14:paraId="21BBF032">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1.</w:t>
      </w:r>
      <w:r>
        <w:rPr>
          <w:rFonts w:hint="eastAsia" w:cs="Arial"/>
          <w:color w:val="auto"/>
          <w:szCs w:val="24"/>
          <w:highlight w:val="none"/>
        </w:rPr>
        <w:t>资格</w:t>
      </w:r>
      <w:r>
        <w:rPr>
          <w:rFonts w:hint="eastAsia" w:cs="Arial"/>
          <w:color w:val="auto"/>
          <w:szCs w:val="24"/>
          <w:highlight w:val="none"/>
          <w:lang w:val="en-US" w:eastAsia="zh-CN"/>
        </w:rPr>
        <w:t>证明</w:t>
      </w:r>
      <w:r>
        <w:rPr>
          <w:rFonts w:hint="eastAsia" w:cs="Arial"/>
          <w:color w:val="auto"/>
          <w:szCs w:val="24"/>
          <w:highlight w:val="none"/>
        </w:rPr>
        <w:t>文件</w:t>
      </w:r>
      <w:r>
        <w:rPr>
          <w:rFonts w:cs="Arial"/>
          <w:color w:val="auto"/>
          <w:szCs w:val="24"/>
          <w:highlight w:val="none"/>
        </w:rPr>
        <w:t>；</w:t>
      </w:r>
    </w:p>
    <w:p w14:paraId="0A0EA079">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投标报价</w:t>
      </w:r>
      <w:r>
        <w:rPr>
          <w:rFonts w:cs="Arial"/>
          <w:color w:val="auto"/>
          <w:szCs w:val="24"/>
          <w:highlight w:val="none"/>
        </w:rPr>
        <w:t>文件</w:t>
      </w:r>
      <w:r>
        <w:rPr>
          <w:rFonts w:hint="eastAsia" w:cs="Arial"/>
          <w:color w:val="auto"/>
          <w:szCs w:val="24"/>
          <w:highlight w:val="none"/>
        </w:rPr>
        <w:t>；</w:t>
      </w:r>
    </w:p>
    <w:p w14:paraId="7C008F28">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lang w:val="en-US" w:eastAsia="zh-CN"/>
        </w:rPr>
        <w:t>商务技术</w:t>
      </w:r>
      <w:r>
        <w:rPr>
          <w:rFonts w:hint="eastAsia" w:cs="Arial"/>
          <w:color w:val="auto"/>
          <w:szCs w:val="24"/>
          <w:highlight w:val="none"/>
        </w:rPr>
        <w:t>文件</w:t>
      </w:r>
      <w:r>
        <w:rPr>
          <w:rFonts w:cs="Arial"/>
          <w:color w:val="auto"/>
          <w:szCs w:val="24"/>
          <w:highlight w:val="none"/>
        </w:rPr>
        <w:t>。</w:t>
      </w:r>
    </w:p>
    <w:p w14:paraId="2038C573">
      <w:pPr>
        <w:spacing w:line="324" w:lineRule="auto"/>
        <w:ind w:firstLine="480" w:firstLineChars="200"/>
        <w:rPr>
          <w:rFonts w:cs="Arial"/>
          <w:color w:val="auto"/>
          <w:szCs w:val="24"/>
          <w:highlight w:val="none"/>
        </w:rPr>
      </w:pPr>
      <w:r>
        <w:rPr>
          <w:rFonts w:cs="Arial"/>
          <w:color w:val="auto"/>
          <w:szCs w:val="24"/>
          <w:highlight w:val="none"/>
        </w:rPr>
        <w:t>根据此函，签字代表宣布同意如下：</w:t>
      </w:r>
    </w:p>
    <w:p w14:paraId="7021F257">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1.</w:t>
      </w:r>
      <w:r>
        <w:rPr>
          <w:rFonts w:cs="Arial"/>
          <w:color w:val="auto"/>
          <w:szCs w:val="24"/>
          <w:highlight w:val="none"/>
        </w:rPr>
        <w:t>所附投标价格表中规定的应提交和交付的服务和</w:t>
      </w:r>
      <w:r>
        <w:rPr>
          <w:rFonts w:hint="eastAsia" w:cs="Arial"/>
          <w:color w:val="auto"/>
          <w:szCs w:val="24"/>
          <w:highlight w:val="none"/>
          <w:lang w:val="en-US" w:eastAsia="zh-CN"/>
        </w:rPr>
        <w:t>相关</w:t>
      </w:r>
      <w:r>
        <w:rPr>
          <w:rFonts w:hint="eastAsia" w:cs="Arial"/>
          <w:color w:val="auto"/>
          <w:szCs w:val="24"/>
          <w:highlight w:val="none"/>
        </w:rPr>
        <w:t>货物（如有）</w:t>
      </w:r>
      <w:r>
        <w:rPr>
          <w:rFonts w:cs="Arial"/>
          <w:color w:val="auto"/>
          <w:szCs w:val="24"/>
          <w:highlight w:val="none"/>
        </w:rPr>
        <w:t>的</w:t>
      </w:r>
      <w:r>
        <w:rPr>
          <w:rFonts w:hint="eastAsia" w:cs="Arial"/>
          <w:color w:val="auto"/>
          <w:szCs w:val="24"/>
          <w:highlight w:val="none"/>
        </w:rPr>
        <w:t>投标报价</w:t>
      </w:r>
      <w:r>
        <w:rPr>
          <w:rFonts w:cs="Arial"/>
          <w:color w:val="auto"/>
          <w:szCs w:val="24"/>
          <w:highlight w:val="none"/>
        </w:rPr>
        <w:t>为</w:t>
      </w:r>
      <w:r>
        <w:rPr>
          <w:rFonts w:hint="eastAsia" w:cs="Arial"/>
          <w:color w:val="auto"/>
          <w:szCs w:val="24"/>
          <w:highlight w:val="none"/>
        </w:rPr>
        <w:t xml:space="preserve"> </w:t>
      </w:r>
      <w:r>
        <w:rPr>
          <w:rFonts w:hint="eastAsia" w:cs="Arial"/>
          <w:color w:val="auto"/>
          <w:szCs w:val="24"/>
          <w:highlight w:val="none"/>
          <w:u w:val="single"/>
        </w:rPr>
        <w:t xml:space="preserve">                  </w:t>
      </w:r>
      <w:r>
        <w:rPr>
          <w:rFonts w:cs="Arial"/>
          <w:color w:val="auto"/>
          <w:szCs w:val="24"/>
          <w:highlight w:val="none"/>
        </w:rPr>
        <w:t>。</w:t>
      </w:r>
    </w:p>
    <w:p w14:paraId="3FF1B405">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我方</w:t>
      </w:r>
      <w:r>
        <w:rPr>
          <w:rFonts w:cs="Arial"/>
          <w:color w:val="auto"/>
          <w:szCs w:val="24"/>
          <w:highlight w:val="none"/>
        </w:rPr>
        <w:t>将按招标文件的规定履行合同责任和义务。</w:t>
      </w:r>
    </w:p>
    <w:p w14:paraId="464D767C">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rPr>
        <w:t>我方</w:t>
      </w:r>
      <w:r>
        <w:rPr>
          <w:rFonts w:cs="Arial"/>
          <w:color w:val="auto"/>
          <w:szCs w:val="24"/>
          <w:highlight w:val="none"/>
        </w:rPr>
        <w:t>已详细审查全部招标文件，包括</w:t>
      </w:r>
      <w:r>
        <w:rPr>
          <w:rFonts w:cs="Arial"/>
          <w:i w:val="0"/>
          <w:iCs w:val="0"/>
          <w:color w:val="auto"/>
          <w:szCs w:val="24"/>
          <w:highlight w:val="none"/>
        </w:rPr>
        <w:t>第</w:t>
      </w:r>
      <w:r>
        <w:rPr>
          <w:rFonts w:cs="Arial"/>
          <w:i w:val="0"/>
          <w:iCs w:val="0"/>
          <w:color w:val="auto"/>
          <w:szCs w:val="24"/>
          <w:highlight w:val="none"/>
          <w:u w:val="single"/>
        </w:rPr>
        <w:t>（编号、补遗书）（如果有的话）</w:t>
      </w:r>
      <w:r>
        <w:rPr>
          <w:rFonts w:cs="Arial"/>
          <w:i w:val="0"/>
          <w:iCs w:val="0"/>
          <w:color w:val="auto"/>
          <w:szCs w:val="24"/>
          <w:highlight w:val="none"/>
        </w:rPr>
        <w:t>。我</w:t>
      </w:r>
      <w:r>
        <w:rPr>
          <w:rFonts w:hint="eastAsia" w:cs="Arial"/>
          <w:i w:val="0"/>
          <w:iCs w:val="0"/>
          <w:color w:val="auto"/>
          <w:szCs w:val="24"/>
          <w:highlight w:val="none"/>
        </w:rPr>
        <w:t>方</w:t>
      </w:r>
      <w:r>
        <w:rPr>
          <w:rFonts w:cs="Arial"/>
          <w:i w:val="0"/>
          <w:iCs w:val="0"/>
          <w:color w:val="auto"/>
          <w:szCs w:val="24"/>
          <w:highlight w:val="none"/>
        </w:rPr>
        <w:t>完全理解并同意放弃对这方面有不明及误解的权力。</w:t>
      </w:r>
    </w:p>
    <w:p w14:paraId="70CAE828">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4.</w:t>
      </w:r>
      <w:r>
        <w:rPr>
          <w:rFonts w:hint="eastAsia" w:cs="Arial"/>
          <w:i w:val="0"/>
          <w:iCs w:val="0"/>
          <w:color w:val="auto"/>
          <w:szCs w:val="24"/>
          <w:highlight w:val="none"/>
        </w:rPr>
        <w:t>投标有效期为自提交投标文件的截止之日起</w:t>
      </w:r>
      <w:r>
        <w:rPr>
          <w:rFonts w:hint="eastAsia" w:cs="Arial"/>
          <w:i w:val="0"/>
          <w:iCs w:val="0"/>
          <w:color w:val="auto"/>
          <w:szCs w:val="24"/>
          <w:highlight w:val="none"/>
          <w:u w:val="single"/>
        </w:rPr>
        <w:t xml:space="preserve"> （由投标人填写）</w:t>
      </w:r>
      <w:r>
        <w:rPr>
          <w:rFonts w:cs="Arial"/>
          <w:i w:val="0"/>
          <w:iCs w:val="0"/>
          <w:color w:val="auto"/>
          <w:szCs w:val="24"/>
          <w:highlight w:val="none"/>
        </w:rPr>
        <w:t>个日历天。</w:t>
      </w:r>
    </w:p>
    <w:p w14:paraId="52EDF2A7">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5.</w:t>
      </w:r>
      <w:r>
        <w:rPr>
          <w:rFonts w:hint="eastAsia" w:cs="Arial"/>
          <w:i w:val="0"/>
          <w:iCs w:val="0"/>
          <w:color w:val="auto"/>
          <w:szCs w:val="24"/>
          <w:highlight w:val="none"/>
        </w:rPr>
        <w:t>我方</w:t>
      </w:r>
      <w:r>
        <w:rPr>
          <w:rFonts w:cs="Arial"/>
          <w:i w:val="0"/>
          <w:iCs w:val="0"/>
          <w:color w:val="auto"/>
          <w:szCs w:val="24"/>
          <w:highlight w:val="none"/>
        </w:rPr>
        <w:t>同意提供按照贵方</w:t>
      </w:r>
      <w:r>
        <w:rPr>
          <w:rFonts w:hint="eastAsia" w:cs="Arial"/>
          <w:i w:val="0"/>
          <w:iCs w:val="0"/>
          <w:color w:val="auto"/>
          <w:szCs w:val="24"/>
          <w:highlight w:val="none"/>
          <w:lang w:val="en-US" w:eastAsia="zh-CN"/>
        </w:rPr>
        <w:t>招标</w:t>
      </w:r>
      <w:r>
        <w:rPr>
          <w:rFonts w:hint="eastAsia" w:cs="Arial"/>
          <w:i w:val="0"/>
          <w:iCs w:val="0"/>
          <w:color w:val="auto"/>
          <w:szCs w:val="24"/>
          <w:highlight w:val="none"/>
        </w:rPr>
        <w:t>文件</w:t>
      </w:r>
      <w:r>
        <w:rPr>
          <w:rFonts w:cs="Arial"/>
          <w:i w:val="0"/>
          <w:iCs w:val="0"/>
          <w:color w:val="auto"/>
          <w:szCs w:val="24"/>
          <w:highlight w:val="none"/>
        </w:rPr>
        <w:t>要求的与投标有关的一切数据或资料，</w:t>
      </w:r>
      <w:r>
        <w:rPr>
          <w:rFonts w:hint="eastAsia" w:cs="Arial"/>
          <w:i w:val="0"/>
          <w:iCs w:val="0"/>
          <w:color w:val="auto"/>
          <w:szCs w:val="24"/>
          <w:highlight w:val="none"/>
        </w:rPr>
        <w:t>采用综合评分法时，我方</w:t>
      </w:r>
      <w:r>
        <w:rPr>
          <w:rFonts w:cs="Arial"/>
          <w:i w:val="0"/>
          <w:iCs w:val="0"/>
          <w:color w:val="auto"/>
          <w:szCs w:val="24"/>
          <w:highlight w:val="none"/>
        </w:rPr>
        <w:t>完全理解贵方不一定接受最低价的投标。</w:t>
      </w:r>
    </w:p>
    <w:p w14:paraId="3CF5A666">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6.</w:t>
      </w:r>
      <w:r>
        <w:rPr>
          <w:rFonts w:hint="eastAsia" w:cs="Arial"/>
          <w:i w:val="0"/>
          <w:iCs w:val="0"/>
          <w:color w:val="auto"/>
          <w:szCs w:val="24"/>
          <w:highlight w:val="none"/>
        </w:rPr>
        <w:t>本项目如由中标人支付采购代理服务费，我方同意按投标人须知前附表中规定向采购代理机构支付采购代理服务费。</w:t>
      </w:r>
    </w:p>
    <w:p w14:paraId="6A150207">
      <w:pPr>
        <w:numPr>
          <w:ilvl w:val="0"/>
          <w:numId w:val="0"/>
        </w:numPr>
        <w:snapToGrid w:val="0"/>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7.</w:t>
      </w:r>
      <w:r>
        <w:rPr>
          <w:rFonts w:hint="eastAsia" w:cs="Arial"/>
          <w:i w:val="0"/>
          <w:iCs w:val="0"/>
          <w:color w:val="auto"/>
          <w:szCs w:val="24"/>
          <w:highlight w:val="none"/>
        </w:rPr>
        <w:t>重要声明：</w:t>
      </w:r>
    </w:p>
    <w:p w14:paraId="40AFB77A">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1）与我方单位负责人为同一人的其他单位名称：</w:t>
      </w:r>
    </w:p>
    <w:p w14:paraId="409D2F71">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无；</w:t>
      </w:r>
      <w:r>
        <w:rPr>
          <w:rFonts w:hint="eastAsia"/>
          <w:i w:val="0"/>
          <w:iCs w:val="0"/>
          <w:color w:val="auto"/>
          <w:szCs w:val="24"/>
          <w:highlight w:val="none"/>
          <w:lang w:eastAsia="zh-CN"/>
        </w:rPr>
        <w:t>□</w:t>
      </w:r>
      <w:r>
        <w:rPr>
          <w:rFonts w:hint="eastAsia"/>
          <w:i w:val="0"/>
          <w:iCs w:val="0"/>
          <w:color w:val="auto"/>
          <w:szCs w:val="24"/>
          <w:highlight w:val="none"/>
        </w:rPr>
        <w:t>有，具体单位名称为：</w:t>
      </w:r>
      <w:r>
        <w:rPr>
          <w:rFonts w:hint="eastAsia" w:cs="Arial"/>
          <w:i w:val="0"/>
          <w:iCs w:val="0"/>
          <w:color w:val="auto"/>
          <w:szCs w:val="24"/>
          <w:highlight w:val="none"/>
          <w:u w:val="single"/>
        </w:rPr>
        <w:t>（由投标人如实填写）</w:t>
      </w:r>
      <w:r>
        <w:rPr>
          <w:rFonts w:hint="eastAsia"/>
          <w:i w:val="0"/>
          <w:iCs w:val="0"/>
          <w:color w:val="auto"/>
          <w:szCs w:val="24"/>
          <w:highlight w:val="none"/>
        </w:rPr>
        <w:t>。</w:t>
      </w:r>
    </w:p>
    <w:p w14:paraId="0B2F52C6">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2）与我方存在控股、管理关系的其他单位的名称：</w:t>
      </w:r>
    </w:p>
    <w:p w14:paraId="3BE8BBB8">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无；□有，具体单位名称为： </w:t>
      </w:r>
      <w:r>
        <w:rPr>
          <w:rFonts w:hint="eastAsia" w:cs="Arial"/>
          <w:i w:val="0"/>
          <w:iCs w:val="0"/>
          <w:color w:val="auto"/>
          <w:szCs w:val="24"/>
          <w:highlight w:val="none"/>
          <w:u w:val="single"/>
        </w:rPr>
        <w:t>（由投标人如实填写）</w:t>
      </w:r>
      <w:r>
        <w:rPr>
          <w:rFonts w:hint="eastAsia"/>
          <w:i w:val="0"/>
          <w:iCs w:val="0"/>
          <w:color w:val="auto"/>
          <w:szCs w:val="24"/>
          <w:highlight w:val="none"/>
        </w:rPr>
        <w:t>。</w:t>
      </w:r>
    </w:p>
    <w:p w14:paraId="1103F8A2">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无；□有，已提供的具体服务内容为： </w:t>
      </w:r>
      <w:r>
        <w:rPr>
          <w:rFonts w:hint="eastAsia" w:cs="Arial"/>
          <w:i w:val="0"/>
          <w:iCs w:val="0"/>
          <w:color w:val="auto"/>
          <w:szCs w:val="24"/>
          <w:highlight w:val="none"/>
          <w:u w:val="single"/>
        </w:rPr>
        <w:t>（由投标人如实填写）</w:t>
      </w:r>
      <w:r>
        <w:rPr>
          <w:rFonts w:hint="eastAsia"/>
          <w:i w:val="0"/>
          <w:iCs w:val="0"/>
          <w:color w:val="auto"/>
          <w:szCs w:val="24"/>
          <w:highlight w:val="none"/>
        </w:rPr>
        <w:t>。</w:t>
      </w:r>
    </w:p>
    <w:p w14:paraId="4FC84088">
      <w:pPr>
        <w:spacing w:line="324" w:lineRule="auto"/>
        <w:ind w:firstLine="480" w:firstLineChars="200"/>
        <w:rPr>
          <w:color w:val="auto"/>
          <w:szCs w:val="24"/>
          <w:highlight w:val="none"/>
        </w:rPr>
      </w:pPr>
      <w:r>
        <w:rPr>
          <w:rFonts w:hint="eastAsia"/>
          <w:color w:val="auto"/>
          <w:szCs w:val="24"/>
          <w:highlight w:val="none"/>
        </w:rPr>
        <w:t>（备注：以上</w:t>
      </w:r>
      <w:r>
        <w:rPr>
          <w:color w:val="auto"/>
          <w:szCs w:val="24"/>
          <w:highlight w:val="none"/>
        </w:rPr>
        <w:t>3</w:t>
      </w:r>
      <w:r>
        <w:rPr>
          <w:rFonts w:hint="eastAsia"/>
          <w:color w:val="auto"/>
          <w:szCs w:val="24"/>
          <w:highlight w:val="none"/>
        </w:rPr>
        <w:t>项声明，必须如实选择，选中项用</w:t>
      </w:r>
      <w:r>
        <w:rPr>
          <w:rFonts w:hint="eastAsia"/>
          <w:color w:val="auto"/>
          <w:szCs w:val="24"/>
          <w:highlight w:val="none"/>
          <w:lang w:eastAsia="zh-CN"/>
        </w:rPr>
        <w:t>☑</w:t>
      </w:r>
      <w:r>
        <w:rPr>
          <w:rFonts w:hint="eastAsia"/>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80" w:firstLineChars="200"/>
        <w:rPr>
          <w:color w:val="auto"/>
          <w:szCs w:val="24"/>
          <w:highlight w:val="none"/>
        </w:rPr>
      </w:pPr>
      <w:r>
        <w:rPr>
          <w:rFonts w:hint="eastAsia"/>
          <w:color w:val="auto"/>
          <w:szCs w:val="24"/>
          <w:highlight w:val="none"/>
        </w:rPr>
        <w:t>4）我方在本投标文件中所提供的全部资料均真实有效，我方承诺对其真实性负责并承担相应后果。</w:t>
      </w:r>
    </w:p>
    <w:p w14:paraId="5FB2607B">
      <w:pPr>
        <w:snapToGrid w:val="0"/>
        <w:spacing w:line="324" w:lineRule="auto"/>
        <w:ind w:firstLine="480" w:firstLineChars="200"/>
        <w:rPr>
          <w:color w:val="auto"/>
          <w:szCs w:val="24"/>
          <w:highlight w:val="none"/>
        </w:rPr>
      </w:pPr>
      <w:r>
        <w:rPr>
          <w:rFonts w:hint="eastAsia"/>
          <w:color w:val="auto"/>
          <w:szCs w:val="24"/>
          <w:highlight w:val="none"/>
        </w:rPr>
        <w:t>5）</w:t>
      </w:r>
      <w:bookmarkStart w:id="806" w:name="_Hlk161604053"/>
      <w:r>
        <w:rPr>
          <w:rFonts w:hint="eastAsia"/>
          <w:color w:val="auto"/>
          <w:szCs w:val="24"/>
          <w:highlight w:val="none"/>
        </w:rPr>
        <w:t>我方承诺本《投标函》的签章对本投标文件全部内容具有约束力并承担法律责任。</w:t>
      </w:r>
      <w:bookmarkEnd w:id="806"/>
    </w:p>
    <w:p w14:paraId="2A195747">
      <w:pPr>
        <w:spacing w:line="300" w:lineRule="auto"/>
        <w:rPr>
          <w:rFonts w:cs="Arial"/>
          <w:color w:val="auto"/>
          <w:szCs w:val="24"/>
          <w:highlight w:val="none"/>
        </w:rPr>
      </w:pPr>
    </w:p>
    <w:p w14:paraId="3F664789">
      <w:pPr>
        <w:spacing w:line="300" w:lineRule="auto"/>
        <w:rPr>
          <w:rFonts w:cs="Arial"/>
          <w:color w:val="auto"/>
          <w:szCs w:val="24"/>
          <w:highlight w:val="none"/>
        </w:rPr>
      </w:pPr>
    </w:p>
    <w:p w14:paraId="6C365FF0">
      <w:pPr>
        <w:spacing w:line="300" w:lineRule="auto"/>
        <w:rPr>
          <w:rFonts w:cs="Arial"/>
          <w:color w:val="auto"/>
          <w:szCs w:val="24"/>
          <w:highlight w:val="none"/>
        </w:rPr>
      </w:pPr>
    </w:p>
    <w:p w14:paraId="2DB608AC">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投 </w:t>
      </w:r>
      <w:r>
        <w:rPr>
          <w:rFonts w:cs="宋体"/>
          <w:color w:val="auto"/>
          <w:highlight w:val="none"/>
        </w:rPr>
        <w:t xml:space="preserve">   </w:t>
      </w:r>
      <w:r>
        <w:rPr>
          <w:rFonts w:hint="eastAsia" w:cs="宋体"/>
          <w:color w:val="auto"/>
          <w:highlight w:val="none"/>
        </w:rPr>
        <w:t xml:space="preserve">标 </w:t>
      </w:r>
      <w:r>
        <w:rPr>
          <w:rFonts w:cs="宋体"/>
          <w:color w:val="auto"/>
          <w:highlight w:val="none"/>
        </w:rPr>
        <w:t xml:space="preserve">   </w:t>
      </w:r>
      <w:r>
        <w:rPr>
          <w:rFonts w:hint="eastAsia" w:cs="宋体"/>
          <w:color w:val="auto"/>
          <w:highlight w:val="none"/>
        </w:rPr>
        <w:t>人</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4CCC9D16">
      <w:pPr>
        <w:autoSpaceDE w:val="0"/>
        <w:autoSpaceDN w:val="0"/>
        <w:adjustRightInd w:val="0"/>
        <w:snapToGrid w:val="0"/>
        <w:ind w:firstLine="480" w:firstLineChars="200"/>
        <w:rPr>
          <w:rFonts w:cs="宋体"/>
          <w:color w:val="auto"/>
          <w:highlight w:val="none"/>
        </w:rPr>
      </w:pPr>
      <w:r>
        <w:rPr>
          <w:rFonts w:hint="eastAsia" w:cs="宋体"/>
          <w:color w:val="auto"/>
          <w:highlight w:val="none"/>
        </w:rPr>
        <w:t>通  讯  地  址：</w:t>
      </w:r>
    </w:p>
    <w:p w14:paraId="268281DA">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传       </w:t>
      </w:r>
      <w:r>
        <w:rPr>
          <w:rFonts w:cs="宋体"/>
          <w:color w:val="auto"/>
          <w:highlight w:val="none"/>
        </w:rPr>
        <w:t xml:space="preserve">   </w:t>
      </w:r>
      <w:r>
        <w:rPr>
          <w:rFonts w:hint="eastAsia" w:cs="宋体"/>
          <w:color w:val="auto"/>
          <w:highlight w:val="none"/>
        </w:rPr>
        <w:t>真：</w:t>
      </w:r>
    </w:p>
    <w:p w14:paraId="0A396883">
      <w:pPr>
        <w:autoSpaceDE w:val="0"/>
        <w:autoSpaceDN w:val="0"/>
        <w:adjustRightInd w:val="0"/>
        <w:snapToGrid w:val="0"/>
        <w:ind w:firstLine="480" w:firstLineChars="200"/>
        <w:rPr>
          <w:rFonts w:cs="宋体"/>
          <w:color w:val="auto"/>
          <w:highlight w:val="none"/>
        </w:rPr>
      </w:pPr>
      <w:r>
        <w:rPr>
          <w:rFonts w:hint="eastAsia" w:cs="宋体"/>
          <w:color w:val="auto"/>
          <w:highlight w:val="none"/>
        </w:rPr>
        <w:t>电          话：</w:t>
      </w:r>
    </w:p>
    <w:p w14:paraId="21203E4D">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授 </w:t>
      </w:r>
      <w:r>
        <w:rPr>
          <w:rFonts w:cs="宋体"/>
          <w:color w:val="auto"/>
          <w:highlight w:val="none"/>
        </w:rPr>
        <w:t xml:space="preserve"> </w:t>
      </w:r>
      <w:r>
        <w:rPr>
          <w:rFonts w:hint="eastAsia" w:cs="宋体"/>
          <w:color w:val="auto"/>
          <w:highlight w:val="none"/>
        </w:rPr>
        <w:t xml:space="preserve">权 </w:t>
      </w:r>
      <w:r>
        <w:rPr>
          <w:rFonts w:cs="宋体"/>
          <w:color w:val="auto"/>
          <w:highlight w:val="none"/>
        </w:rPr>
        <w:t xml:space="preserve"> </w:t>
      </w:r>
      <w:r>
        <w:rPr>
          <w:rFonts w:hint="eastAsia" w:cs="宋体"/>
          <w:color w:val="auto"/>
          <w:highlight w:val="none"/>
        </w:rPr>
        <w:t xml:space="preserve">代 </w:t>
      </w:r>
      <w:r>
        <w:rPr>
          <w:rFonts w:cs="宋体"/>
          <w:color w:val="auto"/>
          <w:highlight w:val="none"/>
        </w:rPr>
        <w:t xml:space="preserve"> </w:t>
      </w:r>
      <w:r>
        <w:rPr>
          <w:rFonts w:hint="eastAsia" w:cs="宋体"/>
          <w:color w:val="auto"/>
          <w:highlight w:val="none"/>
        </w:rPr>
        <w:t>表：</w:t>
      </w:r>
    </w:p>
    <w:p w14:paraId="63C92097">
      <w:pPr>
        <w:ind w:firstLine="480" w:firstLineChars="200"/>
        <w:rPr>
          <w:rFonts w:cs="Arial"/>
          <w:color w:val="auto"/>
          <w:szCs w:val="24"/>
          <w:highlight w:val="none"/>
        </w:rPr>
      </w:pPr>
      <w:r>
        <w:rPr>
          <w:rFonts w:hint="eastAsia" w:cs="宋体"/>
          <w:color w:val="auto"/>
          <w:highlight w:val="none"/>
        </w:rPr>
        <w:t xml:space="preserve">日     </w:t>
      </w:r>
      <w:r>
        <w:rPr>
          <w:rFonts w:cs="宋体"/>
          <w:color w:val="auto"/>
          <w:highlight w:val="none"/>
        </w:rPr>
        <w:t xml:space="preserve">  </w:t>
      </w:r>
      <w:r>
        <w:rPr>
          <w:rFonts w:hint="eastAsia" w:cs="宋体"/>
          <w:color w:val="auto"/>
          <w:highlight w:val="none"/>
        </w:rPr>
        <w:t xml:space="preserve">    期：</w:t>
      </w:r>
    </w:p>
    <w:p w14:paraId="6674502E">
      <w:pPr>
        <w:rPr>
          <w:rFonts w:cs="Arial"/>
          <w:color w:val="auto"/>
          <w:szCs w:val="24"/>
          <w:highlight w:val="none"/>
          <w:u w:val="single"/>
        </w:rPr>
      </w:pPr>
    </w:p>
    <w:p w14:paraId="478BFBB8">
      <w:pPr>
        <w:rPr>
          <w:rFonts w:cs="Arial"/>
          <w:color w:val="auto"/>
          <w:szCs w:val="24"/>
          <w:highlight w:val="none"/>
          <w:u w:val="single"/>
        </w:rPr>
      </w:pPr>
      <w:r>
        <w:rPr>
          <w:rFonts w:cs="Arial"/>
          <w:color w:val="auto"/>
          <w:szCs w:val="24"/>
          <w:highlight w:val="none"/>
          <w:u w:val="single"/>
        </w:rPr>
        <w:br w:type="page"/>
      </w:r>
    </w:p>
    <w:p w14:paraId="24B4BD65">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07" w:name="_Toc12459"/>
      <w:bookmarkStart w:id="808" w:name="_Toc155185924"/>
      <w:r>
        <w:rPr>
          <w:rFonts w:hint="eastAsia" w:cstheme="majorBidi"/>
          <w:b/>
          <w:bCs/>
          <w:color w:val="auto"/>
          <w:kern w:val="2"/>
          <w:sz w:val="32"/>
          <w:szCs w:val="32"/>
          <w:highlight w:val="none"/>
          <w:lang w:val="en-US" w:eastAsia="zh-CN" w:bidi="ar-SA"/>
        </w:rPr>
        <w:t>十</w:t>
      </w:r>
      <w:r>
        <w:rPr>
          <w:rFonts w:hint="eastAsia" w:eastAsia="宋体" w:asciiTheme="majorHAnsi" w:hAnsiTheme="majorHAnsi" w:cstheme="majorBidi"/>
          <w:b/>
          <w:bCs/>
          <w:color w:val="auto"/>
          <w:kern w:val="2"/>
          <w:sz w:val="32"/>
          <w:szCs w:val="32"/>
          <w:highlight w:val="none"/>
          <w:lang w:val="en-US" w:eastAsia="zh-CN" w:bidi="ar-SA"/>
        </w:rPr>
        <w:t>、法定代表人（单位负责人）身份证明</w:t>
      </w:r>
      <w:bookmarkEnd w:id="807"/>
      <w:bookmarkEnd w:id="808"/>
    </w:p>
    <w:p w14:paraId="46CF1AA3">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致：（采购人或采购代理机构） </w:t>
      </w:r>
    </w:p>
    <w:p w14:paraId="3DE52D6F">
      <w:pPr>
        <w:spacing w:line="480" w:lineRule="auto"/>
        <w:ind w:firstLine="960" w:firstLineChars="400"/>
        <w:rPr>
          <w:rFonts w:hint="eastAsia" w:cs="仿宋_GB2312"/>
          <w:color w:val="auto"/>
          <w:szCs w:val="24"/>
          <w:highlight w:val="none"/>
        </w:rPr>
      </w:pPr>
      <w:r>
        <w:rPr>
          <w:rFonts w:hint="eastAsia" w:cs="仿宋_GB2312"/>
          <w:color w:val="auto"/>
          <w:szCs w:val="24"/>
          <w:highlight w:val="none"/>
          <w:lang w:val="en-US" w:eastAsia="zh-CN"/>
        </w:rPr>
        <w:t xml:space="preserve">兹证明， </w:t>
      </w:r>
    </w:p>
    <w:p w14:paraId="1D36B9E0">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姓名：____性别：____年龄：____职务：____ </w:t>
      </w:r>
    </w:p>
    <w:p w14:paraId="38746EB6">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系 </w:t>
      </w:r>
      <w:r>
        <w:rPr>
          <w:rFonts w:hint="eastAsia" w:cs="仿宋_GB2312"/>
          <w:color w:val="auto"/>
          <w:szCs w:val="24"/>
          <w:highlight w:val="none"/>
          <w:u w:val="single"/>
          <w:lang w:val="en-US" w:eastAsia="zh-CN"/>
        </w:rPr>
        <w:t xml:space="preserve">            </w:t>
      </w:r>
      <w:r>
        <w:rPr>
          <w:rFonts w:hint="eastAsia" w:cs="仿宋_GB2312"/>
          <w:color w:val="auto"/>
          <w:szCs w:val="24"/>
          <w:highlight w:val="none"/>
          <w:lang w:val="en-US" w:eastAsia="zh-CN"/>
        </w:rPr>
        <w:t xml:space="preserve">（投标人名称）的法定代表人（单位负责人）。 </w:t>
      </w:r>
    </w:p>
    <w:p w14:paraId="3B002BC6">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附：法定代表人（单位负责人）身份证、护照等身份证明文件电子件： </w:t>
      </w:r>
    </w:p>
    <w:p w14:paraId="60A8C36F">
      <w:pPr>
        <w:spacing w:line="480" w:lineRule="auto"/>
        <w:ind w:firstLine="480" w:firstLineChars="200"/>
        <w:rPr>
          <w:rFonts w:cs="仿宋_GB2312"/>
          <w:color w:val="auto"/>
          <w:szCs w:val="24"/>
          <w:highlight w:val="none"/>
        </w:rPr>
      </w:pPr>
    </w:p>
    <w:p w14:paraId="473563CD">
      <w:pPr>
        <w:rPr>
          <w:rFonts w:cs="Arial"/>
          <w:color w:val="auto"/>
          <w:sz w:val="21"/>
          <w:szCs w:val="21"/>
          <w:highlight w:val="none"/>
        </w:rPr>
      </w:pPr>
    </w:p>
    <w:tbl>
      <w:tblPr>
        <w:tblStyle w:val="3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cs="Arial"/>
                <w:color w:val="auto"/>
                <w:highlight w:val="none"/>
              </w:rPr>
            </w:pPr>
          </w:p>
        </w:tc>
      </w:tr>
    </w:tbl>
    <w:p w14:paraId="76B5C725">
      <w:pPr>
        <w:ind w:firstLine="840" w:firstLineChars="350"/>
        <w:jc w:val="center"/>
        <w:rPr>
          <w:rFonts w:cs="Arial"/>
          <w:color w:val="auto"/>
          <w:highlight w:val="none"/>
        </w:rPr>
      </w:pPr>
    </w:p>
    <w:p w14:paraId="4AD74708">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DejaVuSans" w:hAnsi="DejaVuSans" w:eastAsia="DejaVuSans" w:cs="DejaVuSans"/>
          <w:color w:val="auto"/>
          <w:kern w:val="0"/>
          <w:sz w:val="24"/>
          <w:szCs w:val="24"/>
          <w:highlight w:val="none"/>
          <w:lang w:val="en-US" w:eastAsia="zh-CN" w:bidi="ar"/>
        </w:rPr>
        <w:t xml:space="preserve">________________ </w:t>
      </w:r>
    </w:p>
    <w:p w14:paraId="364A1245">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 </w:t>
      </w:r>
    </w:p>
    <w:p w14:paraId="10B3C29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239FE13">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日</w:t>
      </w:r>
    </w:p>
    <w:p w14:paraId="6948CD78">
      <w:pPr>
        <w:rPr>
          <w:b/>
          <w:color w:val="auto"/>
          <w:sz w:val="28"/>
          <w:szCs w:val="28"/>
          <w:highlight w:val="none"/>
        </w:rPr>
      </w:pPr>
    </w:p>
    <w:p w14:paraId="04FDD702">
      <w:pPr>
        <w:rPr>
          <w:b/>
          <w:color w:val="auto"/>
          <w:sz w:val="28"/>
          <w:szCs w:val="28"/>
          <w:highlight w:val="none"/>
        </w:rPr>
      </w:pPr>
      <w:r>
        <w:rPr>
          <w:b/>
          <w:color w:val="auto"/>
          <w:sz w:val="28"/>
          <w:szCs w:val="28"/>
          <w:highlight w:val="none"/>
        </w:rPr>
        <w:br w:type="page"/>
      </w:r>
    </w:p>
    <w:p w14:paraId="0EEE8A23">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09" w:name="_Toc26391"/>
      <w:bookmarkStart w:id="810" w:name="_Toc155185925"/>
      <w:r>
        <w:rPr>
          <w:rFonts w:hint="eastAsia" w:cstheme="majorBidi"/>
          <w:b/>
          <w:bCs/>
          <w:color w:val="auto"/>
          <w:kern w:val="2"/>
          <w:sz w:val="32"/>
          <w:szCs w:val="32"/>
          <w:highlight w:val="none"/>
          <w:lang w:val="en-US" w:eastAsia="zh-CN" w:bidi="ar-SA"/>
        </w:rPr>
        <w:t>十一</w:t>
      </w:r>
      <w:r>
        <w:rPr>
          <w:rFonts w:hint="eastAsia" w:eastAsia="宋体" w:asciiTheme="majorHAnsi" w:hAnsiTheme="majorHAnsi" w:cstheme="majorBidi"/>
          <w:b/>
          <w:bCs/>
          <w:color w:val="auto"/>
          <w:kern w:val="2"/>
          <w:sz w:val="32"/>
          <w:szCs w:val="32"/>
          <w:highlight w:val="none"/>
          <w:lang w:val="en-US" w:eastAsia="zh-CN" w:bidi="ar-SA"/>
        </w:rPr>
        <w:t>、授权委托书</w:t>
      </w:r>
      <w:bookmarkEnd w:id="809"/>
      <w:bookmarkEnd w:id="810"/>
    </w:p>
    <w:p w14:paraId="593F068D">
      <w:pPr>
        <w:ind w:firstLine="480" w:firstLineChars="200"/>
        <w:rPr>
          <w:rFonts w:cs="仿宋_GB2312"/>
          <w:color w:val="auto"/>
          <w:szCs w:val="24"/>
          <w:highlight w:val="none"/>
        </w:rPr>
      </w:pPr>
      <w:r>
        <w:rPr>
          <w:rFonts w:hint="eastAsia" w:cs="仿宋_GB2312"/>
          <w:color w:val="auto"/>
          <w:szCs w:val="24"/>
          <w:highlight w:val="none"/>
        </w:rPr>
        <w:t>本人</w:t>
      </w:r>
      <w:r>
        <w:rPr>
          <w:rFonts w:cs="仿宋_GB2312"/>
          <w:color w:val="auto"/>
          <w:szCs w:val="24"/>
          <w:highlight w:val="none"/>
          <w:u w:val="single"/>
        </w:rPr>
        <w:t xml:space="preserve">     </w:t>
      </w:r>
      <w:r>
        <w:rPr>
          <w:rFonts w:hint="eastAsia" w:cs="仿宋_GB2312"/>
          <w:color w:val="auto"/>
          <w:szCs w:val="24"/>
          <w:highlight w:val="none"/>
          <w:u w:val="none"/>
        </w:rPr>
        <w:t>（姓名）</w:t>
      </w:r>
      <w:r>
        <w:rPr>
          <w:rFonts w:hint="eastAsia" w:cs="仿宋_GB2312"/>
          <w:color w:val="auto"/>
          <w:szCs w:val="24"/>
          <w:highlight w:val="none"/>
        </w:rPr>
        <w:t>系</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u w:val="none"/>
        </w:rPr>
        <w:t>（投标人名称）</w:t>
      </w:r>
      <w:r>
        <w:rPr>
          <w:rFonts w:hint="eastAsia" w:cs="仿宋_GB2312"/>
          <w:color w:val="auto"/>
          <w:szCs w:val="24"/>
          <w:highlight w:val="none"/>
        </w:rPr>
        <w:t>的法定代表人</w:t>
      </w:r>
      <w:r>
        <w:rPr>
          <w:rFonts w:hint="eastAsia"/>
          <w:color w:val="auto"/>
          <w:highlight w:val="none"/>
        </w:rPr>
        <w:t>（</w:t>
      </w:r>
      <w:r>
        <w:rPr>
          <w:rFonts w:hint="eastAsia"/>
          <w:color w:val="auto"/>
          <w:highlight w:val="none"/>
          <w:lang w:val="en-US" w:eastAsia="zh-CN"/>
        </w:rPr>
        <w:t>单位</w:t>
      </w:r>
      <w:r>
        <w:rPr>
          <w:rFonts w:hint="eastAsia"/>
          <w:color w:val="auto"/>
          <w:highlight w:val="none"/>
        </w:rPr>
        <w:t>负责人）</w:t>
      </w:r>
      <w:r>
        <w:rPr>
          <w:rFonts w:hint="eastAsia" w:cs="仿宋_GB2312"/>
          <w:color w:val="auto"/>
          <w:szCs w:val="24"/>
          <w:highlight w:val="none"/>
        </w:rPr>
        <w:t>，现委托</w:t>
      </w:r>
      <w:r>
        <w:rPr>
          <w:rFonts w:hint="eastAsia" w:cs="仿宋_GB2312"/>
          <w:color w:val="auto"/>
          <w:szCs w:val="24"/>
          <w:highlight w:val="none"/>
          <w:u w:val="single"/>
        </w:rPr>
        <w:t xml:space="preserve">     </w:t>
      </w:r>
      <w:r>
        <w:rPr>
          <w:rFonts w:hint="eastAsia" w:cs="仿宋_GB2312"/>
          <w:color w:val="auto"/>
          <w:szCs w:val="24"/>
          <w:highlight w:val="none"/>
        </w:rPr>
        <w:t>（姓名）为我方代理人。代理人根据授权，以我方名义签署、澄清</w:t>
      </w:r>
      <w:r>
        <w:rPr>
          <w:rFonts w:hint="eastAsia" w:cs="仿宋_GB2312"/>
          <w:color w:val="auto"/>
          <w:szCs w:val="24"/>
          <w:highlight w:val="none"/>
          <w:lang w:val="en-US" w:eastAsia="zh-CN"/>
        </w:rPr>
        <w:t>确认</w:t>
      </w:r>
      <w:r>
        <w:rPr>
          <w:rFonts w:hint="eastAsia" w:cs="仿宋_GB2312"/>
          <w:color w:val="auto"/>
          <w:szCs w:val="24"/>
          <w:highlight w:val="none"/>
        </w:rPr>
        <w:t>、说明、补正、递交、撤回、修改</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rPr>
        <w:t>（项目名称）投标文件、签订合同和处理有关事宜，其法律后果由我方承担。</w:t>
      </w:r>
    </w:p>
    <w:p w14:paraId="56B80D1C">
      <w:pPr>
        <w:ind w:firstLine="480" w:firstLineChars="200"/>
        <w:rPr>
          <w:rFonts w:hint="eastAsia" w:cs="仿宋_GB2312"/>
          <w:color w:val="auto"/>
          <w:szCs w:val="24"/>
          <w:highlight w:val="none"/>
        </w:rPr>
      </w:pPr>
      <w:r>
        <w:rPr>
          <w:rFonts w:hint="eastAsia" w:cs="仿宋_GB2312"/>
          <w:color w:val="auto"/>
          <w:szCs w:val="24"/>
          <w:highlight w:val="none"/>
        </w:rPr>
        <w:t>委托期限：</w:t>
      </w:r>
      <w:r>
        <w:rPr>
          <w:rFonts w:hint="eastAsia" w:cs="仿宋_GB2312"/>
          <w:color w:val="auto"/>
          <w:szCs w:val="24"/>
          <w:highlight w:val="none"/>
          <w:lang w:val="en-US" w:eastAsia="zh-CN"/>
        </w:rPr>
        <w:t>自本授权委托书签署之日起至投标有效期届满之日止。</w:t>
      </w:r>
    </w:p>
    <w:p w14:paraId="0A605ABE">
      <w:pPr>
        <w:ind w:firstLine="480" w:firstLineChars="200"/>
        <w:rPr>
          <w:rFonts w:cs="仿宋_GB2312"/>
          <w:color w:val="auto"/>
          <w:szCs w:val="24"/>
          <w:highlight w:val="none"/>
        </w:rPr>
      </w:pPr>
      <w:r>
        <w:rPr>
          <w:rFonts w:hint="eastAsia" w:cs="仿宋_GB2312"/>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DejaVuSans" w:hAnsi="DejaVuSans" w:eastAsia="DejaVuSans" w:cs="DejaVuSans"/>
          <w:color w:val="auto"/>
          <w:kern w:val="0"/>
          <w:sz w:val="24"/>
          <w:szCs w:val="24"/>
          <w:highlight w:val="none"/>
          <w:lang w:val="en-US" w:eastAsia="zh-CN" w:bidi="ar"/>
        </w:rPr>
        <w:t xml:space="preserve">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委托代理人（签字或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r>
        <w:rPr>
          <w:rFonts w:hint="eastAsia" w:ascii="DejaVuSans" w:hAnsi="DejaVuSans" w:eastAsia="DejaVuSans" w:cs="DejaVuSans"/>
          <w:color w:val="auto"/>
          <w:kern w:val="0"/>
          <w:sz w:val="24"/>
          <w:szCs w:val="24"/>
          <w:highlight w:val="none"/>
          <w:lang w:val="en-US" w:eastAsia="zh-CN" w:bidi="ar"/>
        </w:rPr>
        <w:t xml:space="preserve">   联系电话：</w:t>
      </w:r>
      <w:r>
        <w:rPr>
          <w:rFonts w:hint="eastAsia" w:ascii="DejaVuSans" w:hAnsi="DejaVuSans" w:eastAsia="DejaVuSans" w:cs="DejaVuSans"/>
          <w:color w:val="auto"/>
          <w:kern w:val="0"/>
          <w:sz w:val="24"/>
          <w:szCs w:val="24"/>
          <w:highlight w:val="none"/>
          <w:u w:val="single"/>
          <w:lang w:val="en-US" w:eastAsia="zh-CN" w:bidi="ar"/>
        </w:rPr>
        <w:t xml:space="preserve">               </w:t>
      </w:r>
      <w:r>
        <w:rPr>
          <w:rFonts w:hint="default" w:ascii="DejaVuSans" w:hAnsi="DejaVuSans" w:eastAsia="DejaVuSans" w:cs="DejaVuSans"/>
          <w:color w:val="auto"/>
          <w:kern w:val="0"/>
          <w:sz w:val="24"/>
          <w:szCs w:val="24"/>
          <w:highlight w:val="none"/>
          <w:lang w:val="en-US" w:eastAsia="zh-CN" w:bidi="ar"/>
        </w:rPr>
        <w:t xml:space="preserve"> </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 xml:space="preserve">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附：法定代表人及委托代理人身份证明文件电子件： </w:t>
      </w:r>
    </w:p>
    <w:tbl>
      <w:tblPr>
        <w:tblStyle w:val="3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cs="Arial"/>
                <w:color w:val="auto"/>
                <w:highlight w:val="none"/>
              </w:rPr>
            </w:pPr>
          </w:p>
        </w:tc>
      </w:tr>
    </w:tbl>
    <w:p w14:paraId="003FC2D7">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说明： </w:t>
      </w:r>
    </w:p>
    <w:p w14:paraId="6A6FAC65">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1.若投标人为事业单位或其他组织或分支机构，则法定代表人（单位负责人）处的签署人可为单位负责人。 </w:t>
      </w:r>
    </w:p>
    <w:p w14:paraId="7579C425">
      <w:pPr>
        <w:ind w:firstLine="480" w:firstLineChars="200"/>
        <w:rPr>
          <w:rFonts w:hint="eastAsia" w:cs="仿宋_GB2312"/>
          <w:color w:val="auto"/>
          <w:szCs w:val="24"/>
          <w:highlight w:val="none"/>
        </w:rPr>
      </w:pPr>
      <w:r>
        <w:rPr>
          <w:rFonts w:hint="default" w:cs="仿宋_GB2312"/>
          <w:color w:val="auto"/>
          <w:szCs w:val="24"/>
          <w:highlight w:val="none"/>
          <w:lang w:val="en-US" w:eastAsia="zh-CN"/>
        </w:rPr>
        <w:t>2.</w:t>
      </w:r>
      <w:r>
        <w:rPr>
          <w:rFonts w:hint="eastAsia" w:cs="仿宋_GB2312"/>
          <w:color w:val="auto"/>
          <w:szCs w:val="24"/>
          <w:highlight w:val="none"/>
          <w:lang w:val="en-US" w:eastAsia="zh-CN"/>
        </w:rPr>
        <w:t xml:space="preserve">若投标文件中签字之处均为法定代表人（单位负责人）本人签署，则可不提供本《授权委托书》，但须提供《法定代表人（单位负责人）身份证明》。 </w:t>
      </w:r>
    </w:p>
    <w:p w14:paraId="7D81952A">
      <w:pPr>
        <w:ind w:firstLine="480" w:firstLineChars="200"/>
        <w:rPr>
          <w:rFonts w:hint="eastAsia" w:cs="仿宋_GB2312"/>
          <w:color w:val="auto"/>
          <w:szCs w:val="24"/>
          <w:highlight w:val="none"/>
        </w:rPr>
      </w:pPr>
      <w:r>
        <w:rPr>
          <w:rFonts w:hint="default" w:cs="仿宋_GB2312"/>
          <w:color w:val="auto"/>
          <w:szCs w:val="24"/>
          <w:highlight w:val="none"/>
          <w:lang w:val="en-US" w:eastAsia="zh-CN"/>
        </w:rPr>
        <w:t>3.</w:t>
      </w:r>
      <w:r>
        <w:rPr>
          <w:rFonts w:hint="eastAsia" w:cs="仿宋_GB2312"/>
          <w:color w:val="auto"/>
          <w:szCs w:val="24"/>
          <w:highlight w:val="none"/>
          <w:lang w:val="en-US" w:eastAsia="zh-CN"/>
        </w:rPr>
        <w:t xml:space="preserve">投标人为自然人的情形，可不提供本《授权委托书》。 </w:t>
      </w:r>
    </w:p>
    <w:p w14:paraId="16E91B57">
      <w:pPr>
        <w:ind w:firstLine="480" w:firstLineChars="200"/>
        <w:rPr>
          <w:rFonts w:hint="eastAsia" w:cs="仿宋_GB2312"/>
          <w:color w:val="auto"/>
          <w:szCs w:val="24"/>
          <w:highlight w:val="none"/>
        </w:rPr>
      </w:pPr>
      <w:r>
        <w:rPr>
          <w:rFonts w:hint="default" w:cs="仿宋_GB2312"/>
          <w:color w:val="auto"/>
          <w:szCs w:val="24"/>
          <w:highlight w:val="none"/>
          <w:lang w:val="en-US" w:eastAsia="zh-CN"/>
        </w:rPr>
        <w:t>4.</w:t>
      </w:r>
      <w:r>
        <w:rPr>
          <w:rFonts w:hint="eastAsia" w:cs="仿宋_GB2312"/>
          <w:color w:val="auto"/>
          <w:szCs w:val="24"/>
          <w:highlight w:val="none"/>
          <w:lang w:val="en-US" w:eastAsia="zh-CN"/>
        </w:rPr>
        <w:t>投标人应随本《授权委托书》同时提供法定代表人（单位负责人）及委托代理人的有效的身份证、护照等身份证明文件电子件。提供身份证的，应同时提供身份证</w:t>
      </w:r>
      <w:r>
        <w:rPr>
          <w:rFonts w:hint="eastAsia" w:cs="仿宋_GB2312"/>
          <w:b/>
          <w:bCs/>
          <w:color w:val="auto"/>
          <w:szCs w:val="24"/>
          <w:highlight w:val="none"/>
          <w:lang w:val="en-US" w:eastAsia="zh-CN"/>
        </w:rPr>
        <w:t>双面</w:t>
      </w:r>
      <w:r>
        <w:rPr>
          <w:rFonts w:hint="eastAsia" w:cs="仿宋_GB2312"/>
          <w:color w:val="auto"/>
          <w:szCs w:val="24"/>
          <w:highlight w:val="none"/>
          <w:lang w:val="en-US" w:eastAsia="zh-CN"/>
        </w:rPr>
        <w:t>电子件。</w:t>
      </w:r>
    </w:p>
    <w:p w14:paraId="0B2EBA16">
      <w:pPr>
        <w:rPr>
          <w:color w:val="auto"/>
          <w:highlight w:val="none"/>
        </w:rPr>
      </w:pPr>
      <w:r>
        <w:rPr>
          <w:color w:val="auto"/>
          <w:highlight w:val="none"/>
        </w:rPr>
        <w:br w:type="page"/>
      </w:r>
    </w:p>
    <w:p w14:paraId="117D25C9">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11" w:name="_Toc155185934"/>
      <w:bookmarkStart w:id="812" w:name="_Toc163492928"/>
      <w:bookmarkStart w:id="813" w:name="_Toc27408"/>
      <w:r>
        <w:rPr>
          <w:rFonts w:hint="eastAsia" w:cstheme="majorBidi"/>
          <w:b/>
          <w:bCs/>
          <w:color w:val="auto"/>
          <w:kern w:val="2"/>
          <w:sz w:val="32"/>
          <w:szCs w:val="32"/>
          <w:highlight w:val="none"/>
          <w:lang w:val="en-US" w:eastAsia="zh-CN" w:bidi="ar-SA"/>
        </w:rPr>
        <w:t>十二</w:t>
      </w:r>
      <w:r>
        <w:rPr>
          <w:rFonts w:hint="eastAsia" w:eastAsia="宋体" w:asciiTheme="majorHAnsi" w:hAnsiTheme="majorHAnsi" w:cstheme="majorBidi"/>
          <w:b/>
          <w:bCs/>
          <w:color w:val="auto"/>
          <w:kern w:val="2"/>
          <w:sz w:val="32"/>
          <w:szCs w:val="32"/>
          <w:highlight w:val="none"/>
          <w:lang w:val="en-US" w:eastAsia="zh-CN" w:bidi="ar-SA"/>
        </w:rPr>
        <w:t>、</w:t>
      </w:r>
      <w:bookmarkEnd w:id="811"/>
      <w:bookmarkEnd w:id="812"/>
      <w:r>
        <w:rPr>
          <w:rFonts w:hint="eastAsia" w:eastAsia="宋体" w:asciiTheme="majorHAnsi" w:hAnsiTheme="majorHAnsi" w:cstheme="majorBidi"/>
          <w:b/>
          <w:bCs/>
          <w:color w:val="auto"/>
          <w:kern w:val="2"/>
          <w:sz w:val="32"/>
          <w:szCs w:val="32"/>
          <w:highlight w:val="none"/>
          <w:lang w:val="zh-CN" w:eastAsia="zh-CN" w:bidi="ar-SA"/>
        </w:rPr>
        <w:t>政府采购</w:t>
      </w:r>
      <w:r>
        <w:rPr>
          <w:rFonts w:hint="eastAsia" w:cstheme="majorBidi"/>
          <w:b/>
          <w:bCs/>
          <w:color w:val="auto"/>
          <w:kern w:val="2"/>
          <w:sz w:val="32"/>
          <w:szCs w:val="32"/>
          <w:highlight w:val="none"/>
          <w:lang w:val="en-US" w:eastAsia="zh-CN" w:bidi="ar-SA"/>
        </w:rPr>
        <w:t>投标人</w:t>
      </w:r>
      <w:r>
        <w:rPr>
          <w:rFonts w:hint="eastAsia" w:eastAsia="宋体" w:asciiTheme="majorHAnsi" w:hAnsiTheme="majorHAnsi" w:cstheme="majorBidi"/>
          <w:b/>
          <w:bCs/>
          <w:color w:val="auto"/>
          <w:kern w:val="2"/>
          <w:sz w:val="32"/>
          <w:szCs w:val="32"/>
          <w:highlight w:val="none"/>
          <w:lang w:val="zh-CN" w:eastAsia="zh-CN" w:bidi="ar-SA"/>
        </w:rPr>
        <w:t>廉洁自律承诺书</w:t>
      </w:r>
      <w:bookmarkEnd w:id="813"/>
    </w:p>
    <w:p w14:paraId="2AB445CF">
      <w:pPr>
        <w:pStyle w:val="18"/>
        <w:rPr>
          <w:color w:val="auto"/>
          <w:highlight w:val="none"/>
        </w:rPr>
      </w:pPr>
    </w:p>
    <w:p w14:paraId="2CE177B4">
      <w:pPr>
        <w:snapToGrid w:val="0"/>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2139BFB4">
      <w:pPr>
        <w:autoSpaceDE w:val="0"/>
        <w:autoSpaceDN w:val="0"/>
        <w:spacing w:line="360" w:lineRule="auto"/>
        <w:ind w:left="2" w:leftChars="1"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我单位响应你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项目招标要求参加投标。在这次投标过程中和中标后，我们将严格遵守国家法律法规要求，并郑重承诺：</w:t>
      </w:r>
    </w:p>
    <w:p w14:paraId="2B87D13C">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一、不向项目有关人员及部门赠送礼金礼物、有价证券、回扣以及中介费、介绍费、咨询费等好处费； </w:t>
      </w:r>
    </w:p>
    <w:p w14:paraId="063D62B4">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二、不为项目有关人员及部门报销应由你方单位或个人支付的费用； </w:t>
      </w:r>
    </w:p>
    <w:p w14:paraId="5ADDE615">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三、不向项目有关人员及部门提供有可能影响公正的宴请和健身娱乐等活动；</w:t>
      </w:r>
    </w:p>
    <w:p w14:paraId="6B70337F">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四、不为项目有关人员及部门出国（境）、旅游等提供方便；</w:t>
      </w:r>
    </w:p>
    <w:p w14:paraId="6421E616">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五、不为项目有关人员个人装修住房、婚丧嫁娶、配偶子女工作安排等提供好处；</w:t>
      </w:r>
    </w:p>
    <w:p w14:paraId="663761CE">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六、严格遵守《中华人民共和国政府采购法》</w:t>
      </w:r>
      <w:r>
        <w:rPr>
          <w:rFonts w:hint="eastAsia"/>
          <w:color w:val="auto"/>
          <w:highlight w:val="none"/>
        </w:rPr>
        <w:t>《中华人民共和国政府采购法</w:t>
      </w:r>
      <w:r>
        <w:rPr>
          <w:rFonts w:hint="eastAsia"/>
          <w:color w:val="auto"/>
          <w:highlight w:val="none"/>
          <w:lang w:val="en-US" w:eastAsia="zh-CN"/>
        </w:rPr>
        <w:t>实施条例</w:t>
      </w:r>
      <w:r>
        <w:rPr>
          <w:rFonts w:hint="eastAsia"/>
          <w:color w:val="auto"/>
          <w:highlight w:val="none"/>
        </w:rPr>
        <w:t>》</w:t>
      </w:r>
      <w:r>
        <w:rPr>
          <w:rFonts w:hint="eastAsia" w:ascii="宋体" w:hAnsi="宋体" w:cs="宋体"/>
          <w:color w:val="auto"/>
          <w:kern w:val="0"/>
          <w:sz w:val="24"/>
          <w:szCs w:val="24"/>
          <w:highlight w:val="none"/>
          <w:lang w:val="zh-CN"/>
        </w:rPr>
        <w:t xml:space="preserve">《中华人民共和国民法典》等法律法规，诚实守信，合法经营，坚决抵制各种违法违纪行为。 </w:t>
      </w:r>
    </w:p>
    <w:p w14:paraId="5C8FD2B8">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如违反上述承诺，你单位有权立即取消我单位投标、中标或在建项目的建设资格，有权拒绝我单位在一定时期内进入你单位进行项目建设或其他经营活动，并通报财政局。由此引起的相应损失均由我单位承担。</w:t>
      </w:r>
    </w:p>
    <w:p w14:paraId="5E22ECB4">
      <w:pPr>
        <w:autoSpaceDE w:val="0"/>
        <w:autoSpaceDN w:val="0"/>
        <w:spacing w:line="360" w:lineRule="auto"/>
        <w:ind w:left="2"/>
        <w:jc w:val="left"/>
        <w:rPr>
          <w:rFonts w:ascii="宋体" w:hAnsi="宋体" w:cs="宋体"/>
          <w:color w:val="auto"/>
          <w:kern w:val="0"/>
          <w:sz w:val="24"/>
          <w:szCs w:val="24"/>
          <w:highlight w:val="none"/>
          <w:lang w:val="zh-CN"/>
        </w:rPr>
      </w:pPr>
    </w:p>
    <w:p w14:paraId="0914ACDE">
      <w:pPr>
        <w:autoSpaceDE w:val="0"/>
        <w:autoSpaceDN w:val="0"/>
        <w:spacing w:line="360" w:lineRule="auto"/>
        <w:ind w:left="2"/>
        <w:jc w:val="left"/>
        <w:rPr>
          <w:rFonts w:ascii="宋体" w:hAnsi="宋体" w:cs="宋体"/>
          <w:color w:val="auto"/>
          <w:kern w:val="0"/>
          <w:sz w:val="24"/>
          <w:szCs w:val="24"/>
          <w:highlight w:val="none"/>
          <w:lang w:val="zh-CN"/>
        </w:rPr>
      </w:pPr>
    </w:p>
    <w:p w14:paraId="02E01AF0">
      <w:pPr>
        <w:autoSpaceDE w:val="0"/>
        <w:autoSpaceDN w:val="0"/>
        <w:spacing w:line="360" w:lineRule="auto"/>
        <w:ind w:left="2"/>
        <w:jc w:val="left"/>
        <w:rPr>
          <w:rFonts w:ascii="宋体" w:hAnsi="宋体" w:cs="宋体"/>
          <w:color w:val="auto"/>
          <w:kern w:val="0"/>
          <w:sz w:val="24"/>
          <w:szCs w:val="24"/>
          <w:highlight w:val="none"/>
          <w:lang w:val="zh-CN"/>
        </w:rPr>
      </w:pPr>
    </w:p>
    <w:p w14:paraId="3EA46769">
      <w:pPr>
        <w:autoSpaceDE w:val="0"/>
        <w:autoSpaceDN w:val="0"/>
        <w:spacing w:line="360" w:lineRule="auto"/>
        <w:ind w:left="2" w:leftChars="1" w:right="1120" w:firstLine="4560" w:firstLineChars="19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cs="宋体"/>
          <w:color w:val="auto"/>
          <w:kern w:val="0"/>
          <w:sz w:val="24"/>
          <w:szCs w:val="24"/>
          <w:highlight w:val="none"/>
          <w:lang w:val="zh-CN"/>
        </w:rPr>
        <w:t xml:space="preserve">：                                                                                                                                                                                                               </w:t>
      </w:r>
    </w:p>
    <w:p w14:paraId="0FD8A2DC">
      <w:pPr>
        <w:ind w:firstLine="4560" w:firstLineChars="1900"/>
        <w:rPr>
          <w:rFonts w:hint="eastAsia" w:eastAsia="宋体" w:asciiTheme="majorHAnsi" w:hAnsiTheme="majorHAnsi" w:cstheme="majorBidi"/>
          <w:b/>
          <w:bCs/>
          <w:color w:val="auto"/>
          <w:kern w:val="2"/>
          <w:sz w:val="24"/>
          <w:szCs w:val="24"/>
          <w:highlight w:val="none"/>
          <w:lang w:val="en-US" w:eastAsia="zh-CN" w:bidi="ar-SA"/>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 xml:space="preserve">   年   月   日</w:t>
      </w:r>
    </w:p>
    <w:p w14:paraId="5AA40BF9">
      <w:pPr>
        <w:rPr>
          <w:rFonts w:hint="eastAsia" w:eastAsia="宋体" w:asciiTheme="majorHAnsi" w:hAnsiTheme="majorHAnsi" w:cstheme="majorBidi"/>
          <w:b/>
          <w:bCs/>
          <w:color w:val="auto"/>
          <w:kern w:val="2"/>
          <w:sz w:val="24"/>
          <w:szCs w:val="24"/>
          <w:highlight w:val="none"/>
          <w:lang w:val="en-US" w:eastAsia="zh-CN" w:bidi="ar-SA"/>
        </w:rPr>
      </w:pPr>
    </w:p>
    <w:p w14:paraId="2917743B">
      <w:pPr>
        <w:pStyle w:val="18"/>
        <w:rPr>
          <w:rFonts w:hint="eastAsia" w:eastAsia="宋体" w:asciiTheme="majorHAnsi" w:hAnsiTheme="majorHAnsi" w:cstheme="majorBidi"/>
          <w:b/>
          <w:bCs/>
          <w:color w:val="auto"/>
          <w:kern w:val="2"/>
          <w:sz w:val="24"/>
          <w:szCs w:val="24"/>
          <w:highlight w:val="none"/>
          <w:lang w:val="en-US" w:eastAsia="zh-CN" w:bidi="ar-SA"/>
        </w:rPr>
      </w:pPr>
    </w:p>
    <w:p w14:paraId="2CC927CA">
      <w:pPr>
        <w:pStyle w:val="18"/>
        <w:rPr>
          <w:rFonts w:hint="eastAsia" w:eastAsia="宋体" w:asciiTheme="majorHAnsi" w:hAnsiTheme="majorHAnsi" w:cstheme="majorBidi"/>
          <w:b/>
          <w:bCs/>
          <w:color w:val="auto"/>
          <w:kern w:val="2"/>
          <w:sz w:val="24"/>
          <w:szCs w:val="24"/>
          <w:highlight w:val="none"/>
          <w:lang w:val="en-US" w:eastAsia="zh-CN" w:bidi="ar-SA"/>
        </w:rPr>
      </w:pPr>
    </w:p>
    <w:p w14:paraId="18FDCDE0">
      <w:pPr>
        <w:pStyle w:val="18"/>
        <w:rPr>
          <w:rFonts w:hint="eastAsia" w:eastAsia="宋体" w:asciiTheme="majorHAnsi" w:hAnsiTheme="majorHAnsi" w:cstheme="majorBidi"/>
          <w:b/>
          <w:bCs/>
          <w:color w:val="auto"/>
          <w:kern w:val="2"/>
          <w:sz w:val="24"/>
          <w:szCs w:val="24"/>
          <w:highlight w:val="none"/>
          <w:lang w:val="en-US" w:eastAsia="zh-CN" w:bidi="ar-SA"/>
        </w:rPr>
      </w:pPr>
    </w:p>
    <w:p w14:paraId="287724FC">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14" w:name="_Toc18155"/>
      <w:r>
        <w:rPr>
          <w:rFonts w:hint="eastAsia" w:cstheme="majorBidi"/>
          <w:b/>
          <w:bCs/>
          <w:color w:val="auto"/>
          <w:kern w:val="2"/>
          <w:sz w:val="32"/>
          <w:szCs w:val="32"/>
          <w:highlight w:val="none"/>
          <w:lang w:val="en-US" w:eastAsia="zh-CN" w:bidi="ar-SA"/>
        </w:rPr>
        <w:t>十三</w:t>
      </w:r>
      <w:r>
        <w:rPr>
          <w:rFonts w:hint="eastAsia" w:eastAsia="宋体" w:asciiTheme="majorHAnsi" w:hAnsiTheme="majorHAnsi" w:cstheme="majorBidi"/>
          <w:b/>
          <w:bCs/>
          <w:color w:val="auto"/>
          <w:kern w:val="2"/>
          <w:sz w:val="32"/>
          <w:szCs w:val="32"/>
          <w:highlight w:val="none"/>
          <w:lang w:val="en-US" w:eastAsia="zh-CN" w:bidi="ar-SA"/>
        </w:rPr>
        <w:t>、业绩证明文件</w:t>
      </w:r>
      <w:bookmarkEnd w:id="814"/>
    </w:p>
    <w:p w14:paraId="7DB08DA5">
      <w:pPr>
        <w:rPr>
          <w:rFonts w:cs="仿宋_GB2312"/>
          <w:color w:val="auto"/>
          <w:szCs w:val="24"/>
          <w:highlight w:val="none"/>
        </w:rPr>
      </w:pPr>
      <w:r>
        <w:rPr>
          <w:rFonts w:cs="Arial"/>
          <w:bCs/>
          <w:color w:val="auto"/>
          <w:szCs w:val="21"/>
          <w:highlight w:val="none"/>
        </w:rPr>
        <w:fldChar w:fldCharType="begin"/>
      </w:r>
      <w:r>
        <w:rPr>
          <w:rFonts w:cs="Arial"/>
          <w:bCs/>
          <w:color w:val="auto"/>
          <w:szCs w:val="21"/>
          <w:highlight w:val="none"/>
        </w:rPr>
        <w:instrText xml:space="preserve"> LINK Word.Document.8 "D:\\音乐厅\\4通用设备\\招标文件\\音乐厅空调设备招标文件v1.0.doc" "OLE_LINK8" \r  \* MERGEFORMAT </w:instrText>
      </w:r>
      <w:r>
        <w:rPr>
          <w:rFonts w:cs="Arial"/>
          <w:bCs/>
          <w:color w:val="auto"/>
          <w:szCs w:val="21"/>
          <w:highlight w:val="none"/>
        </w:rPr>
        <w:fldChar w:fldCharType="separate"/>
      </w:r>
      <w:r>
        <w:rPr>
          <w:rFonts w:hint="eastAsia" w:cs="仿宋_GB2312"/>
          <w:color w:val="auto"/>
          <w:szCs w:val="24"/>
          <w:highlight w:val="none"/>
        </w:rPr>
        <w:t xml:space="preserve">项目名称：                                         </w:t>
      </w:r>
    </w:p>
    <w:p w14:paraId="4A687997">
      <w:pPr>
        <w:rPr>
          <w:rFonts w:cs="Arial"/>
          <w:bCs/>
          <w:color w:val="auto"/>
          <w:szCs w:val="21"/>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r>
        <w:rPr>
          <w:rFonts w:cs="Arial"/>
          <w:bCs/>
          <w:color w:val="auto"/>
          <w:szCs w:val="21"/>
          <w:highlight w:val="none"/>
        </w:rPr>
        <w:fldChar w:fldCharType="end"/>
      </w:r>
    </w:p>
    <w:tbl>
      <w:tblPr>
        <w:tblStyle w:val="33"/>
        <w:tblW w:w="8988"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80"/>
        <w:gridCol w:w="1248"/>
        <w:gridCol w:w="1129"/>
        <w:gridCol w:w="1283"/>
        <w:gridCol w:w="1368"/>
        <w:gridCol w:w="960"/>
        <w:gridCol w:w="1176"/>
      </w:tblGrid>
      <w:tr w14:paraId="0BB3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37278D52">
            <w:pPr>
              <w:jc w:val="center"/>
              <w:rPr>
                <w:rFonts w:hint="eastAsia" w:ascii="宋体" w:hAnsi="宋体" w:eastAsia="宋体" w:cs="宋体"/>
                <w:color w:val="auto"/>
                <w:sz w:val="21"/>
                <w:szCs w:val="21"/>
                <w:highlight w:val="none"/>
              </w:rPr>
            </w:pPr>
            <w:bookmarkStart w:id="815" w:name="_Hlk46779239"/>
            <w:r>
              <w:rPr>
                <w:rFonts w:hint="eastAsia" w:ascii="宋体" w:hAnsi="宋体" w:eastAsia="宋体" w:cs="宋体"/>
                <w:color w:val="auto"/>
                <w:sz w:val="21"/>
                <w:szCs w:val="21"/>
                <w:highlight w:val="none"/>
              </w:rPr>
              <w:t>序号</w:t>
            </w:r>
          </w:p>
        </w:tc>
        <w:tc>
          <w:tcPr>
            <w:tcW w:w="1080" w:type="dxa"/>
            <w:vAlign w:val="center"/>
          </w:tcPr>
          <w:p w14:paraId="5EA65C0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完成时间</w:t>
            </w:r>
          </w:p>
        </w:tc>
        <w:tc>
          <w:tcPr>
            <w:tcW w:w="1248" w:type="dxa"/>
            <w:vAlign w:val="center"/>
          </w:tcPr>
          <w:p w14:paraId="15F711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129" w:type="dxa"/>
            <w:vAlign w:val="center"/>
          </w:tcPr>
          <w:p w14:paraId="7F2B95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标的</w:t>
            </w:r>
            <w:r>
              <w:rPr>
                <w:rFonts w:hint="eastAsia" w:ascii="宋体" w:hAnsi="宋体" w:eastAsia="宋体" w:cs="宋体"/>
                <w:color w:val="auto"/>
                <w:sz w:val="21"/>
                <w:szCs w:val="21"/>
                <w:highlight w:val="none"/>
              </w:rPr>
              <w:t>内容</w:t>
            </w:r>
          </w:p>
        </w:tc>
        <w:tc>
          <w:tcPr>
            <w:tcW w:w="1283" w:type="dxa"/>
            <w:vAlign w:val="center"/>
          </w:tcPr>
          <w:p w14:paraId="56A877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名称</w:t>
            </w:r>
          </w:p>
        </w:tc>
        <w:tc>
          <w:tcPr>
            <w:tcW w:w="1368" w:type="dxa"/>
            <w:vAlign w:val="center"/>
          </w:tcPr>
          <w:p w14:paraId="55D436A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中标（成交）金额</w:t>
            </w:r>
          </w:p>
        </w:tc>
        <w:tc>
          <w:tcPr>
            <w:tcW w:w="960" w:type="dxa"/>
            <w:vAlign w:val="center"/>
          </w:tcPr>
          <w:p w14:paraId="0DD0D2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176" w:type="dxa"/>
            <w:vAlign w:val="center"/>
          </w:tcPr>
          <w:p w14:paraId="607D7E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r>
      <w:tr w14:paraId="49BD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61F1D1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0" w:type="dxa"/>
            <w:vAlign w:val="center"/>
          </w:tcPr>
          <w:p w14:paraId="25A72089">
            <w:pPr>
              <w:rPr>
                <w:rFonts w:hint="eastAsia" w:ascii="宋体" w:hAnsi="宋体" w:eastAsia="宋体" w:cs="宋体"/>
                <w:color w:val="auto"/>
                <w:sz w:val="21"/>
                <w:szCs w:val="21"/>
                <w:highlight w:val="none"/>
              </w:rPr>
            </w:pPr>
          </w:p>
        </w:tc>
        <w:tc>
          <w:tcPr>
            <w:tcW w:w="1248" w:type="dxa"/>
            <w:vAlign w:val="center"/>
          </w:tcPr>
          <w:p w14:paraId="6F3805E3">
            <w:pPr>
              <w:rPr>
                <w:rFonts w:hint="eastAsia" w:ascii="宋体" w:hAnsi="宋体" w:eastAsia="宋体" w:cs="宋体"/>
                <w:color w:val="auto"/>
                <w:sz w:val="21"/>
                <w:szCs w:val="21"/>
                <w:highlight w:val="none"/>
              </w:rPr>
            </w:pPr>
          </w:p>
        </w:tc>
        <w:tc>
          <w:tcPr>
            <w:tcW w:w="1129" w:type="dxa"/>
            <w:vAlign w:val="center"/>
          </w:tcPr>
          <w:p w14:paraId="7CB7C00C">
            <w:pPr>
              <w:rPr>
                <w:rFonts w:hint="eastAsia" w:ascii="宋体" w:hAnsi="宋体" w:eastAsia="宋体" w:cs="宋体"/>
                <w:color w:val="auto"/>
                <w:sz w:val="21"/>
                <w:szCs w:val="21"/>
                <w:highlight w:val="none"/>
              </w:rPr>
            </w:pPr>
          </w:p>
        </w:tc>
        <w:tc>
          <w:tcPr>
            <w:tcW w:w="1283" w:type="dxa"/>
            <w:vAlign w:val="center"/>
          </w:tcPr>
          <w:p w14:paraId="60DAC622">
            <w:pPr>
              <w:rPr>
                <w:rFonts w:hint="eastAsia" w:ascii="宋体" w:hAnsi="宋体" w:eastAsia="宋体" w:cs="宋体"/>
                <w:color w:val="auto"/>
                <w:sz w:val="21"/>
                <w:szCs w:val="21"/>
                <w:highlight w:val="none"/>
              </w:rPr>
            </w:pPr>
          </w:p>
        </w:tc>
        <w:tc>
          <w:tcPr>
            <w:tcW w:w="1368" w:type="dxa"/>
            <w:vAlign w:val="center"/>
          </w:tcPr>
          <w:p w14:paraId="5436BEC1">
            <w:pPr>
              <w:rPr>
                <w:rFonts w:hint="eastAsia" w:ascii="宋体" w:hAnsi="宋体" w:eastAsia="宋体" w:cs="宋体"/>
                <w:color w:val="auto"/>
                <w:sz w:val="21"/>
                <w:szCs w:val="21"/>
                <w:highlight w:val="none"/>
              </w:rPr>
            </w:pPr>
          </w:p>
        </w:tc>
        <w:tc>
          <w:tcPr>
            <w:tcW w:w="960" w:type="dxa"/>
            <w:vAlign w:val="center"/>
          </w:tcPr>
          <w:p w14:paraId="4A8D26BB">
            <w:pPr>
              <w:rPr>
                <w:rFonts w:hint="eastAsia" w:ascii="宋体" w:hAnsi="宋体" w:eastAsia="宋体" w:cs="宋体"/>
                <w:color w:val="auto"/>
                <w:sz w:val="21"/>
                <w:szCs w:val="21"/>
                <w:highlight w:val="none"/>
              </w:rPr>
            </w:pPr>
          </w:p>
        </w:tc>
        <w:tc>
          <w:tcPr>
            <w:tcW w:w="1176" w:type="dxa"/>
            <w:vAlign w:val="center"/>
          </w:tcPr>
          <w:p w14:paraId="6799D8A5">
            <w:pPr>
              <w:rPr>
                <w:rFonts w:hint="eastAsia" w:ascii="宋体" w:hAnsi="宋体" w:eastAsia="宋体" w:cs="宋体"/>
                <w:color w:val="auto"/>
                <w:sz w:val="21"/>
                <w:szCs w:val="21"/>
                <w:highlight w:val="none"/>
              </w:rPr>
            </w:pPr>
          </w:p>
        </w:tc>
      </w:tr>
      <w:tr w14:paraId="4367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031748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0" w:type="dxa"/>
            <w:vAlign w:val="center"/>
          </w:tcPr>
          <w:p w14:paraId="3C7437EA">
            <w:pPr>
              <w:rPr>
                <w:rFonts w:hint="eastAsia" w:ascii="宋体" w:hAnsi="宋体" w:eastAsia="宋体" w:cs="宋体"/>
                <w:color w:val="auto"/>
                <w:sz w:val="21"/>
                <w:szCs w:val="21"/>
                <w:highlight w:val="none"/>
              </w:rPr>
            </w:pPr>
          </w:p>
        </w:tc>
        <w:tc>
          <w:tcPr>
            <w:tcW w:w="1248" w:type="dxa"/>
            <w:vAlign w:val="center"/>
          </w:tcPr>
          <w:p w14:paraId="753A8A2D">
            <w:pPr>
              <w:rPr>
                <w:rFonts w:hint="eastAsia" w:ascii="宋体" w:hAnsi="宋体" w:eastAsia="宋体" w:cs="宋体"/>
                <w:color w:val="auto"/>
                <w:sz w:val="21"/>
                <w:szCs w:val="21"/>
                <w:highlight w:val="none"/>
              </w:rPr>
            </w:pPr>
          </w:p>
        </w:tc>
        <w:tc>
          <w:tcPr>
            <w:tcW w:w="1129" w:type="dxa"/>
            <w:vAlign w:val="center"/>
          </w:tcPr>
          <w:p w14:paraId="02634890">
            <w:pPr>
              <w:rPr>
                <w:rFonts w:hint="eastAsia" w:ascii="宋体" w:hAnsi="宋体" w:eastAsia="宋体" w:cs="宋体"/>
                <w:color w:val="auto"/>
                <w:sz w:val="21"/>
                <w:szCs w:val="21"/>
                <w:highlight w:val="none"/>
              </w:rPr>
            </w:pPr>
          </w:p>
        </w:tc>
        <w:tc>
          <w:tcPr>
            <w:tcW w:w="1283" w:type="dxa"/>
            <w:vAlign w:val="center"/>
          </w:tcPr>
          <w:p w14:paraId="3563AED4">
            <w:pPr>
              <w:rPr>
                <w:rFonts w:hint="eastAsia" w:ascii="宋体" w:hAnsi="宋体" w:eastAsia="宋体" w:cs="宋体"/>
                <w:color w:val="auto"/>
                <w:sz w:val="21"/>
                <w:szCs w:val="21"/>
                <w:highlight w:val="none"/>
              </w:rPr>
            </w:pPr>
          </w:p>
        </w:tc>
        <w:tc>
          <w:tcPr>
            <w:tcW w:w="1368" w:type="dxa"/>
            <w:vAlign w:val="center"/>
          </w:tcPr>
          <w:p w14:paraId="4ED6DFCE">
            <w:pPr>
              <w:rPr>
                <w:rFonts w:hint="eastAsia" w:ascii="宋体" w:hAnsi="宋体" w:eastAsia="宋体" w:cs="宋体"/>
                <w:color w:val="auto"/>
                <w:sz w:val="21"/>
                <w:szCs w:val="21"/>
                <w:highlight w:val="none"/>
              </w:rPr>
            </w:pPr>
          </w:p>
        </w:tc>
        <w:tc>
          <w:tcPr>
            <w:tcW w:w="960" w:type="dxa"/>
            <w:vAlign w:val="center"/>
          </w:tcPr>
          <w:p w14:paraId="3DDF15B1">
            <w:pPr>
              <w:rPr>
                <w:rFonts w:hint="eastAsia" w:ascii="宋体" w:hAnsi="宋体" w:eastAsia="宋体" w:cs="宋体"/>
                <w:color w:val="auto"/>
                <w:sz w:val="21"/>
                <w:szCs w:val="21"/>
                <w:highlight w:val="none"/>
              </w:rPr>
            </w:pPr>
          </w:p>
        </w:tc>
        <w:tc>
          <w:tcPr>
            <w:tcW w:w="1176" w:type="dxa"/>
            <w:vAlign w:val="center"/>
          </w:tcPr>
          <w:p w14:paraId="069D1E24">
            <w:pPr>
              <w:rPr>
                <w:rFonts w:hint="eastAsia" w:ascii="宋体" w:hAnsi="宋体" w:eastAsia="宋体" w:cs="宋体"/>
                <w:color w:val="auto"/>
                <w:sz w:val="21"/>
                <w:szCs w:val="21"/>
                <w:highlight w:val="none"/>
              </w:rPr>
            </w:pPr>
          </w:p>
        </w:tc>
      </w:tr>
      <w:tr w14:paraId="026F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6CB6EA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80" w:type="dxa"/>
            <w:vAlign w:val="center"/>
          </w:tcPr>
          <w:p w14:paraId="5AFF132B">
            <w:pPr>
              <w:rPr>
                <w:rFonts w:hint="eastAsia" w:ascii="宋体" w:hAnsi="宋体" w:eastAsia="宋体" w:cs="宋体"/>
                <w:color w:val="auto"/>
                <w:sz w:val="21"/>
                <w:szCs w:val="21"/>
                <w:highlight w:val="none"/>
              </w:rPr>
            </w:pPr>
          </w:p>
        </w:tc>
        <w:tc>
          <w:tcPr>
            <w:tcW w:w="1248" w:type="dxa"/>
            <w:vAlign w:val="center"/>
          </w:tcPr>
          <w:p w14:paraId="40DFA463">
            <w:pPr>
              <w:rPr>
                <w:rFonts w:hint="eastAsia" w:ascii="宋体" w:hAnsi="宋体" w:eastAsia="宋体" w:cs="宋体"/>
                <w:color w:val="auto"/>
                <w:sz w:val="21"/>
                <w:szCs w:val="21"/>
                <w:highlight w:val="none"/>
              </w:rPr>
            </w:pPr>
          </w:p>
        </w:tc>
        <w:tc>
          <w:tcPr>
            <w:tcW w:w="1129" w:type="dxa"/>
            <w:vAlign w:val="center"/>
          </w:tcPr>
          <w:p w14:paraId="192188BA">
            <w:pPr>
              <w:rPr>
                <w:rFonts w:hint="eastAsia" w:ascii="宋体" w:hAnsi="宋体" w:eastAsia="宋体" w:cs="宋体"/>
                <w:color w:val="auto"/>
                <w:sz w:val="21"/>
                <w:szCs w:val="21"/>
                <w:highlight w:val="none"/>
              </w:rPr>
            </w:pPr>
          </w:p>
        </w:tc>
        <w:tc>
          <w:tcPr>
            <w:tcW w:w="1283" w:type="dxa"/>
            <w:vAlign w:val="center"/>
          </w:tcPr>
          <w:p w14:paraId="58044B96">
            <w:pPr>
              <w:rPr>
                <w:rFonts w:hint="eastAsia" w:ascii="宋体" w:hAnsi="宋体" w:eastAsia="宋体" w:cs="宋体"/>
                <w:color w:val="auto"/>
                <w:sz w:val="21"/>
                <w:szCs w:val="21"/>
                <w:highlight w:val="none"/>
              </w:rPr>
            </w:pPr>
          </w:p>
        </w:tc>
        <w:tc>
          <w:tcPr>
            <w:tcW w:w="1368" w:type="dxa"/>
            <w:vAlign w:val="center"/>
          </w:tcPr>
          <w:p w14:paraId="10BAB04D">
            <w:pPr>
              <w:rPr>
                <w:rFonts w:hint="eastAsia" w:ascii="宋体" w:hAnsi="宋体" w:eastAsia="宋体" w:cs="宋体"/>
                <w:color w:val="auto"/>
                <w:sz w:val="21"/>
                <w:szCs w:val="21"/>
                <w:highlight w:val="none"/>
              </w:rPr>
            </w:pPr>
          </w:p>
        </w:tc>
        <w:tc>
          <w:tcPr>
            <w:tcW w:w="960" w:type="dxa"/>
            <w:vAlign w:val="center"/>
          </w:tcPr>
          <w:p w14:paraId="38FE3D5D">
            <w:pPr>
              <w:rPr>
                <w:rFonts w:hint="eastAsia" w:ascii="宋体" w:hAnsi="宋体" w:eastAsia="宋体" w:cs="宋体"/>
                <w:color w:val="auto"/>
                <w:sz w:val="21"/>
                <w:szCs w:val="21"/>
                <w:highlight w:val="none"/>
              </w:rPr>
            </w:pPr>
          </w:p>
        </w:tc>
        <w:tc>
          <w:tcPr>
            <w:tcW w:w="1176" w:type="dxa"/>
            <w:vAlign w:val="center"/>
          </w:tcPr>
          <w:p w14:paraId="048AC4DE">
            <w:pPr>
              <w:rPr>
                <w:rFonts w:hint="eastAsia" w:ascii="宋体" w:hAnsi="宋体" w:eastAsia="宋体" w:cs="宋体"/>
                <w:color w:val="auto"/>
                <w:sz w:val="21"/>
                <w:szCs w:val="21"/>
                <w:highlight w:val="none"/>
              </w:rPr>
            </w:pPr>
          </w:p>
        </w:tc>
      </w:tr>
      <w:tr w14:paraId="45C0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7D25913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80" w:type="dxa"/>
            <w:vAlign w:val="center"/>
          </w:tcPr>
          <w:p w14:paraId="12629B54">
            <w:pPr>
              <w:rPr>
                <w:rFonts w:hint="eastAsia" w:ascii="宋体" w:hAnsi="宋体" w:eastAsia="宋体" w:cs="宋体"/>
                <w:color w:val="auto"/>
                <w:sz w:val="21"/>
                <w:szCs w:val="21"/>
                <w:highlight w:val="none"/>
              </w:rPr>
            </w:pPr>
          </w:p>
        </w:tc>
        <w:tc>
          <w:tcPr>
            <w:tcW w:w="1248" w:type="dxa"/>
            <w:vAlign w:val="center"/>
          </w:tcPr>
          <w:p w14:paraId="278EE304">
            <w:pPr>
              <w:rPr>
                <w:rFonts w:hint="eastAsia" w:ascii="宋体" w:hAnsi="宋体" w:eastAsia="宋体" w:cs="宋体"/>
                <w:color w:val="auto"/>
                <w:sz w:val="21"/>
                <w:szCs w:val="21"/>
                <w:highlight w:val="none"/>
              </w:rPr>
            </w:pPr>
          </w:p>
        </w:tc>
        <w:tc>
          <w:tcPr>
            <w:tcW w:w="1129" w:type="dxa"/>
            <w:vAlign w:val="center"/>
          </w:tcPr>
          <w:p w14:paraId="502FE2B6">
            <w:pPr>
              <w:rPr>
                <w:rFonts w:hint="eastAsia" w:ascii="宋体" w:hAnsi="宋体" w:eastAsia="宋体" w:cs="宋体"/>
                <w:color w:val="auto"/>
                <w:sz w:val="21"/>
                <w:szCs w:val="21"/>
                <w:highlight w:val="none"/>
              </w:rPr>
            </w:pPr>
          </w:p>
        </w:tc>
        <w:tc>
          <w:tcPr>
            <w:tcW w:w="1283" w:type="dxa"/>
            <w:vAlign w:val="center"/>
          </w:tcPr>
          <w:p w14:paraId="44F7BE63">
            <w:pPr>
              <w:rPr>
                <w:rFonts w:hint="eastAsia" w:ascii="宋体" w:hAnsi="宋体" w:eastAsia="宋体" w:cs="宋体"/>
                <w:color w:val="auto"/>
                <w:sz w:val="21"/>
                <w:szCs w:val="21"/>
                <w:highlight w:val="none"/>
              </w:rPr>
            </w:pPr>
          </w:p>
        </w:tc>
        <w:tc>
          <w:tcPr>
            <w:tcW w:w="1368" w:type="dxa"/>
            <w:vAlign w:val="center"/>
          </w:tcPr>
          <w:p w14:paraId="463BDC1B">
            <w:pPr>
              <w:rPr>
                <w:rFonts w:hint="eastAsia" w:ascii="宋体" w:hAnsi="宋体" w:eastAsia="宋体" w:cs="宋体"/>
                <w:color w:val="auto"/>
                <w:sz w:val="21"/>
                <w:szCs w:val="21"/>
                <w:highlight w:val="none"/>
              </w:rPr>
            </w:pPr>
          </w:p>
        </w:tc>
        <w:tc>
          <w:tcPr>
            <w:tcW w:w="960" w:type="dxa"/>
            <w:vAlign w:val="center"/>
          </w:tcPr>
          <w:p w14:paraId="5208210B">
            <w:pPr>
              <w:rPr>
                <w:rFonts w:hint="eastAsia" w:ascii="宋体" w:hAnsi="宋体" w:eastAsia="宋体" w:cs="宋体"/>
                <w:color w:val="auto"/>
                <w:sz w:val="21"/>
                <w:szCs w:val="21"/>
                <w:highlight w:val="none"/>
              </w:rPr>
            </w:pPr>
          </w:p>
        </w:tc>
        <w:tc>
          <w:tcPr>
            <w:tcW w:w="1176" w:type="dxa"/>
            <w:vAlign w:val="center"/>
          </w:tcPr>
          <w:p w14:paraId="7EC41624">
            <w:pPr>
              <w:rPr>
                <w:rFonts w:hint="eastAsia" w:ascii="宋体" w:hAnsi="宋体" w:eastAsia="宋体" w:cs="宋体"/>
                <w:color w:val="auto"/>
                <w:sz w:val="21"/>
                <w:szCs w:val="21"/>
                <w:highlight w:val="none"/>
              </w:rPr>
            </w:pPr>
          </w:p>
        </w:tc>
      </w:tr>
      <w:tr w14:paraId="6F11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1FCCAE3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0" w:type="dxa"/>
            <w:vAlign w:val="center"/>
          </w:tcPr>
          <w:p w14:paraId="1728B663">
            <w:pPr>
              <w:rPr>
                <w:rFonts w:hint="eastAsia" w:ascii="宋体" w:hAnsi="宋体" w:eastAsia="宋体" w:cs="宋体"/>
                <w:color w:val="auto"/>
                <w:sz w:val="21"/>
                <w:szCs w:val="21"/>
                <w:highlight w:val="none"/>
              </w:rPr>
            </w:pPr>
          </w:p>
        </w:tc>
        <w:tc>
          <w:tcPr>
            <w:tcW w:w="1248" w:type="dxa"/>
            <w:vAlign w:val="center"/>
          </w:tcPr>
          <w:p w14:paraId="5B701B38">
            <w:pPr>
              <w:rPr>
                <w:rFonts w:hint="eastAsia" w:ascii="宋体" w:hAnsi="宋体" w:eastAsia="宋体" w:cs="宋体"/>
                <w:color w:val="auto"/>
                <w:sz w:val="21"/>
                <w:szCs w:val="21"/>
                <w:highlight w:val="none"/>
              </w:rPr>
            </w:pPr>
          </w:p>
        </w:tc>
        <w:tc>
          <w:tcPr>
            <w:tcW w:w="1129" w:type="dxa"/>
            <w:vAlign w:val="center"/>
          </w:tcPr>
          <w:p w14:paraId="0BFD5658">
            <w:pPr>
              <w:rPr>
                <w:rFonts w:hint="eastAsia" w:ascii="宋体" w:hAnsi="宋体" w:eastAsia="宋体" w:cs="宋体"/>
                <w:color w:val="auto"/>
                <w:sz w:val="21"/>
                <w:szCs w:val="21"/>
                <w:highlight w:val="none"/>
              </w:rPr>
            </w:pPr>
          </w:p>
        </w:tc>
        <w:tc>
          <w:tcPr>
            <w:tcW w:w="1283" w:type="dxa"/>
            <w:vAlign w:val="center"/>
          </w:tcPr>
          <w:p w14:paraId="56955758">
            <w:pPr>
              <w:rPr>
                <w:rFonts w:hint="eastAsia" w:ascii="宋体" w:hAnsi="宋体" w:eastAsia="宋体" w:cs="宋体"/>
                <w:color w:val="auto"/>
                <w:sz w:val="21"/>
                <w:szCs w:val="21"/>
                <w:highlight w:val="none"/>
              </w:rPr>
            </w:pPr>
          </w:p>
        </w:tc>
        <w:tc>
          <w:tcPr>
            <w:tcW w:w="1368" w:type="dxa"/>
            <w:vAlign w:val="center"/>
          </w:tcPr>
          <w:p w14:paraId="6AF4F252">
            <w:pPr>
              <w:rPr>
                <w:rFonts w:hint="eastAsia" w:ascii="宋体" w:hAnsi="宋体" w:eastAsia="宋体" w:cs="宋体"/>
                <w:color w:val="auto"/>
                <w:sz w:val="21"/>
                <w:szCs w:val="21"/>
                <w:highlight w:val="none"/>
              </w:rPr>
            </w:pPr>
          </w:p>
        </w:tc>
        <w:tc>
          <w:tcPr>
            <w:tcW w:w="960" w:type="dxa"/>
            <w:vAlign w:val="center"/>
          </w:tcPr>
          <w:p w14:paraId="0E461DD3">
            <w:pPr>
              <w:rPr>
                <w:rFonts w:hint="eastAsia" w:ascii="宋体" w:hAnsi="宋体" w:eastAsia="宋体" w:cs="宋体"/>
                <w:color w:val="auto"/>
                <w:sz w:val="21"/>
                <w:szCs w:val="21"/>
                <w:highlight w:val="none"/>
              </w:rPr>
            </w:pPr>
          </w:p>
        </w:tc>
        <w:tc>
          <w:tcPr>
            <w:tcW w:w="1176" w:type="dxa"/>
            <w:vAlign w:val="center"/>
          </w:tcPr>
          <w:p w14:paraId="5804A0BF">
            <w:pPr>
              <w:rPr>
                <w:rFonts w:hint="eastAsia" w:ascii="宋体" w:hAnsi="宋体" w:eastAsia="宋体" w:cs="宋体"/>
                <w:color w:val="auto"/>
                <w:sz w:val="21"/>
                <w:szCs w:val="21"/>
                <w:highlight w:val="none"/>
              </w:rPr>
            </w:pPr>
          </w:p>
        </w:tc>
      </w:tr>
      <w:tr w14:paraId="6822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44" w:type="dxa"/>
            <w:vAlign w:val="center"/>
          </w:tcPr>
          <w:p w14:paraId="5EB02E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vAlign w:val="center"/>
          </w:tcPr>
          <w:p w14:paraId="30E7C832">
            <w:pPr>
              <w:rPr>
                <w:rFonts w:hint="eastAsia" w:ascii="宋体" w:hAnsi="宋体" w:eastAsia="宋体" w:cs="宋体"/>
                <w:color w:val="auto"/>
                <w:sz w:val="21"/>
                <w:szCs w:val="21"/>
                <w:highlight w:val="none"/>
              </w:rPr>
            </w:pPr>
          </w:p>
        </w:tc>
        <w:tc>
          <w:tcPr>
            <w:tcW w:w="1248" w:type="dxa"/>
            <w:vAlign w:val="center"/>
          </w:tcPr>
          <w:p w14:paraId="147B2F98">
            <w:pPr>
              <w:rPr>
                <w:rFonts w:hint="eastAsia" w:ascii="宋体" w:hAnsi="宋体" w:eastAsia="宋体" w:cs="宋体"/>
                <w:color w:val="auto"/>
                <w:sz w:val="21"/>
                <w:szCs w:val="21"/>
                <w:highlight w:val="none"/>
              </w:rPr>
            </w:pPr>
          </w:p>
        </w:tc>
        <w:tc>
          <w:tcPr>
            <w:tcW w:w="1129" w:type="dxa"/>
            <w:vAlign w:val="center"/>
          </w:tcPr>
          <w:p w14:paraId="61B0E0D4">
            <w:pPr>
              <w:rPr>
                <w:rFonts w:hint="eastAsia" w:ascii="宋体" w:hAnsi="宋体" w:eastAsia="宋体" w:cs="宋体"/>
                <w:color w:val="auto"/>
                <w:sz w:val="21"/>
                <w:szCs w:val="21"/>
                <w:highlight w:val="none"/>
              </w:rPr>
            </w:pPr>
          </w:p>
        </w:tc>
        <w:tc>
          <w:tcPr>
            <w:tcW w:w="1283" w:type="dxa"/>
            <w:vAlign w:val="center"/>
          </w:tcPr>
          <w:p w14:paraId="6B918799">
            <w:pPr>
              <w:rPr>
                <w:rFonts w:hint="eastAsia" w:ascii="宋体" w:hAnsi="宋体" w:eastAsia="宋体" w:cs="宋体"/>
                <w:color w:val="auto"/>
                <w:sz w:val="21"/>
                <w:szCs w:val="21"/>
                <w:highlight w:val="none"/>
              </w:rPr>
            </w:pPr>
          </w:p>
        </w:tc>
        <w:tc>
          <w:tcPr>
            <w:tcW w:w="1368" w:type="dxa"/>
            <w:vAlign w:val="center"/>
          </w:tcPr>
          <w:p w14:paraId="1BCEEA1A">
            <w:pPr>
              <w:rPr>
                <w:rFonts w:hint="eastAsia" w:ascii="宋体" w:hAnsi="宋体" w:eastAsia="宋体" w:cs="宋体"/>
                <w:color w:val="auto"/>
                <w:sz w:val="21"/>
                <w:szCs w:val="21"/>
                <w:highlight w:val="none"/>
              </w:rPr>
            </w:pPr>
          </w:p>
        </w:tc>
        <w:tc>
          <w:tcPr>
            <w:tcW w:w="960" w:type="dxa"/>
            <w:vAlign w:val="center"/>
          </w:tcPr>
          <w:p w14:paraId="4A3F6BEC">
            <w:pPr>
              <w:rPr>
                <w:rFonts w:hint="eastAsia" w:ascii="宋体" w:hAnsi="宋体" w:eastAsia="宋体" w:cs="宋体"/>
                <w:color w:val="auto"/>
                <w:sz w:val="21"/>
                <w:szCs w:val="21"/>
                <w:highlight w:val="none"/>
              </w:rPr>
            </w:pPr>
          </w:p>
        </w:tc>
        <w:tc>
          <w:tcPr>
            <w:tcW w:w="1176" w:type="dxa"/>
            <w:vAlign w:val="center"/>
          </w:tcPr>
          <w:p w14:paraId="459FE74C">
            <w:pPr>
              <w:rPr>
                <w:rFonts w:hint="eastAsia" w:ascii="宋体" w:hAnsi="宋体" w:eastAsia="宋体" w:cs="宋体"/>
                <w:color w:val="auto"/>
                <w:sz w:val="21"/>
                <w:szCs w:val="21"/>
                <w:highlight w:val="none"/>
              </w:rPr>
            </w:pPr>
          </w:p>
        </w:tc>
      </w:tr>
      <w:bookmarkEnd w:id="815"/>
    </w:tbl>
    <w:p w14:paraId="0D2F5038">
      <w:pPr>
        <w:rPr>
          <w:rFonts w:hint="eastAsia" w:cs="仿宋_GB2312"/>
          <w:color w:val="auto"/>
          <w:szCs w:val="24"/>
          <w:highlight w:val="none"/>
        </w:rPr>
      </w:pPr>
    </w:p>
    <w:p w14:paraId="088168D4">
      <w:pPr>
        <w:rPr>
          <w:rFonts w:cs="仿宋_GB2312"/>
          <w:color w:val="auto"/>
          <w:sz w:val="21"/>
          <w:szCs w:val="21"/>
          <w:highlight w:val="none"/>
        </w:rPr>
      </w:pPr>
      <w:r>
        <w:rPr>
          <w:rFonts w:hint="eastAsia" w:cs="仿宋_GB2312"/>
          <w:color w:val="auto"/>
          <w:sz w:val="21"/>
          <w:szCs w:val="21"/>
          <w:highlight w:val="none"/>
        </w:rPr>
        <w:t>注：投标人须按</w:t>
      </w:r>
      <w:r>
        <w:rPr>
          <w:rFonts w:hint="eastAsia" w:cs="仿宋_GB2312"/>
          <w:color w:val="auto"/>
          <w:sz w:val="21"/>
          <w:szCs w:val="21"/>
          <w:highlight w:val="none"/>
          <w:lang w:val="en-US" w:eastAsia="zh-CN"/>
        </w:rPr>
        <w:t>相关要求</w:t>
      </w:r>
      <w:r>
        <w:rPr>
          <w:rFonts w:hint="eastAsia" w:cs="仿宋_GB2312"/>
          <w:color w:val="auto"/>
          <w:sz w:val="21"/>
          <w:szCs w:val="21"/>
          <w:highlight w:val="none"/>
        </w:rPr>
        <w:t>提供相应的</w:t>
      </w:r>
      <w:r>
        <w:rPr>
          <w:rFonts w:hint="eastAsia" w:cs="仿宋_GB2312"/>
          <w:color w:val="auto"/>
          <w:sz w:val="21"/>
          <w:szCs w:val="21"/>
          <w:highlight w:val="none"/>
          <w:lang w:val="en-US" w:eastAsia="zh-CN"/>
        </w:rPr>
        <w:t>中标（成交）通知书、采购合同等</w:t>
      </w:r>
      <w:r>
        <w:rPr>
          <w:rFonts w:hint="eastAsia" w:cs="仿宋_GB2312"/>
          <w:color w:val="auto"/>
          <w:sz w:val="21"/>
          <w:szCs w:val="21"/>
          <w:highlight w:val="none"/>
        </w:rPr>
        <w:t>业绩证明资料。</w:t>
      </w:r>
    </w:p>
    <w:p w14:paraId="57D75AD1">
      <w:pPr>
        <w:rPr>
          <w:rFonts w:cs="仿宋_GB2312"/>
          <w:color w:val="auto"/>
          <w:szCs w:val="24"/>
          <w:highlight w:val="none"/>
        </w:rPr>
      </w:pPr>
    </w:p>
    <w:p w14:paraId="5DB99613">
      <w:pPr>
        <w:widowControl/>
        <w:spacing w:before="100" w:beforeAutospacing="1" w:after="100" w:afterAutospacing="1"/>
        <w:rPr>
          <w:rFonts w:cs="Arial"/>
          <w:color w:val="auto"/>
          <w:szCs w:val="21"/>
          <w:highlight w:val="none"/>
        </w:rPr>
      </w:pPr>
    </w:p>
    <w:p w14:paraId="68FCBA1E">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r>
        <w:rPr>
          <w:rFonts w:cs="仿宋_GB2312"/>
          <w:color w:val="auto"/>
          <w:szCs w:val="24"/>
          <w:highlight w:val="none"/>
        </w:rPr>
        <w:t xml:space="preserve"> </w:t>
      </w:r>
    </w:p>
    <w:p w14:paraId="360811C8">
      <w:pPr>
        <w:ind w:firstLine="420"/>
        <w:rPr>
          <w:rFonts w:cs="仿宋_GB2312"/>
          <w:color w:val="auto"/>
          <w:szCs w:val="24"/>
          <w:highlight w:val="none"/>
        </w:rPr>
      </w:pPr>
      <w:r>
        <w:rPr>
          <w:rFonts w:hint="eastAsia" w:cs="仿宋_GB2312"/>
          <w:color w:val="auto"/>
          <w:szCs w:val="24"/>
          <w:highlight w:val="none"/>
        </w:rPr>
        <w:t>日      期：</w:t>
      </w:r>
    </w:p>
    <w:p w14:paraId="095105C8">
      <w:pPr>
        <w:ind w:firstLine="420"/>
        <w:rPr>
          <w:rFonts w:cs="仿宋_GB2312"/>
          <w:color w:val="auto"/>
          <w:szCs w:val="24"/>
          <w:highlight w:val="none"/>
        </w:rPr>
      </w:pPr>
      <w:r>
        <w:rPr>
          <w:rFonts w:cs="仿宋_GB2312"/>
          <w:color w:val="auto"/>
          <w:szCs w:val="24"/>
          <w:highlight w:val="none"/>
        </w:rPr>
        <w:br w:type="page"/>
      </w:r>
    </w:p>
    <w:p w14:paraId="4E924C81">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16" w:name="_Toc13134"/>
      <w:r>
        <w:rPr>
          <w:rFonts w:hint="eastAsia" w:cstheme="majorBidi"/>
          <w:b/>
          <w:bCs/>
          <w:color w:val="auto"/>
          <w:kern w:val="2"/>
          <w:sz w:val="32"/>
          <w:szCs w:val="32"/>
          <w:highlight w:val="none"/>
          <w:lang w:val="en-US" w:eastAsia="zh-CN" w:bidi="ar-SA"/>
        </w:rPr>
        <w:t>十四</w:t>
      </w:r>
      <w:r>
        <w:rPr>
          <w:rFonts w:hint="eastAsia" w:eastAsia="宋体" w:asciiTheme="majorHAnsi" w:hAnsiTheme="majorHAnsi" w:cstheme="majorBidi"/>
          <w:b/>
          <w:bCs/>
          <w:color w:val="auto"/>
          <w:kern w:val="2"/>
          <w:sz w:val="32"/>
          <w:szCs w:val="32"/>
          <w:highlight w:val="none"/>
          <w:lang w:val="en-US" w:eastAsia="zh-CN" w:bidi="ar-SA"/>
        </w:rPr>
        <w:t>、拟派项目团队</w:t>
      </w:r>
      <w:bookmarkEnd w:id="816"/>
    </w:p>
    <w:tbl>
      <w:tblPr>
        <w:tblStyle w:val="33"/>
        <w:tblW w:w="9252"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267"/>
        <w:gridCol w:w="1296"/>
        <w:gridCol w:w="1080"/>
        <w:gridCol w:w="804"/>
        <w:gridCol w:w="1860"/>
        <w:gridCol w:w="1356"/>
        <w:gridCol w:w="816"/>
      </w:tblGrid>
      <w:tr w14:paraId="377C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6B0F7825">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7" w:type="dxa"/>
            <w:vAlign w:val="center"/>
          </w:tcPr>
          <w:p w14:paraId="1096055A">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团队成员</w:t>
            </w:r>
          </w:p>
          <w:p w14:paraId="09FA2F86">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96" w:type="dxa"/>
            <w:tcBorders>
              <w:right w:val="single" w:color="auto" w:sz="4" w:space="0"/>
            </w:tcBorders>
            <w:vAlign w:val="center"/>
          </w:tcPr>
          <w:p w14:paraId="4D802FFD">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1080" w:type="dxa"/>
            <w:tcBorders>
              <w:left w:val="single" w:color="auto" w:sz="4" w:space="0"/>
            </w:tcBorders>
            <w:vAlign w:val="center"/>
          </w:tcPr>
          <w:p w14:paraId="3116E3D2">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p>
        </w:tc>
        <w:tc>
          <w:tcPr>
            <w:tcW w:w="804" w:type="dxa"/>
            <w:tcBorders>
              <w:left w:val="single" w:color="auto" w:sz="4" w:space="0"/>
            </w:tcBorders>
            <w:vAlign w:val="center"/>
          </w:tcPr>
          <w:p w14:paraId="1115941F">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860" w:type="dxa"/>
            <w:vAlign w:val="center"/>
          </w:tcPr>
          <w:p w14:paraId="0940B260">
            <w:pPr>
              <w:pStyle w:val="5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注册证书（岗位证书）名称及编号</w:t>
            </w:r>
          </w:p>
        </w:tc>
        <w:tc>
          <w:tcPr>
            <w:tcW w:w="1356" w:type="dxa"/>
            <w:vAlign w:val="center"/>
          </w:tcPr>
          <w:p w14:paraId="422D7D9F">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在团队中职务（岗位）</w:t>
            </w:r>
          </w:p>
        </w:tc>
        <w:tc>
          <w:tcPr>
            <w:tcW w:w="816" w:type="dxa"/>
            <w:vAlign w:val="center"/>
          </w:tcPr>
          <w:p w14:paraId="79229F16">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自有/外聘</w:t>
            </w:r>
          </w:p>
        </w:tc>
      </w:tr>
      <w:tr w14:paraId="34A62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39BDB40">
            <w:pPr>
              <w:pStyle w:val="52"/>
              <w:jc w:val="center"/>
              <w:rPr>
                <w:rFonts w:hint="eastAsia" w:ascii="宋体" w:hAnsi="宋体" w:eastAsia="宋体" w:cs="宋体"/>
                <w:color w:val="auto"/>
                <w:sz w:val="21"/>
                <w:szCs w:val="21"/>
                <w:highlight w:val="none"/>
              </w:rPr>
            </w:pPr>
            <w:bookmarkStart w:id="817" w:name="_Toc99533292"/>
            <w:bookmarkStart w:id="818" w:name="_Toc100090784"/>
            <w:r>
              <w:rPr>
                <w:rFonts w:hint="eastAsia" w:ascii="宋体" w:hAnsi="宋体" w:eastAsia="宋体" w:cs="宋体"/>
                <w:color w:val="auto"/>
                <w:sz w:val="21"/>
                <w:szCs w:val="21"/>
                <w:highlight w:val="none"/>
              </w:rPr>
              <w:t>1</w:t>
            </w:r>
            <w:bookmarkEnd w:id="817"/>
            <w:bookmarkEnd w:id="818"/>
          </w:p>
        </w:tc>
        <w:tc>
          <w:tcPr>
            <w:tcW w:w="1267" w:type="dxa"/>
            <w:vAlign w:val="center"/>
          </w:tcPr>
          <w:p w14:paraId="04D72608">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735158">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EF6F977">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3483447B">
            <w:pPr>
              <w:pStyle w:val="52"/>
              <w:jc w:val="center"/>
              <w:rPr>
                <w:rFonts w:hint="eastAsia" w:ascii="宋体" w:hAnsi="宋体" w:eastAsia="宋体" w:cs="宋体"/>
                <w:color w:val="auto"/>
                <w:sz w:val="21"/>
                <w:szCs w:val="21"/>
                <w:highlight w:val="none"/>
              </w:rPr>
            </w:pPr>
          </w:p>
        </w:tc>
        <w:tc>
          <w:tcPr>
            <w:tcW w:w="1860" w:type="dxa"/>
            <w:vAlign w:val="center"/>
          </w:tcPr>
          <w:p w14:paraId="7F355EC3">
            <w:pPr>
              <w:pStyle w:val="52"/>
              <w:jc w:val="center"/>
              <w:rPr>
                <w:rFonts w:hint="eastAsia" w:ascii="宋体" w:hAnsi="宋体" w:eastAsia="宋体" w:cs="宋体"/>
                <w:color w:val="auto"/>
                <w:sz w:val="21"/>
                <w:szCs w:val="21"/>
                <w:highlight w:val="none"/>
              </w:rPr>
            </w:pPr>
          </w:p>
        </w:tc>
        <w:tc>
          <w:tcPr>
            <w:tcW w:w="1356" w:type="dxa"/>
            <w:vAlign w:val="center"/>
          </w:tcPr>
          <w:p w14:paraId="11476DCE">
            <w:pPr>
              <w:pStyle w:val="52"/>
              <w:jc w:val="center"/>
              <w:rPr>
                <w:rFonts w:hint="eastAsia" w:ascii="宋体" w:hAnsi="宋体" w:eastAsia="宋体" w:cs="宋体"/>
                <w:color w:val="auto"/>
                <w:sz w:val="21"/>
                <w:szCs w:val="21"/>
                <w:highlight w:val="none"/>
              </w:rPr>
            </w:pPr>
          </w:p>
        </w:tc>
        <w:tc>
          <w:tcPr>
            <w:tcW w:w="816" w:type="dxa"/>
            <w:vAlign w:val="center"/>
          </w:tcPr>
          <w:p w14:paraId="30F5864D">
            <w:pPr>
              <w:pStyle w:val="52"/>
              <w:jc w:val="center"/>
              <w:rPr>
                <w:rFonts w:hint="eastAsia" w:ascii="宋体" w:hAnsi="宋体" w:eastAsia="宋体" w:cs="宋体"/>
                <w:color w:val="auto"/>
                <w:sz w:val="21"/>
                <w:szCs w:val="21"/>
                <w:highlight w:val="none"/>
              </w:rPr>
            </w:pPr>
          </w:p>
        </w:tc>
      </w:tr>
      <w:tr w14:paraId="19E4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7F12C5C">
            <w:pPr>
              <w:pStyle w:val="52"/>
              <w:jc w:val="center"/>
              <w:rPr>
                <w:rFonts w:hint="eastAsia" w:ascii="宋体" w:hAnsi="宋体" w:eastAsia="宋体" w:cs="宋体"/>
                <w:color w:val="auto"/>
                <w:sz w:val="21"/>
                <w:szCs w:val="21"/>
                <w:highlight w:val="none"/>
              </w:rPr>
            </w:pPr>
            <w:bookmarkStart w:id="819" w:name="_Toc100090785"/>
            <w:bookmarkStart w:id="820" w:name="_Toc99533293"/>
            <w:r>
              <w:rPr>
                <w:rFonts w:hint="eastAsia" w:ascii="宋体" w:hAnsi="宋体" w:eastAsia="宋体" w:cs="宋体"/>
                <w:color w:val="auto"/>
                <w:sz w:val="21"/>
                <w:szCs w:val="21"/>
                <w:highlight w:val="none"/>
              </w:rPr>
              <w:t>2</w:t>
            </w:r>
            <w:bookmarkEnd w:id="819"/>
            <w:bookmarkEnd w:id="820"/>
          </w:p>
        </w:tc>
        <w:tc>
          <w:tcPr>
            <w:tcW w:w="1267" w:type="dxa"/>
            <w:vAlign w:val="center"/>
          </w:tcPr>
          <w:p w14:paraId="3AE14FF6">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06FFE829">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A33E450">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76ECD82">
            <w:pPr>
              <w:pStyle w:val="52"/>
              <w:jc w:val="center"/>
              <w:rPr>
                <w:rFonts w:hint="eastAsia" w:ascii="宋体" w:hAnsi="宋体" w:eastAsia="宋体" w:cs="宋体"/>
                <w:color w:val="auto"/>
                <w:sz w:val="21"/>
                <w:szCs w:val="21"/>
                <w:highlight w:val="none"/>
              </w:rPr>
            </w:pPr>
          </w:p>
        </w:tc>
        <w:tc>
          <w:tcPr>
            <w:tcW w:w="1860" w:type="dxa"/>
            <w:vAlign w:val="center"/>
          </w:tcPr>
          <w:p w14:paraId="390E678F">
            <w:pPr>
              <w:pStyle w:val="52"/>
              <w:jc w:val="center"/>
              <w:rPr>
                <w:rFonts w:hint="eastAsia" w:ascii="宋体" w:hAnsi="宋体" w:eastAsia="宋体" w:cs="宋体"/>
                <w:color w:val="auto"/>
                <w:sz w:val="21"/>
                <w:szCs w:val="21"/>
                <w:highlight w:val="none"/>
              </w:rPr>
            </w:pPr>
          </w:p>
        </w:tc>
        <w:tc>
          <w:tcPr>
            <w:tcW w:w="1356" w:type="dxa"/>
            <w:vAlign w:val="center"/>
          </w:tcPr>
          <w:p w14:paraId="44B4146B">
            <w:pPr>
              <w:pStyle w:val="52"/>
              <w:jc w:val="center"/>
              <w:rPr>
                <w:rFonts w:hint="eastAsia" w:ascii="宋体" w:hAnsi="宋体" w:eastAsia="宋体" w:cs="宋体"/>
                <w:color w:val="auto"/>
                <w:sz w:val="21"/>
                <w:szCs w:val="21"/>
                <w:highlight w:val="none"/>
              </w:rPr>
            </w:pPr>
          </w:p>
        </w:tc>
        <w:tc>
          <w:tcPr>
            <w:tcW w:w="816" w:type="dxa"/>
            <w:vAlign w:val="center"/>
          </w:tcPr>
          <w:p w14:paraId="3D8C0BFB">
            <w:pPr>
              <w:pStyle w:val="52"/>
              <w:jc w:val="center"/>
              <w:rPr>
                <w:rFonts w:hint="eastAsia" w:ascii="宋体" w:hAnsi="宋体" w:eastAsia="宋体" w:cs="宋体"/>
                <w:color w:val="auto"/>
                <w:sz w:val="21"/>
                <w:szCs w:val="21"/>
                <w:highlight w:val="none"/>
              </w:rPr>
            </w:pPr>
          </w:p>
        </w:tc>
      </w:tr>
      <w:tr w14:paraId="5F5E2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824241E">
            <w:pPr>
              <w:pStyle w:val="52"/>
              <w:jc w:val="center"/>
              <w:rPr>
                <w:rFonts w:hint="eastAsia" w:ascii="宋体" w:hAnsi="宋体" w:eastAsia="宋体" w:cs="宋体"/>
                <w:color w:val="auto"/>
                <w:sz w:val="21"/>
                <w:szCs w:val="21"/>
                <w:highlight w:val="none"/>
              </w:rPr>
            </w:pPr>
            <w:bookmarkStart w:id="821" w:name="_Toc99533294"/>
            <w:bookmarkStart w:id="822" w:name="_Toc100090786"/>
            <w:r>
              <w:rPr>
                <w:rFonts w:hint="eastAsia" w:ascii="宋体" w:hAnsi="宋体" w:eastAsia="宋体" w:cs="宋体"/>
                <w:color w:val="auto"/>
                <w:sz w:val="21"/>
                <w:szCs w:val="21"/>
                <w:highlight w:val="none"/>
              </w:rPr>
              <w:t>3</w:t>
            </w:r>
            <w:bookmarkEnd w:id="821"/>
            <w:bookmarkEnd w:id="822"/>
          </w:p>
        </w:tc>
        <w:tc>
          <w:tcPr>
            <w:tcW w:w="1267" w:type="dxa"/>
            <w:vAlign w:val="center"/>
          </w:tcPr>
          <w:p w14:paraId="19C12411">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E33B914">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70C10384">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57B47D5">
            <w:pPr>
              <w:pStyle w:val="52"/>
              <w:jc w:val="center"/>
              <w:rPr>
                <w:rFonts w:hint="eastAsia" w:ascii="宋体" w:hAnsi="宋体" w:eastAsia="宋体" w:cs="宋体"/>
                <w:color w:val="auto"/>
                <w:sz w:val="21"/>
                <w:szCs w:val="21"/>
                <w:highlight w:val="none"/>
              </w:rPr>
            </w:pPr>
          </w:p>
        </w:tc>
        <w:tc>
          <w:tcPr>
            <w:tcW w:w="1860" w:type="dxa"/>
            <w:vAlign w:val="center"/>
          </w:tcPr>
          <w:p w14:paraId="3F31D2CD">
            <w:pPr>
              <w:pStyle w:val="52"/>
              <w:jc w:val="center"/>
              <w:rPr>
                <w:rFonts w:hint="eastAsia" w:ascii="宋体" w:hAnsi="宋体" w:eastAsia="宋体" w:cs="宋体"/>
                <w:color w:val="auto"/>
                <w:sz w:val="21"/>
                <w:szCs w:val="21"/>
                <w:highlight w:val="none"/>
              </w:rPr>
            </w:pPr>
          </w:p>
        </w:tc>
        <w:tc>
          <w:tcPr>
            <w:tcW w:w="1356" w:type="dxa"/>
            <w:vAlign w:val="center"/>
          </w:tcPr>
          <w:p w14:paraId="3A9D9DD7">
            <w:pPr>
              <w:pStyle w:val="52"/>
              <w:jc w:val="center"/>
              <w:rPr>
                <w:rFonts w:hint="eastAsia" w:ascii="宋体" w:hAnsi="宋体" w:eastAsia="宋体" w:cs="宋体"/>
                <w:color w:val="auto"/>
                <w:sz w:val="21"/>
                <w:szCs w:val="21"/>
                <w:highlight w:val="none"/>
              </w:rPr>
            </w:pPr>
          </w:p>
        </w:tc>
        <w:tc>
          <w:tcPr>
            <w:tcW w:w="816" w:type="dxa"/>
            <w:vAlign w:val="center"/>
          </w:tcPr>
          <w:p w14:paraId="0ED9D4FB">
            <w:pPr>
              <w:pStyle w:val="52"/>
              <w:jc w:val="center"/>
              <w:rPr>
                <w:rFonts w:hint="eastAsia" w:ascii="宋体" w:hAnsi="宋体" w:eastAsia="宋体" w:cs="宋体"/>
                <w:color w:val="auto"/>
                <w:sz w:val="21"/>
                <w:szCs w:val="21"/>
                <w:highlight w:val="none"/>
              </w:rPr>
            </w:pPr>
          </w:p>
        </w:tc>
      </w:tr>
      <w:tr w14:paraId="72391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29A399B">
            <w:pPr>
              <w:pStyle w:val="52"/>
              <w:jc w:val="center"/>
              <w:rPr>
                <w:rFonts w:hint="eastAsia" w:ascii="宋体" w:hAnsi="宋体" w:eastAsia="宋体" w:cs="宋体"/>
                <w:color w:val="auto"/>
                <w:sz w:val="21"/>
                <w:szCs w:val="21"/>
                <w:highlight w:val="none"/>
              </w:rPr>
            </w:pPr>
            <w:bookmarkStart w:id="823" w:name="_Toc100090787"/>
            <w:bookmarkStart w:id="824" w:name="_Toc99533295"/>
            <w:r>
              <w:rPr>
                <w:rFonts w:hint="eastAsia" w:ascii="宋体" w:hAnsi="宋体" w:eastAsia="宋体" w:cs="宋体"/>
                <w:color w:val="auto"/>
                <w:sz w:val="21"/>
                <w:szCs w:val="21"/>
                <w:highlight w:val="none"/>
              </w:rPr>
              <w:t>4</w:t>
            </w:r>
            <w:bookmarkEnd w:id="823"/>
            <w:bookmarkEnd w:id="824"/>
          </w:p>
        </w:tc>
        <w:tc>
          <w:tcPr>
            <w:tcW w:w="1267" w:type="dxa"/>
            <w:vAlign w:val="center"/>
          </w:tcPr>
          <w:p w14:paraId="42DE0F63">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CA0809C">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D63F4E6">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96384D0">
            <w:pPr>
              <w:pStyle w:val="52"/>
              <w:jc w:val="center"/>
              <w:rPr>
                <w:rFonts w:hint="eastAsia" w:ascii="宋体" w:hAnsi="宋体" w:eastAsia="宋体" w:cs="宋体"/>
                <w:color w:val="auto"/>
                <w:sz w:val="21"/>
                <w:szCs w:val="21"/>
                <w:highlight w:val="none"/>
              </w:rPr>
            </w:pPr>
          </w:p>
        </w:tc>
        <w:tc>
          <w:tcPr>
            <w:tcW w:w="1860" w:type="dxa"/>
            <w:vAlign w:val="center"/>
          </w:tcPr>
          <w:p w14:paraId="068007BF">
            <w:pPr>
              <w:pStyle w:val="52"/>
              <w:jc w:val="center"/>
              <w:rPr>
                <w:rFonts w:hint="eastAsia" w:ascii="宋体" w:hAnsi="宋体" w:eastAsia="宋体" w:cs="宋体"/>
                <w:color w:val="auto"/>
                <w:sz w:val="21"/>
                <w:szCs w:val="21"/>
                <w:highlight w:val="none"/>
              </w:rPr>
            </w:pPr>
          </w:p>
        </w:tc>
        <w:tc>
          <w:tcPr>
            <w:tcW w:w="1356" w:type="dxa"/>
            <w:vAlign w:val="center"/>
          </w:tcPr>
          <w:p w14:paraId="5A94DC72">
            <w:pPr>
              <w:pStyle w:val="52"/>
              <w:jc w:val="center"/>
              <w:rPr>
                <w:rFonts w:hint="eastAsia" w:ascii="宋体" w:hAnsi="宋体" w:eastAsia="宋体" w:cs="宋体"/>
                <w:color w:val="auto"/>
                <w:sz w:val="21"/>
                <w:szCs w:val="21"/>
                <w:highlight w:val="none"/>
              </w:rPr>
            </w:pPr>
          </w:p>
        </w:tc>
        <w:tc>
          <w:tcPr>
            <w:tcW w:w="816" w:type="dxa"/>
            <w:vAlign w:val="center"/>
          </w:tcPr>
          <w:p w14:paraId="01F1E6DB">
            <w:pPr>
              <w:pStyle w:val="52"/>
              <w:jc w:val="center"/>
              <w:rPr>
                <w:rFonts w:hint="eastAsia" w:ascii="宋体" w:hAnsi="宋体" w:eastAsia="宋体" w:cs="宋体"/>
                <w:color w:val="auto"/>
                <w:sz w:val="21"/>
                <w:szCs w:val="21"/>
                <w:highlight w:val="none"/>
              </w:rPr>
            </w:pPr>
          </w:p>
        </w:tc>
      </w:tr>
      <w:tr w14:paraId="67CF6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1FE3797">
            <w:pPr>
              <w:pStyle w:val="52"/>
              <w:jc w:val="center"/>
              <w:rPr>
                <w:rFonts w:hint="eastAsia" w:ascii="宋体" w:hAnsi="宋体" w:eastAsia="宋体" w:cs="宋体"/>
                <w:color w:val="auto"/>
                <w:sz w:val="21"/>
                <w:szCs w:val="21"/>
                <w:highlight w:val="none"/>
              </w:rPr>
            </w:pPr>
            <w:bookmarkStart w:id="825" w:name="_Toc100090788"/>
            <w:bookmarkStart w:id="826" w:name="_Toc99533296"/>
            <w:r>
              <w:rPr>
                <w:rFonts w:hint="eastAsia" w:ascii="宋体" w:hAnsi="宋体" w:eastAsia="宋体" w:cs="宋体"/>
                <w:color w:val="auto"/>
                <w:sz w:val="21"/>
                <w:szCs w:val="21"/>
                <w:highlight w:val="none"/>
              </w:rPr>
              <w:t>5</w:t>
            </w:r>
            <w:bookmarkEnd w:id="825"/>
            <w:bookmarkEnd w:id="826"/>
          </w:p>
        </w:tc>
        <w:tc>
          <w:tcPr>
            <w:tcW w:w="1267" w:type="dxa"/>
            <w:vAlign w:val="center"/>
          </w:tcPr>
          <w:p w14:paraId="3241008C">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999E45B">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4009478">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75153765">
            <w:pPr>
              <w:pStyle w:val="52"/>
              <w:jc w:val="center"/>
              <w:rPr>
                <w:rFonts w:hint="eastAsia" w:ascii="宋体" w:hAnsi="宋体" w:eastAsia="宋体" w:cs="宋体"/>
                <w:color w:val="auto"/>
                <w:sz w:val="21"/>
                <w:szCs w:val="21"/>
                <w:highlight w:val="none"/>
              </w:rPr>
            </w:pPr>
          </w:p>
        </w:tc>
        <w:tc>
          <w:tcPr>
            <w:tcW w:w="1860" w:type="dxa"/>
            <w:vAlign w:val="center"/>
          </w:tcPr>
          <w:p w14:paraId="12AB49C0">
            <w:pPr>
              <w:pStyle w:val="52"/>
              <w:jc w:val="center"/>
              <w:rPr>
                <w:rFonts w:hint="eastAsia" w:ascii="宋体" w:hAnsi="宋体" w:eastAsia="宋体" w:cs="宋体"/>
                <w:color w:val="auto"/>
                <w:sz w:val="21"/>
                <w:szCs w:val="21"/>
                <w:highlight w:val="none"/>
              </w:rPr>
            </w:pPr>
          </w:p>
        </w:tc>
        <w:tc>
          <w:tcPr>
            <w:tcW w:w="1356" w:type="dxa"/>
            <w:vAlign w:val="center"/>
          </w:tcPr>
          <w:p w14:paraId="1659A511">
            <w:pPr>
              <w:pStyle w:val="52"/>
              <w:jc w:val="center"/>
              <w:rPr>
                <w:rFonts w:hint="eastAsia" w:ascii="宋体" w:hAnsi="宋体" w:eastAsia="宋体" w:cs="宋体"/>
                <w:color w:val="auto"/>
                <w:sz w:val="21"/>
                <w:szCs w:val="21"/>
                <w:highlight w:val="none"/>
              </w:rPr>
            </w:pPr>
          </w:p>
        </w:tc>
        <w:tc>
          <w:tcPr>
            <w:tcW w:w="816" w:type="dxa"/>
            <w:vAlign w:val="center"/>
          </w:tcPr>
          <w:p w14:paraId="5FBE7410">
            <w:pPr>
              <w:pStyle w:val="52"/>
              <w:jc w:val="center"/>
              <w:rPr>
                <w:rFonts w:hint="eastAsia" w:ascii="宋体" w:hAnsi="宋体" w:eastAsia="宋体" w:cs="宋体"/>
                <w:color w:val="auto"/>
                <w:sz w:val="21"/>
                <w:szCs w:val="21"/>
                <w:highlight w:val="none"/>
              </w:rPr>
            </w:pPr>
          </w:p>
        </w:tc>
      </w:tr>
      <w:tr w14:paraId="053F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7DED61F">
            <w:pPr>
              <w:pStyle w:val="52"/>
              <w:jc w:val="center"/>
              <w:rPr>
                <w:rFonts w:hint="eastAsia" w:ascii="宋体" w:hAnsi="宋体" w:eastAsia="宋体" w:cs="宋体"/>
                <w:color w:val="auto"/>
                <w:sz w:val="21"/>
                <w:szCs w:val="21"/>
                <w:highlight w:val="none"/>
              </w:rPr>
            </w:pPr>
            <w:bookmarkStart w:id="827" w:name="_Toc100090789"/>
            <w:bookmarkStart w:id="828" w:name="_Toc99533297"/>
            <w:r>
              <w:rPr>
                <w:rFonts w:hint="eastAsia" w:ascii="宋体" w:hAnsi="宋体" w:eastAsia="宋体" w:cs="宋体"/>
                <w:color w:val="auto"/>
                <w:sz w:val="21"/>
                <w:szCs w:val="21"/>
                <w:highlight w:val="none"/>
              </w:rPr>
              <w:t>6</w:t>
            </w:r>
            <w:bookmarkEnd w:id="827"/>
            <w:bookmarkEnd w:id="828"/>
          </w:p>
        </w:tc>
        <w:tc>
          <w:tcPr>
            <w:tcW w:w="1267" w:type="dxa"/>
            <w:vAlign w:val="center"/>
          </w:tcPr>
          <w:p w14:paraId="40527E11">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6947C68">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666B8AD">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5256EB9">
            <w:pPr>
              <w:pStyle w:val="52"/>
              <w:jc w:val="center"/>
              <w:rPr>
                <w:rFonts w:hint="eastAsia" w:ascii="宋体" w:hAnsi="宋体" w:eastAsia="宋体" w:cs="宋体"/>
                <w:color w:val="auto"/>
                <w:sz w:val="21"/>
                <w:szCs w:val="21"/>
                <w:highlight w:val="none"/>
              </w:rPr>
            </w:pPr>
          </w:p>
        </w:tc>
        <w:tc>
          <w:tcPr>
            <w:tcW w:w="1860" w:type="dxa"/>
            <w:vAlign w:val="center"/>
          </w:tcPr>
          <w:p w14:paraId="51ADEB68">
            <w:pPr>
              <w:pStyle w:val="52"/>
              <w:jc w:val="center"/>
              <w:rPr>
                <w:rFonts w:hint="eastAsia" w:ascii="宋体" w:hAnsi="宋体" w:eastAsia="宋体" w:cs="宋体"/>
                <w:color w:val="auto"/>
                <w:sz w:val="21"/>
                <w:szCs w:val="21"/>
                <w:highlight w:val="none"/>
              </w:rPr>
            </w:pPr>
          </w:p>
        </w:tc>
        <w:tc>
          <w:tcPr>
            <w:tcW w:w="1356" w:type="dxa"/>
            <w:vAlign w:val="center"/>
          </w:tcPr>
          <w:p w14:paraId="1CED2476">
            <w:pPr>
              <w:pStyle w:val="52"/>
              <w:jc w:val="center"/>
              <w:rPr>
                <w:rFonts w:hint="eastAsia" w:ascii="宋体" w:hAnsi="宋体" w:eastAsia="宋体" w:cs="宋体"/>
                <w:color w:val="auto"/>
                <w:sz w:val="21"/>
                <w:szCs w:val="21"/>
                <w:highlight w:val="none"/>
              </w:rPr>
            </w:pPr>
          </w:p>
        </w:tc>
        <w:tc>
          <w:tcPr>
            <w:tcW w:w="816" w:type="dxa"/>
            <w:vAlign w:val="center"/>
          </w:tcPr>
          <w:p w14:paraId="4EF8AB8A">
            <w:pPr>
              <w:pStyle w:val="52"/>
              <w:jc w:val="center"/>
              <w:rPr>
                <w:rFonts w:hint="eastAsia" w:ascii="宋体" w:hAnsi="宋体" w:eastAsia="宋体" w:cs="宋体"/>
                <w:color w:val="auto"/>
                <w:sz w:val="21"/>
                <w:szCs w:val="21"/>
                <w:highlight w:val="none"/>
              </w:rPr>
            </w:pPr>
          </w:p>
        </w:tc>
      </w:tr>
      <w:tr w14:paraId="661C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AA4734C">
            <w:pPr>
              <w:pStyle w:val="52"/>
              <w:jc w:val="center"/>
              <w:rPr>
                <w:rFonts w:hint="eastAsia" w:ascii="宋体" w:hAnsi="宋体" w:eastAsia="宋体" w:cs="宋体"/>
                <w:color w:val="auto"/>
                <w:sz w:val="21"/>
                <w:szCs w:val="21"/>
                <w:highlight w:val="none"/>
              </w:rPr>
            </w:pPr>
            <w:bookmarkStart w:id="829" w:name="_Toc100090790"/>
            <w:bookmarkStart w:id="830" w:name="_Toc99533298"/>
            <w:r>
              <w:rPr>
                <w:rFonts w:hint="eastAsia" w:ascii="宋体" w:hAnsi="宋体" w:eastAsia="宋体" w:cs="宋体"/>
                <w:color w:val="auto"/>
                <w:sz w:val="21"/>
                <w:szCs w:val="21"/>
                <w:highlight w:val="none"/>
              </w:rPr>
              <w:t>7</w:t>
            </w:r>
            <w:bookmarkEnd w:id="829"/>
            <w:bookmarkEnd w:id="830"/>
          </w:p>
        </w:tc>
        <w:tc>
          <w:tcPr>
            <w:tcW w:w="1267" w:type="dxa"/>
            <w:vAlign w:val="center"/>
          </w:tcPr>
          <w:p w14:paraId="3F3B684D">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8032A99">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01AE572">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1172C19">
            <w:pPr>
              <w:pStyle w:val="52"/>
              <w:jc w:val="center"/>
              <w:rPr>
                <w:rFonts w:hint="eastAsia" w:ascii="宋体" w:hAnsi="宋体" w:eastAsia="宋体" w:cs="宋体"/>
                <w:color w:val="auto"/>
                <w:sz w:val="21"/>
                <w:szCs w:val="21"/>
                <w:highlight w:val="none"/>
              </w:rPr>
            </w:pPr>
          </w:p>
        </w:tc>
        <w:tc>
          <w:tcPr>
            <w:tcW w:w="1860" w:type="dxa"/>
            <w:vAlign w:val="center"/>
          </w:tcPr>
          <w:p w14:paraId="7E9B2A2D">
            <w:pPr>
              <w:pStyle w:val="52"/>
              <w:jc w:val="center"/>
              <w:rPr>
                <w:rFonts w:hint="eastAsia" w:ascii="宋体" w:hAnsi="宋体" w:eastAsia="宋体" w:cs="宋体"/>
                <w:color w:val="auto"/>
                <w:sz w:val="21"/>
                <w:szCs w:val="21"/>
                <w:highlight w:val="none"/>
              </w:rPr>
            </w:pPr>
          </w:p>
        </w:tc>
        <w:tc>
          <w:tcPr>
            <w:tcW w:w="1356" w:type="dxa"/>
            <w:vAlign w:val="center"/>
          </w:tcPr>
          <w:p w14:paraId="4A11C356">
            <w:pPr>
              <w:pStyle w:val="52"/>
              <w:jc w:val="center"/>
              <w:rPr>
                <w:rFonts w:hint="eastAsia" w:ascii="宋体" w:hAnsi="宋体" w:eastAsia="宋体" w:cs="宋体"/>
                <w:color w:val="auto"/>
                <w:sz w:val="21"/>
                <w:szCs w:val="21"/>
                <w:highlight w:val="none"/>
              </w:rPr>
            </w:pPr>
          </w:p>
        </w:tc>
        <w:tc>
          <w:tcPr>
            <w:tcW w:w="816" w:type="dxa"/>
            <w:vAlign w:val="center"/>
          </w:tcPr>
          <w:p w14:paraId="718DD530">
            <w:pPr>
              <w:pStyle w:val="52"/>
              <w:jc w:val="center"/>
              <w:rPr>
                <w:rFonts w:hint="eastAsia" w:ascii="宋体" w:hAnsi="宋体" w:eastAsia="宋体" w:cs="宋体"/>
                <w:color w:val="auto"/>
                <w:sz w:val="21"/>
                <w:szCs w:val="21"/>
                <w:highlight w:val="none"/>
              </w:rPr>
            </w:pPr>
          </w:p>
        </w:tc>
      </w:tr>
      <w:tr w14:paraId="5E0A6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03F7F8C">
            <w:pPr>
              <w:pStyle w:val="52"/>
              <w:jc w:val="center"/>
              <w:rPr>
                <w:rFonts w:hint="eastAsia" w:ascii="宋体" w:hAnsi="宋体" w:eastAsia="宋体" w:cs="宋体"/>
                <w:color w:val="auto"/>
                <w:sz w:val="21"/>
                <w:szCs w:val="21"/>
                <w:highlight w:val="none"/>
              </w:rPr>
            </w:pPr>
            <w:bookmarkStart w:id="831" w:name="_Toc99533299"/>
            <w:bookmarkStart w:id="832" w:name="_Toc100090791"/>
            <w:r>
              <w:rPr>
                <w:rFonts w:hint="eastAsia" w:ascii="宋体" w:hAnsi="宋体" w:eastAsia="宋体" w:cs="宋体"/>
                <w:color w:val="auto"/>
                <w:sz w:val="21"/>
                <w:szCs w:val="21"/>
                <w:highlight w:val="none"/>
              </w:rPr>
              <w:t>8</w:t>
            </w:r>
            <w:bookmarkEnd w:id="831"/>
            <w:bookmarkEnd w:id="832"/>
          </w:p>
        </w:tc>
        <w:tc>
          <w:tcPr>
            <w:tcW w:w="1267" w:type="dxa"/>
            <w:vAlign w:val="center"/>
          </w:tcPr>
          <w:p w14:paraId="20BD29D0">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9D455C">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3548599B">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2842C962">
            <w:pPr>
              <w:pStyle w:val="52"/>
              <w:jc w:val="center"/>
              <w:rPr>
                <w:rFonts w:hint="eastAsia" w:ascii="宋体" w:hAnsi="宋体" w:eastAsia="宋体" w:cs="宋体"/>
                <w:color w:val="auto"/>
                <w:sz w:val="21"/>
                <w:szCs w:val="21"/>
                <w:highlight w:val="none"/>
              </w:rPr>
            </w:pPr>
          </w:p>
        </w:tc>
        <w:tc>
          <w:tcPr>
            <w:tcW w:w="1860" w:type="dxa"/>
            <w:vAlign w:val="center"/>
          </w:tcPr>
          <w:p w14:paraId="292DF220">
            <w:pPr>
              <w:pStyle w:val="52"/>
              <w:jc w:val="center"/>
              <w:rPr>
                <w:rFonts w:hint="eastAsia" w:ascii="宋体" w:hAnsi="宋体" w:eastAsia="宋体" w:cs="宋体"/>
                <w:color w:val="auto"/>
                <w:sz w:val="21"/>
                <w:szCs w:val="21"/>
                <w:highlight w:val="none"/>
              </w:rPr>
            </w:pPr>
          </w:p>
        </w:tc>
        <w:tc>
          <w:tcPr>
            <w:tcW w:w="1356" w:type="dxa"/>
            <w:vAlign w:val="center"/>
          </w:tcPr>
          <w:p w14:paraId="70F58594">
            <w:pPr>
              <w:pStyle w:val="52"/>
              <w:jc w:val="center"/>
              <w:rPr>
                <w:rFonts w:hint="eastAsia" w:ascii="宋体" w:hAnsi="宋体" w:eastAsia="宋体" w:cs="宋体"/>
                <w:color w:val="auto"/>
                <w:sz w:val="21"/>
                <w:szCs w:val="21"/>
                <w:highlight w:val="none"/>
              </w:rPr>
            </w:pPr>
          </w:p>
        </w:tc>
        <w:tc>
          <w:tcPr>
            <w:tcW w:w="816" w:type="dxa"/>
            <w:vAlign w:val="center"/>
          </w:tcPr>
          <w:p w14:paraId="247AF589">
            <w:pPr>
              <w:pStyle w:val="52"/>
              <w:jc w:val="center"/>
              <w:rPr>
                <w:rFonts w:hint="eastAsia" w:ascii="宋体" w:hAnsi="宋体" w:eastAsia="宋体" w:cs="宋体"/>
                <w:color w:val="auto"/>
                <w:sz w:val="21"/>
                <w:szCs w:val="21"/>
                <w:highlight w:val="none"/>
              </w:rPr>
            </w:pPr>
          </w:p>
        </w:tc>
      </w:tr>
      <w:tr w14:paraId="17D5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F7A90D9">
            <w:pPr>
              <w:pStyle w:val="52"/>
              <w:jc w:val="center"/>
              <w:rPr>
                <w:rFonts w:hint="eastAsia" w:ascii="宋体" w:hAnsi="宋体" w:eastAsia="宋体" w:cs="宋体"/>
                <w:color w:val="auto"/>
                <w:sz w:val="21"/>
                <w:szCs w:val="21"/>
                <w:highlight w:val="none"/>
              </w:rPr>
            </w:pPr>
            <w:bookmarkStart w:id="833" w:name="_Toc100090792"/>
            <w:bookmarkStart w:id="834" w:name="_Toc99533300"/>
            <w:r>
              <w:rPr>
                <w:rFonts w:hint="eastAsia" w:ascii="宋体" w:hAnsi="宋体" w:eastAsia="宋体" w:cs="宋体"/>
                <w:color w:val="auto"/>
                <w:sz w:val="21"/>
                <w:szCs w:val="21"/>
                <w:highlight w:val="none"/>
              </w:rPr>
              <w:t>9</w:t>
            </w:r>
            <w:bookmarkEnd w:id="833"/>
            <w:bookmarkEnd w:id="834"/>
          </w:p>
        </w:tc>
        <w:tc>
          <w:tcPr>
            <w:tcW w:w="1267" w:type="dxa"/>
            <w:vAlign w:val="center"/>
          </w:tcPr>
          <w:p w14:paraId="6C5090EC">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2CD2ADB">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DD9EDDC">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5650614">
            <w:pPr>
              <w:pStyle w:val="52"/>
              <w:jc w:val="center"/>
              <w:rPr>
                <w:rFonts w:hint="eastAsia" w:ascii="宋体" w:hAnsi="宋体" w:eastAsia="宋体" w:cs="宋体"/>
                <w:color w:val="auto"/>
                <w:sz w:val="21"/>
                <w:szCs w:val="21"/>
                <w:highlight w:val="none"/>
              </w:rPr>
            </w:pPr>
          </w:p>
        </w:tc>
        <w:tc>
          <w:tcPr>
            <w:tcW w:w="1860" w:type="dxa"/>
            <w:vAlign w:val="center"/>
          </w:tcPr>
          <w:p w14:paraId="337B4053">
            <w:pPr>
              <w:pStyle w:val="52"/>
              <w:jc w:val="center"/>
              <w:rPr>
                <w:rFonts w:hint="eastAsia" w:ascii="宋体" w:hAnsi="宋体" w:eastAsia="宋体" w:cs="宋体"/>
                <w:color w:val="auto"/>
                <w:sz w:val="21"/>
                <w:szCs w:val="21"/>
                <w:highlight w:val="none"/>
              </w:rPr>
            </w:pPr>
          </w:p>
        </w:tc>
        <w:tc>
          <w:tcPr>
            <w:tcW w:w="1356" w:type="dxa"/>
            <w:vAlign w:val="center"/>
          </w:tcPr>
          <w:p w14:paraId="7D6C0C38">
            <w:pPr>
              <w:pStyle w:val="52"/>
              <w:jc w:val="center"/>
              <w:rPr>
                <w:rFonts w:hint="eastAsia" w:ascii="宋体" w:hAnsi="宋体" w:eastAsia="宋体" w:cs="宋体"/>
                <w:color w:val="auto"/>
                <w:sz w:val="21"/>
                <w:szCs w:val="21"/>
                <w:highlight w:val="none"/>
              </w:rPr>
            </w:pPr>
          </w:p>
        </w:tc>
        <w:tc>
          <w:tcPr>
            <w:tcW w:w="816" w:type="dxa"/>
            <w:vAlign w:val="center"/>
          </w:tcPr>
          <w:p w14:paraId="45D99552">
            <w:pPr>
              <w:pStyle w:val="52"/>
              <w:jc w:val="center"/>
              <w:rPr>
                <w:rFonts w:hint="eastAsia" w:ascii="宋体" w:hAnsi="宋体" w:eastAsia="宋体" w:cs="宋体"/>
                <w:color w:val="auto"/>
                <w:sz w:val="21"/>
                <w:szCs w:val="21"/>
                <w:highlight w:val="none"/>
              </w:rPr>
            </w:pPr>
          </w:p>
        </w:tc>
      </w:tr>
      <w:tr w14:paraId="5F49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406250BE">
            <w:pPr>
              <w:pStyle w:val="52"/>
              <w:jc w:val="center"/>
              <w:rPr>
                <w:rFonts w:hint="eastAsia" w:ascii="宋体" w:hAnsi="宋体" w:eastAsia="宋体" w:cs="宋体"/>
                <w:color w:val="auto"/>
                <w:sz w:val="21"/>
                <w:szCs w:val="21"/>
                <w:highlight w:val="none"/>
              </w:rPr>
            </w:pPr>
            <w:bookmarkStart w:id="835" w:name="_Toc99533301"/>
            <w:bookmarkStart w:id="836" w:name="_Toc100090793"/>
            <w:r>
              <w:rPr>
                <w:rFonts w:hint="eastAsia" w:ascii="宋体" w:hAnsi="宋体" w:eastAsia="宋体" w:cs="宋体"/>
                <w:color w:val="auto"/>
                <w:sz w:val="21"/>
                <w:szCs w:val="21"/>
                <w:highlight w:val="none"/>
              </w:rPr>
              <w:t>10</w:t>
            </w:r>
            <w:bookmarkEnd w:id="835"/>
            <w:bookmarkEnd w:id="836"/>
          </w:p>
        </w:tc>
        <w:tc>
          <w:tcPr>
            <w:tcW w:w="1267" w:type="dxa"/>
            <w:vAlign w:val="center"/>
          </w:tcPr>
          <w:p w14:paraId="0D84E205">
            <w:pPr>
              <w:pStyle w:val="52"/>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9F36313">
            <w:pPr>
              <w:pStyle w:val="52"/>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93C6909">
            <w:pPr>
              <w:pStyle w:val="52"/>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C34049E">
            <w:pPr>
              <w:pStyle w:val="52"/>
              <w:jc w:val="center"/>
              <w:rPr>
                <w:rFonts w:hint="eastAsia" w:ascii="宋体" w:hAnsi="宋体" w:eastAsia="宋体" w:cs="宋体"/>
                <w:color w:val="auto"/>
                <w:sz w:val="21"/>
                <w:szCs w:val="21"/>
                <w:highlight w:val="none"/>
              </w:rPr>
            </w:pPr>
          </w:p>
        </w:tc>
        <w:tc>
          <w:tcPr>
            <w:tcW w:w="1860" w:type="dxa"/>
            <w:vAlign w:val="center"/>
          </w:tcPr>
          <w:p w14:paraId="7790D037">
            <w:pPr>
              <w:pStyle w:val="52"/>
              <w:jc w:val="center"/>
              <w:rPr>
                <w:rFonts w:hint="eastAsia" w:ascii="宋体" w:hAnsi="宋体" w:eastAsia="宋体" w:cs="宋体"/>
                <w:color w:val="auto"/>
                <w:sz w:val="21"/>
                <w:szCs w:val="21"/>
                <w:highlight w:val="none"/>
              </w:rPr>
            </w:pPr>
          </w:p>
        </w:tc>
        <w:tc>
          <w:tcPr>
            <w:tcW w:w="1356" w:type="dxa"/>
            <w:vAlign w:val="center"/>
          </w:tcPr>
          <w:p w14:paraId="7B74B27D">
            <w:pPr>
              <w:pStyle w:val="52"/>
              <w:jc w:val="center"/>
              <w:rPr>
                <w:rFonts w:hint="eastAsia" w:ascii="宋体" w:hAnsi="宋体" w:eastAsia="宋体" w:cs="宋体"/>
                <w:color w:val="auto"/>
                <w:sz w:val="21"/>
                <w:szCs w:val="21"/>
                <w:highlight w:val="none"/>
              </w:rPr>
            </w:pPr>
          </w:p>
        </w:tc>
        <w:tc>
          <w:tcPr>
            <w:tcW w:w="816" w:type="dxa"/>
            <w:vAlign w:val="center"/>
          </w:tcPr>
          <w:p w14:paraId="77E1C162">
            <w:pPr>
              <w:pStyle w:val="52"/>
              <w:jc w:val="center"/>
              <w:rPr>
                <w:rFonts w:hint="eastAsia" w:ascii="宋体" w:hAnsi="宋体" w:eastAsia="宋体" w:cs="宋体"/>
                <w:color w:val="auto"/>
                <w:sz w:val="21"/>
                <w:szCs w:val="21"/>
                <w:highlight w:val="none"/>
              </w:rPr>
            </w:pPr>
          </w:p>
        </w:tc>
      </w:tr>
    </w:tbl>
    <w:p w14:paraId="51ED7B0D">
      <w:pPr>
        <w:rPr>
          <w:color w:val="auto"/>
          <w:highlight w:val="none"/>
        </w:rPr>
      </w:pPr>
      <w:r>
        <w:rPr>
          <w:color w:val="auto"/>
          <w:highlight w:val="none"/>
        </w:rPr>
        <w:br w:type="page"/>
      </w:r>
    </w:p>
    <w:p w14:paraId="1358285E">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37" w:name="_Toc28083"/>
      <w:r>
        <w:rPr>
          <w:rFonts w:hint="eastAsia" w:cstheme="majorBidi"/>
          <w:b/>
          <w:bCs/>
          <w:color w:val="auto"/>
          <w:kern w:val="2"/>
          <w:sz w:val="32"/>
          <w:szCs w:val="32"/>
          <w:highlight w:val="none"/>
          <w:lang w:val="en-US" w:eastAsia="zh-CN" w:bidi="ar-SA"/>
        </w:rPr>
        <w:t>十五</w:t>
      </w:r>
      <w:r>
        <w:rPr>
          <w:rFonts w:hint="eastAsia" w:eastAsia="宋体" w:asciiTheme="majorHAnsi" w:hAnsiTheme="majorHAnsi" w:cstheme="majorBidi"/>
          <w:b/>
          <w:bCs/>
          <w:color w:val="auto"/>
          <w:kern w:val="2"/>
          <w:sz w:val="32"/>
          <w:szCs w:val="32"/>
          <w:highlight w:val="none"/>
          <w:lang w:val="en-US" w:eastAsia="zh-CN" w:bidi="ar-SA"/>
        </w:rPr>
        <w:t>、技术响应偏离表</w:t>
      </w:r>
      <w:bookmarkEnd w:id="837"/>
    </w:p>
    <w:p w14:paraId="7EE50E6A">
      <w:pPr>
        <w:rPr>
          <w:rFonts w:cs="仿宋_GB2312"/>
          <w:color w:val="auto"/>
          <w:szCs w:val="24"/>
          <w:highlight w:val="none"/>
        </w:rPr>
      </w:pPr>
      <w:r>
        <w:rPr>
          <w:rFonts w:hint="eastAsia" w:cs="仿宋_GB2312"/>
          <w:color w:val="auto"/>
          <w:szCs w:val="24"/>
          <w:highlight w:val="none"/>
        </w:rPr>
        <w:t xml:space="preserve">项目名称：                                         </w:t>
      </w:r>
    </w:p>
    <w:p w14:paraId="3BECE8B1">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976"/>
        <w:gridCol w:w="1758"/>
        <w:gridCol w:w="2157"/>
        <w:gridCol w:w="1935"/>
      </w:tblGrid>
      <w:tr w14:paraId="7644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0FCCCEAC">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59" w:type="pct"/>
            <w:vAlign w:val="center"/>
          </w:tcPr>
          <w:p w14:paraId="69669C77">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招标文件技术</w:t>
            </w:r>
          </w:p>
          <w:p w14:paraId="71DD4B6D">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要求条款</w:t>
            </w:r>
          </w:p>
        </w:tc>
        <w:tc>
          <w:tcPr>
            <w:tcW w:w="1031" w:type="pct"/>
            <w:vAlign w:val="center"/>
          </w:tcPr>
          <w:p w14:paraId="0AB54F24">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p w14:paraId="1F49E79F">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对应简述</w:t>
            </w:r>
          </w:p>
        </w:tc>
        <w:tc>
          <w:tcPr>
            <w:tcW w:w="1265" w:type="pct"/>
            <w:vAlign w:val="center"/>
          </w:tcPr>
          <w:p w14:paraId="3F1EB795">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35" w:type="pct"/>
            <w:vAlign w:val="center"/>
          </w:tcPr>
          <w:p w14:paraId="3E3F1E73">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证明资料</w:t>
            </w:r>
            <w:r>
              <w:rPr>
                <w:rFonts w:hint="eastAsia" w:ascii="宋体" w:hAnsi="宋体" w:eastAsia="宋体" w:cs="宋体"/>
                <w:color w:val="auto"/>
                <w:sz w:val="21"/>
                <w:szCs w:val="21"/>
                <w:highlight w:val="none"/>
              </w:rPr>
              <w:t>及索引</w:t>
            </w:r>
          </w:p>
        </w:tc>
      </w:tr>
      <w:tr w14:paraId="7F92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390C611">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59" w:type="pct"/>
            <w:vAlign w:val="center"/>
          </w:tcPr>
          <w:p w14:paraId="23DD6440">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24669278">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C5A608D">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3F3AE223">
            <w:pPr>
              <w:pStyle w:val="52"/>
              <w:jc w:val="center"/>
              <w:rPr>
                <w:rFonts w:hint="eastAsia" w:ascii="宋体" w:hAnsi="宋体" w:eastAsia="宋体" w:cs="宋体"/>
                <w:color w:val="auto"/>
                <w:sz w:val="21"/>
                <w:szCs w:val="21"/>
                <w:highlight w:val="none"/>
              </w:rPr>
            </w:pPr>
          </w:p>
        </w:tc>
      </w:tr>
      <w:tr w14:paraId="16FF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681E1A24">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59" w:type="pct"/>
            <w:vAlign w:val="center"/>
          </w:tcPr>
          <w:p w14:paraId="1B1CC670">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3CDA8454">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17532297">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1786AA8B">
            <w:pPr>
              <w:pStyle w:val="52"/>
              <w:jc w:val="center"/>
              <w:rPr>
                <w:rFonts w:hint="eastAsia" w:ascii="宋体" w:hAnsi="宋体" w:eastAsia="宋体" w:cs="宋体"/>
                <w:color w:val="auto"/>
                <w:sz w:val="21"/>
                <w:szCs w:val="21"/>
                <w:highlight w:val="none"/>
              </w:rPr>
            </w:pPr>
          </w:p>
        </w:tc>
      </w:tr>
      <w:tr w14:paraId="3346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ADFE13">
            <w:pPr>
              <w:pStyle w:val="52"/>
              <w:jc w:val="center"/>
              <w:rPr>
                <w:rFonts w:hint="eastAsia" w:ascii="宋体" w:hAnsi="宋体" w:eastAsia="宋体" w:cs="宋体"/>
                <w:color w:val="auto"/>
                <w:sz w:val="21"/>
                <w:szCs w:val="21"/>
                <w:highlight w:val="none"/>
              </w:rPr>
            </w:pPr>
          </w:p>
        </w:tc>
        <w:tc>
          <w:tcPr>
            <w:tcW w:w="1159" w:type="pct"/>
            <w:vAlign w:val="center"/>
          </w:tcPr>
          <w:p w14:paraId="7EAC22E8">
            <w:pPr>
              <w:pStyle w:val="52"/>
              <w:jc w:val="center"/>
              <w:rPr>
                <w:rFonts w:hint="eastAsia" w:ascii="宋体" w:hAnsi="宋体" w:eastAsia="宋体" w:cs="宋体"/>
                <w:color w:val="auto"/>
                <w:sz w:val="21"/>
                <w:szCs w:val="21"/>
                <w:highlight w:val="none"/>
              </w:rPr>
            </w:pPr>
          </w:p>
        </w:tc>
        <w:tc>
          <w:tcPr>
            <w:tcW w:w="1031" w:type="pct"/>
            <w:vAlign w:val="center"/>
          </w:tcPr>
          <w:p w14:paraId="1261D841">
            <w:pPr>
              <w:pStyle w:val="52"/>
              <w:jc w:val="center"/>
              <w:rPr>
                <w:rFonts w:hint="eastAsia" w:ascii="宋体" w:hAnsi="宋体" w:eastAsia="宋体" w:cs="宋体"/>
                <w:color w:val="auto"/>
                <w:sz w:val="21"/>
                <w:szCs w:val="21"/>
                <w:highlight w:val="none"/>
              </w:rPr>
            </w:pPr>
          </w:p>
        </w:tc>
        <w:tc>
          <w:tcPr>
            <w:tcW w:w="1265" w:type="pct"/>
            <w:vAlign w:val="center"/>
          </w:tcPr>
          <w:p w14:paraId="21AB0CEA">
            <w:pPr>
              <w:pStyle w:val="52"/>
              <w:jc w:val="center"/>
              <w:rPr>
                <w:rFonts w:hint="eastAsia" w:ascii="宋体" w:hAnsi="宋体" w:eastAsia="宋体" w:cs="宋体"/>
                <w:color w:val="auto"/>
                <w:sz w:val="21"/>
                <w:szCs w:val="21"/>
                <w:highlight w:val="none"/>
              </w:rPr>
            </w:pPr>
          </w:p>
        </w:tc>
        <w:tc>
          <w:tcPr>
            <w:tcW w:w="1135" w:type="pct"/>
            <w:vAlign w:val="center"/>
          </w:tcPr>
          <w:p w14:paraId="02205EF5">
            <w:pPr>
              <w:pStyle w:val="52"/>
              <w:jc w:val="center"/>
              <w:rPr>
                <w:rFonts w:hint="eastAsia" w:ascii="宋体" w:hAnsi="宋体" w:eastAsia="宋体" w:cs="宋体"/>
                <w:color w:val="auto"/>
                <w:sz w:val="21"/>
                <w:szCs w:val="21"/>
                <w:highlight w:val="none"/>
              </w:rPr>
            </w:pPr>
          </w:p>
        </w:tc>
      </w:tr>
      <w:tr w14:paraId="547E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2615990F">
            <w:pPr>
              <w:pStyle w:val="52"/>
              <w:jc w:val="center"/>
              <w:rPr>
                <w:rFonts w:hint="eastAsia" w:ascii="宋体" w:hAnsi="宋体" w:eastAsia="宋体" w:cs="宋体"/>
                <w:color w:val="auto"/>
                <w:sz w:val="21"/>
                <w:szCs w:val="21"/>
                <w:highlight w:val="none"/>
              </w:rPr>
            </w:pPr>
          </w:p>
        </w:tc>
        <w:tc>
          <w:tcPr>
            <w:tcW w:w="1159" w:type="pct"/>
            <w:vAlign w:val="center"/>
          </w:tcPr>
          <w:p w14:paraId="4EFDD3F7">
            <w:pPr>
              <w:pStyle w:val="52"/>
              <w:jc w:val="center"/>
              <w:rPr>
                <w:rFonts w:hint="eastAsia" w:ascii="宋体" w:hAnsi="宋体" w:eastAsia="宋体" w:cs="宋体"/>
                <w:color w:val="auto"/>
                <w:sz w:val="21"/>
                <w:szCs w:val="21"/>
                <w:highlight w:val="none"/>
              </w:rPr>
            </w:pPr>
          </w:p>
        </w:tc>
        <w:tc>
          <w:tcPr>
            <w:tcW w:w="1031" w:type="pct"/>
            <w:vAlign w:val="center"/>
          </w:tcPr>
          <w:p w14:paraId="6F3FE338">
            <w:pPr>
              <w:pStyle w:val="52"/>
              <w:jc w:val="center"/>
              <w:rPr>
                <w:rFonts w:hint="eastAsia" w:ascii="宋体" w:hAnsi="宋体" w:eastAsia="宋体" w:cs="宋体"/>
                <w:color w:val="auto"/>
                <w:sz w:val="21"/>
                <w:szCs w:val="21"/>
                <w:highlight w:val="none"/>
              </w:rPr>
            </w:pPr>
          </w:p>
        </w:tc>
        <w:tc>
          <w:tcPr>
            <w:tcW w:w="1265" w:type="pct"/>
            <w:vAlign w:val="center"/>
          </w:tcPr>
          <w:p w14:paraId="1DE7F15C">
            <w:pPr>
              <w:pStyle w:val="52"/>
              <w:jc w:val="center"/>
              <w:rPr>
                <w:rFonts w:hint="eastAsia" w:ascii="宋体" w:hAnsi="宋体" w:eastAsia="宋体" w:cs="宋体"/>
                <w:color w:val="auto"/>
                <w:sz w:val="21"/>
                <w:szCs w:val="21"/>
                <w:highlight w:val="none"/>
              </w:rPr>
            </w:pPr>
          </w:p>
        </w:tc>
        <w:tc>
          <w:tcPr>
            <w:tcW w:w="1135" w:type="pct"/>
            <w:vAlign w:val="center"/>
          </w:tcPr>
          <w:p w14:paraId="7E461BBA">
            <w:pPr>
              <w:pStyle w:val="52"/>
              <w:jc w:val="center"/>
              <w:rPr>
                <w:rFonts w:hint="eastAsia" w:ascii="宋体" w:hAnsi="宋体" w:eastAsia="宋体" w:cs="宋体"/>
                <w:color w:val="auto"/>
                <w:sz w:val="21"/>
                <w:szCs w:val="21"/>
                <w:highlight w:val="none"/>
              </w:rPr>
            </w:pPr>
          </w:p>
        </w:tc>
      </w:tr>
      <w:tr w14:paraId="054E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21914A14">
            <w:pPr>
              <w:pStyle w:val="52"/>
              <w:jc w:val="center"/>
              <w:rPr>
                <w:rFonts w:hint="eastAsia" w:ascii="宋体" w:hAnsi="宋体" w:eastAsia="宋体" w:cs="宋体"/>
                <w:color w:val="auto"/>
                <w:sz w:val="21"/>
                <w:szCs w:val="21"/>
                <w:highlight w:val="none"/>
              </w:rPr>
            </w:pPr>
          </w:p>
        </w:tc>
        <w:tc>
          <w:tcPr>
            <w:tcW w:w="1159" w:type="pct"/>
            <w:vAlign w:val="center"/>
          </w:tcPr>
          <w:p w14:paraId="01FAF6FF">
            <w:pPr>
              <w:pStyle w:val="52"/>
              <w:jc w:val="center"/>
              <w:rPr>
                <w:rFonts w:hint="eastAsia" w:ascii="宋体" w:hAnsi="宋体" w:eastAsia="宋体" w:cs="宋体"/>
                <w:color w:val="auto"/>
                <w:sz w:val="21"/>
                <w:szCs w:val="21"/>
                <w:highlight w:val="none"/>
              </w:rPr>
            </w:pPr>
          </w:p>
        </w:tc>
        <w:tc>
          <w:tcPr>
            <w:tcW w:w="1031" w:type="pct"/>
            <w:vAlign w:val="center"/>
          </w:tcPr>
          <w:p w14:paraId="7C7F56A7">
            <w:pPr>
              <w:pStyle w:val="52"/>
              <w:jc w:val="center"/>
              <w:rPr>
                <w:rFonts w:hint="eastAsia" w:ascii="宋体" w:hAnsi="宋体" w:eastAsia="宋体" w:cs="宋体"/>
                <w:color w:val="auto"/>
                <w:sz w:val="21"/>
                <w:szCs w:val="21"/>
                <w:highlight w:val="none"/>
              </w:rPr>
            </w:pPr>
          </w:p>
        </w:tc>
        <w:tc>
          <w:tcPr>
            <w:tcW w:w="1265" w:type="pct"/>
            <w:vAlign w:val="center"/>
          </w:tcPr>
          <w:p w14:paraId="611127F1">
            <w:pPr>
              <w:pStyle w:val="52"/>
              <w:jc w:val="center"/>
              <w:rPr>
                <w:rFonts w:hint="eastAsia" w:ascii="宋体" w:hAnsi="宋体" w:eastAsia="宋体" w:cs="宋体"/>
                <w:color w:val="auto"/>
                <w:sz w:val="21"/>
                <w:szCs w:val="21"/>
                <w:highlight w:val="none"/>
              </w:rPr>
            </w:pPr>
          </w:p>
        </w:tc>
        <w:tc>
          <w:tcPr>
            <w:tcW w:w="1135" w:type="pct"/>
            <w:vAlign w:val="center"/>
          </w:tcPr>
          <w:p w14:paraId="0E4A26B6">
            <w:pPr>
              <w:pStyle w:val="52"/>
              <w:jc w:val="center"/>
              <w:rPr>
                <w:rFonts w:hint="eastAsia" w:ascii="宋体" w:hAnsi="宋体" w:eastAsia="宋体" w:cs="宋体"/>
                <w:color w:val="auto"/>
                <w:sz w:val="21"/>
                <w:szCs w:val="21"/>
                <w:highlight w:val="none"/>
              </w:rPr>
            </w:pPr>
          </w:p>
        </w:tc>
      </w:tr>
      <w:tr w14:paraId="6E8D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0C5ED4E">
            <w:pPr>
              <w:pStyle w:val="52"/>
              <w:jc w:val="center"/>
              <w:rPr>
                <w:rFonts w:hint="eastAsia" w:ascii="宋体" w:hAnsi="宋体" w:eastAsia="宋体" w:cs="宋体"/>
                <w:color w:val="auto"/>
                <w:sz w:val="21"/>
                <w:szCs w:val="21"/>
                <w:highlight w:val="none"/>
              </w:rPr>
            </w:pPr>
          </w:p>
        </w:tc>
        <w:tc>
          <w:tcPr>
            <w:tcW w:w="1159" w:type="pct"/>
            <w:vAlign w:val="center"/>
          </w:tcPr>
          <w:p w14:paraId="5C4DD07B">
            <w:pPr>
              <w:pStyle w:val="52"/>
              <w:jc w:val="center"/>
              <w:rPr>
                <w:rFonts w:hint="eastAsia" w:ascii="宋体" w:hAnsi="宋体" w:eastAsia="宋体" w:cs="宋体"/>
                <w:color w:val="auto"/>
                <w:sz w:val="21"/>
                <w:szCs w:val="21"/>
                <w:highlight w:val="none"/>
              </w:rPr>
            </w:pPr>
          </w:p>
        </w:tc>
        <w:tc>
          <w:tcPr>
            <w:tcW w:w="1031" w:type="pct"/>
            <w:vAlign w:val="center"/>
          </w:tcPr>
          <w:p w14:paraId="26683DD4">
            <w:pPr>
              <w:pStyle w:val="52"/>
              <w:jc w:val="center"/>
              <w:rPr>
                <w:rFonts w:hint="eastAsia" w:ascii="宋体" w:hAnsi="宋体" w:eastAsia="宋体" w:cs="宋体"/>
                <w:color w:val="auto"/>
                <w:sz w:val="21"/>
                <w:szCs w:val="21"/>
                <w:highlight w:val="none"/>
              </w:rPr>
            </w:pPr>
          </w:p>
        </w:tc>
        <w:tc>
          <w:tcPr>
            <w:tcW w:w="1265" w:type="pct"/>
            <w:vAlign w:val="center"/>
          </w:tcPr>
          <w:p w14:paraId="4D8C3BA1">
            <w:pPr>
              <w:pStyle w:val="52"/>
              <w:jc w:val="center"/>
              <w:rPr>
                <w:rFonts w:hint="eastAsia" w:ascii="宋体" w:hAnsi="宋体" w:eastAsia="宋体" w:cs="宋体"/>
                <w:color w:val="auto"/>
                <w:sz w:val="21"/>
                <w:szCs w:val="21"/>
                <w:highlight w:val="none"/>
              </w:rPr>
            </w:pPr>
          </w:p>
        </w:tc>
        <w:tc>
          <w:tcPr>
            <w:tcW w:w="1135" w:type="pct"/>
            <w:vAlign w:val="center"/>
          </w:tcPr>
          <w:p w14:paraId="2E8B5F67">
            <w:pPr>
              <w:pStyle w:val="52"/>
              <w:jc w:val="center"/>
              <w:rPr>
                <w:rFonts w:hint="eastAsia" w:ascii="宋体" w:hAnsi="宋体" w:eastAsia="宋体" w:cs="宋体"/>
                <w:color w:val="auto"/>
                <w:sz w:val="21"/>
                <w:szCs w:val="21"/>
                <w:highlight w:val="none"/>
              </w:rPr>
            </w:pPr>
          </w:p>
        </w:tc>
      </w:tr>
      <w:tr w14:paraId="2B10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EE038ED">
            <w:pPr>
              <w:pStyle w:val="52"/>
              <w:jc w:val="center"/>
              <w:rPr>
                <w:rFonts w:hint="eastAsia" w:ascii="宋体" w:hAnsi="宋体" w:eastAsia="宋体" w:cs="宋体"/>
                <w:color w:val="auto"/>
                <w:sz w:val="21"/>
                <w:szCs w:val="21"/>
                <w:highlight w:val="none"/>
              </w:rPr>
            </w:pPr>
          </w:p>
        </w:tc>
        <w:tc>
          <w:tcPr>
            <w:tcW w:w="1159" w:type="pct"/>
            <w:vAlign w:val="center"/>
          </w:tcPr>
          <w:p w14:paraId="1568BE63">
            <w:pPr>
              <w:pStyle w:val="52"/>
              <w:jc w:val="center"/>
              <w:rPr>
                <w:rFonts w:hint="eastAsia" w:ascii="宋体" w:hAnsi="宋体" w:eastAsia="宋体" w:cs="宋体"/>
                <w:color w:val="auto"/>
                <w:sz w:val="21"/>
                <w:szCs w:val="21"/>
                <w:highlight w:val="none"/>
              </w:rPr>
            </w:pPr>
          </w:p>
        </w:tc>
        <w:tc>
          <w:tcPr>
            <w:tcW w:w="1031" w:type="pct"/>
            <w:vAlign w:val="center"/>
          </w:tcPr>
          <w:p w14:paraId="73EB38B3">
            <w:pPr>
              <w:pStyle w:val="52"/>
              <w:jc w:val="center"/>
              <w:rPr>
                <w:rFonts w:hint="eastAsia" w:ascii="宋体" w:hAnsi="宋体" w:eastAsia="宋体" w:cs="宋体"/>
                <w:color w:val="auto"/>
                <w:sz w:val="21"/>
                <w:szCs w:val="21"/>
                <w:highlight w:val="none"/>
              </w:rPr>
            </w:pPr>
          </w:p>
        </w:tc>
        <w:tc>
          <w:tcPr>
            <w:tcW w:w="1265" w:type="pct"/>
            <w:vAlign w:val="center"/>
          </w:tcPr>
          <w:p w14:paraId="75F9A705">
            <w:pPr>
              <w:pStyle w:val="52"/>
              <w:jc w:val="center"/>
              <w:rPr>
                <w:rFonts w:hint="eastAsia" w:ascii="宋体" w:hAnsi="宋体" w:eastAsia="宋体" w:cs="宋体"/>
                <w:color w:val="auto"/>
                <w:sz w:val="21"/>
                <w:szCs w:val="21"/>
                <w:highlight w:val="none"/>
              </w:rPr>
            </w:pPr>
          </w:p>
        </w:tc>
        <w:tc>
          <w:tcPr>
            <w:tcW w:w="1135" w:type="pct"/>
            <w:vAlign w:val="center"/>
          </w:tcPr>
          <w:p w14:paraId="7B4E9707">
            <w:pPr>
              <w:pStyle w:val="52"/>
              <w:jc w:val="center"/>
              <w:rPr>
                <w:rFonts w:hint="eastAsia" w:ascii="宋体" w:hAnsi="宋体" w:eastAsia="宋体" w:cs="宋体"/>
                <w:color w:val="auto"/>
                <w:sz w:val="21"/>
                <w:szCs w:val="21"/>
                <w:highlight w:val="none"/>
              </w:rPr>
            </w:pPr>
          </w:p>
        </w:tc>
      </w:tr>
      <w:tr w14:paraId="5B46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7A9FD9CF">
            <w:pPr>
              <w:pStyle w:val="52"/>
              <w:jc w:val="center"/>
              <w:rPr>
                <w:rFonts w:hint="eastAsia" w:ascii="宋体" w:hAnsi="宋体" w:eastAsia="宋体" w:cs="宋体"/>
                <w:color w:val="auto"/>
                <w:sz w:val="21"/>
                <w:szCs w:val="21"/>
                <w:highlight w:val="none"/>
              </w:rPr>
            </w:pPr>
          </w:p>
        </w:tc>
        <w:tc>
          <w:tcPr>
            <w:tcW w:w="1159" w:type="pct"/>
            <w:vAlign w:val="center"/>
          </w:tcPr>
          <w:p w14:paraId="3873E5B8">
            <w:pPr>
              <w:pStyle w:val="52"/>
              <w:jc w:val="center"/>
              <w:rPr>
                <w:rFonts w:hint="eastAsia" w:ascii="宋体" w:hAnsi="宋体" w:eastAsia="宋体" w:cs="宋体"/>
                <w:color w:val="auto"/>
                <w:sz w:val="21"/>
                <w:szCs w:val="21"/>
                <w:highlight w:val="none"/>
              </w:rPr>
            </w:pPr>
          </w:p>
        </w:tc>
        <w:tc>
          <w:tcPr>
            <w:tcW w:w="1031" w:type="pct"/>
            <w:vAlign w:val="center"/>
          </w:tcPr>
          <w:p w14:paraId="4BFC552A">
            <w:pPr>
              <w:pStyle w:val="52"/>
              <w:jc w:val="center"/>
              <w:rPr>
                <w:rFonts w:hint="eastAsia" w:ascii="宋体" w:hAnsi="宋体" w:eastAsia="宋体" w:cs="宋体"/>
                <w:color w:val="auto"/>
                <w:sz w:val="21"/>
                <w:szCs w:val="21"/>
                <w:highlight w:val="none"/>
              </w:rPr>
            </w:pPr>
          </w:p>
        </w:tc>
        <w:tc>
          <w:tcPr>
            <w:tcW w:w="1265" w:type="pct"/>
            <w:vAlign w:val="center"/>
          </w:tcPr>
          <w:p w14:paraId="6752E62F">
            <w:pPr>
              <w:pStyle w:val="52"/>
              <w:jc w:val="center"/>
              <w:rPr>
                <w:rFonts w:hint="eastAsia" w:ascii="宋体" w:hAnsi="宋体" w:eastAsia="宋体" w:cs="宋体"/>
                <w:color w:val="auto"/>
                <w:sz w:val="21"/>
                <w:szCs w:val="21"/>
                <w:highlight w:val="none"/>
              </w:rPr>
            </w:pPr>
          </w:p>
        </w:tc>
        <w:tc>
          <w:tcPr>
            <w:tcW w:w="1135" w:type="pct"/>
            <w:vAlign w:val="center"/>
          </w:tcPr>
          <w:p w14:paraId="0D508B80">
            <w:pPr>
              <w:pStyle w:val="52"/>
              <w:jc w:val="center"/>
              <w:rPr>
                <w:rFonts w:hint="eastAsia" w:ascii="宋体" w:hAnsi="宋体" w:eastAsia="宋体" w:cs="宋体"/>
                <w:color w:val="auto"/>
                <w:sz w:val="21"/>
                <w:szCs w:val="21"/>
                <w:highlight w:val="none"/>
              </w:rPr>
            </w:pPr>
          </w:p>
        </w:tc>
      </w:tr>
      <w:tr w14:paraId="1A2A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5F4BFC8">
            <w:pPr>
              <w:pStyle w:val="52"/>
              <w:jc w:val="center"/>
              <w:rPr>
                <w:rFonts w:hint="eastAsia" w:ascii="宋体" w:hAnsi="宋体" w:eastAsia="宋体" w:cs="宋体"/>
                <w:color w:val="auto"/>
                <w:sz w:val="21"/>
                <w:szCs w:val="21"/>
                <w:highlight w:val="none"/>
              </w:rPr>
            </w:pPr>
          </w:p>
        </w:tc>
        <w:tc>
          <w:tcPr>
            <w:tcW w:w="1159" w:type="pct"/>
            <w:vAlign w:val="center"/>
          </w:tcPr>
          <w:p w14:paraId="63890973">
            <w:pPr>
              <w:pStyle w:val="52"/>
              <w:jc w:val="center"/>
              <w:rPr>
                <w:rFonts w:hint="eastAsia" w:ascii="宋体" w:hAnsi="宋体" w:eastAsia="宋体" w:cs="宋体"/>
                <w:color w:val="auto"/>
                <w:sz w:val="21"/>
                <w:szCs w:val="21"/>
                <w:highlight w:val="none"/>
              </w:rPr>
            </w:pPr>
          </w:p>
        </w:tc>
        <w:tc>
          <w:tcPr>
            <w:tcW w:w="1031" w:type="pct"/>
            <w:vAlign w:val="center"/>
          </w:tcPr>
          <w:p w14:paraId="09F5DB10">
            <w:pPr>
              <w:pStyle w:val="52"/>
              <w:jc w:val="center"/>
              <w:rPr>
                <w:rFonts w:hint="eastAsia" w:ascii="宋体" w:hAnsi="宋体" w:eastAsia="宋体" w:cs="宋体"/>
                <w:color w:val="auto"/>
                <w:sz w:val="21"/>
                <w:szCs w:val="21"/>
                <w:highlight w:val="none"/>
              </w:rPr>
            </w:pPr>
          </w:p>
        </w:tc>
        <w:tc>
          <w:tcPr>
            <w:tcW w:w="1265" w:type="pct"/>
            <w:vAlign w:val="center"/>
          </w:tcPr>
          <w:p w14:paraId="59B50D42">
            <w:pPr>
              <w:pStyle w:val="52"/>
              <w:jc w:val="center"/>
              <w:rPr>
                <w:rFonts w:hint="eastAsia" w:ascii="宋体" w:hAnsi="宋体" w:eastAsia="宋体" w:cs="宋体"/>
                <w:color w:val="auto"/>
                <w:sz w:val="21"/>
                <w:szCs w:val="21"/>
                <w:highlight w:val="none"/>
              </w:rPr>
            </w:pPr>
          </w:p>
        </w:tc>
        <w:tc>
          <w:tcPr>
            <w:tcW w:w="1135" w:type="pct"/>
            <w:vAlign w:val="center"/>
          </w:tcPr>
          <w:p w14:paraId="15BCCC48">
            <w:pPr>
              <w:pStyle w:val="52"/>
              <w:jc w:val="center"/>
              <w:rPr>
                <w:rFonts w:hint="eastAsia" w:ascii="宋体" w:hAnsi="宋体" w:eastAsia="宋体" w:cs="宋体"/>
                <w:color w:val="auto"/>
                <w:sz w:val="21"/>
                <w:szCs w:val="21"/>
                <w:highlight w:val="none"/>
              </w:rPr>
            </w:pPr>
          </w:p>
        </w:tc>
      </w:tr>
      <w:tr w14:paraId="361F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1F51D1EA">
            <w:pPr>
              <w:pStyle w:val="52"/>
              <w:jc w:val="center"/>
              <w:rPr>
                <w:rFonts w:hint="eastAsia" w:ascii="宋体" w:hAnsi="宋体" w:eastAsia="宋体" w:cs="宋体"/>
                <w:color w:val="auto"/>
                <w:sz w:val="21"/>
                <w:szCs w:val="21"/>
                <w:highlight w:val="none"/>
              </w:rPr>
            </w:pPr>
          </w:p>
        </w:tc>
        <w:tc>
          <w:tcPr>
            <w:tcW w:w="1159" w:type="pct"/>
            <w:vAlign w:val="center"/>
          </w:tcPr>
          <w:p w14:paraId="1204324D">
            <w:pPr>
              <w:pStyle w:val="52"/>
              <w:jc w:val="center"/>
              <w:rPr>
                <w:rFonts w:hint="eastAsia" w:ascii="宋体" w:hAnsi="宋体" w:eastAsia="宋体" w:cs="宋体"/>
                <w:color w:val="auto"/>
                <w:sz w:val="21"/>
                <w:szCs w:val="21"/>
                <w:highlight w:val="none"/>
              </w:rPr>
            </w:pPr>
          </w:p>
        </w:tc>
        <w:tc>
          <w:tcPr>
            <w:tcW w:w="1031" w:type="pct"/>
            <w:vAlign w:val="center"/>
          </w:tcPr>
          <w:p w14:paraId="36FD0F55">
            <w:pPr>
              <w:pStyle w:val="52"/>
              <w:jc w:val="center"/>
              <w:rPr>
                <w:rFonts w:hint="eastAsia" w:ascii="宋体" w:hAnsi="宋体" w:eastAsia="宋体" w:cs="宋体"/>
                <w:color w:val="auto"/>
                <w:sz w:val="21"/>
                <w:szCs w:val="21"/>
                <w:highlight w:val="none"/>
              </w:rPr>
            </w:pPr>
          </w:p>
        </w:tc>
        <w:tc>
          <w:tcPr>
            <w:tcW w:w="1265" w:type="pct"/>
            <w:vAlign w:val="center"/>
          </w:tcPr>
          <w:p w14:paraId="6D3AA7E1">
            <w:pPr>
              <w:pStyle w:val="52"/>
              <w:jc w:val="center"/>
              <w:rPr>
                <w:rFonts w:hint="eastAsia" w:ascii="宋体" w:hAnsi="宋体" w:eastAsia="宋体" w:cs="宋体"/>
                <w:color w:val="auto"/>
                <w:sz w:val="21"/>
                <w:szCs w:val="21"/>
                <w:highlight w:val="none"/>
              </w:rPr>
            </w:pPr>
          </w:p>
        </w:tc>
        <w:tc>
          <w:tcPr>
            <w:tcW w:w="1135" w:type="pct"/>
            <w:vAlign w:val="center"/>
          </w:tcPr>
          <w:p w14:paraId="449BE1FC">
            <w:pPr>
              <w:pStyle w:val="52"/>
              <w:jc w:val="center"/>
              <w:rPr>
                <w:rFonts w:hint="eastAsia" w:ascii="宋体" w:hAnsi="宋体" w:eastAsia="宋体" w:cs="宋体"/>
                <w:color w:val="auto"/>
                <w:sz w:val="21"/>
                <w:szCs w:val="21"/>
                <w:highlight w:val="none"/>
              </w:rPr>
            </w:pPr>
          </w:p>
        </w:tc>
      </w:tr>
      <w:tr w14:paraId="7E84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6ECE9C6C">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59" w:type="pct"/>
            <w:vAlign w:val="center"/>
          </w:tcPr>
          <w:p w14:paraId="69EDFD22">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0D19C04A">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16652C7B">
            <w:pPr>
              <w:pStyle w:val="5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35" w:type="pct"/>
            <w:vAlign w:val="center"/>
          </w:tcPr>
          <w:p w14:paraId="7E732B44">
            <w:pPr>
              <w:pStyle w:val="52"/>
              <w:jc w:val="center"/>
              <w:rPr>
                <w:rFonts w:hint="eastAsia" w:ascii="宋体" w:hAnsi="宋体" w:eastAsia="宋体" w:cs="宋体"/>
                <w:color w:val="auto"/>
                <w:sz w:val="21"/>
                <w:szCs w:val="21"/>
                <w:highlight w:val="none"/>
              </w:rPr>
            </w:pPr>
          </w:p>
        </w:tc>
      </w:tr>
    </w:tbl>
    <w:p w14:paraId="7A96DC4C">
      <w:pPr>
        <w:ind w:firstLine="420" w:firstLineChars="200"/>
        <w:rPr>
          <w:rFonts w:hint="eastAsia" w:cs="仿宋_GB2312"/>
          <w:color w:val="auto"/>
          <w:sz w:val="21"/>
          <w:szCs w:val="21"/>
          <w:highlight w:val="none"/>
        </w:rPr>
      </w:pPr>
    </w:p>
    <w:p w14:paraId="2F5D40B2">
      <w:pPr>
        <w:ind w:firstLine="420" w:firstLineChars="200"/>
        <w:rPr>
          <w:rFonts w:cs="仿宋_GB2312"/>
          <w:color w:val="auto"/>
          <w:sz w:val="21"/>
          <w:szCs w:val="21"/>
          <w:highlight w:val="none"/>
        </w:rPr>
      </w:pPr>
      <w:r>
        <w:rPr>
          <w:rFonts w:hint="eastAsia" w:cs="仿宋_GB2312"/>
          <w:color w:val="auto"/>
          <w:sz w:val="21"/>
          <w:szCs w:val="21"/>
          <w:highlight w:val="none"/>
        </w:rPr>
        <w:t>说明：投标人应按照招标文件“第三章 采购需求”</w:t>
      </w:r>
      <w:r>
        <w:rPr>
          <w:rFonts w:hint="eastAsia" w:cs="仿宋_GB2312"/>
          <w:color w:val="auto"/>
          <w:sz w:val="21"/>
          <w:szCs w:val="21"/>
          <w:highlight w:val="none"/>
          <w:lang w:val="en-US" w:eastAsia="zh-CN"/>
        </w:rPr>
        <w:t>中的技术要求</w:t>
      </w:r>
      <w:r>
        <w:rPr>
          <w:rFonts w:hint="eastAsia" w:cs="仿宋_GB2312"/>
          <w:color w:val="auto"/>
          <w:sz w:val="21"/>
          <w:szCs w:val="21"/>
          <w:highlight w:val="none"/>
        </w:rPr>
        <w:t>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“响应/正偏离/负偏离”应据实填写“响应”、“正偏离”或“负偏离”</w:t>
      </w:r>
      <w:r>
        <w:rPr>
          <w:rFonts w:hint="eastAsia" w:cs="仿宋_GB2312"/>
          <w:color w:val="auto"/>
          <w:sz w:val="21"/>
          <w:szCs w:val="21"/>
          <w:highlight w:val="none"/>
        </w:rPr>
        <w:t>。</w:t>
      </w:r>
    </w:p>
    <w:p w14:paraId="7D87EEFE">
      <w:pPr>
        <w:ind w:firstLine="480" w:firstLineChars="200"/>
        <w:rPr>
          <w:rFonts w:cs="仿宋_GB2312"/>
          <w:color w:val="auto"/>
          <w:szCs w:val="24"/>
          <w:highlight w:val="none"/>
        </w:rPr>
      </w:pPr>
    </w:p>
    <w:p w14:paraId="53059121">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p>
    <w:p w14:paraId="27EF6D84">
      <w:pPr>
        <w:ind w:firstLine="420"/>
        <w:rPr>
          <w:rFonts w:cs="仿宋_GB2312"/>
          <w:color w:val="auto"/>
          <w:szCs w:val="24"/>
          <w:highlight w:val="none"/>
        </w:rPr>
      </w:pPr>
      <w:r>
        <w:rPr>
          <w:rFonts w:hint="eastAsia" w:cs="仿宋_GB2312"/>
          <w:color w:val="auto"/>
          <w:szCs w:val="24"/>
          <w:highlight w:val="none"/>
        </w:rPr>
        <w:t>日      期：</w:t>
      </w:r>
    </w:p>
    <w:p w14:paraId="1685FB85">
      <w:pPr>
        <w:ind w:firstLine="420"/>
        <w:rPr>
          <w:rFonts w:cs="仿宋_GB2312"/>
          <w:color w:val="auto"/>
          <w:szCs w:val="24"/>
          <w:highlight w:val="none"/>
        </w:rPr>
      </w:pPr>
    </w:p>
    <w:p w14:paraId="3095974B">
      <w:pPr>
        <w:ind w:firstLine="420"/>
        <w:rPr>
          <w:rFonts w:cs="仿宋_GB2312"/>
          <w:color w:val="auto"/>
          <w:szCs w:val="24"/>
          <w:highlight w:val="none"/>
        </w:rPr>
      </w:pPr>
    </w:p>
    <w:p w14:paraId="5228E054">
      <w:pPr>
        <w:ind w:firstLine="420"/>
        <w:rPr>
          <w:rFonts w:hint="eastAsia" w:cs="仿宋_GB2312"/>
          <w:color w:val="auto"/>
          <w:szCs w:val="24"/>
          <w:highlight w:val="none"/>
          <w:lang w:val="en-US" w:eastAsia="zh-CN"/>
        </w:rPr>
      </w:pPr>
      <w:r>
        <w:rPr>
          <w:rFonts w:hint="eastAsia" w:cs="仿宋_GB2312"/>
          <w:color w:val="auto"/>
          <w:sz w:val="21"/>
          <w:szCs w:val="21"/>
          <w:highlight w:val="none"/>
          <w:lang w:val="en-US" w:eastAsia="zh-CN"/>
        </w:rPr>
        <w:t>备注：投标人在本表中须标注技术响应的实际数值或内容，照搬照抄采购文件内容、不注明实际响应内容者</w:t>
      </w:r>
      <w:r>
        <w:rPr>
          <w:rFonts w:hint="eastAsia" w:cs="仿宋_GB2312"/>
          <w:b/>
          <w:bCs/>
          <w:color w:val="auto"/>
          <w:sz w:val="21"/>
          <w:szCs w:val="21"/>
          <w:highlight w:val="none"/>
          <w:lang w:val="en-US" w:eastAsia="zh-CN"/>
        </w:rPr>
        <w:t>视为未响应</w:t>
      </w:r>
      <w:r>
        <w:rPr>
          <w:rFonts w:hint="eastAsia" w:cs="仿宋_GB2312"/>
          <w:color w:val="auto"/>
          <w:sz w:val="21"/>
          <w:szCs w:val="21"/>
          <w:highlight w:val="none"/>
          <w:lang w:val="en-US" w:eastAsia="zh-CN"/>
        </w:rPr>
        <w:t>。</w:t>
      </w:r>
    </w:p>
    <w:p w14:paraId="49A1A5E5">
      <w:pPr>
        <w:ind w:firstLine="420"/>
        <w:rPr>
          <w:rFonts w:cs="仿宋_GB2312"/>
          <w:color w:val="auto"/>
          <w:szCs w:val="24"/>
          <w:highlight w:val="none"/>
        </w:rPr>
      </w:pPr>
      <w:r>
        <w:rPr>
          <w:rFonts w:cs="仿宋_GB2312"/>
          <w:color w:val="auto"/>
          <w:szCs w:val="24"/>
          <w:highlight w:val="none"/>
        </w:rPr>
        <w:br w:type="page"/>
      </w:r>
    </w:p>
    <w:p w14:paraId="06C98EB9">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38" w:name="_Toc9988"/>
      <w:r>
        <w:rPr>
          <w:rFonts w:hint="eastAsia" w:cstheme="majorBidi"/>
          <w:b/>
          <w:bCs/>
          <w:color w:val="auto"/>
          <w:kern w:val="2"/>
          <w:sz w:val="32"/>
          <w:szCs w:val="32"/>
          <w:highlight w:val="none"/>
          <w:lang w:val="en-US" w:eastAsia="zh-CN" w:bidi="ar-SA"/>
        </w:rPr>
        <w:t>十六</w:t>
      </w:r>
      <w:r>
        <w:rPr>
          <w:rFonts w:hint="eastAsia" w:eastAsia="宋体" w:asciiTheme="majorHAnsi" w:hAnsiTheme="majorHAnsi" w:cstheme="majorBidi"/>
          <w:b/>
          <w:bCs/>
          <w:color w:val="auto"/>
          <w:kern w:val="2"/>
          <w:sz w:val="32"/>
          <w:szCs w:val="32"/>
          <w:highlight w:val="none"/>
          <w:lang w:val="en-US" w:eastAsia="zh-CN" w:bidi="ar-SA"/>
        </w:rPr>
        <w:t>、技术方案</w:t>
      </w:r>
      <w:bookmarkEnd w:id="838"/>
    </w:p>
    <w:p w14:paraId="7078B366">
      <w:pPr>
        <w:pStyle w:val="40"/>
        <w:rPr>
          <w:rFonts w:hint="eastAsia"/>
          <w:color w:val="auto"/>
          <w:highlight w:val="none"/>
        </w:rPr>
      </w:pPr>
      <w:r>
        <w:rPr>
          <w:rFonts w:hint="eastAsia"/>
          <w:color w:val="auto"/>
          <w:highlight w:val="none"/>
        </w:rPr>
        <w:t>投标人应按照招标文件的要求，提供详细的服务方案，包括文字描述或图表显示。格式自拟。</w:t>
      </w:r>
    </w:p>
    <w:p w14:paraId="7EE77353">
      <w:pPr>
        <w:pStyle w:val="40"/>
        <w:rPr>
          <w:color w:val="auto"/>
          <w:highlight w:val="none"/>
        </w:rPr>
      </w:pPr>
      <w:r>
        <w:rPr>
          <w:color w:val="auto"/>
          <w:highlight w:val="none"/>
        </w:rPr>
        <w:br w:type="page"/>
      </w:r>
    </w:p>
    <w:p w14:paraId="3D755871">
      <w:pPr>
        <w:pStyle w:val="7"/>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39" w:name="_Toc19458"/>
      <w:r>
        <w:rPr>
          <w:rFonts w:hint="eastAsia" w:eastAsia="宋体" w:asciiTheme="majorHAnsi" w:hAnsiTheme="majorHAnsi" w:cstheme="majorBidi"/>
          <w:b/>
          <w:bCs/>
          <w:color w:val="auto"/>
          <w:kern w:val="2"/>
          <w:sz w:val="32"/>
          <w:szCs w:val="32"/>
          <w:highlight w:val="none"/>
          <w:lang w:val="en-US" w:eastAsia="zh-CN" w:bidi="ar-SA"/>
        </w:rPr>
        <w:t>十</w:t>
      </w:r>
      <w:r>
        <w:rPr>
          <w:rFonts w:hint="eastAsia" w:cstheme="majorBidi"/>
          <w:b/>
          <w:bCs/>
          <w:color w:val="auto"/>
          <w:kern w:val="2"/>
          <w:sz w:val="32"/>
          <w:szCs w:val="32"/>
          <w:highlight w:val="none"/>
          <w:lang w:val="en-US" w:eastAsia="zh-CN" w:bidi="ar-SA"/>
        </w:rPr>
        <w:t>七</w:t>
      </w:r>
      <w:r>
        <w:rPr>
          <w:rFonts w:hint="eastAsia" w:eastAsia="宋体" w:asciiTheme="majorHAnsi" w:hAnsiTheme="majorHAnsi" w:cstheme="majorBidi"/>
          <w:b/>
          <w:bCs/>
          <w:color w:val="auto"/>
          <w:kern w:val="2"/>
          <w:sz w:val="32"/>
          <w:szCs w:val="32"/>
          <w:highlight w:val="none"/>
          <w:lang w:val="en-US" w:eastAsia="zh-CN" w:bidi="ar-SA"/>
        </w:rPr>
        <w:t>、其他文件</w:t>
      </w:r>
      <w:bookmarkEnd w:id="839"/>
    </w:p>
    <w:p w14:paraId="6EF40482">
      <w:pPr>
        <w:pStyle w:val="40"/>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一）</w:t>
      </w:r>
      <w:r>
        <w:rPr>
          <w:rFonts w:hint="eastAsia"/>
          <w:b/>
          <w:bCs/>
          <w:color w:val="auto"/>
          <w:sz w:val="24"/>
          <w:szCs w:val="24"/>
          <w:highlight w:val="none"/>
        </w:rPr>
        <w:t>招标文件要求提供的其它商务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技术资料和证明材料；</w:t>
      </w:r>
    </w:p>
    <w:p w14:paraId="09B7BCDB">
      <w:pPr>
        <w:pStyle w:val="40"/>
        <w:rPr>
          <w:rFonts w:hint="eastAsia"/>
          <w:color w:val="auto"/>
          <w:sz w:val="24"/>
          <w:szCs w:val="24"/>
          <w:highlight w:val="none"/>
          <w:lang w:val="en-US" w:eastAsia="zh-CN"/>
        </w:rPr>
      </w:pPr>
      <w:r>
        <w:rPr>
          <w:rFonts w:hint="eastAsia"/>
          <w:color w:val="auto"/>
          <w:sz w:val="24"/>
          <w:szCs w:val="24"/>
          <w:highlight w:val="none"/>
          <w:lang w:val="en-US" w:eastAsia="zh-CN"/>
        </w:rPr>
        <w:t>1.1供应商信息采集表</w:t>
      </w:r>
    </w:p>
    <w:tbl>
      <w:tblPr>
        <w:tblStyle w:val="34"/>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2399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1DAB5D76">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供应商名称</w:t>
            </w:r>
          </w:p>
        </w:tc>
        <w:tc>
          <w:tcPr>
            <w:tcW w:w="2841" w:type="dxa"/>
            <w:vAlign w:val="center"/>
          </w:tcPr>
          <w:p w14:paraId="7E8BFF2C">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供应商实际控制人性别</w:t>
            </w:r>
          </w:p>
        </w:tc>
        <w:tc>
          <w:tcPr>
            <w:tcW w:w="2743" w:type="dxa"/>
            <w:vAlign w:val="center"/>
          </w:tcPr>
          <w:p w14:paraId="27FEC6CB">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外商投资类型</w:t>
            </w:r>
          </w:p>
        </w:tc>
      </w:tr>
      <w:tr w14:paraId="6C82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00EF63A6">
            <w:pPr>
              <w:pStyle w:val="40"/>
              <w:rPr>
                <w:rFonts w:hint="eastAsia" w:ascii="宋体" w:hAnsi="宋体" w:eastAsia="宋体" w:cs="宋体"/>
                <w:color w:val="auto"/>
                <w:sz w:val="24"/>
                <w:szCs w:val="24"/>
                <w:highlight w:val="none"/>
                <w:vertAlign w:val="baseline"/>
                <w:lang w:val="en-US" w:eastAsia="zh-CN"/>
              </w:rPr>
            </w:pPr>
          </w:p>
        </w:tc>
        <w:tc>
          <w:tcPr>
            <w:tcW w:w="2841" w:type="dxa"/>
          </w:tcPr>
          <w:p w14:paraId="2C8A474B">
            <w:pPr>
              <w:pStyle w:val="40"/>
              <w:rPr>
                <w:rFonts w:hint="eastAsia" w:ascii="宋体" w:hAnsi="宋体" w:eastAsia="宋体" w:cs="宋体"/>
                <w:color w:val="auto"/>
                <w:sz w:val="24"/>
                <w:szCs w:val="24"/>
                <w:highlight w:val="none"/>
                <w:vertAlign w:val="baseline"/>
                <w:lang w:val="en-US" w:eastAsia="zh-CN"/>
              </w:rPr>
            </w:pPr>
          </w:p>
        </w:tc>
        <w:tc>
          <w:tcPr>
            <w:tcW w:w="2743" w:type="dxa"/>
          </w:tcPr>
          <w:p w14:paraId="2F4800D6">
            <w:pPr>
              <w:pStyle w:val="40"/>
              <w:rPr>
                <w:rFonts w:hint="eastAsia" w:ascii="宋体" w:hAnsi="宋体" w:eastAsia="宋体" w:cs="宋体"/>
                <w:color w:val="auto"/>
                <w:sz w:val="24"/>
                <w:szCs w:val="24"/>
                <w:highlight w:val="none"/>
                <w:vertAlign w:val="baseline"/>
                <w:lang w:val="en-US" w:eastAsia="zh-CN"/>
              </w:rPr>
            </w:pPr>
          </w:p>
        </w:tc>
      </w:tr>
      <w:tr w14:paraId="2A15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8538042">
            <w:pPr>
              <w:pStyle w:val="40"/>
              <w:rPr>
                <w:rFonts w:hint="eastAsia" w:ascii="宋体" w:hAnsi="宋体" w:eastAsia="宋体" w:cs="宋体"/>
                <w:color w:val="auto"/>
                <w:sz w:val="24"/>
                <w:szCs w:val="24"/>
                <w:highlight w:val="none"/>
                <w:vertAlign w:val="baseline"/>
                <w:lang w:val="en-US" w:eastAsia="zh-CN"/>
              </w:rPr>
            </w:pPr>
          </w:p>
        </w:tc>
        <w:tc>
          <w:tcPr>
            <w:tcW w:w="2841" w:type="dxa"/>
          </w:tcPr>
          <w:p w14:paraId="15D28C08">
            <w:pPr>
              <w:pStyle w:val="40"/>
              <w:rPr>
                <w:rFonts w:hint="eastAsia" w:ascii="宋体" w:hAnsi="宋体" w:eastAsia="宋体" w:cs="宋体"/>
                <w:color w:val="auto"/>
                <w:sz w:val="24"/>
                <w:szCs w:val="24"/>
                <w:highlight w:val="none"/>
                <w:vertAlign w:val="baseline"/>
                <w:lang w:val="en-US" w:eastAsia="zh-CN"/>
              </w:rPr>
            </w:pPr>
          </w:p>
        </w:tc>
        <w:tc>
          <w:tcPr>
            <w:tcW w:w="2743" w:type="dxa"/>
          </w:tcPr>
          <w:p w14:paraId="31FE53FE">
            <w:pPr>
              <w:pStyle w:val="40"/>
              <w:rPr>
                <w:rFonts w:hint="eastAsia" w:ascii="宋体" w:hAnsi="宋体" w:eastAsia="宋体" w:cs="宋体"/>
                <w:color w:val="auto"/>
                <w:sz w:val="24"/>
                <w:szCs w:val="24"/>
                <w:highlight w:val="none"/>
                <w:vertAlign w:val="baseline"/>
                <w:lang w:val="en-US" w:eastAsia="zh-CN"/>
              </w:rPr>
            </w:pPr>
          </w:p>
        </w:tc>
      </w:tr>
      <w:tr w14:paraId="74D5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0EF0ABBA">
            <w:pPr>
              <w:pStyle w:val="40"/>
              <w:rPr>
                <w:rFonts w:hint="eastAsia" w:ascii="宋体" w:hAnsi="宋体" w:eastAsia="宋体" w:cs="宋体"/>
                <w:color w:val="auto"/>
                <w:sz w:val="24"/>
                <w:szCs w:val="24"/>
                <w:highlight w:val="none"/>
                <w:vertAlign w:val="baseline"/>
                <w:lang w:val="en-US" w:eastAsia="zh-CN"/>
              </w:rPr>
            </w:pPr>
          </w:p>
        </w:tc>
        <w:tc>
          <w:tcPr>
            <w:tcW w:w="2841" w:type="dxa"/>
          </w:tcPr>
          <w:p w14:paraId="15A0EA10">
            <w:pPr>
              <w:pStyle w:val="40"/>
              <w:rPr>
                <w:rFonts w:hint="eastAsia" w:ascii="宋体" w:hAnsi="宋体" w:eastAsia="宋体" w:cs="宋体"/>
                <w:color w:val="auto"/>
                <w:sz w:val="24"/>
                <w:szCs w:val="24"/>
                <w:highlight w:val="none"/>
                <w:vertAlign w:val="baseline"/>
                <w:lang w:val="en-US" w:eastAsia="zh-CN"/>
              </w:rPr>
            </w:pPr>
          </w:p>
        </w:tc>
        <w:tc>
          <w:tcPr>
            <w:tcW w:w="2743" w:type="dxa"/>
          </w:tcPr>
          <w:p w14:paraId="4DD25543">
            <w:pPr>
              <w:pStyle w:val="40"/>
              <w:rPr>
                <w:rFonts w:hint="eastAsia" w:ascii="宋体" w:hAnsi="宋体" w:eastAsia="宋体" w:cs="宋体"/>
                <w:color w:val="auto"/>
                <w:sz w:val="24"/>
                <w:szCs w:val="24"/>
                <w:highlight w:val="none"/>
                <w:vertAlign w:val="baseline"/>
                <w:lang w:val="en-US" w:eastAsia="zh-CN"/>
              </w:rPr>
            </w:pPr>
          </w:p>
        </w:tc>
      </w:tr>
      <w:tr w14:paraId="000F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6B6D0E2F">
            <w:pPr>
              <w:pStyle w:val="40"/>
              <w:rPr>
                <w:rFonts w:hint="eastAsia" w:ascii="宋体" w:hAnsi="宋体" w:eastAsia="宋体" w:cs="宋体"/>
                <w:color w:val="auto"/>
                <w:sz w:val="24"/>
                <w:szCs w:val="24"/>
                <w:highlight w:val="none"/>
                <w:vertAlign w:val="baseline"/>
                <w:lang w:val="en-US" w:eastAsia="zh-CN"/>
              </w:rPr>
            </w:pPr>
          </w:p>
        </w:tc>
        <w:tc>
          <w:tcPr>
            <w:tcW w:w="2841" w:type="dxa"/>
          </w:tcPr>
          <w:p w14:paraId="7437EC56">
            <w:pPr>
              <w:pStyle w:val="40"/>
              <w:rPr>
                <w:rFonts w:hint="eastAsia" w:ascii="宋体" w:hAnsi="宋体" w:eastAsia="宋体" w:cs="宋体"/>
                <w:color w:val="auto"/>
                <w:sz w:val="24"/>
                <w:szCs w:val="24"/>
                <w:highlight w:val="none"/>
                <w:vertAlign w:val="baseline"/>
                <w:lang w:val="en-US" w:eastAsia="zh-CN"/>
              </w:rPr>
            </w:pPr>
          </w:p>
        </w:tc>
        <w:tc>
          <w:tcPr>
            <w:tcW w:w="2743" w:type="dxa"/>
          </w:tcPr>
          <w:p w14:paraId="769E8F28">
            <w:pPr>
              <w:pStyle w:val="40"/>
              <w:rPr>
                <w:rFonts w:hint="eastAsia" w:ascii="宋体" w:hAnsi="宋体" w:eastAsia="宋体" w:cs="宋体"/>
                <w:color w:val="auto"/>
                <w:sz w:val="24"/>
                <w:szCs w:val="24"/>
                <w:highlight w:val="none"/>
                <w:vertAlign w:val="baseline"/>
                <w:lang w:val="en-US" w:eastAsia="zh-CN"/>
              </w:rPr>
            </w:pPr>
          </w:p>
        </w:tc>
      </w:tr>
    </w:tbl>
    <w:p w14:paraId="3318F9F0">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注：1.供应商如为联合体，则应填写联合体各成员信息。 </w:t>
      </w:r>
    </w:p>
    <w:p w14:paraId="53D1AE7E">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cs="宋体"/>
          <w:color w:val="auto"/>
          <w:kern w:val="0"/>
          <w:sz w:val="21"/>
          <w:szCs w:val="21"/>
          <w:highlight w:val="none"/>
          <w:lang w:val="en-US" w:eastAsia="zh-CN" w:bidi="ar"/>
        </w:rPr>
        <w:t>“供应商实际控制人性别”</w:t>
      </w:r>
      <w:r>
        <w:rPr>
          <w:rFonts w:hint="eastAsia" w:ascii="宋体" w:hAnsi="宋体" w:eastAsia="宋体" w:cs="宋体"/>
          <w:color w:val="auto"/>
          <w:kern w:val="0"/>
          <w:sz w:val="21"/>
          <w:szCs w:val="21"/>
          <w:highlight w:val="none"/>
          <w:lang w:val="en-US" w:eastAsia="zh-CN" w:bidi="ar"/>
        </w:rPr>
        <w:t>按供应商实际控制人性别划分请填写“男”或“女”，指拥有供应商 51%以上绝对所有权的性；绝对所有权拥有者可以是一个人，也可以是多人合计计算。</w:t>
      </w:r>
    </w:p>
    <w:p w14:paraId="6C85D95C">
      <w:pPr>
        <w:pStyle w:val="40"/>
        <w:ind w:left="0" w:leftChars="0" w:firstLine="420" w:firstLineChars="200"/>
        <w:rPr>
          <w:rFonts w:hint="eastAsia"/>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外商投资类型</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请填写“外商单独投资”、“外商部分投资”或“内资”。</w:t>
      </w:r>
    </w:p>
    <w:p w14:paraId="74B37C36">
      <w:pPr>
        <w:pStyle w:val="40"/>
        <w:rPr>
          <w:rFonts w:hint="eastAsia"/>
          <w:color w:val="auto"/>
          <w:sz w:val="28"/>
          <w:szCs w:val="28"/>
          <w:highlight w:val="none"/>
          <w:lang w:val="en-US" w:eastAsia="zh-CN"/>
        </w:rPr>
      </w:pPr>
    </w:p>
    <w:p w14:paraId="3CD7B018">
      <w:pPr>
        <w:pStyle w:val="40"/>
        <w:rPr>
          <w:rFonts w:hint="eastAsia"/>
          <w:color w:val="auto"/>
          <w:sz w:val="24"/>
          <w:szCs w:val="24"/>
          <w:highlight w:val="none"/>
          <w:lang w:val="en-US" w:eastAsia="zh-CN"/>
        </w:rPr>
      </w:pPr>
      <w:r>
        <w:rPr>
          <w:rFonts w:hint="eastAsia"/>
          <w:color w:val="auto"/>
          <w:sz w:val="24"/>
          <w:szCs w:val="24"/>
          <w:highlight w:val="none"/>
          <w:lang w:val="en-US" w:eastAsia="zh-CN"/>
        </w:rPr>
        <w:t>1.2其它商务、技术资料和证明材料</w:t>
      </w:r>
    </w:p>
    <w:p w14:paraId="45C8EB48">
      <w:pPr>
        <w:pStyle w:val="40"/>
        <w:ind w:left="0" w:leftChars="0" w:firstLine="0" w:firstLineChars="0"/>
        <w:rPr>
          <w:rFonts w:hint="eastAsia"/>
          <w:b/>
          <w:bCs/>
          <w:color w:val="auto"/>
          <w:sz w:val="24"/>
          <w:szCs w:val="24"/>
          <w:highlight w:val="none"/>
          <w:lang w:eastAsia="zh-CN"/>
        </w:rPr>
      </w:pPr>
    </w:p>
    <w:p w14:paraId="7DF13FE9">
      <w:pPr>
        <w:pStyle w:val="40"/>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二）</w:t>
      </w:r>
      <w:r>
        <w:rPr>
          <w:rFonts w:hint="eastAsia"/>
          <w:b/>
          <w:bCs/>
          <w:color w:val="auto"/>
          <w:sz w:val="24"/>
          <w:szCs w:val="24"/>
          <w:highlight w:val="none"/>
        </w:rPr>
        <w:t>投标人认为需要提供的其它商务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技术资料和说明。</w:t>
      </w:r>
    </w:p>
    <w:p w14:paraId="6DA29BFF">
      <w:pPr>
        <w:pStyle w:val="40"/>
        <w:rPr>
          <w:rFonts w:hint="eastAsia"/>
          <w:color w:val="auto"/>
          <w:highlight w:val="none"/>
        </w:rPr>
      </w:pPr>
    </w:p>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FD85">
    <w:pPr>
      <w:pStyle w:val="23"/>
      <w:jc w:val="center"/>
    </w:pPr>
  </w:p>
  <w:p w14:paraId="23975237">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09AF0">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D0892">
                          <w:pPr>
                            <w:pStyle w:val="2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FD0892">
                    <w:pPr>
                      <w:pStyle w:val="23"/>
                    </w:pPr>
                    <w:r>
                      <w:fldChar w:fldCharType="begin"/>
                    </w:r>
                    <w:r>
                      <w:instrText xml:space="preserve"> PAGE  \* MERGEFORMAT </w:instrText>
                    </w:r>
                    <w:r>
                      <w:fldChar w:fldCharType="separate"/>
                    </w:r>
                    <w:r>
                      <w:t>- 1 -</w:t>
                    </w:r>
                    <w:r>
                      <w:fldChar w:fldCharType="end"/>
                    </w:r>
                  </w:p>
                </w:txbxContent>
              </v:textbox>
            </v:shape>
          </w:pict>
        </mc:Fallback>
      </mc:AlternateContent>
    </w:r>
  </w:p>
  <w:p w14:paraId="018F25D8">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3FE94">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21C1D">
                          <w:pPr>
                            <w:pStyle w:val="23"/>
                          </w:pPr>
                          <w:r>
                            <w:fldChar w:fldCharType="begin"/>
                          </w:r>
                          <w:r>
                            <w:instrText xml:space="preserve"> PAGE  \* MERGEFORMAT </w:instrText>
                          </w:r>
                          <w:r>
                            <w:fldChar w:fldCharType="separate"/>
                          </w:r>
                          <w:r>
                            <w:t>- 35 -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A21C1D">
                    <w:pPr>
                      <w:pStyle w:val="23"/>
                    </w:pPr>
                    <w:r>
                      <w:fldChar w:fldCharType="begin"/>
                    </w:r>
                    <w:r>
                      <w:instrText xml:space="preserve"> PAGE  \* MERGEFORMAT </w:instrText>
                    </w:r>
                    <w:r>
                      <w:fldChar w:fldCharType="separate"/>
                    </w:r>
                    <w:r>
                      <w:t>- 35 -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23"/>
      <w:keepNext w:val="0"/>
      <w:keepLines w:val="0"/>
      <w:pageBreakBefore w:val="0"/>
      <w:widowControl w:val="0"/>
      <w:kinsoku/>
      <w:wordWrap/>
      <w:overflowPunct/>
      <w:topLinePunct w:val="0"/>
      <w:bidi w:val="0"/>
      <w:adjustRightInd/>
      <w:snapToGrid w:val="0"/>
      <w:textAlignment w:val="auto"/>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B13B0">
                          <w:pPr>
                            <w:pStyle w:val="23"/>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9B13B0">
                    <w:pPr>
                      <w:pStyle w:val="23"/>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1052">
    <w:pPr>
      <w:pStyle w:val="2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A3684">
                          <w:pPr>
                            <w:pStyle w:val="23"/>
                          </w:pPr>
                          <w:r>
                            <w:fldChar w:fldCharType="begin"/>
                          </w:r>
                          <w:r>
                            <w:instrText xml:space="preserve"> PAGE  \* MERGEFORMAT </w:instrText>
                          </w:r>
                          <w:r>
                            <w:fldChar w:fldCharType="separate"/>
                          </w:r>
                          <w:r>
                            <w:t>- 84 -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DA3684">
                    <w:pPr>
                      <w:pStyle w:val="23"/>
                    </w:pPr>
                    <w:r>
                      <w:fldChar w:fldCharType="begin"/>
                    </w:r>
                    <w:r>
                      <w:instrText xml:space="preserve"> PAGE  \* MERGEFORMAT </w:instrText>
                    </w:r>
                    <w:r>
                      <w:fldChar w:fldCharType="separate"/>
                    </w:r>
                    <w:r>
                      <w:t>- 84 -</w:t>
                    </w:r>
                    <w:r>
                      <w:fldChar w:fldCharType="end"/>
                    </w:r>
                  </w:p>
                </w:txbxContent>
              </v:textbox>
            </v:shape>
          </w:pict>
        </mc:Fallback>
      </mc:AlternateContent>
    </w:r>
  </w:p>
  <w:p w14:paraId="4005E617">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7AC4">
    <w:pPr>
      <w:pStyle w:val="24"/>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A2C3B">
    <w:pPr>
      <w:pStyle w:val="24"/>
      <w:spacing w:line="240" w:lineRule="auto"/>
    </w:pPr>
    <w:r>
      <w:rPr>
        <w:rFonts w:hint="eastAsia"/>
        <w:sz w:val="24"/>
        <w:szCs w:val="24"/>
      </w:rPr>
      <w:t xml:space="preserve">                                  </w:t>
    </w:r>
    <w:r>
      <w:rPr>
        <w:rFonts w:hint="eastAsia"/>
      </w:rPr>
      <w:t>政府采购项目竞争性</w:t>
    </w:r>
    <w:r>
      <w:rPr>
        <w:rFonts w:hint="eastAsia"/>
        <w:lang w:eastAsia="zh-CN"/>
      </w:rPr>
      <w:t>招标</w:t>
    </w:r>
    <w:r>
      <w:rPr>
        <w:rFonts w:hint="eastAsia"/>
      </w:rPr>
      <w:t>文件示范文本（服务）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24"/>
    </w:pPr>
    <w:r>
      <w:rPr>
        <w:rFonts w:hint="eastAsia"/>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70575"/>
    <w:multiLevelType w:val="singleLevel"/>
    <w:tmpl w:val="9C070575"/>
    <w:lvl w:ilvl="0" w:tentative="0">
      <w:start w:val="1"/>
      <w:numFmt w:val="decimal"/>
      <w:pStyle w:val="11"/>
      <w:lvlText w:val="%1."/>
      <w:lvlJc w:val="left"/>
      <w:pPr>
        <w:tabs>
          <w:tab w:val="left" w:pos="780"/>
        </w:tabs>
        <w:ind w:left="780" w:hanging="360"/>
      </w:pPr>
    </w:lvl>
  </w:abstractNum>
  <w:abstractNum w:abstractNumId="1">
    <w:nsid w:val="DC8EB302"/>
    <w:multiLevelType w:val="singleLevel"/>
    <w:tmpl w:val="DC8EB302"/>
    <w:lvl w:ilvl="0" w:tentative="0">
      <w:start w:val="1"/>
      <w:numFmt w:val="decimal"/>
      <w:suff w:val="nothing"/>
      <w:lvlText w:val="%1、"/>
      <w:lvlJc w:val="left"/>
    </w:lvl>
  </w:abstractNum>
  <w:abstractNum w:abstractNumId="2">
    <w:nsid w:val="E13ECCE7"/>
    <w:multiLevelType w:val="singleLevel"/>
    <w:tmpl w:val="E13ECCE7"/>
    <w:lvl w:ilvl="0" w:tentative="0">
      <w:start w:val="3"/>
      <w:numFmt w:val="decimal"/>
      <w:lvlText w:val="%1."/>
      <w:lvlJc w:val="left"/>
      <w:pPr>
        <w:tabs>
          <w:tab w:val="left" w:pos="312"/>
        </w:tabs>
      </w:pPr>
    </w:lvl>
  </w:abstractNum>
  <w:abstractNum w:abstractNumId="3">
    <w:nsid w:val="1C761375"/>
    <w:multiLevelType w:val="multilevel"/>
    <w:tmpl w:val="1C76137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7B6378"/>
    <w:multiLevelType w:val="multilevel"/>
    <w:tmpl w:val="447B6378"/>
    <w:lvl w:ilvl="0" w:tentative="0">
      <w:start w:val="1"/>
      <w:numFmt w:val="decimal"/>
      <w:pStyle w:val="42"/>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5504026"/>
    <w:multiLevelType w:val="multilevel"/>
    <w:tmpl w:val="7550402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172A27"/>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22A4"/>
    <w:rsid w:val="00115EF7"/>
    <w:rsid w:val="0013642D"/>
    <w:rsid w:val="00146410"/>
    <w:rsid w:val="00150D67"/>
    <w:rsid w:val="00156600"/>
    <w:rsid w:val="00160E9C"/>
    <w:rsid w:val="00172190"/>
    <w:rsid w:val="00173480"/>
    <w:rsid w:val="00181988"/>
    <w:rsid w:val="00182557"/>
    <w:rsid w:val="0018304A"/>
    <w:rsid w:val="001904E9"/>
    <w:rsid w:val="001A77DE"/>
    <w:rsid w:val="001B36EC"/>
    <w:rsid w:val="001D7B23"/>
    <w:rsid w:val="001E2F56"/>
    <w:rsid w:val="002062E6"/>
    <w:rsid w:val="00207131"/>
    <w:rsid w:val="0022214D"/>
    <w:rsid w:val="00223585"/>
    <w:rsid w:val="002235CA"/>
    <w:rsid w:val="002317DB"/>
    <w:rsid w:val="00232245"/>
    <w:rsid w:val="0023265E"/>
    <w:rsid w:val="00235B5A"/>
    <w:rsid w:val="00251060"/>
    <w:rsid w:val="002514A3"/>
    <w:rsid w:val="00256B32"/>
    <w:rsid w:val="00256D01"/>
    <w:rsid w:val="002706F2"/>
    <w:rsid w:val="00271135"/>
    <w:rsid w:val="00285E30"/>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29A"/>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D6656"/>
    <w:rsid w:val="003E057C"/>
    <w:rsid w:val="003E2B14"/>
    <w:rsid w:val="003E314B"/>
    <w:rsid w:val="003F5655"/>
    <w:rsid w:val="003F5BC6"/>
    <w:rsid w:val="004021C6"/>
    <w:rsid w:val="00406BEF"/>
    <w:rsid w:val="00410595"/>
    <w:rsid w:val="00420F7C"/>
    <w:rsid w:val="0043307A"/>
    <w:rsid w:val="00433514"/>
    <w:rsid w:val="00446BB3"/>
    <w:rsid w:val="0045353D"/>
    <w:rsid w:val="004771C7"/>
    <w:rsid w:val="00481C3A"/>
    <w:rsid w:val="004851CA"/>
    <w:rsid w:val="0048656E"/>
    <w:rsid w:val="00493221"/>
    <w:rsid w:val="004A302C"/>
    <w:rsid w:val="004B539D"/>
    <w:rsid w:val="004C1FA1"/>
    <w:rsid w:val="004C3DCC"/>
    <w:rsid w:val="004E0BF9"/>
    <w:rsid w:val="004E0CF9"/>
    <w:rsid w:val="004F3FDD"/>
    <w:rsid w:val="004F46AB"/>
    <w:rsid w:val="00501A4A"/>
    <w:rsid w:val="00501E05"/>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714C6"/>
    <w:rsid w:val="00594E7A"/>
    <w:rsid w:val="005A146E"/>
    <w:rsid w:val="005A7208"/>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2EF7"/>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67FFD"/>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3C36"/>
    <w:rsid w:val="00924B8E"/>
    <w:rsid w:val="00930024"/>
    <w:rsid w:val="009344DE"/>
    <w:rsid w:val="009357E5"/>
    <w:rsid w:val="00936087"/>
    <w:rsid w:val="00945D17"/>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32474"/>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57B"/>
    <w:rsid w:val="00BC7ED2"/>
    <w:rsid w:val="00BD0190"/>
    <w:rsid w:val="00BE212E"/>
    <w:rsid w:val="00BE4AAB"/>
    <w:rsid w:val="00BE5086"/>
    <w:rsid w:val="00BF4971"/>
    <w:rsid w:val="00C07F40"/>
    <w:rsid w:val="00C12E85"/>
    <w:rsid w:val="00C16A79"/>
    <w:rsid w:val="00C20278"/>
    <w:rsid w:val="00C22791"/>
    <w:rsid w:val="00C236DC"/>
    <w:rsid w:val="00C31B7F"/>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7550"/>
    <w:rsid w:val="00E9413F"/>
    <w:rsid w:val="00E973D2"/>
    <w:rsid w:val="00EC7C64"/>
    <w:rsid w:val="00ED00D6"/>
    <w:rsid w:val="00EE26DC"/>
    <w:rsid w:val="00EE3FF1"/>
    <w:rsid w:val="00EE5816"/>
    <w:rsid w:val="00EF3D7E"/>
    <w:rsid w:val="00F03292"/>
    <w:rsid w:val="00F0565C"/>
    <w:rsid w:val="00F121AE"/>
    <w:rsid w:val="00F15852"/>
    <w:rsid w:val="00F23F4B"/>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064C9A"/>
    <w:rsid w:val="013E61E2"/>
    <w:rsid w:val="014F4893"/>
    <w:rsid w:val="01541EA9"/>
    <w:rsid w:val="01580C56"/>
    <w:rsid w:val="01781929"/>
    <w:rsid w:val="01877B89"/>
    <w:rsid w:val="019E3125"/>
    <w:rsid w:val="01D0068D"/>
    <w:rsid w:val="01D775B9"/>
    <w:rsid w:val="02026E30"/>
    <w:rsid w:val="020B6A0C"/>
    <w:rsid w:val="02132174"/>
    <w:rsid w:val="02186A33"/>
    <w:rsid w:val="0224187C"/>
    <w:rsid w:val="023130F5"/>
    <w:rsid w:val="024737BC"/>
    <w:rsid w:val="024C2B81"/>
    <w:rsid w:val="025A5C68"/>
    <w:rsid w:val="028604AE"/>
    <w:rsid w:val="029D33DC"/>
    <w:rsid w:val="02AD3196"/>
    <w:rsid w:val="02AE1145"/>
    <w:rsid w:val="02C44E0D"/>
    <w:rsid w:val="02DA63DE"/>
    <w:rsid w:val="02ED7EC0"/>
    <w:rsid w:val="03200295"/>
    <w:rsid w:val="035E2B6B"/>
    <w:rsid w:val="0361440A"/>
    <w:rsid w:val="036D7252"/>
    <w:rsid w:val="03773C2D"/>
    <w:rsid w:val="03922815"/>
    <w:rsid w:val="03C350C4"/>
    <w:rsid w:val="03E2554B"/>
    <w:rsid w:val="03EA08A3"/>
    <w:rsid w:val="03F51722"/>
    <w:rsid w:val="03F62DA4"/>
    <w:rsid w:val="04066E90"/>
    <w:rsid w:val="045126D0"/>
    <w:rsid w:val="045D72C7"/>
    <w:rsid w:val="047A5783"/>
    <w:rsid w:val="04820ADC"/>
    <w:rsid w:val="0487418D"/>
    <w:rsid w:val="04893C18"/>
    <w:rsid w:val="04B14F1D"/>
    <w:rsid w:val="04C17856"/>
    <w:rsid w:val="04F01EE9"/>
    <w:rsid w:val="04F574FF"/>
    <w:rsid w:val="04F72882"/>
    <w:rsid w:val="04FF212C"/>
    <w:rsid w:val="05235E1B"/>
    <w:rsid w:val="052D0A47"/>
    <w:rsid w:val="052E656D"/>
    <w:rsid w:val="053E0EA6"/>
    <w:rsid w:val="053F247C"/>
    <w:rsid w:val="05595CE0"/>
    <w:rsid w:val="057C377D"/>
    <w:rsid w:val="05812B41"/>
    <w:rsid w:val="05AA653C"/>
    <w:rsid w:val="05C72C4A"/>
    <w:rsid w:val="05CB2336"/>
    <w:rsid w:val="05D15877"/>
    <w:rsid w:val="05D215EF"/>
    <w:rsid w:val="05D2339D"/>
    <w:rsid w:val="05D37841"/>
    <w:rsid w:val="05DB04A3"/>
    <w:rsid w:val="05E530D0"/>
    <w:rsid w:val="06127C3D"/>
    <w:rsid w:val="061A4B24"/>
    <w:rsid w:val="06231E4A"/>
    <w:rsid w:val="06253E14"/>
    <w:rsid w:val="0633208D"/>
    <w:rsid w:val="06587D46"/>
    <w:rsid w:val="067032E2"/>
    <w:rsid w:val="067E3A29"/>
    <w:rsid w:val="06856661"/>
    <w:rsid w:val="069114AA"/>
    <w:rsid w:val="06AE7966"/>
    <w:rsid w:val="06B07B82"/>
    <w:rsid w:val="06DD649D"/>
    <w:rsid w:val="06EC66E0"/>
    <w:rsid w:val="06F04422"/>
    <w:rsid w:val="07020C1A"/>
    <w:rsid w:val="0709089A"/>
    <w:rsid w:val="071C5217"/>
    <w:rsid w:val="071D4AEC"/>
    <w:rsid w:val="07210A39"/>
    <w:rsid w:val="072242D3"/>
    <w:rsid w:val="072440CC"/>
    <w:rsid w:val="0737795B"/>
    <w:rsid w:val="073F4A62"/>
    <w:rsid w:val="07442078"/>
    <w:rsid w:val="076C53FA"/>
    <w:rsid w:val="076D22AC"/>
    <w:rsid w:val="0784404A"/>
    <w:rsid w:val="078608E3"/>
    <w:rsid w:val="07941252"/>
    <w:rsid w:val="07A25DD3"/>
    <w:rsid w:val="07A64AE1"/>
    <w:rsid w:val="07B55348"/>
    <w:rsid w:val="07EA70C4"/>
    <w:rsid w:val="07F0083A"/>
    <w:rsid w:val="08687FE8"/>
    <w:rsid w:val="08935065"/>
    <w:rsid w:val="08997D8A"/>
    <w:rsid w:val="08A76D63"/>
    <w:rsid w:val="08AD2074"/>
    <w:rsid w:val="08BB45BC"/>
    <w:rsid w:val="08C6368D"/>
    <w:rsid w:val="08D306C7"/>
    <w:rsid w:val="08D538D0"/>
    <w:rsid w:val="08D77648"/>
    <w:rsid w:val="08E04023"/>
    <w:rsid w:val="08EE4992"/>
    <w:rsid w:val="09077801"/>
    <w:rsid w:val="091C32AD"/>
    <w:rsid w:val="09212671"/>
    <w:rsid w:val="0926010A"/>
    <w:rsid w:val="09664528"/>
    <w:rsid w:val="09970B85"/>
    <w:rsid w:val="09975029"/>
    <w:rsid w:val="09AC1C5B"/>
    <w:rsid w:val="09AD03A9"/>
    <w:rsid w:val="09CE174C"/>
    <w:rsid w:val="09E613EC"/>
    <w:rsid w:val="09EA6F07"/>
    <w:rsid w:val="09F23B8C"/>
    <w:rsid w:val="09FE29B2"/>
    <w:rsid w:val="0A1C108A"/>
    <w:rsid w:val="0A2148F3"/>
    <w:rsid w:val="0A391C3C"/>
    <w:rsid w:val="0A3D172D"/>
    <w:rsid w:val="0A3E680D"/>
    <w:rsid w:val="0A831432"/>
    <w:rsid w:val="0A9B6453"/>
    <w:rsid w:val="0AAB338B"/>
    <w:rsid w:val="0AAF1EFF"/>
    <w:rsid w:val="0ABF0394"/>
    <w:rsid w:val="0ACE7788"/>
    <w:rsid w:val="0AD84599"/>
    <w:rsid w:val="0B05734A"/>
    <w:rsid w:val="0B0E131B"/>
    <w:rsid w:val="0B115FB9"/>
    <w:rsid w:val="0B1A381C"/>
    <w:rsid w:val="0B352404"/>
    <w:rsid w:val="0B386398"/>
    <w:rsid w:val="0B536D2E"/>
    <w:rsid w:val="0B5C2086"/>
    <w:rsid w:val="0B6727D9"/>
    <w:rsid w:val="0B674587"/>
    <w:rsid w:val="0B6B4077"/>
    <w:rsid w:val="0B6E5916"/>
    <w:rsid w:val="0B745622"/>
    <w:rsid w:val="0B76679F"/>
    <w:rsid w:val="0B7F5D75"/>
    <w:rsid w:val="0BB24C22"/>
    <w:rsid w:val="0BE45BD8"/>
    <w:rsid w:val="0BF202F5"/>
    <w:rsid w:val="0BFE313E"/>
    <w:rsid w:val="0C02649C"/>
    <w:rsid w:val="0C0A3890"/>
    <w:rsid w:val="0C1E6205"/>
    <w:rsid w:val="0C28640C"/>
    <w:rsid w:val="0C3C5A14"/>
    <w:rsid w:val="0C41302A"/>
    <w:rsid w:val="0C5A4DAC"/>
    <w:rsid w:val="0C874EE1"/>
    <w:rsid w:val="0C88488C"/>
    <w:rsid w:val="0C8A677F"/>
    <w:rsid w:val="0CC04897"/>
    <w:rsid w:val="0CD520F0"/>
    <w:rsid w:val="0CD67C16"/>
    <w:rsid w:val="0CD81BE1"/>
    <w:rsid w:val="0D0C53E6"/>
    <w:rsid w:val="0D1C7D1F"/>
    <w:rsid w:val="0D2210AE"/>
    <w:rsid w:val="0D2766C4"/>
    <w:rsid w:val="0D6B6E82"/>
    <w:rsid w:val="0D9D0734"/>
    <w:rsid w:val="0DA90E87"/>
    <w:rsid w:val="0DAF0B93"/>
    <w:rsid w:val="0DB241E0"/>
    <w:rsid w:val="0DB74AC1"/>
    <w:rsid w:val="0DC14423"/>
    <w:rsid w:val="0DC83A03"/>
    <w:rsid w:val="0DCD1019"/>
    <w:rsid w:val="0DE10B00"/>
    <w:rsid w:val="0DEF71E2"/>
    <w:rsid w:val="0E0D58BA"/>
    <w:rsid w:val="0E0F1632"/>
    <w:rsid w:val="0E342E47"/>
    <w:rsid w:val="0E460DCC"/>
    <w:rsid w:val="0E464928"/>
    <w:rsid w:val="0E651252"/>
    <w:rsid w:val="0E653000"/>
    <w:rsid w:val="0E6D45AA"/>
    <w:rsid w:val="0E72396F"/>
    <w:rsid w:val="0E796AAB"/>
    <w:rsid w:val="0E7C0027"/>
    <w:rsid w:val="0E7F6315"/>
    <w:rsid w:val="0E9543D1"/>
    <w:rsid w:val="0EA33B28"/>
    <w:rsid w:val="0EB208AB"/>
    <w:rsid w:val="0EB36461"/>
    <w:rsid w:val="0EB45D35"/>
    <w:rsid w:val="0EBD75FE"/>
    <w:rsid w:val="0EC817E1"/>
    <w:rsid w:val="0ECA5559"/>
    <w:rsid w:val="0ED53B2A"/>
    <w:rsid w:val="0EF600FC"/>
    <w:rsid w:val="0EFB0DFE"/>
    <w:rsid w:val="0F096081"/>
    <w:rsid w:val="0F1B5913"/>
    <w:rsid w:val="0F2442A2"/>
    <w:rsid w:val="0F3D21CF"/>
    <w:rsid w:val="0F4C0664"/>
    <w:rsid w:val="0F5A5835"/>
    <w:rsid w:val="0F9D4A1B"/>
    <w:rsid w:val="0FA638D0"/>
    <w:rsid w:val="0FAB538A"/>
    <w:rsid w:val="0FD33C3D"/>
    <w:rsid w:val="0FE8213B"/>
    <w:rsid w:val="0FF52AA9"/>
    <w:rsid w:val="10047D52"/>
    <w:rsid w:val="10150A56"/>
    <w:rsid w:val="10240C99"/>
    <w:rsid w:val="102723E9"/>
    <w:rsid w:val="102B64CB"/>
    <w:rsid w:val="107439CE"/>
    <w:rsid w:val="1090632E"/>
    <w:rsid w:val="109220A6"/>
    <w:rsid w:val="109B71AD"/>
    <w:rsid w:val="10A92DD3"/>
    <w:rsid w:val="10AF4A06"/>
    <w:rsid w:val="10BD54A5"/>
    <w:rsid w:val="10C55FD8"/>
    <w:rsid w:val="10C85AC8"/>
    <w:rsid w:val="10DF6E84"/>
    <w:rsid w:val="11036B00"/>
    <w:rsid w:val="11082369"/>
    <w:rsid w:val="11357D2A"/>
    <w:rsid w:val="113849FC"/>
    <w:rsid w:val="113A4C18"/>
    <w:rsid w:val="11457119"/>
    <w:rsid w:val="1147614B"/>
    <w:rsid w:val="116E48C1"/>
    <w:rsid w:val="11785740"/>
    <w:rsid w:val="11845E93"/>
    <w:rsid w:val="11867E5D"/>
    <w:rsid w:val="11A2456B"/>
    <w:rsid w:val="11AE5258"/>
    <w:rsid w:val="11B30526"/>
    <w:rsid w:val="11DA1F57"/>
    <w:rsid w:val="11DF30C9"/>
    <w:rsid w:val="11FA6155"/>
    <w:rsid w:val="12130FC5"/>
    <w:rsid w:val="12371157"/>
    <w:rsid w:val="12483364"/>
    <w:rsid w:val="127001C5"/>
    <w:rsid w:val="12771554"/>
    <w:rsid w:val="127759F8"/>
    <w:rsid w:val="127A0C92"/>
    <w:rsid w:val="127F48AC"/>
    <w:rsid w:val="12863E8D"/>
    <w:rsid w:val="129E4D32"/>
    <w:rsid w:val="12AD766B"/>
    <w:rsid w:val="12B91B6C"/>
    <w:rsid w:val="12BA7692"/>
    <w:rsid w:val="12BC165D"/>
    <w:rsid w:val="12CC5D44"/>
    <w:rsid w:val="12DE7825"/>
    <w:rsid w:val="12E3308D"/>
    <w:rsid w:val="12EA441C"/>
    <w:rsid w:val="12EF558E"/>
    <w:rsid w:val="13021765"/>
    <w:rsid w:val="13037AFF"/>
    <w:rsid w:val="13453400"/>
    <w:rsid w:val="13456351"/>
    <w:rsid w:val="134C0C32"/>
    <w:rsid w:val="137B79E1"/>
    <w:rsid w:val="137D0DEC"/>
    <w:rsid w:val="13833F28"/>
    <w:rsid w:val="13A03104"/>
    <w:rsid w:val="13E62E35"/>
    <w:rsid w:val="14065285"/>
    <w:rsid w:val="143F42F3"/>
    <w:rsid w:val="144731A8"/>
    <w:rsid w:val="1457788F"/>
    <w:rsid w:val="14717C9A"/>
    <w:rsid w:val="147F2942"/>
    <w:rsid w:val="14AF7789"/>
    <w:rsid w:val="14BF5434"/>
    <w:rsid w:val="14D50D33"/>
    <w:rsid w:val="14EF1875"/>
    <w:rsid w:val="14F50E56"/>
    <w:rsid w:val="151E65FF"/>
    <w:rsid w:val="152030DE"/>
    <w:rsid w:val="1537321C"/>
    <w:rsid w:val="154020D1"/>
    <w:rsid w:val="15A840F3"/>
    <w:rsid w:val="15C9656A"/>
    <w:rsid w:val="15FB249C"/>
    <w:rsid w:val="15FF3D3A"/>
    <w:rsid w:val="1602382A"/>
    <w:rsid w:val="16565924"/>
    <w:rsid w:val="16640041"/>
    <w:rsid w:val="16646293"/>
    <w:rsid w:val="16685D83"/>
    <w:rsid w:val="167C182F"/>
    <w:rsid w:val="167D1103"/>
    <w:rsid w:val="167D2FDD"/>
    <w:rsid w:val="168B406D"/>
    <w:rsid w:val="169052DA"/>
    <w:rsid w:val="16AE5760"/>
    <w:rsid w:val="16AE750E"/>
    <w:rsid w:val="16B40FC8"/>
    <w:rsid w:val="16BE3BF5"/>
    <w:rsid w:val="16C46D32"/>
    <w:rsid w:val="16D84122"/>
    <w:rsid w:val="16E1737A"/>
    <w:rsid w:val="16E3540A"/>
    <w:rsid w:val="16E442B3"/>
    <w:rsid w:val="1711641B"/>
    <w:rsid w:val="1719707D"/>
    <w:rsid w:val="17215F32"/>
    <w:rsid w:val="172872C1"/>
    <w:rsid w:val="17457E73"/>
    <w:rsid w:val="174C1201"/>
    <w:rsid w:val="174F6F43"/>
    <w:rsid w:val="176821F4"/>
    <w:rsid w:val="17710C68"/>
    <w:rsid w:val="177C760C"/>
    <w:rsid w:val="177E1C86"/>
    <w:rsid w:val="17912418"/>
    <w:rsid w:val="179B7A92"/>
    <w:rsid w:val="17AD77C6"/>
    <w:rsid w:val="17CB7119"/>
    <w:rsid w:val="17D2722C"/>
    <w:rsid w:val="17FB49D5"/>
    <w:rsid w:val="18041ADC"/>
    <w:rsid w:val="182E6B59"/>
    <w:rsid w:val="187C5B16"/>
    <w:rsid w:val="189246B5"/>
    <w:rsid w:val="18A706B9"/>
    <w:rsid w:val="18AB60A4"/>
    <w:rsid w:val="18C272A1"/>
    <w:rsid w:val="18CB43A7"/>
    <w:rsid w:val="18DA283C"/>
    <w:rsid w:val="18F733EE"/>
    <w:rsid w:val="18F90F15"/>
    <w:rsid w:val="19197809"/>
    <w:rsid w:val="192D6E10"/>
    <w:rsid w:val="1934019F"/>
    <w:rsid w:val="19373862"/>
    <w:rsid w:val="19520625"/>
    <w:rsid w:val="19526877"/>
    <w:rsid w:val="195E2798"/>
    <w:rsid w:val="19D2300F"/>
    <w:rsid w:val="1A0214BE"/>
    <w:rsid w:val="1A0E5C74"/>
    <w:rsid w:val="1A197394"/>
    <w:rsid w:val="1A312930"/>
    <w:rsid w:val="1A352420"/>
    <w:rsid w:val="1A512FD2"/>
    <w:rsid w:val="1A5D54D3"/>
    <w:rsid w:val="1A5F124B"/>
    <w:rsid w:val="1A6124EF"/>
    <w:rsid w:val="1A710493"/>
    <w:rsid w:val="1AB33908"/>
    <w:rsid w:val="1ADA2FC8"/>
    <w:rsid w:val="1AE23C2A"/>
    <w:rsid w:val="1AE259D8"/>
    <w:rsid w:val="1AE35507"/>
    <w:rsid w:val="1AEB2ADF"/>
    <w:rsid w:val="1B202B8B"/>
    <w:rsid w:val="1B3E3557"/>
    <w:rsid w:val="1B636B19"/>
    <w:rsid w:val="1B6805D3"/>
    <w:rsid w:val="1B7E1468"/>
    <w:rsid w:val="1B825739"/>
    <w:rsid w:val="1B83540D"/>
    <w:rsid w:val="1BC17CE4"/>
    <w:rsid w:val="1BCC0B62"/>
    <w:rsid w:val="1BDD4B1E"/>
    <w:rsid w:val="1BE718C7"/>
    <w:rsid w:val="1C146065"/>
    <w:rsid w:val="1C4032FE"/>
    <w:rsid w:val="1C406E5A"/>
    <w:rsid w:val="1C495921"/>
    <w:rsid w:val="1C744D56"/>
    <w:rsid w:val="1C7A6810"/>
    <w:rsid w:val="1C7B7E93"/>
    <w:rsid w:val="1C9C6787"/>
    <w:rsid w:val="1CA05B4B"/>
    <w:rsid w:val="1CA90EA4"/>
    <w:rsid w:val="1CAA6093"/>
    <w:rsid w:val="1CD770EC"/>
    <w:rsid w:val="1CE43C8A"/>
    <w:rsid w:val="1D0B1467"/>
    <w:rsid w:val="1D183933"/>
    <w:rsid w:val="1D1B3B0E"/>
    <w:rsid w:val="1D210A3A"/>
    <w:rsid w:val="1D214EDE"/>
    <w:rsid w:val="1D277CE5"/>
    <w:rsid w:val="1D291FE4"/>
    <w:rsid w:val="1D4A4435"/>
    <w:rsid w:val="1D524C10"/>
    <w:rsid w:val="1D61177E"/>
    <w:rsid w:val="1D7E7C3A"/>
    <w:rsid w:val="1D8D4321"/>
    <w:rsid w:val="1D9C27B6"/>
    <w:rsid w:val="1DA3118E"/>
    <w:rsid w:val="1DAA4ED3"/>
    <w:rsid w:val="1DC53ABB"/>
    <w:rsid w:val="1DC835AB"/>
    <w:rsid w:val="1DDB37DC"/>
    <w:rsid w:val="1DE2466D"/>
    <w:rsid w:val="1E206F43"/>
    <w:rsid w:val="1E2F7187"/>
    <w:rsid w:val="1E340C41"/>
    <w:rsid w:val="1E401394"/>
    <w:rsid w:val="1E4E3AB1"/>
    <w:rsid w:val="1E51534F"/>
    <w:rsid w:val="1E5310C7"/>
    <w:rsid w:val="1E6908EA"/>
    <w:rsid w:val="1E766B63"/>
    <w:rsid w:val="1E9B2A6E"/>
    <w:rsid w:val="1EAC07D7"/>
    <w:rsid w:val="1EBA1146"/>
    <w:rsid w:val="1EC45B21"/>
    <w:rsid w:val="1EC73863"/>
    <w:rsid w:val="1ED63AA6"/>
    <w:rsid w:val="1EDF295B"/>
    <w:rsid w:val="1F046865"/>
    <w:rsid w:val="1F0A70F1"/>
    <w:rsid w:val="1F1D16D5"/>
    <w:rsid w:val="1F4536E0"/>
    <w:rsid w:val="1F4D3D68"/>
    <w:rsid w:val="1F525822"/>
    <w:rsid w:val="1F58270D"/>
    <w:rsid w:val="1F5D7D23"/>
    <w:rsid w:val="1F5F1CED"/>
    <w:rsid w:val="1F7237CF"/>
    <w:rsid w:val="1F770DE5"/>
    <w:rsid w:val="1F8D0609"/>
    <w:rsid w:val="1FA96FA3"/>
    <w:rsid w:val="1FB82BC8"/>
    <w:rsid w:val="1FE31481"/>
    <w:rsid w:val="1FF468DA"/>
    <w:rsid w:val="200B6E05"/>
    <w:rsid w:val="200F101E"/>
    <w:rsid w:val="200F54C2"/>
    <w:rsid w:val="201B5C14"/>
    <w:rsid w:val="202D1DEC"/>
    <w:rsid w:val="20310280"/>
    <w:rsid w:val="2039253E"/>
    <w:rsid w:val="204607B7"/>
    <w:rsid w:val="204A02A8"/>
    <w:rsid w:val="204D7D98"/>
    <w:rsid w:val="20690166"/>
    <w:rsid w:val="207B2DC6"/>
    <w:rsid w:val="20803CC9"/>
    <w:rsid w:val="209239FD"/>
    <w:rsid w:val="20B47E17"/>
    <w:rsid w:val="20DA3F99"/>
    <w:rsid w:val="20E71F9A"/>
    <w:rsid w:val="20E97AC1"/>
    <w:rsid w:val="20EA2A65"/>
    <w:rsid w:val="20EF2BFD"/>
    <w:rsid w:val="210112AE"/>
    <w:rsid w:val="212F12B7"/>
    <w:rsid w:val="214E2A84"/>
    <w:rsid w:val="21817CF9"/>
    <w:rsid w:val="21884BA0"/>
    <w:rsid w:val="219519F6"/>
    <w:rsid w:val="2197576F"/>
    <w:rsid w:val="21A659B2"/>
    <w:rsid w:val="21B55BF5"/>
    <w:rsid w:val="21DE15EF"/>
    <w:rsid w:val="22105521"/>
    <w:rsid w:val="2217240B"/>
    <w:rsid w:val="222039B6"/>
    <w:rsid w:val="2228094B"/>
    <w:rsid w:val="222B5EB7"/>
    <w:rsid w:val="224A27E1"/>
    <w:rsid w:val="227635D6"/>
    <w:rsid w:val="22794E74"/>
    <w:rsid w:val="22AF6B26"/>
    <w:rsid w:val="22BB723B"/>
    <w:rsid w:val="22C87E24"/>
    <w:rsid w:val="22C95DFC"/>
    <w:rsid w:val="22EE06E2"/>
    <w:rsid w:val="22F84FC6"/>
    <w:rsid w:val="22FD3CF7"/>
    <w:rsid w:val="23250B58"/>
    <w:rsid w:val="23411E36"/>
    <w:rsid w:val="234D0B5D"/>
    <w:rsid w:val="235C6C70"/>
    <w:rsid w:val="23614286"/>
    <w:rsid w:val="23CC5B62"/>
    <w:rsid w:val="23CD510E"/>
    <w:rsid w:val="24170DE9"/>
    <w:rsid w:val="243472A5"/>
    <w:rsid w:val="2440076D"/>
    <w:rsid w:val="24A563F4"/>
    <w:rsid w:val="24B228BF"/>
    <w:rsid w:val="24C15199"/>
    <w:rsid w:val="24CE288D"/>
    <w:rsid w:val="24EF7670"/>
    <w:rsid w:val="24F46A34"/>
    <w:rsid w:val="25034EC9"/>
    <w:rsid w:val="251946ED"/>
    <w:rsid w:val="25777D91"/>
    <w:rsid w:val="25781413"/>
    <w:rsid w:val="257858B7"/>
    <w:rsid w:val="258506D6"/>
    <w:rsid w:val="258B383C"/>
    <w:rsid w:val="259455FA"/>
    <w:rsid w:val="259719F3"/>
    <w:rsid w:val="25AB17E9"/>
    <w:rsid w:val="25AD5EB4"/>
    <w:rsid w:val="25BF5294"/>
    <w:rsid w:val="25C2759F"/>
    <w:rsid w:val="25C63DCF"/>
    <w:rsid w:val="25C74149"/>
    <w:rsid w:val="25DC7BF4"/>
    <w:rsid w:val="25DE267C"/>
    <w:rsid w:val="25E46AA9"/>
    <w:rsid w:val="25E66CC5"/>
    <w:rsid w:val="25FA62CC"/>
    <w:rsid w:val="26143832"/>
    <w:rsid w:val="262275D1"/>
    <w:rsid w:val="263712CE"/>
    <w:rsid w:val="264B4D7A"/>
    <w:rsid w:val="264D6D44"/>
    <w:rsid w:val="26644EA7"/>
    <w:rsid w:val="266A3452"/>
    <w:rsid w:val="26977FBF"/>
    <w:rsid w:val="26AF355A"/>
    <w:rsid w:val="26B50445"/>
    <w:rsid w:val="26DA55FB"/>
    <w:rsid w:val="26DC11F6"/>
    <w:rsid w:val="26EC191F"/>
    <w:rsid w:val="26F251F5"/>
    <w:rsid w:val="270C62B7"/>
    <w:rsid w:val="271E5FEA"/>
    <w:rsid w:val="272F7095"/>
    <w:rsid w:val="276B56D3"/>
    <w:rsid w:val="276E687B"/>
    <w:rsid w:val="27802801"/>
    <w:rsid w:val="278A123C"/>
    <w:rsid w:val="279F537D"/>
    <w:rsid w:val="27CB7F20"/>
    <w:rsid w:val="27D52B4D"/>
    <w:rsid w:val="27D843EB"/>
    <w:rsid w:val="27EE00B2"/>
    <w:rsid w:val="27FC457D"/>
    <w:rsid w:val="2802590C"/>
    <w:rsid w:val="280451E0"/>
    <w:rsid w:val="280E7BD2"/>
    <w:rsid w:val="28153891"/>
    <w:rsid w:val="28177609"/>
    <w:rsid w:val="281C077C"/>
    <w:rsid w:val="28245427"/>
    <w:rsid w:val="28247630"/>
    <w:rsid w:val="282615FA"/>
    <w:rsid w:val="283E4B96"/>
    <w:rsid w:val="28414686"/>
    <w:rsid w:val="2849353B"/>
    <w:rsid w:val="284D6B87"/>
    <w:rsid w:val="28550131"/>
    <w:rsid w:val="28612632"/>
    <w:rsid w:val="28757E8C"/>
    <w:rsid w:val="287E4F92"/>
    <w:rsid w:val="28887BBF"/>
    <w:rsid w:val="28AB1AFF"/>
    <w:rsid w:val="28C66939"/>
    <w:rsid w:val="28CB21A2"/>
    <w:rsid w:val="28E62B38"/>
    <w:rsid w:val="28F96D0F"/>
    <w:rsid w:val="290B7A2E"/>
    <w:rsid w:val="292518B2"/>
    <w:rsid w:val="292A6EC8"/>
    <w:rsid w:val="293B10D5"/>
    <w:rsid w:val="2944442E"/>
    <w:rsid w:val="294550C5"/>
    <w:rsid w:val="29493E9D"/>
    <w:rsid w:val="294F2293"/>
    <w:rsid w:val="29606D8E"/>
    <w:rsid w:val="2964062C"/>
    <w:rsid w:val="29787C34"/>
    <w:rsid w:val="29927747"/>
    <w:rsid w:val="29A749BD"/>
    <w:rsid w:val="29C9048F"/>
    <w:rsid w:val="29CB06AB"/>
    <w:rsid w:val="2A0108B7"/>
    <w:rsid w:val="2A04596B"/>
    <w:rsid w:val="2A0E67EA"/>
    <w:rsid w:val="2A133E00"/>
    <w:rsid w:val="2A1536D4"/>
    <w:rsid w:val="2A1A0CEB"/>
    <w:rsid w:val="2A202079"/>
    <w:rsid w:val="2A30050E"/>
    <w:rsid w:val="2A3B6D1B"/>
    <w:rsid w:val="2A411154"/>
    <w:rsid w:val="2A4E6BE6"/>
    <w:rsid w:val="2A506E02"/>
    <w:rsid w:val="2A526D38"/>
    <w:rsid w:val="2A88659C"/>
    <w:rsid w:val="2A954815"/>
    <w:rsid w:val="2AD0584D"/>
    <w:rsid w:val="2AEE4B12"/>
    <w:rsid w:val="2AFE685E"/>
    <w:rsid w:val="2B027774"/>
    <w:rsid w:val="2B0D0850"/>
    <w:rsid w:val="2B116592"/>
    <w:rsid w:val="2B122D8D"/>
    <w:rsid w:val="2B193698"/>
    <w:rsid w:val="2B1C4F36"/>
    <w:rsid w:val="2B2160A9"/>
    <w:rsid w:val="2B3202B6"/>
    <w:rsid w:val="2B361B54"/>
    <w:rsid w:val="2B367DA6"/>
    <w:rsid w:val="2B400C25"/>
    <w:rsid w:val="2B4714A0"/>
    <w:rsid w:val="2B606BD1"/>
    <w:rsid w:val="2B6C5576"/>
    <w:rsid w:val="2B717030"/>
    <w:rsid w:val="2B74267D"/>
    <w:rsid w:val="2B93739B"/>
    <w:rsid w:val="2B994370"/>
    <w:rsid w:val="2BA50A88"/>
    <w:rsid w:val="2BB60EE7"/>
    <w:rsid w:val="2BC034DB"/>
    <w:rsid w:val="2BEF4305"/>
    <w:rsid w:val="2C077995"/>
    <w:rsid w:val="2C235EB7"/>
    <w:rsid w:val="2C2B5431"/>
    <w:rsid w:val="2C3C763E"/>
    <w:rsid w:val="2C610E53"/>
    <w:rsid w:val="2C646B95"/>
    <w:rsid w:val="2C6646BB"/>
    <w:rsid w:val="2C83526D"/>
    <w:rsid w:val="2C8A5295"/>
    <w:rsid w:val="2C9A0B92"/>
    <w:rsid w:val="2C9F3729"/>
    <w:rsid w:val="2CB73169"/>
    <w:rsid w:val="2CE47D2A"/>
    <w:rsid w:val="2CED0939"/>
    <w:rsid w:val="2CED6B8B"/>
    <w:rsid w:val="2CF27CFD"/>
    <w:rsid w:val="2CFA3055"/>
    <w:rsid w:val="2D012636"/>
    <w:rsid w:val="2D016C6B"/>
    <w:rsid w:val="2D0B5263"/>
    <w:rsid w:val="2D0D2D89"/>
    <w:rsid w:val="2D2B1461"/>
    <w:rsid w:val="2D2D1B91"/>
    <w:rsid w:val="2D404F0C"/>
    <w:rsid w:val="2D5B3AF4"/>
    <w:rsid w:val="2D8D7A26"/>
    <w:rsid w:val="2DA2135E"/>
    <w:rsid w:val="2DB9081B"/>
    <w:rsid w:val="2DCB70CE"/>
    <w:rsid w:val="2DCE2518"/>
    <w:rsid w:val="2DD218DC"/>
    <w:rsid w:val="2DDB69E3"/>
    <w:rsid w:val="2DEF7457"/>
    <w:rsid w:val="2E045F3A"/>
    <w:rsid w:val="2E093AD9"/>
    <w:rsid w:val="2E206AEC"/>
    <w:rsid w:val="2E2A34C6"/>
    <w:rsid w:val="2E426A62"/>
    <w:rsid w:val="2E6C48D9"/>
    <w:rsid w:val="2E786928"/>
    <w:rsid w:val="2E8F4F19"/>
    <w:rsid w:val="2EA63495"/>
    <w:rsid w:val="2EB57234"/>
    <w:rsid w:val="2ED7364E"/>
    <w:rsid w:val="2EF35FAE"/>
    <w:rsid w:val="2EFA6A37"/>
    <w:rsid w:val="2F167CA6"/>
    <w:rsid w:val="2F1A353B"/>
    <w:rsid w:val="2F452CAE"/>
    <w:rsid w:val="2F5D70AC"/>
    <w:rsid w:val="2F8B61E7"/>
    <w:rsid w:val="2FA36C75"/>
    <w:rsid w:val="2FBE036A"/>
    <w:rsid w:val="302428C3"/>
    <w:rsid w:val="30297EDA"/>
    <w:rsid w:val="302C5C1C"/>
    <w:rsid w:val="303074BA"/>
    <w:rsid w:val="30405223"/>
    <w:rsid w:val="306929CC"/>
    <w:rsid w:val="306B405E"/>
    <w:rsid w:val="30832D34"/>
    <w:rsid w:val="30872E52"/>
    <w:rsid w:val="308C4B30"/>
    <w:rsid w:val="30A75681"/>
    <w:rsid w:val="30C714A1"/>
    <w:rsid w:val="30E07EBD"/>
    <w:rsid w:val="30F41419"/>
    <w:rsid w:val="30FC114A"/>
    <w:rsid w:val="310D77FB"/>
    <w:rsid w:val="310E0E7D"/>
    <w:rsid w:val="314A68DF"/>
    <w:rsid w:val="315620B8"/>
    <w:rsid w:val="317F1D7B"/>
    <w:rsid w:val="31841AC8"/>
    <w:rsid w:val="319138F6"/>
    <w:rsid w:val="31A737AC"/>
    <w:rsid w:val="31A87524"/>
    <w:rsid w:val="31B00187"/>
    <w:rsid w:val="31CB6D6E"/>
    <w:rsid w:val="31D200FD"/>
    <w:rsid w:val="31E64732"/>
    <w:rsid w:val="31EA5447"/>
    <w:rsid w:val="32140715"/>
    <w:rsid w:val="32230959"/>
    <w:rsid w:val="324059AE"/>
    <w:rsid w:val="326351F9"/>
    <w:rsid w:val="327D078A"/>
    <w:rsid w:val="3284589B"/>
    <w:rsid w:val="32933D30"/>
    <w:rsid w:val="32B31CDC"/>
    <w:rsid w:val="32C75788"/>
    <w:rsid w:val="32CC7242"/>
    <w:rsid w:val="32E165BD"/>
    <w:rsid w:val="32FA3DAF"/>
    <w:rsid w:val="334F40FB"/>
    <w:rsid w:val="33641229"/>
    <w:rsid w:val="337B243F"/>
    <w:rsid w:val="338673F1"/>
    <w:rsid w:val="339D48A3"/>
    <w:rsid w:val="33BF2903"/>
    <w:rsid w:val="33CF6FEA"/>
    <w:rsid w:val="33EA3E24"/>
    <w:rsid w:val="33F64577"/>
    <w:rsid w:val="33FB1B8D"/>
    <w:rsid w:val="34056568"/>
    <w:rsid w:val="34525525"/>
    <w:rsid w:val="346040E6"/>
    <w:rsid w:val="34945B3E"/>
    <w:rsid w:val="34A0589E"/>
    <w:rsid w:val="34A67F96"/>
    <w:rsid w:val="34B0508B"/>
    <w:rsid w:val="34B1049E"/>
    <w:rsid w:val="34DF440A"/>
    <w:rsid w:val="34E502E4"/>
    <w:rsid w:val="34F605A6"/>
    <w:rsid w:val="350031D3"/>
    <w:rsid w:val="350A581B"/>
    <w:rsid w:val="352275ED"/>
    <w:rsid w:val="352E7D40"/>
    <w:rsid w:val="35426A60"/>
    <w:rsid w:val="35571045"/>
    <w:rsid w:val="35586B6B"/>
    <w:rsid w:val="355A1520"/>
    <w:rsid w:val="355E7319"/>
    <w:rsid w:val="35690D78"/>
    <w:rsid w:val="35CE6E2D"/>
    <w:rsid w:val="35DB7EC8"/>
    <w:rsid w:val="35EE2046"/>
    <w:rsid w:val="35F41640"/>
    <w:rsid w:val="362A0508"/>
    <w:rsid w:val="364652E8"/>
    <w:rsid w:val="36603F29"/>
    <w:rsid w:val="36653C36"/>
    <w:rsid w:val="366A4DA8"/>
    <w:rsid w:val="36897924"/>
    <w:rsid w:val="369116D0"/>
    <w:rsid w:val="36941E25"/>
    <w:rsid w:val="3699568D"/>
    <w:rsid w:val="369F7E9A"/>
    <w:rsid w:val="36B67FED"/>
    <w:rsid w:val="36C46BAE"/>
    <w:rsid w:val="36CC15BF"/>
    <w:rsid w:val="370E607B"/>
    <w:rsid w:val="37112969"/>
    <w:rsid w:val="37180CA8"/>
    <w:rsid w:val="372907BF"/>
    <w:rsid w:val="37294C63"/>
    <w:rsid w:val="373830F8"/>
    <w:rsid w:val="374D6BA3"/>
    <w:rsid w:val="375647D6"/>
    <w:rsid w:val="377A726D"/>
    <w:rsid w:val="377E4FAF"/>
    <w:rsid w:val="37893954"/>
    <w:rsid w:val="37971BCD"/>
    <w:rsid w:val="37A75B88"/>
    <w:rsid w:val="37D921E5"/>
    <w:rsid w:val="37F92887"/>
    <w:rsid w:val="37FC2378"/>
    <w:rsid w:val="380C2A2C"/>
    <w:rsid w:val="38397128"/>
    <w:rsid w:val="384B3FA8"/>
    <w:rsid w:val="38543F62"/>
    <w:rsid w:val="3854528C"/>
    <w:rsid w:val="38565141"/>
    <w:rsid w:val="38602906"/>
    <w:rsid w:val="389F176C"/>
    <w:rsid w:val="38A00F55"/>
    <w:rsid w:val="38B95B73"/>
    <w:rsid w:val="38C509BB"/>
    <w:rsid w:val="38CF183A"/>
    <w:rsid w:val="38E30E42"/>
    <w:rsid w:val="38EF5A38"/>
    <w:rsid w:val="39036257"/>
    <w:rsid w:val="390F1199"/>
    <w:rsid w:val="39367F12"/>
    <w:rsid w:val="394538AA"/>
    <w:rsid w:val="39495149"/>
    <w:rsid w:val="394D5E49"/>
    <w:rsid w:val="39553AED"/>
    <w:rsid w:val="3986014B"/>
    <w:rsid w:val="39993E51"/>
    <w:rsid w:val="39AD02F7"/>
    <w:rsid w:val="39B5458C"/>
    <w:rsid w:val="39B60304"/>
    <w:rsid w:val="39DA2245"/>
    <w:rsid w:val="39DA3FF3"/>
    <w:rsid w:val="39DF3CFF"/>
    <w:rsid w:val="39E81075"/>
    <w:rsid w:val="39F71049"/>
    <w:rsid w:val="3A013C75"/>
    <w:rsid w:val="3A12378C"/>
    <w:rsid w:val="3A2B6F44"/>
    <w:rsid w:val="3A322081"/>
    <w:rsid w:val="3A331955"/>
    <w:rsid w:val="3A361B71"/>
    <w:rsid w:val="3A456E52"/>
    <w:rsid w:val="3A463AB7"/>
    <w:rsid w:val="3A4B6C9E"/>
    <w:rsid w:val="3A631110"/>
    <w:rsid w:val="3A7C32FC"/>
    <w:rsid w:val="3AC70A1B"/>
    <w:rsid w:val="3AD04C41"/>
    <w:rsid w:val="3AD66EB0"/>
    <w:rsid w:val="3AEA64B7"/>
    <w:rsid w:val="3AF92B9E"/>
    <w:rsid w:val="3AFA0DF0"/>
    <w:rsid w:val="3B236ECD"/>
    <w:rsid w:val="3B337E5E"/>
    <w:rsid w:val="3B343BD6"/>
    <w:rsid w:val="3B3C653D"/>
    <w:rsid w:val="3B497682"/>
    <w:rsid w:val="3B49769C"/>
    <w:rsid w:val="3B53405D"/>
    <w:rsid w:val="3B691AD2"/>
    <w:rsid w:val="3B6E533A"/>
    <w:rsid w:val="3B7F30A4"/>
    <w:rsid w:val="3B8561E0"/>
    <w:rsid w:val="3B8B1A48"/>
    <w:rsid w:val="3B9A415A"/>
    <w:rsid w:val="3BA2244B"/>
    <w:rsid w:val="3BB07701"/>
    <w:rsid w:val="3BB2349B"/>
    <w:rsid w:val="3BB865B6"/>
    <w:rsid w:val="3BBF7944"/>
    <w:rsid w:val="3BC82C9D"/>
    <w:rsid w:val="3BEE1F9C"/>
    <w:rsid w:val="3C0D4B53"/>
    <w:rsid w:val="3C2105FF"/>
    <w:rsid w:val="3C372D23"/>
    <w:rsid w:val="3C447E49"/>
    <w:rsid w:val="3C4B380F"/>
    <w:rsid w:val="3C4F6F1A"/>
    <w:rsid w:val="3C511E12"/>
    <w:rsid w:val="3C5F2ED5"/>
    <w:rsid w:val="3C97441D"/>
    <w:rsid w:val="3CA408E8"/>
    <w:rsid w:val="3CA64660"/>
    <w:rsid w:val="3CBD0327"/>
    <w:rsid w:val="3CC14C1F"/>
    <w:rsid w:val="3CD0758C"/>
    <w:rsid w:val="3CDE6FFD"/>
    <w:rsid w:val="3CE55188"/>
    <w:rsid w:val="3CF56BC9"/>
    <w:rsid w:val="3D0A4BEF"/>
    <w:rsid w:val="3D1F37E4"/>
    <w:rsid w:val="3D211F38"/>
    <w:rsid w:val="3D235CB1"/>
    <w:rsid w:val="3D31113A"/>
    <w:rsid w:val="3D37175C"/>
    <w:rsid w:val="3D695DB9"/>
    <w:rsid w:val="3D762284"/>
    <w:rsid w:val="3D864BBD"/>
    <w:rsid w:val="3DDD67A7"/>
    <w:rsid w:val="3DE23DBE"/>
    <w:rsid w:val="3E1A70B4"/>
    <w:rsid w:val="3E330175"/>
    <w:rsid w:val="3E655E3A"/>
    <w:rsid w:val="3E667746"/>
    <w:rsid w:val="3E885B96"/>
    <w:rsid w:val="3E8E35FE"/>
    <w:rsid w:val="3EB43064"/>
    <w:rsid w:val="3EB92D70"/>
    <w:rsid w:val="3ECD4126"/>
    <w:rsid w:val="3EEC7BC8"/>
    <w:rsid w:val="3EF1250A"/>
    <w:rsid w:val="3F0C66A8"/>
    <w:rsid w:val="3F163D1F"/>
    <w:rsid w:val="3F281CA4"/>
    <w:rsid w:val="3F2B709E"/>
    <w:rsid w:val="3F4500E9"/>
    <w:rsid w:val="3F450160"/>
    <w:rsid w:val="3F4C14EF"/>
    <w:rsid w:val="3F692622"/>
    <w:rsid w:val="3F7153F9"/>
    <w:rsid w:val="3F720A50"/>
    <w:rsid w:val="3F917849"/>
    <w:rsid w:val="3F9B0612"/>
    <w:rsid w:val="3F9D1D4A"/>
    <w:rsid w:val="3FA241A2"/>
    <w:rsid w:val="3FAA4467"/>
    <w:rsid w:val="3FAC01DF"/>
    <w:rsid w:val="3FB4343D"/>
    <w:rsid w:val="3FD85478"/>
    <w:rsid w:val="40155D85"/>
    <w:rsid w:val="403A57EB"/>
    <w:rsid w:val="404B3E9C"/>
    <w:rsid w:val="4061546E"/>
    <w:rsid w:val="4079067E"/>
    <w:rsid w:val="4093139F"/>
    <w:rsid w:val="409343AF"/>
    <w:rsid w:val="409A0980"/>
    <w:rsid w:val="40AC655D"/>
    <w:rsid w:val="40D75730"/>
    <w:rsid w:val="40E63BC5"/>
    <w:rsid w:val="40FA4F7A"/>
    <w:rsid w:val="41362456"/>
    <w:rsid w:val="413C37E5"/>
    <w:rsid w:val="41487F61"/>
    <w:rsid w:val="414A5F02"/>
    <w:rsid w:val="415648A7"/>
    <w:rsid w:val="415A71E1"/>
    <w:rsid w:val="41630D72"/>
    <w:rsid w:val="41962EF5"/>
    <w:rsid w:val="419B675D"/>
    <w:rsid w:val="419F484B"/>
    <w:rsid w:val="41AA69A0"/>
    <w:rsid w:val="41B15F81"/>
    <w:rsid w:val="41C31810"/>
    <w:rsid w:val="41E225DE"/>
    <w:rsid w:val="41F8595E"/>
    <w:rsid w:val="420C600C"/>
    <w:rsid w:val="42100EF9"/>
    <w:rsid w:val="4214206C"/>
    <w:rsid w:val="421B164C"/>
    <w:rsid w:val="422246E7"/>
    <w:rsid w:val="422B5D33"/>
    <w:rsid w:val="42312D26"/>
    <w:rsid w:val="42454372"/>
    <w:rsid w:val="42573796"/>
    <w:rsid w:val="426E5C20"/>
    <w:rsid w:val="42786A9F"/>
    <w:rsid w:val="428B67D2"/>
    <w:rsid w:val="428E0070"/>
    <w:rsid w:val="42943344"/>
    <w:rsid w:val="42970CCD"/>
    <w:rsid w:val="42975177"/>
    <w:rsid w:val="42C615B8"/>
    <w:rsid w:val="42D77C69"/>
    <w:rsid w:val="42EB2B81"/>
    <w:rsid w:val="42FC322C"/>
    <w:rsid w:val="43046BE3"/>
    <w:rsid w:val="43171E14"/>
    <w:rsid w:val="4329542D"/>
    <w:rsid w:val="43484F88"/>
    <w:rsid w:val="435C1F1C"/>
    <w:rsid w:val="437216C9"/>
    <w:rsid w:val="4385588B"/>
    <w:rsid w:val="4387343D"/>
    <w:rsid w:val="43882D11"/>
    <w:rsid w:val="43884ABF"/>
    <w:rsid w:val="43911BC6"/>
    <w:rsid w:val="43972F54"/>
    <w:rsid w:val="439E42E3"/>
    <w:rsid w:val="43A124B3"/>
    <w:rsid w:val="43A538C3"/>
    <w:rsid w:val="43BB4E95"/>
    <w:rsid w:val="43C55D14"/>
    <w:rsid w:val="43D85A47"/>
    <w:rsid w:val="43DE0B83"/>
    <w:rsid w:val="43E97C54"/>
    <w:rsid w:val="43F839F3"/>
    <w:rsid w:val="44022AC4"/>
    <w:rsid w:val="44044A8E"/>
    <w:rsid w:val="44236B1E"/>
    <w:rsid w:val="44244662"/>
    <w:rsid w:val="444158E6"/>
    <w:rsid w:val="44564BBE"/>
    <w:rsid w:val="44641089"/>
    <w:rsid w:val="446948F1"/>
    <w:rsid w:val="44C11AA6"/>
    <w:rsid w:val="44D04970"/>
    <w:rsid w:val="44D426B2"/>
    <w:rsid w:val="44E346A3"/>
    <w:rsid w:val="44E67CEF"/>
    <w:rsid w:val="44F3240C"/>
    <w:rsid w:val="45110AAC"/>
    <w:rsid w:val="45123CB8"/>
    <w:rsid w:val="451A208F"/>
    <w:rsid w:val="45350C77"/>
    <w:rsid w:val="45415D40"/>
    <w:rsid w:val="45435142"/>
    <w:rsid w:val="45451DF1"/>
    <w:rsid w:val="45490111"/>
    <w:rsid w:val="45570447"/>
    <w:rsid w:val="4565330A"/>
    <w:rsid w:val="45682DFA"/>
    <w:rsid w:val="45723C79"/>
    <w:rsid w:val="457378F7"/>
    <w:rsid w:val="45DB537A"/>
    <w:rsid w:val="45DE130F"/>
    <w:rsid w:val="45E00BE3"/>
    <w:rsid w:val="45EF3280"/>
    <w:rsid w:val="45F43872"/>
    <w:rsid w:val="460D5750"/>
    <w:rsid w:val="46113492"/>
    <w:rsid w:val="461B3AA5"/>
    <w:rsid w:val="462C5BD6"/>
    <w:rsid w:val="462E5DF2"/>
    <w:rsid w:val="46362EF9"/>
    <w:rsid w:val="464C0026"/>
    <w:rsid w:val="46590D6C"/>
    <w:rsid w:val="465E4A23"/>
    <w:rsid w:val="4672304E"/>
    <w:rsid w:val="46843C64"/>
    <w:rsid w:val="469F45FA"/>
    <w:rsid w:val="46A460B4"/>
    <w:rsid w:val="46AF05B5"/>
    <w:rsid w:val="46D30747"/>
    <w:rsid w:val="46E14C12"/>
    <w:rsid w:val="470D3C59"/>
    <w:rsid w:val="472B1462"/>
    <w:rsid w:val="473B0E1B"/>
    <w:rsid w:val="473F27FF"/>
    <w:rsid w:val="476017C6"/>
    <w:rsid w:val="476342CB"/>
    <w:rsid w:val="476B0980"/>
    <w:rsid w:val="47745A86"/>
    <w:rsid w:val="477A0BC3"/>
    <w:rsid w:val="47811F51"/>
    <w:rsid w:val="47833F1C"/>
    <w:rsid w:val="478E2D76"/>
    <w:rsid w:val="47A65E5C"/>
    <w:rsid w:val="47AB6FCE"/>
    <w:rsid w:val="47B71E17"/>
    <w:rsid w:val="47E67FE2"/>
    <w:rsid w:val="47F0014A"/>
    <w:rsid w:val="481903DC"/>
    <w:rsid w:val="486C0E54"/>
    <w:rsid w:val="48740AF8"/>
    <w:rsid w:val="487B247F"/>
    <w:rsid w:val="48907EB9"/>
    <w:rsid w:val="48B36B95"/>
    <w:rsid w:val="48B56357"/>
    <w:rsid w:val="48B955C2"/>
    <w:rsid w:val="48B9571B"/>
    <w:rsid w:val="48BA396D"/>
    <w:rsid w:val="48F30C2D"/>
    <w:rsid w:val="48F86243"/>
    <w:rsid w:val="490177EE"/>
    <w:rsid w:val="49025314"/>
    <w:rsid w:val="490270C2"/>
    <w:rsid w:val="490D6193"/>
    <w:rsid w:val="490E1F0B"/>
    <w:rsid w:val="492B090F"/>
    <w:rsid w:val="4932003B"/>
    <w:rsid w:val="49382AE4"/>
    <w:rsid w:val="49417BEA"/>
    <w:rsid w:val="4968786D"/>
    <w:rsid w:val="496F0BFB"/>
    <w:rsid w:val="49734B65"/>
    <w:rsid w:val="49843F7B"/>
    <w:rsid w:val="498E0956"/>
    <w:rsid w:val="49911DC2"/>
    <w:rsid w:val="499A718B"/>
    <w:rsid w:val="49B52386"/>
    <w:rsid w:val="49DF11B1"/>
    <w:rsid w:val="49EC3FFA"/>
    <w:rsid w:val="49F72751"/>
    <w:rsid w:val="4A1B668D"/>
    <w:rsid w:val="4A1E3C56"/>
    <w:rsid w:val="4A1E617D"/>
    <w:rsid w:val="4A280647"/>
    <w:rsid w:val="4A2C64BB"/>
    <w:rsid w:val="4A3B69AF"/>
    <w:rsid w:val="4A421E6C"/>
    <w:rsid w:val="4A730023"/>
    <w:rsid w:val="4A8833F8"/>
    <w:rsid w:val="4A8A619F"/>
    <w:rsid w:val="4AA2290B"/>
    <w:rsid w:val="4AD46AF0"/>
    <w:rsid w:val="4ADF76BB"/>
    <w:rsid w:val="4AE1272C"/>
    <w:rsid w:val="4B125FF6"/>
    <w:rsid w:val="4B2B2900"/>
    <w:rsid w:val="4B3F45FD"/>
    <w:rsid w:val="4B4614E8"/>
    <w:rsid w:val="4B6C4CC7"/>
    <w:rsid w:val="4B7D0C82"/>
    <w:rsid w:val="4B8057E5"/>
    <w:rsid w:val="4B8B339F"/>
    <w:rsid w:val="4B92472D"/>
    <w:rsid w:val="4BA97CC9"/>
    <w:rsid w:val="4BD016F9"/>
    <w:rsid w:val="4BF47196"/>
    <w:rsid w:val="4C0575F5"/>
    <w:rsid w:val="4C0D46FC"/>
    <w:rsid w:val="4C2B503E"/>
    <w:rsid w:val="4C312198"/>
    <w:rsid w:val="4C3253A4"/>
    <w:rsid w:val="4C481290"/>
    <w:rsid w:val="4C5C4D3B"/>
    <w:rsid w:val="4C63273B"/>
    <w:rsid w:val="4C787DC7"/>
    <w:rsid w:val="4C8449BE"/>
    <w:rsid w:val="4C987D10"/>
    <w:rsid w:val="4CA94424"/>
    <w:rsid w:val="4CAA3CF8"/>
    <w:rsid w:val="4CBE77A4"/>
    <w:rsid w:val="4CD62D3F"/>
    <w:rsid w:val="4CE0771A"/>
    <w:rsid w:val="4CF051AC"/>
    <w:rsid w:val="4D0C050F"/>
    <w:rsid w:val="4D275349"/>
    <w:rsid w:val="4D331F40"/>
    <w:rsid w:val="4D3B0DF4"/>
    <w:rsid w:val="4D7F6F33"/>
    <w:rsid w:val="4D8409ED"/>
    <w:rsid w:val="4D9549A9"/>
    <w:rsid w:val="4D9D16E6"/>
    <w:rsid w:val="4DB017E2"/>
    <w:rsid w:val="4DB82445"/>
    <w:rsid w:val="4DC25072"/>
    <w:rsid w:val="4DC96400"/>
    <w:rsid w:val="4DE106CB"/>
    <w:rsid w:val="4DEB281B"/>
    <w:rsid w:val="4E10402F"/>
    <w:rsid w:val="4E121B55"/>
    <w:rsid w:val="4E2B2C17"/>
    <w:rsid w:val="4E505C68"/>
    <w:rsid w:val="4E573A0C"/>
    <w:rsid w:val="4E5C1022"/>
    <w:rsid w:val="4E760336"/>
    <w:rsid w:val="4E7C16C5"/>
    <w:rsid w:val="4EAC6FD6"/>
    <w:rsid w:val="4EB250E6"/>
    <w:rsid w:val="4EBE1CDD"/>
    <w:rsid w:val="4EC05A55"/>
    <w:rsid w:val="4ECA0682"/>
    <w:rsid w:val="4ECD0674"/>
    <w:rsid w:val="4EE47996"/>
    <w:rsid w:val="4EE74D90"/>
    <w:rsid w:val="4EEF633A"/>
    <w:rsid w:val="4EFB083B"/>
    <w:rsid w:val="4F1D6A04"/>
    <w:rsid w:val="4F2935FA"/>
    <w:rsid w:val="4F495A4B"/>
    <w:rsid w:val="4F587A3C"/>
    <w:rsid w:val="4F6C6BDA"/>
    <w:rsid w:val="4F7E394E"/>
    <w:rsid w:val="4F7F2029"/>
    <w:rsid w:val="4F870321"/>
    <w:rsid w:val="4F9071D6"/>
    <w:rsid w:val="4F9547EC"/>
    <w:rsid w:val="4FE6773D"/>
    <w:rsid w:val="4FF43AC5"/>
    <w:rsid w:val="4FF77255"/>
    <w:rsid w:val="4FFE4A87"/>
    <w:rsid w:val="50106568"/>
    <w:rsid w:val="501222E0"/>
    <w:rsid w:val="501F0559"/>
    <w:rsid w:val="5023629C"/>
    <w:rsid w:val="503A5393"/>
    <w:rsid w:val="503F29AA"/>
    <w:rsid w:val="5043249A"/>
    <w:rsid w:val="505521CD"/>
    <w:rsid w:val="50827466"/>
    <w:rsid w:val="50A078EC"/>
    <w:rsid w:val="50B679A2"/>
    <w:rsid w:val="50D21A70"/>
    <w:rsid w:val="50D457E8"/>
    <w:rsid w:val="50D75B0C"/>
    <w:rsid w:val="50FB4B23"/>
    <w:rsid w:val="51163F32"/>
    <w:rsid w:val="51183927"/>
    <w:rsid w:val="51226553"/>
    <w:rsid w:val="514E7348"/>
    <w:rsid w:val="51516E38"/>
    <w:rsid w:val="519A433C"/>
    <w:rsid w:val="51AE366B"/>
    <w:rsid w:val="51D823BF"/>
    <w:rsid w:val="51DF0427"/>
    <w:rsid w:val="51E67581"/>
    <w:rsid w:val="51F83758"/>
    <w:rsid w:val="520B3E30"/>
    <w:rsid w:val="521A547C"/>
    <w:rsid w:val="521F6F37"/>
    <w:rsid w:val="5246001F"/>
    <w:rsid w:val="52972F71"/>
    <w:rsid w:val="52B0193D"/>
    <w:rsid w:val="52BC29D7"/>
    <w:rsid w:val="52C8312A"/>
    <w:rsid w:val="52DB5A27"/>
    <w:rsid w:val="52DD4E28"/>
    <w:rsid w:val="52DE4AD3"/>
    <w:rsid w:val="52E70521"/>
    <w:rsid w:val="52FB52AE"/>
    <w:rsid w:val="52FE08FA"/>
    <w:rsid w:val="531F04EC"/>
    <w:rsid w:val="532145E9"/>
    <w:rsid w:val="53220A8C"/>
    <w:rsid w:val="532E2213"/>
    <w:rsid w:val="533026AA"/>
    <w:rsid w:val="53487DC7"/>
    <w:rsid w:val="534C78B7"/>
    <w:rsid w:val="534D3630"/>
    <w:rsid w:val="53807561"/>
    <w:rsid w:val="5382152B"/>
    <w:rsid w:val="538708F0"/>
    <w:rsid w:val="538E7D0E"/>
    <w:rsid w:val="53A56FC8"/>
    <w:rsid w:val="53B4545D"/>
    <w:rsid w:val="53B8319F"/>
    <w:rsid w:val="53DF24DA"/>
    <w:rsid w:val="53F65A75"/>
    <w:rsid w:val="53FB308C"/>
    <w:rsid w:val="5416466D"/>
    <w:rsid w:val="541A1764"/>
    <w:rsid w:val="542F214A"/>
    <w:rsid w:val="54302D35"/>
    <w:rsid w:val="54316AAD"/>
    <w:rsid w:val="543640C4"/>
    <w:rsid w:val="543A3BB4"/>
    <w:rsid w:val="54640C31"/>
    <w:rsid w:val="54661645"/>
    <w:rsid w:val="547F3CBD"/>
    <w:rsid w:val="54AA0D3A"/>
    <w:rsid w:val="54AB6860"/>
    <w:rsid w:val="54BB2F47"/>
    <w:rsid w:val="54BE216E"/>
    <w:rsid w:val="54BF40B9"/>
    <w:rsid w:val="54D73AF9"/>
    <w:rsid w:val="54D933CD"/>
    <w:rsid w:val="54DF37FA"/>
    <w:rsid w:val="550D2661"/>
    <w:rsid w:val="550F3292"/>
    <w:rsid w:val="552A3C28"/>
    <w:rsid w:val="55563AD1"/>
    <w:rsid w:val="555D2250"/>
    <w:rsid w:val="558722C8"/>
    <w:rsid w:val="55AC6D33"/>
    <w:rsid w:val="55AD03B6"/>
    <w:rsid w:val="55BD221A"/>
    <w:rsid w:val="55C027DF"/>
    <w:rsid w:val="55CE2806"/>
    <w:rsid w:val="55D63DB0"/>
    <w:rsid w:val="55DB3175"/>
    <w:rsid w:val="55EE4C56"/>
    <w:rsid w:val="55F61D5C"/>
    <w:rsid w:val="56051FA0"/>
    <w:rsid w:val="56222B52"/>
    <w:rsid w:val="562A1B91"/>
    <w:rsid w:val="562B40FC"/>
    <w:rsid w:val="562B5B9A"/>
    <w:rsid w:val="56331D5B"/>
    <w:rsid w:val="5637484F"/>
    <w:rsid w:val="5640122A"/>
    <w:rsid w:val="56570A4D"/>
    <w:rsid w:val="565E627F"/>
    <w:rsid w:val="568A7075"/>
    <w:rsid w:val="56AB7BA5"/>
    <w:rsid w:val="56AF3861"/>
    <w:rsid w:val="56B85264"/>
    <w:rsid w:val="56CA56C3"/>
    <w:rsid w:val="56CF0F2B"/>
    <w:rsid w:val="56DC53F6"/>
    <w:rsid w:val="571406EC"/>
    <w:rsid w:val="5714693E"/>
    <w:rsid w:val="573F67D1"/>
    <w:rsid w:val="575C2093"/>
    <w:rsid w:val="576D604E"/>
    <w:rsid w:val="57706229"/>
    <w:rsid w:val="578C2978"/>
    <w:rsid w:val="57BE4AFC"/>
    <w:rsid w:val="57C2639A"/>
    <w:rsid w:val="57CE11E3"/>
    <w:rsid w:val="57CF2865"/>
    <w:rsid w:val="57E07028"/>
    <w:rsid w:val="57E207EA"/>
    <w:rsid w:val="57EC78BB"/>
    <w:rsid w:val="57F549C2"/>
    <w:rsid w:val="57FF0BD7"/>
    <w:rsid w:val="580764A3"/>
    <w:rsid w:val="58260F8E"/>
    <w:rsid w:val="582C5F09"/>
    <w:rsid w:val="586C6306"/>
    <w:rsid w:val="58737694"/>
    <w:rsid w:val="587F072F"/>
    <w:rsid w:val="58982D68"/>
    <w:rsid w:val="58BA1767"/>
    <w:rsid w:val="59184025"/>
    <w:rsid w:val="59215342"/>
    <w:rsid w:val="5928001D"/>
    <w:rsid w:val="592941F7"/>
    <w:rsid w:val="592A3C50"/>
    <w:rsid w:val="594026BD"/>
    <w:rsid w:val="59460076"/>
    <w:rsid w:val="59515D8A"/>
    <w:rsid w:val="595C637A"/>
    <w:rsid w:val="5960477C"/>
    <w:rsid w:val="596B66F6"/>
    <w:rsid w:val="596C2A61"/>
    <w:rsid w:val="596F6178"/>
    <w:rsid w:val="597E2795"/>
    <w:rsid w:val="59A5674B"/>
    <w:rsid w:val="59AD4E28"/>
    <w:rsid w:val="59BD150F"/>
    <w:rsid w:val="59BE0DE3"/>
    <w:rsid w:val="59C53F20"/>
    <w:rsid w:val="59D535F0"/>
    <w:rsid w:val="5A0228E9"/>
    <w:rsid w:val="5A146C55"/>
    <w:rsid w:val="5A151F73"/>
    <w:rsid w:val="5A582FE6"/>
    <w:rsid w:val="5AA77AC9"/>
    <w:rsid w:val="5AA91A93"/>
    <w:rsid w:val="5ABE4B07"/>
    <w:rsid w:val="5AC266B1"/>
    <w:rsid w:val="5AE85D15"/>
    <w:rsid w:val="5AEE74A6"/>
    <w:rsid w:val="5AFA409D"/>
    <w:rsid w:val="5AFA5E4B"/>
    <w:rsid w:val="5B307ABF"/>
    <w:rsid w:val="5B321A89"/>
    <w:rsid w:val="5B32273E"/>
    <w:rsid w:val="5B353327"/>
    <w:rsid w:val="5B386973"/>
    <w:rsid w:val="5B4602DF"/>
    <w:rsid w:val="5B4A6DD2"/>
    <w:rsid w:val="5B57329D"/>
    <w:rsid w:val="5B6F6839"/>
    <w:rsid w:val="5B751975"/>
    <w:rsid w:val="5B765E19"/>
    <w:rsid w:val="5B8147BE"/>
    <w:rsid w:val="5B920779"/>
    <w:rsid w:val="5B977B3E"/>
    <w:rsid w:val="5BB74B2C"/>
    <w:rsid w:val="5BBB382C"/>
    <w:rsid w:val="5BCC1E57"/>
    <w:rsid w:val="5BD41E6E"/>
    <w:rsid w:val="5BEA2363"/>
    <w:rsid w:val="5BEA5EBF"/>
    <w:rsid w:val="5BF64864"/>
    <w:rsid w:val="5C2C64D8"/>
    <w:rsid w:val="5C3A6E47"/>
    <w:rsid w:val="5C3B1922"/>
    <w:rsid w:val="5C537F09"/>
    <w:rsid w:val="5C5477DD"/>
    <w:rsid w:val="5C5E2B95"/>
    <w:rsid w:val="5C9A5B38"/>
    <w:rsid w:val="5C9C18B0"/>
    <w:rsid w:val="5CA17B70"/>
    <w:rsid w:val="5CA40764"/>
    <w:rsid w:val="5CAB5170"/>
    <w:rsid w:val="5CBD5382"/>
    <w:rsid w:val="5CD32DF8"/>
    <w:rsid w:val="5CE62B2B"/>
    <w:rsid w:val="5D0C07A2"/>
    <w:rsid w:val="5D290C69"/>
    <w:rsid w:val="5DA0717E"/>
    <w:rsid w:val="5DB42C29"/>
    <w:rsid w:val="5DBD1FCA"/>
    <w:rsid w:val="5DD15589"/>
    <w:rsid w:val="5DEF65CC"/>
    <w:rsid w:val="5E192A8C"/>
    <w:rsid w:val="5E1C432A"/>
    <w:rsid w:val="5E257683"/>
    <w:rsid w:val="5E282CCF"/>
    <w:rsid w:val="5E4D0988"/>
    <w:rsid w:val="5E510478"/>
    <w:rsid w:val="5E714676"/>
    <w:rsid w:val="5E8425FB"/>
    <w:rsid w:val="5E8C6F99"/>
    <w:rsid w:val="5E8E347A"/>
    <w:rsid w:val="5ECF75EF"/>
    <w:rsid w:val="5ED54C05"/>
    <w:rsid w:val="5EF2352E"/>
    <w:rsid w:val="5EF57055"/>
    <w:rsid w:val="5EF763C6"/>
    <w:rsid w:val="5F08322C"/>
    <w:rsid w:val="5F4E6765"/>
    <w:rsid w:val="5F5D7160"/>
    <w:rsid w:val="5F7206A6"/>
    <w:rsid w:val="5F7408C2"/>
    <w:rsid w:val="5F887EC9"/>
    <w:rsid w:val="5F893C41"/>
    <w:rsid w:val="5F8B79B9"/>
    <w:rsid w:val="5FB23198"/>
    <w:rsid w:val="5FD70E51"/>
    <w:rsid w:val="5FEF7F48"/>
    <w:rsid w:val="5FF217E7"/>
    <w:rsid w:val="5FF27A39"/>
    <w:rsid w:val="5FF76DFD"/>
    <w:rsid w:val="5FFE1F39"/>
    <w:rsid w:val="60060FEE"/>
    <w:rsid w:val="602A0F80"/>
    <w:rsid w:val="60462E90"/>
    <w:rsid w:val="60524D56"/>
    <w:rsid w:val="60536729"/>
    <w:rsid w:val="608368E3"/>
    <w:rsid w:val="608F7035"/>
    <w:rsid w:val="60A30D33"/>
    <w:rsid w:val="60A96349"/>
    <w:rsid w:val="60C2740B"/>
    <w:rsid w:val="60D94755"/>
    <w:rsid w:val="60F021CA"/>
    <w:rsid w:val="611834CF"/>
    <w:rsid w:val="61530A39"/>
    <w:rsid w:val="6183303E"/>
    <w:rsid w:val="61923281"/>
    <w:rsid w:val="61AC3CD1"/>
    <w:rsid w:val="61B054B5"/>
    <w:rsid w:val="61FA4982"/>
    <w:rsid w:val="61FE695C"/>
    <w:rsid w:val="621912AD"/>
    <w:rsid w:val="621C6FEF"/>
    <w:rsid w:val="623076A4"/>
    <w:rsid w:val="62326812"/>
    <w:rsid w:val="62392C11"/>
    <w:rsid w:val="62571DD5"/>
    <w:rsid w:val="625B7377"/>
    <w:rsid w:val="6278019C"/>
    <w:rsid w:val="6285420B"/>
    <w:rsid w:val="628C1A7E"/>
    <w:rsid w:val="629B7F14"/>
    <w:rsid w:val="62A96AD4"/>
    <w:rsid w:val="62B2525D"/>
    <w:rsid w:val="62B66AFB"/>
    <w:rsid w:val="62C0797A"/>
    <w:rsid w:val="62FB09B2"/>
    <w:rsid w:val="62FE04A2"/>
    <w:rsid w:val="631D29EB"/>
    <w:rsid w:val="633C6169"/>
    <w:rsid w:val="63500CFE"/>
    <w:rsid w:val="637A3FCD"/>
    <w:rsid w:val="63822EAD"/>
    <w:rsid w:val="63B70D7D"/>
    <w:rsid w:val="63D23E09"/>
    <w:rsid w:val="63E234B7"/>
    <w:rsid w:val="63F773CC"/>
    <w:rsid w:val="64047D3A"/>
    <w:rsid w:val="64300F47"/>
    <w:rsid w:val="64483336"/>
    <w:rsid w:val="644F0FB6"/>
    <w:rsid w:val="645E38EF"/>
    <w:rsid w:val="646C600B"/>
    <w:rsid w:val="64942E6C"/>
    <w:rsid w:val="64A469AF"/>
    <w:rsid w:val="64AC6408"/>
    <w:rsid w:val="64AE53F9"/>
    <w:rsid w:val="64D63485"/>
    <w:rsid w:val="6500647B"/>
    <w:rsid w:val="65085608"/>
    <w:rsid w:val="65091AAC"/>
    <w:rsid w:val="65110961"/>
    <w:rsid w:val="6518767F"/>
    <w:rsid w:val="65237AC1"/>
    <w:rsid w:val="653603C7"/>
    <w:rsid w:val="65362175"/>
    <w:rsid w:val="656767D3"/>
    <w:rsid w:val="65801643"/>
    <w:rsid w:val="6598698C"/>
    <w:rsid w:val="65A13CC9"/>
    <w:rsid w:val="65E120E1"/>
    <w:rsid w:val="660D737A"/>
    <w:rsid w:val="661A38C3"/>
    <w:rsid w:val="661E2CB4"/>
    <w:rsid w:val="6632293D"/>
    <w:rsid w:val="6635355E"/>
    <w:rsid w:val="664E603D"/>
    <w:rsid w:val="666F1DE3"/>
    <w:rsid w:val="66A870A3"/>
    <w:rsid w:val="66AD46B9"/>
    <w:rsid w:val="66C1550E"/>
    <w:rsid w:val="66C739CD"/>
    <w:rsid w:val="66CD4D5B"/>
    <w:rsid w:val="66DD6797"/>
    <w:rsid w:val="66F66060"/>
    <w:rsid w:val="66F67E0E"/>
    <w:rsid w:val="670818F0"/>
    <w:rsid w:val="671D183F"/>
    <w:rsid w:val="67293782"/>
    <w:rsid w:val="673646AF"/>
    <w:rsid w:val="675114E9"/>
    <w:rsid w:val="675863D3"/>
    <w:rsid w:val="679703E1"/>
    <w:rsid w:val="67A17496"/>
    <w:rsid w:val="67A965FC"/>
    <w:rsid w:val="67D839B8"/>
    <w:rsid w:val="68182006"/>
    <w:rsid w:val="681C1AF7"/>
    <w:rsid w:val="683926A8"/>
    <w:rsid w:val="685272C6"/>
    <w:rsid w:val="68537CAF"/>
    <w:rsid w:val="685F3791"/>
    <w:rsid w:val="68725BBA"/>
    <w:rsid w:val="68757459"/>
    <w:rsid w:val="687A4A6F"/>
    <w:rsid w:val="688C5099"/>
    <w:rsid w:val="68953657"/>
    <w:rsid w:val="68B735CD"/>
    <w:rsid w:val="68BB130F"/>
    <w:rsid w:val="68C1444C"/>
    <w:rsid w:val="68E51EE8"/>
    <w:rsid w:val="68EA5751"/>
    <w:rsid w:val="68F570FB"/>
    <w:rsid w:val="69227DA0"/>
    <w:rsid w:val="69456E2B"/>
    <w:rsid w:val="69531548"/>
    <w:rsid w:val="696F3EA8"/>
    <w:rsid w:val="69731BEA"/>
    <w:rsid w:val="69765236"/>
    <w:rsid w:val="69790883"/>
    <w:rsid w:val="697A2F79"/>
    <w:rsid w:val="69935DE8"/>
    <w:rsid w:val="69A47FF6"/>
    <w:rsid w:val="69A87C65"/>
    <w:rsid w:val="69EE301F"/>
    <w:rsid w:val="69FB1963"/>
    <w:rsid w:val="6A3F35DF"/>
    <w:rsid w:val="6A5D1F52"/>
    <w:rsid w:val="6A7C062B"/>
    <w:rsid w:val="6A8634B6"/>
    <w:rsid w:val="6AA25BA0"/>
    <w:rsid w:val="6AA3205B"/>
    <w:rsid w:val="6AAB0F10"/>
    <w:rsid w:val="6AAD2EDA"/>
    <w:rsid w:val="6AB8548E"/>
    <w:rsid w:val="6ABC577D"/>
    <w:rsid w:val="6ACD70D8"/>
    <w:rsid w:val="6AE12B83"/>
    <w:rsid w:val="6AE42367"/>
    <w:rsid w:val="6AFE7291"/>
    <w:rsid w:val="6B054AC4"/>
    <w:rsid w:val="6B106FC5"/>
    <w:rsid w:val="6B1336F4"/>
    <w:rsid w:val="6B225676"/>
    <w:rsid w:val="6B3A462E"/>
    <w:rsid w:val="6B422808"/>
    <w:rsid w:val="6B476E8A"/>
    <w:rsid w:val="6B4B5217"/>
    <w:rsid w:val="6B680BAF"/>
    <w:rsid w:val="6B8A1717"/>
    <w:rsid w:val="6B8C6F93"/>
    <w:rsid w:val="6BC56001"/>
    <w:rsid w:val="6BCC7390"/>
    <w:rsid w:val="6BD36970"/>
    <w:rsid w:val="6BD526E8"/>
    <w:rsid w:val="6C092392"/>
    <w:rsid w:val="6C17069E"/>
    <w:rsid w:val="6C2225DD"/>
    <w:rsid w:val="6C2830FF"/>
    <w:rsid w:val="6C5850C7"/>
    <w:rsid w:val="6C6B0957"/>
    <w:rsid w:val="6C832144"/>
    <w:rsid w:val="6C89702F"/>
    <w:rsid w:val="6C9C18EB"/>
    <w:rsid w:val="6CCD7863"/>
    <w:rsid w:val="6CD504C6"/>
    <w:rsid w:val="6CD52274"/>
    <w:rsid w:val="6CDD364E"/>
    <w:rsid w:val="6CF46B9E"/>
    <w:rsid w:val="6CF92406"/>
    <w:rsid w:val="6CFC3CA5"/>
    <w:rsid w:val="6D06067F"/>
    <w:rsid w:val="6D147240"/>
    <w:rsid w:val="6D196605"/>
    <w:rsid w:val="6D21370B"/>
    <w:rsid w:val="6D3B18E0"/>
    <w:rsid w:val="6D3B18E9"/>
    <w:rsid w:val="6D57537F"/>
    <w:rsid w:val="6D6C42DF"/>
    <w:rsid w:val="6D77332B"/>
    <w:rsid w:val="6D800432"/>
    <w:rsid w:val="6D940381"/>
    <w:rsid w:val="6D9C3AFC"/>
    <w:rsid w:val="6DAC1227"/>
    <w:rsid w:val="6DBB76BC"/>
    <w:rsid w:val="6DD469CF"/>
    <w:rsid w:val="6E22773B"/>
    <w:rsid w:val="6E2A4841"/>
    <w:rsid w:val="6E443B55"/>
    <w:rsid w:val="6E4E0530"/>
    <w:rsid w:val="6E5B2C4D"/>
    <w:rsid w:val="6E5F44EB"/>
    <w:rsid w:val="6E6164B5"/>
    <w:rsid w:val="6E6236E7"/>
    <w:rsid w:val="6E6935BC"/>
    <w:rsid w:val="6E91041D"/>
    <w:rsid w:val="6E9F4B86"/>
    <w:rsid w:val="6EB02F99"/>
    <w:rsid w:val="6EB8556A"/>
    <w:rsid w:val="6EBC36EB"/>
    <w:rsid w:val="6EDC5B3C"/>
    <w:rsid w:val="6EDE1649"/>
    <w:rsid w:val="6EEE586F"/>
    <w:rsid w:val="6F064E06"/>
    <w:rsid w:val="6F094457"/>
    <w:rsid w:val="6F155FCF"/>
    <w:rsid w:val="6F176B74"/>
    <w:rsid w:val="6F360C58"/>
    <w:rsid w:val="6F636421"/>
    <w:rsid w:val="6F6B5112"/>
    <w:rsid w:val="6F6E6EC3"/>
    <w:rsid w:val="6F7264A0"/>
    <w:rsid w:val="6F765F90"/>
    <w:rsid w:val="6F9401C4"/>
    <w:rsid w:val="6FB915A7"/>
    <w:rsid w:val="6FC14D32"/>
    <w:rsid w:val="6FCD1928"/>
    <w:rsid w:val="6FD902CD"/>
    <w:rsid w:val="6FDE58E3"/>
    <w:rsid w:val="6FE61F3E"/>
    <w:rsid w:val="6FF9428D"/>
    <w:rsid w:val="70161521"/>
    <w:rsid w:val="702F613F"/>
    <w:rsid w:val="703244E4"/>
    <w:rsid w:val="705636CC"/>
    <w:rsid w:val="70D31B19"/>
    <w:rsid w:val="70FD0CB3"/>
    <w:rsid w:val="711E0B5E"/>
    <w:rsid w:val="712A5284"/>
    <w:rsid w:val="7130216F"/>
    <w:rsid w:val="713C4FB8"/>
    <w:rsid w:val="71687AE4"/>
    <w:rsid w:val="718F158B"/>
    <w:rsid w:val="71A004FF"/>
    <w:rsid w:val="71C50B09"/>
    <w:rsid w:val="71C8684B"/>
    <w:rsid w:val="71DC40A5"/>
    <w:rsid w:val="71E03B95"/>
    <w:rsid w:val="71E116BB"/>
    <w:rsid w:val="71F615DC"/>
    <w:rsid w:val="71FE04BF"/>
    <w:rsid w:val="720F7FD6"/>
    <w:rsid w:val="72121874"/>
    <w:rsid w:val="7229553C"/>
    <w:rsid w:val="72323CC5"/>
    <w:rsid w:val="724B2077"/>
    <w:rsid w:val="72691DDC"/>
    <w:rsid w:val="726F4F19"/>
    <w:rsid w:val="726F7FB0"/>
    <w:rsid w:val="72A46970"/>
    <w:rsid w:val="72B50B7E"/>
    <w:rsid w:val="72C139C6"/>
    <w:rsid w:val="72C62D8B"/>
    <w:rsid w:val="72D57833"/>
    <w:rsid w:val="72DC25AE"/>
    <w:rsid w:val="72FC49FE"/>
    <w:rsid w:val="732E0930"/>
    <w:rsid w:val="73335F46"/>
    <w:rsid w:val="73373C88"/>
    <w:rsid w:val="733E4E7F"/>
    <w:rsid w:val="7358775B"/>
    <w:rsid w:val="735C7C30"/>
    <w:rsid w:val="73634FBB"/>
    <w:rsid w:val="73661E78"/>
    <w:rsid w:val="73697BBA"/>
    <w:rsid w:val="73775E2C"/>
    <w:rsid w:val="738A025C"/>
    <w:rsid w:val="73B61051"/>
    <w:rsid w:val="73BB6668"/>
    <w:rsid w:val="73C365CB"/>
    <w:rsid w:val="73E95EE8"/>
    <w:rsid w:val="73EA4857"/>
    <w:rsid w:val="73F6144E"/>
    <w:rsid w:val="73F97190"/>
    <w:rsid w:val="74085625"/>
    <w:rsid w:val="74185868"/>
    <w:rsid w:val="742023C5"/>
    <w:rsid w:val="744523D5"/>
    <w:rsid w:val="744C3764"/>
    <w:rsid w:val="74534AF2"/>
    <w:rsid w:val="74766D79"/>
    <w:rsid w:val="747E57F8"/>
    <w:rsid w:val="748D1686"/>
    <w:rsid w:val="74F040EF"/>
    <w:rsid w:val="751122B7"/>
    <w:rsid w:val="75157FF9"/>
    <w:rsid w:val="75360DBC"/>
    <w:rsid w:val="75387844"/>
    <w:rsid w:val="756920F3"/>
    <w:rsid w:val="756B5E6B"/>
    <w:rsid w:val="756D0E75"/>
    <w:rsid w:val="756D573F"/>
    <w:rsid w:val="75866801"/>
    <w:rsid w:val="758807CB"/>
    <w:rsid w:val="759F78C3"/>
    <w:rsid w:val="75BA64AB"/>
    <w:rsid w:val="75E35A02"/>
    <w:rsid w:val="75EA3234"/>
    <w:rsid w:val="762027B2"/>
    <w:rsid w:val="7630676D"/>
    <w:rsid w:val="76312C11"/>
    <w:rsid w:val="763224E5"/>
    <w:rsid w:val="76361FD5"/>
    <w:rsid w:val="76505878"/>
    <w:rsid w:val="767945B8"/>
    <w:rsid w:val="76794AF8"/>
    <w:rsid w:val="76850C08"/>
    <w:rsid w:val="76BB24DB"/>
    <w:rsid w:val="76C84BF7"/>
    <w:rsid w:val="76D11CFE"/>
    <w:rsid w:val="76D67314"/>
    <w:rsid w:val="76FC6DDC"/>
    <w:rsid w:val="772E2227"/>
    <w:rsid w:val="77302EC9"/>
    <w:rsid w:val="7731279D"/>
    <w:rsid w:val="77533CC6"/>
    <w:rsid w:val="775748F9"/>
    <w:rsid w:val="775B1CAC"/>
    <w:rsid w:val="7760252B"/>
    <w:rsid w:val="776058DA"/>
    <w:rsid w:val="77626DFA"/>
    <w:rsid w:val="777032C5"/>
    <w:rsid w:val="777803CC"/>
    <w:rsid w:val="777D1E86"/>
    <w:rsid w:val="779276DF"/>
    <w:rsid w:val="77B70517"/>
    <w:rsid w:val="77E043E3"/>
    <w:rsid w:val="77F40160"/>
    <w:rsid w:val="78342545"/>
    <w:rsid w:val="78412EB3"/>
    <w:rsid w:val="785030F6"/>
    <w:rsid w:val="78550E5C"/>
    <w:rsid w:val="78632E2A"/>
    <w:rsid w:val="78654DF4"/>
    <w:rsid w:val="787B0173"/>
    <w:rsid w:val="787D0429"/>
    <w:rsid w:val="78B24F5D"/>
    <w:rsid w:val="78D26E90"/>
    <w:rsid w:val="78EF46BD"/>
    <w:rsid w:val="790740FD"/>
    <w:rsid w:val="791660EE"/>
    <w:rsid w:val="791D122B"/>
    <w:rsid w:val="791F31F5"/>
    <w:rsid w:val="79265756"/>
    <w:rsid w:val="793F5645"/>
    <w:rsid w:val="794511BD"/>
    <w:rsid w:val="79462725"/>
    <w:rsid w:val="794A5D98"/>
    <w:rsid w:val="794C38BE"/>
    <w:rsid w:val="794E7636"/>
    <w:rsid w:val="79892D64"/>
    <w:rsid w:val="798E037A"/>
    <w:rsid w:val="79960FDD"/>
    <w:rsid w:val="79997202"/>
    <w:rsid w:val="799E680F"/>
    <w:rsid w:val="7A1B3962"/>
    <w:rsid w:val="7A2111EE"/>
    <w:rsid w:val="7A2F56B9"/>
    <w:rsid w:val="7A6D48C0"/>
    <w:rsid w:val="7A7268AA"/>
    <w:rsid w:val="7A765096"/>
    <w:rsid w:val="7A965738"/>
    <w:rsid w:val="7A974046"/>
    <w:rsid w:val="7AAD65DE"/>
    <w:rsid w:val="7AC53928"/>
    <w:rsid w:val="7AC878BC"/>
    <w:rsid w:val="7ACA7190"/>
    <w:rsid w:val="7AEF309B"/>
    <w:rsid w:val="7AFD2AA0"/>
    <w:rsid w:val="7AFD57B8"/>
    <w:rsid w:val="7AFF1FD8"/>
    <w:rsid w:val="7B007056"/>
    <w:rsid w:val="7B02692A"/>
    <w:rsid w:val="7B2368A0"/>
    <w:rsid w:val="7B627C76"/>
    <w:rsid w:val="7B705F89"/>
    <w:rsid w:val="7B735A7A"/>
    <w:rsid w:val="7B887EC5"/>
    <w:rsid w:val="7B914152"/>
    <w:rsid w:val="7BAE0860"/>
    <w:rsid w:val="7BB17EFC"/>
    <w:rsid w:val="7BC60184"/>
    <w:rsid w:val="7BD5403F"/>
    <w:rsid w:val="7BE349AD"/>
    <w:rsid w:val="7BE73A8B"/>
    <w:rsid w:val="7BEC3136"/>
    <w:rsid w:val="7BF471EA"/>
    <w:rsid w:val="7C011556"/>
    <w:rsid w:val="7C18217D"/>
    <w:rsid w:val="7C3C40BE"/>
    <w:rsid w:val="7C507B69"/>
    <w:rsid w:val="7C596A1E"/>
    <w:rsid w:val="7C5E2286"/>
    <w:rsid w:val="7C701FB9"/>
    <w:rsid w:val="7C817D22"/>
    <w:rsid w:val="7CD24A22"/>
    <w:rsid w:val="7CEA1D6C"/>
    <w:rsid w:val="7CF95D03"/>
    <w:rsid w:val="7D0C3A90"/>
    <w:rsid w:val="7D0E5A5A"/>
    <w:rsid w:val="7D360B0D"/>
    <w:rsid w:val="7D406A1E"/>
    <w:rsid w:val="7D494CE4"/>
    <w:rsid w:val="7D637428"/>
    <w:rsid w:val="7D717D97"/>
    <w:rsid w:val="7D7653AD"/>
    <w:rsid w:val="7D823D52"/>
    <w:rsid w:val="7D851A94"/>
    <w:rsid w:val="7D8E1E41"/>
    <w:rsid w:val="7D9121E7"/>
    <w:rsid w:val="7D957F29"/>
    <w:rsid w:val="7D965A4F"/>
    <w:rsid w:val="7DC73E5B"/>
    <w:rsid w:val="7DCB56F9"/>
    <w:rsid w:val="7DF34C50"/>
    <w:rsid w:val="7E0D00F2"/>
    <w:rsid w:val="7E105802"/>
    <w:rsid w:val="7E1A21DD"/>
    <w:rsid w:val="7E486D4A"/>
    <w:rsid w:val="7E5F22E5"/>
    <w:rsid w:val="7E7C7B82"/>
    <w:rsid w:val="7E960CC1"/>
    <w:rsid w:val="7EA36676"/>
    <w:rsid w:val="7EAD12A3"/>
    <w:rsid w:val="7EB702F4"/>
    <w:rsid w:val="7ED625A7"/>
    <w:rsid w:val="7EDA196C"/>
    <w:rsid w:val="7EE56707"/>
    <w:rsid w:val="7EED715E"/>
    <w:rsid w:val="7EF42A2E"/>
    <w:rsid w:val="7EF46ED2"/>
    <w:rsid w:val="7EFD7F37"/>
    <w:rsid w:val="7F2271E4"/>
    <w:rsid w:val="7F2D7CEE"/>
    <w:rsid w:val="7F313C82"/>
    <w:rsid w:val="7F4A61E1"/>
    <w:rsid w:val="7F596D35"/>
    <w:rsid w:val="7F967F89"/>
    <w:rsid w:val="7F9935D5"/>
    <w:rsid w:val="7FA51F7A"/>
    <w:rsid w:val="7FB073FA"/>
    <w:rsid w:val="7FB328E9"/>
    <w:rsid w:val="7FD30895"/>
    <w:rsid w:val="7FDD1714"/>
    <w:rsid w:val="7FE231CE"/>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6">
    <w:name w:val="heading 1"/>
    <w:basedOn w:val="1"/>
    <w:next w:val="1"/>
    <w:link w:val="41"/>
    <w:autoRedefine/>
    <w:qFormat/>
    <w:uiPriority w:val="9"/>
    <w:pPr>
      <w:keepNext/>
      <w:keepLines/>
      <w:spacing w:before="340" w:after="330" w:line="578" w:lineRule="auto"/>
      <w:jc w:val="center"/>
      <w:outlineLvl w:val="0"/>
    </w:pPr>
    <w:rPr>
      <w:rFonts w:eastAsia="黑体"/>
      <w:b/>
      <w:bCs/>
      <w:kern w:val="44"/>
      <w:sz w:val="44"/>
      <w:szCs w:val="44"/>
    </w:rPr>
  </w:style>
  <w:style w:type="paragraph" w:styleId="7">
    <w:name w:val="heading 2"/>
    <w:basedOn w:val="1"/>
    <w:next w:val="1"/>
    <w:link w:val="45"/>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8">
    <w:name w:val="heading 3"/>
    <w:basedOn w:val="1"/>
    <w:next w:val="1"/>
    <w:link w:val="48"/>
    <w:autoRedefine/>
    <w:unhideWhenUsed/>
    <w:qFormat/>
    <w:uiPriority w:val="9"/>
    <w:pPr>
      <w:keepNext/>
      <w:keepLines/>
      <w:spacing w:before="260" w:after="260" w:line="416" w:lineRule="auto"/>
      <w:outlineLvl w:val="2"/>
    </w:pPr>
    <w:rPr>
      <w:b/>
      <w:bCs/>
      <w:sz w:val="30"/>
      <w:szCs w:val="32"/>
    </w:rPr>
  </w:style>
  <w:style w:type="paragraph" w:styleId="9">
    <w:name w:val="heading 4"/>
    <w:basedOn w:val="1"/>
    <w:next w:val="1"/>
    <w:link w:val="49"/>
    <w:autoRedefine/>
    <w:unhideWhenUsed/>
    <w:qFormat/>
    <w:uiPriority w:val="9"/>
    <w:pPr>
      <w:keepNext/>
      <w:keepLines/>
      <w:spacing w:before="280" w:after="290" w:line="376" w:lineRule="auto"/>
      <w:outlineLvl w:val="3"/>
    </w:pPr>
    <w:rPr>
      <w:rFonts w:asciiTheme="majorHAnsi" w:hAnsiTheme="majorHAnsi" w:cstheme="majorBidi"/>
      <w:b/>
      <w:bCs/>
      <w:sz w:val="28"/>
      <w:szCs w:val="28"/>
    </w:rPr>
  </w:style>
  <w:style w:type="paragraph" w:styleId="10">
    <w:name w:val="heading 5"/>
    <w:basedOn w:val="11"/>
    <w:next w:val="12"/>
    <w:autoRedefine/>
    <w:qFormat/>
    <w:uiPriority w:val="1"/>
    <w:pPr>
      <w:tabs>
        <w:tab w:val="left" w:pos="780"/>
      </w:tabs>
      <w:ind w:left="638" w:firstLine="561"/>
      <w:outlineLvl w:val="4"/>
    </w:pPr>
    <w:rPr>
      <w:rFonts w:ascii="仿宋" w:hAnsi="仿宋" w:eastAsia="仿宋" w:cs="仿宋"/>
      <w:b/>
      <w:bCs/>
      <w:kern w:val="0"/>
      <w:sz w:val="28"/>
      <w:szCs w:val="28"/>
      <w:lang w:val="zh-CN" w:bidi="zh-CN"/>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正文首行缩进 2 + 左侧:  2 字符 首行缩进:  2 字符"/>
    <w:basedOn w:val="3"/>
    <w:qFormat/>
    <w:uiPriority w:val="0"/>
    <w:pPr>
      <w:ind w:left="0" w:leftChars="0" w:firstLine="0"/>
    </w:pPr>
    <w:rPr>
      <w:rFonts w:ascii="微软雅黑" w:cs="宋体"/>
      <w:color w:val="000000"/>
      <w:sz w:val="21"/>
      <w:lang w:bidi="ar-SA"/>
    </w:rPr>
  </w:style>
  <w:style w:type="paragraph" w:styleId="3">
    <w:name w:val="Body Text First Indent 2"/>
    <w:basedOn w:val="4"/>
    <w:autoRedefine/>
    <w:qFormat/>
    <w:uiPriority w:val="0"/>
    <w:pPr>
      <w:snapToGrid/>
      <w:spacing w:after="120" w:line="240" w:lineRule="auto"/>
      <w:ind w:left="420" w:leftChars="200" w:right="0" w:firstLine="420" w:firstLineChars="200"/>
    </w:pPr>
    <w:rPr>
      <w:rFonts w:ascii="Times New Roman" w:eastAsia="宋体"/>
      <w:spacing w:val="0"/>
      <w:sz w:val="21"/>
      <w:szCs w:val="24"/>
    </w:rPr>
  </w:style>
  <w:style w:type="paragraph" w:styleId="4">
    <w:name w:val="Body Text Indent"/>
    <w:basedOn w:val="1"/>
    <w:next w:val="5"/>
    <w:autoRedefine/>
    <w:unhideWhenUsed/>
    <w:qFormat/>
    <w:uiPriority w:val="0"/>
    <w:pPr>
      <w:ind w:firstLine="630"/>
    </w:pPr>
    <w:rPr>
      <w:rFonts w:eastAsia="仿宋_GB2312"/>
      <w:kern w:val="0"/>
      <w:sz w:val="32"/>
      <w:szCs w:val="20"/>
    </w:rPr>
  </w:style>
  <w:style w:type="paragraph" w:styleId="5">
    <w:name w:val="envelope return"/>
    <w:basedOn w:val="1"/>
    <w:qFormat/>
    <w:uiPriority w:val="0"/>
    <w:pPr>
      <w:snapToGrid w:val="0"/>
    </w:pPr>
    <w:rPr>
      <w:rFonts w:ascii="Arial" w:hAnsi="Arial"/>
    </w:rPr>
  </w:style>
  <w:style w:type="paragraph" w:styleId="11">
    <w:name w:val="List Number 2"/>
    <w:basedOn w:val="1"/>
    <w:autoRedefine/>
    <w:semiHidden/>
    <w:unhideWhenUsed/>
    <w:qFormat/>
    <w:uiPriority w:val="99"/>
    <w:pPr>
      <w:numPr>
        <w:ilvl w:val="0"/>
        <w:numId w:val="1"/>
      </w:numPr>
    </w:pPr>
  </w:style>
  <w:style w:type="paragraph" w:styleId="12">
    <w:name w:val="Normal (Web)"/>
    <w:basedOn w:val="1"/>
    <w:autoRedefine/>
    <w:qFormat/>
    <w:uiPriority w:val="99"/>
    <w:pPr>
      <w:widowControl/>
      <w:spacing w:before="100" w:beforeAutospacing="1" w:after="100" w:afterAutospacing="1"/>
    </w:pPr>
    <w:rPr>
      <w:rFonts w:cs="宋体"/>
      <w:color w:val="000000"/>
      <w:kern w:val="0"/>
      <w:szCs w:val="24"/>
    </w:rPr>
  </w:style>
  <w:style w:type="paragraph" w:styleId="13">
    <w:name w:val="toc 7"/>
    <w:basedOn w:val="1"/>
    <w:next w:val="1"/>
    <w:autoRedefine/>
    <w:unhideWhenUsed/>
    <w:qFormat/>
    <w:uiPriority w:val="39"/>
    <w:pPr>
      <w:ind w:left="1440"/>
    </w:pPr>
    <w:rPr>
      <w:rFonts w:asciiTheme="minorHAnsi" w:eastAsiaTheme="minorHAnsi"/>
      <w:sz w:val="18"/>
      <w:szCs w:val="18"/>
    </w:rPr>
  </w:style>
  <w:style w:type="paragraph" w:styleId="14">
    <w:name w:val="Normal Indent"/>
    <w:basedOn w:val="1"/>
    <w:next w:val="1"/>
    <w:autoRedefine/>
    <w:unhideWhenUsed/>
    <w:qFormat/>
    <w:uiPriority w:val="0"/>
    <w:pPr>
      <w:ind w:firstLine="420" w:firstLineChars="200"/>
    </w:pPr>
    <w:rPr>
      <w:rFonts w:ascii="Calibri" w:hAnsi="Calibri"/>
      <w:szCs w:val="22"/>
    </w:rPr>
  </w:style>
  <w:style w:type="paragraph" w:styleId="15">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6">
    <w:name w:val="toa heading"/>
    <w:basedOn w:val="1"/>
    <w:next w:val="1"/>
    <w:qFormat/>
    <w:uiPriority w:val="99"/>
    <w:pPr>
      <w:spacing w:before="120"/>
    </w:pPr>
    <w:rPr>
      <w:rFonts w:ascii="Arial" w:hAnsi="Arial" w:eastAsia="仿宋"/>
      <w:sz w:val="24"/>
      <w:szCs w:val="20"/>
    </w:rPr>
  </w:style>
  <w:style w:type="paragraph" w:styleId="17">
    <w:name w:val="annotation text"/>
    <w:basedOn w:val="1"/>
    <w:link w:val="46"/>
    <w:autoRedefine/>
    <w:qFormat/>
    <w:uiPriority w:val="0"/>
    <w:pPr>
      <w:spacing w:line="240" w:lineRule="auto"/>
    </w:pPr>
    <w:rPr>
      <w:rFonts w:eastAsiaTheme="minorEastAsia"/>
      <w:sz w:val="21"/>
      <w:szCs w:val="24"/>
    </w:rPr>
  </w:style>
  <w:style w:type="paragraph" w:styleId="18">
    <w:name w:val="Body Text"/>
    <w:basedOn w:val="1"/>
    <w:link w:val="50"/>
    <w:autoRedefine/>
    <w:qFormat/>
    <w:uiPriority w:val="99"/>
    <w:pPr>
      <w:spacing w:after="120" w:line="240" w:lineRule="auto"/>
      <w:jc w:val="both"/>
    </w:pPr>
    <w:rPr>
      <w:rFonts w:eastAsiaTheme="minorEastAsia"/>
      <w:sz w:val="21"/>
      <w:szCs w:val="24"/>
    </w:rPr>
  </w:style>
  <w:style w:type="paragraph" w:styleId="19">
    <w:name w:val="toc 5"/>
    <w:basedOn w:val="1"/>
    <w:next w:val="1"/>
    <w:autoRedefine/>
    <w:unhideWhenUsed/>
    <w:qFormat/>
    <w:uiPriority w:val="39"/>
    <w:pPr>
      <w:ind w:left="960"/>
    </w:pPr>
    <w:rPr>
      <w:rFonts w:asciiTheme="minorHAnsi" w:eastAsiaTheme="minorHAnsi"/>
      <w:sz w:val="18"/>
      <w:szCs w:val="18"/>
    </w:rPr>
  </w:style>
  <w:style w:type="paragraph" w:styleId="20">
    <w:name w:val="toc 3"/>
    <w:basedOn w:val="1"/>
    <w:next w:val="1"/>
    <w:autoRedefine/>
    <w:unhideWhenUsed/>
    <w:qFormat/>
    <w:uiPriority w:val="39"/>
    <w:pPr>
      <w:ind w:left="480"/>
    </w:pPr>
    <w:rPr>
      <w:rFonts w:asciiTheme="minorHAnsi" w:eastAsiaTheme="minorHAnsi"/>
      <w:i/>
      <w:iCs/>
      <w:sz w:val="20"/>
      <w:szCs w:val="20"/>
    </w:rPr>
  </w:style>
  <w:style w:type="paragraph" w:styleId="21">
    <w:name w:val="Plain Text"/>
    <w:basedOn w:val="1"/>
    <w:autoRedefine/>
    <w:unhideWhenUsed/>
    <w:qFormat/>
    <w:uiPriority w:val="0"/>
    <w:rPr>
      <w:rFonts w:ascii="宋体" w:hAnsi="Courier New"/>
      <w:kern w:val="0"/>
      <w:sz w:val="20"/>
      <w:szCs w:val="20"/>
    </w:rPr>
  </w:style>
  <w:style w:type="paragraph" w:styleId="22">
    <w:name w:val="toc 8"/>
    <w:basedOn w:val="1"/>
    <w:next w:val="1"/>
    <w:autoRedefine/>
    <w:unhideWhenUsed/>
    <w:qFormat/>
    <w:uiPriority w:val="39"/>
    <w:pPr>
      <w:ind w:left="1680"/>
    </w:pPr>
    <w:rPr>
      <w:rFonts w:asciiTheme="minorHAnsi" w:eastAsiaTheme="minorHAnsi"/>
      <w:sz w:val="18"/>
      <w:szCs w:val="18"/>
    </w:rPr>
  </w:style>
  <w:style w:type="paragraph" w:styleId="23">
    <w:name w:val="footer"/>
    <w:basedOn w:val="1"/>
    <w:next w:val="1"/>
    <w:link w:val="44"/>
    <w:autoRedefine/>
    <w:unhideWhenUsed/>
    <w:qFormat/>
    <w:uiPriority w:val="99"/>
    <w:pPr>
      <w:tabs>
        <w:tab w:val="center" w:pos="4153"/>
        <w:tab w:val="right" w:pos="8306"/>
      </w:tabs>
      <w:snapToGrid w:val="0"/>
      <w:spacing w:line="240" w:lineRule="auto"/>
    </w:pPr>
    <w:rPr>
      <w:sz w:val="18"/>
      <w:szCs w:val="18"/>
    </w:rPr>
  </w:style>
  <w:style w:type="paragraph" w:styleId="24">
    <w:name w:val="header"/>
    <w:basedOn w:val="1"/>
    <w:link w:val="4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5">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6">
    <w:name w:val="toc 4"/>
    <w:basedOn w:val="1"/>
    <w:next w:val="1"/>
    <w:autoRedefine/>
    <w:unhideWhenUsed/>
    <w:qFormat/>
    <w:uiPriority w:val="39"/>
    <w:pPr>
      <w:ind w:left="720"/>
    </w:pPr>
    <w:rPr>
      <w:rFonts w:asciiTheme="minorHAnsi" w:eastAsiaTheme="minorHAnsi"/>
      <w:sz w:val="18"/>
      <w:szCs w:val="18"/>
    </w:rPr>
  </w:style>
  <w:style w:type="paragraph" w:styleId="27">
    <w:name w:val="footnote text"/>
    <w:basedOn w:val="1"/>
    <w:qFormat/>
    <w:uiPriority w:val="0"/>
    <w:pPr>
      <w:widowControl/>
      <w:jc w:val="left"/>
    </w:pPr>
    <w:rPr>
      <w:kern w:val="0"/>
      <w:sz w:val="20"/>
      <w:szCs w:val="20"/>
      <w:lang w:val="de-DE"/>
    </w:rPr>
  </w:style>
  <w:style w:type="paragraph" w:styleId="28">
    <w:name w:val="toc 6"/>
    <w:basedOn w:val="1"/>
    <w:next w:val="1"/>
    <w:autoRedefine/>
    <w:unhideWhenUsed/>
    <w:qFormat/>
    <w:uiPriority w:val="39"/>
    <w:pPr>
      <w:ind w:left="1200"/>
    </w:pPr>
    <w:rPr>
      <w:rFonts w:asciiTheme="minorHAnsi" w:eastAsiaTheme="minorHAnsi"/>
      <w:sz w:val="18"/>
      <w:szCs w:val="18"/>
    </w:rPr>
  </w:style>
  <w:style w:type="paragraph" w:styleId="29">
    <w:name w:val="toc 2"/>
    <w:basedOn w:val="1"/>
    <w:next w:val="1"/>
    <w:autoRedefine/>
    <w:unhideWhenUsed/>
    <w:qFormat/>
    <w:uiPriority w:val="39"/>
    <w:pPr>
      <w:ind w:left="240"/>
    </w:pPr>
    <w:rPr>
      <w:rFonts w:asciiTheme="minorHAnsi" w:eastAsiaTheme="minorHAnsi"/>
      <w:smallCaps/>
      <w:sz w:val="20"/>
      <w:szCs w:val="20"/>
    </w:rPr>
  </w:style>
  <w:style w:type="paragraph" w:styleId="30">
    <w:name w:val="toc 9"/>
    <w:basedOn w:val="1"/>
    <w:next w:val="1"/>
    <w:autoRedefine/>
    <w:unhideWhenUsed/>
    <w:qFormat/>
    <w:uiPriority w:val="39"/>
    <w:pPr>
      <w:ind w:left="1920"/>
    </w:pPr>
    <w:rPr>
      <w:rFonts w:asciiTheme="minorHAnsi" w:eastAsiaTheme="minorHAnsi"/>
      <w:sz w:val="18"/>
      <w:szCs w:val="18"/>
    </w:rPr>
  </w:style>
  <w:style w:type="paragraph" w:styleId="31">
    <w:name w:val="annotation subject"/>
    <w:basedOn w:val="17"/>
    <w:next w:val="17"/>
    <w:link w:val="54"/>
    <w:autoRedefine/>
    <w:semiHidden/>
    <w:unhideWhenUsed/>
    <w:qFormat/>
    <w:uiPriority w:val="99"/>
    <w:pPr>
      <w:spacing w:line="360" w:lineRule="auto"/>
    </w:pPr>
    <w:rPr>
      <w:rFonts w:eastAsia="宋体"/>
      <w:b/>
      <w:bCs/>
      <w:sz w:val="24"/>
      <w:szCs w:val="22"/>
    </w:rPr>
  </w:style>
  <w:style w:type="paragraph" w:styleId="32">
    <w:name w:val="Body Text First Indent"/>
    <w:basedOn w:val="18"/>
    <w:qFormat/>
    <w:uiPriority w:val="0"/>
    <w:pPr>
      <w:ind w:firstLine="420" w:firstLineChars="100"/>
    </w:pPr>
  </w:style>
  <w:style w:type="table" w:styleId="34">
    <w:name w:val="Table Grid"/>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b/>
      <w:bCs/>
    </w:rPr>
  </w:style>
  <w:style w:type="character" w:styleId="37">
    <w:name w:val="Hyperlink"/>
    <w:basedOn w:val="35"/>
    <w:autoRedefine/>
    <w:unhideWhenUsed/>
    <w:qFormat/>
    <w:uiPriority w:val="99"/>
    <w:rPr>
      <w:color w:val="0563C1" w:themeColor="hyperlink"/>
      <w:u w:val="single"/>
      <w14:textFill>
        <w14:solidFill>
          <w14:schemeClr w14:val="hlink"/>
        </w14:solidFill>
      </w14:textFill>
    </w:rPr>
  </w:style>
  <w:style w:type="character" w:styleId="38">
    <w:name w:val="annotation reference"/>
    <w:basedOn w:val="35"/>
    <w:autoRedefine/>
    <w:qFormat/>
    <w:uiPriority w:val="0"/>
    <w:rPr>
      <w:sz w:val="21"/>
      <w:szCs w:val="21"/>
    </w:rPr>
  </w:style>
  <w:style w:type="paragraph" w:customStyle="1" w:styleId="3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0">
    <w:name w:val="正文缩进2"/>
    <w:basedOn w:val="1"/>
    <w:autoRedefine/>
    <w:qFormat/>
    <w:uiPriority w:val="0"/>
    <w:pPr>
      <w:wordWrap w:val="0"/>
      <w:ind w:firstLine="480"/>
    </w:pPr>
    <w:rPr>
      <w:iCs/>
      <w:shd w:val="clear" w:color="auto" w:fill="FFFFFF" w:themeFill="background1"/>
      <w:lang w:val="zh-CN"/>
    </w:rPr>
  </w:style>
  <w:style w:type="character" w:customStyle="1" w:styleId="41">
    <w:name w:val="标题 1 字符"/>
    <w:basedOn w:val="35"/>
    <w:link w:val="6"/>
    <w:autoRedefine/>
    <w:qFormat/>
    <w:uiPriority w:val="9"/>
    <w:rPr>
      <w:rFonts w:eastAsia="黑体"/>
      <w:b/>
      <w:bCs/>
      <w:kern w:val="44"/>
      <w:sz w:val="44"/>
      <w:szCs w:val="44"/>
    </w:rPr>
  </w:style>
  <w:style w:type="paragraph" w:styleId="42">
    <w:name w:val="List Paragraph"/>
    <w:basedOn w:val="1"/>
    <w:autoRedefine/>
    <w:qFormat/>
    <w:uiPriority w:val="34"/>
    <w:pPr>
      <w:numPr>
        <w:ilvl w:val="0"/>
        <w:numId w:val="2"/>
      </w:numPr>
    </w:pPr>
  </w:style>
  <w:style w:type="character" w:customStyle="1" w:styleId="43">
    <w:name w:val="页眉 字符"/>
    <w:basedOn w:val="35"/>
    <w:link w:val="24"/>
    <w:autoRedefine/>
    <w:qFormat/>
    <w:uiPriority w:val="99"/>
    <w:rPr>
      <w:rFonts w:eastAsia="宋体"/>
      <w:sz w:val="18"/>
      <w:szCs w:val="18"/>
    </w:rPr>
  </w:style>
  <w:style w:type="character" w:customStyle="1" w:styleId="44">
    <w:name w:val="页脚 字符"/>
    <w:basedOn w:val="35"/>
    <w:link w:val="23"/>
    <w:autoRedefine/>
    <w:qFormat/>
    <w:uiPriority w:val="99"/>
    <w:rPr>
      <w:rFonts w:eastAsia="宋体"/>
      <w:sz w:val="18"/>
      <w:szCs w:val="18"/>
    </w:rPr>
  </w:style>
  <w:style w:type="character" w:customStyle="1" w:styleId="45">
    <w:name w:val="标题 2 字符"/>
    <w:basedOn w:val="35"/>
    <w:link w:val="7"/>
    <w:autoRedefine/>
    <w:qFormat/>
    <w:uiPriority w:val="0"/>
    <w:rPr>
      <w:rFonts w:eastAsia="宋体" w:asciiTheme="majorHAnsi" w:hAnsiTheme="majorHAnsi" w:cstheme="majorBidi"/>
      <w:b/>
      <w:bCs/>
      <w:sz w:val="32"/>
      <w:szCs w:val="32"/>
    </w:rPr>
  </w:style>
  <w:style w:type="character" w:customStyle="1" w:styleId="46">
    <w:name w:val="批注文字 字符"/>
    <w:basedOn w:val="35"/>
    <w:link w:val="17"/>
    <w:autoRedefine/>
    <w:qFormat/>
    <w:uiPriority w:val="0"/>
    <w:rPr>
      <w:szCs w:val="24"/>
    </w:rPr>
  </w:style>
  <w:style w:type="paragraph" w:customStyle="1" w:styleId="47">
    <w:name w:val="Char1 Char Char Char"/>
    <w:basedOn w:val="1"/>
    <w:autoRedefine/>
    <w:qFormat/>
    <w:uiPriority w:val="0"/>
    <w:pPr>
      <w:adjustRightInd w:val="0"/>
      <w:jc w:val="both"/>
    </w:pPr>
    <w:rPr>
      <w:rFonts w:ascii="Times New Roman" w:hAnsi="Times New Roman" w:cs="Times New Roman"/>
      <w:kern w:val="0"/>
      <w:szCs w:val="20"/>
    </w:rPr>
  </w:style>
  <w:style w:type="character" w:customStyle="1" w:styleId="48">
    <w:name w:val="标题 3 字符"/>
    <w:basedOn w:val="35"/>
    <w:link w:val="8"/>
    <w:autoRedefine/>
    <w:qFormat/>
    <w:uiPriority w:val="9"/>
    <w:rPr>
      <w:rFonts w:eastAsia="宋体"/>
      <w:b/>
      <w:bCs/>
      <w:sz w:val="30"/>
      <w:szCs w:val="32"/>
    </w:rPr>
  </w:style>
  <w:style w:type="character" w:customStyle="1" w:styleId="49">
    <w:name w:val="标题 4 字符"/>
    <w:basedOn w:val="35"/>
    <w:link w:val="9"/>
    <w:autoRedefine/>
    <w:qFormat/>
    <w:uiPriority w:val="9"/>
    <w:rPr>
      <w:rFonts w:eastAsia="宋体" w:asciiTheme="majorHAnsi" w:hAnsiTheme="majorHAnsi" w:cstheme="majorBidi"/>
      <w:b/>
      <w:bCs/>
      <w:sz w:val="28"/>
      <w:szCs w:val="28"/>
    </w:rPr>
  </w:style>
  <w:style w:type="character" w:customStyle="1" w:styleId="50">
    <w:name w:val="正文文本 字符"/>
    <w:basedOn w:val="35"/>
    <w:link w:val="18"/>
    <w:autoRedefine/>
    <w:qFormat/>
    <w:uiPriority w:val="99"/>
    <w:rPr>
      <w:szCs w:val="24"/>
    </w:rPr>
  </w:style>
  <w:style w:type="paragraph" w:customStyle="1" w:styleId="51">
    <w:name w:val="样式"/>
    <w:basedOn w:val="1"/>
    <w:autoRedefine/>
    <w:qFormat/>
    <w:uiPriority w:val="0"/>
    <w:pPr>
      <w:autoSpaceDE w:val="0"/>
      <w:autoSpaceDN w:val="0"/>
      <w:snapToGrid w:val="0"/>
      <w:spacing w:before="120" w:after="120"/>
      <w:jc w:val="both"/>
    </w:pPr>
    <w:rPr>
      <w:rFonts w:hAnsi="Times New Roman" w:cs="Times New Roman"/>
      <w:kern w:val="0"/>
      <w:szCs w:val="20"/>
    </w:rPr>
  </w:style>
  <w:style w:type="paragraph" w:styleId="52">
    <w:name w:val="No Spacing"/>
    <w:autoRedefine/>
    <w:qFormat/>
    <w:uiPriority w:val="1"/>
    <w:pPr>
      <w:widowControl w:val="0"/>
    </w:pPr>
    <w:rPr>
      <w:rFonts w:ascii="宋体" w:hAnsi="宋体" w:eastAsia="宋体" w:cstheme="minorBidi"/>
      <w:kern w:val="2"/>
      <w:sz w:val="24"/>
      <w:szCs w:val="22"/>
      <w:lang w:val="en-US" w:eastAsia="zh-CN" w:bidi="ar-SA"/>
    </w:rPr>
  </w:style>
  <w:style w:type="character" w:customStyle="1" w:styleId="53">
    <w:name w:val="未处理的提及1"/>
    <w:basedOn w:val="35"/>
    <w:autoRedefine/>
    <w:semiHidden/>
    <w:unhideWhenUsed/>
    <w:qFormat/>
    <w:uiPriority w:val="99"/>
    <w:rPr>
      <w:color w:val="605E5C"/>
      <w:shd w:val="clear" w:color="auto" w:fill="E1DFDD"/>
    </w:rPr>
  </w:style>
  <w:style w:type="character" w:customStyle="1" w:styleId="54">
    <w:name w:val="批注主题 字符"/>
    <w:basedOn w:val="46"/>
    <w:link w:val="31"/>
    <w:autoRedefine/>
    <w:semiHidden/>
    <w:qFormat/>
    <w:uiPriority w:val="99"/>
    <w:rPr>
      <w:rFonts w:ascii="宋体" w:hAnsi="宋体" w:cstheme="minorBidi"/>
      <w:b/>
      <w:bCs/>
      <w:kern w:val="2"/>
      <w:sz w:val="24"/>
      <w:szCs w:val="22"/>
    </w:rPr>
  </w:style>
  <w:style w:type="character" w:customStyle="1" w:styleId="55">
    <w:name w:val="未处理的提及2"/>
    <w:basedOn w:val="35"/>
    <w:autoRedefine/>
    <w:semiHidden/>
    <w:unhideWhenUsed/>
    <w:qFormat/>
    <w:uiPriority w:val="99"/>
    <w:rPr>
      <w:color w:val="605E5C"/>
      <w:shd w:val="clear" w:color="auto" w:fill="E1DFDD"/>
    </w:rPr>
  </w:style>
  <w:style w:type="paragraph" w:customStyle="1" w:styleId="56">
    <w:name w:val="正文_2"/>
    <w:autoRedefine/>
    <w:qFormat/>
    <w:uiPriority w:val="0"/>
    <w:pPr>
      <w:widowControl w:val="0"/>
      <w:jc w:val="both"/>
    </w:pPr>
    <w:rPr>
      <w:rFonts w:ascii="Calibri" w:hAnsi="Calibri" w:eastAsia="宋体" w:cs="Times New Roman"/>
      <w:lang w:val="en-US" w:eastAsia="zh-CN" w:bidi="ar-SA"/>
    </w:rPr>
  </w:style>
  <w:style w:type="paragraph" w:customStyle="1" w:styleId="57">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2_0_0"/>
    <w:autoRedefine/>
    <w:qFormat/>
    <w:uiPriority w:val="99"/>
    <w:pPr>
      <w:widowControl w:val="0"/>
      <w:jc w:val="both"/>
    </w:pPr>
    <w:rPr>
      <w:rFonts w:ascii="Calibri" w:hAnsi="Calibri" w:eastAsia="宋体" w:cs="Times New Roman"/>
      <w:lang w:val="en-US" w:eastAsia="zh-CN" w:bidi="ar-SA"/>
    </w:rPr>
  </w:style>
  <w:style w:type="paragraph" w:customStyle="1" w:styleId="60">
    <w:name w:val="正文_1_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1">
    <w:name w:val="Normal Indent1"/>
    <w:basedOn w:val="1"/>
    <w:autoRedefine/>
    <w:qFormat/>
    <w:uiPriority w:val="0"/>
    <w:pPr>
      <w:ind w:firstLine="420" w:firstLineChars="200"/>
    </w:pPr>
  </w:style>
  <w:style w:type="paragraph" w:customStyle="1" w:styleId="62">
    <w:name w:val="LO-Normal"/>
    <w:autoRedefine/>
    <w:qFormat/>
    <w:uiPriority w:val="0"/>
    <w:pPr>
      <w:suppressAutoHyphens/>
    </w:pPr>
    <w:rPr>
      <w:rFonts w:ascii="Times New Roman" w:hAnsi="Times New Roman" w:eastAsia="宋体" w:cs="Times New Roman"/>
      <w:sz w:val="24"/>
      <w:szCs w:val="24"/>
      <w:lang w:val="en-US" w:eastAsia="zh-CN" w:bidi="ar-SA"/>
    </w:rPr>
  </w:style>
  <w:style w:type="paragraph" w:customStyle="1" w:styleId="63">
    <w:name w:val="Normal_22"/>
    <w:autoRedefine/>
    <w:qFormat/>
    <w:uiPriority w:val="0"/>
    <w:rPr>
      <w:rFonts w:ascii="Times New Roman" w:hAnsi="Times New Roman" w:eastAsia="Times New Roman" w:cs="Times New Roman"/>
      <w:sz w:val="24"/>
      <w:szCs w:val="24"/>
      <w:lang w:bidi="ar-SA"/>
    </w:rPr>
  </w:style>
  <w:style w:type="paragraph" w:customStyle="1" w:styleId="64">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
    <w:name w:val="正文_0_0_0 Char"/>
    <w:link w:val="66"/>
    <w:autoRedefine/>
    <w:qFormat/>
    <w:locked/>
    <w:uiPriority w:val="0"/>
    <w:rPr>
      <w:rFonts w:ascii="Calibri" w:hAnsi="Calibri" w:cs="Calibri"/>
      <w:kern w:val="2"/>
      <w:sz w:val="28"/>
      <w:szCs w:val="22"/>
      <w:lang w:val="en-US" w:eastAsia="zh-CN" w:bidi="ar-SA"/>
    </w:rPr>
  </w:style>
  <w:style w:type="paragraph" w:customStyle="1" w:styleId="66">
    <w:name w:val="正文_0_0_0_0_0"/>
    <w:link w:val="65"/>
    <w:autoRedefine/>
    <w:qFormat/>
    <w:uiPriority w:val="0"/>
    <w:pPr>
      <w:spacing w:before="120" w:after="120" w:line="360" w:lineRule="auto"/>
      <w:ind w:left="1072" w:hanging="1072"/>
      <w:jc w:val="both"/>
    </w:pPr>
    <w:rPr>
      <w:rFonts w:ascii="Calibri" w:hAnsi="Calibri" w:eastAsia="宋体" w:cs="Calibri"/>
      <w:kern w:val="2"/>
      <w:sz w:val="28"/>
      <w:szCs w:val="22"/>
      <w:lang w:val="en-US" w:eastAsia="zh-CN" w:bidi="ar-SA"/>
    </w:rPr>
  </w:style>
  <w:style w:type="paragraph" w:customStyle="1" w:styleId="67">
    <w:name w:val="正文文本_0_1"/>
    <w:basedOn w:val="68"/>
    <w:autoRedefine/>
    <w:qFormat/>
    <w:uiPriority w:val="99"/>
    <w:pPr>
      <w:spacing w:after="120"/>
    </w:pPr>
    <w:rPr>
      <w:rFonts w:ascii="Calibri" w:hAnsi="Calibri" w:eastAsia="宋体"/>
      <w:kern w:val="0"/>
      <w:sz w:val="24"/>
      <w:szCs w:val="20"/>
    </w:rPr>
  </w:style>
  <w:style w:type="paragraph" w:customStyle="1" w:styleId="68">
    <w:name w:val="正文_6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Table Paragraph_1"/>
    <w:basedOn w:val="68"/>
    <w:autoRedefine/>
    <w:qFormat/>
    <w:uiPriority w:val="0"/>
    <w:pPr>
      <w:jc w:val="left"/>
    </w:pPr>
    <w:rPr>
      <w:rFonts w:ascii="Calibri" w:hAnsi="Calibri" w:eastAsia="宋体"/>
      <w:kern w:val="0"/>
      <w:sz w:val="22"/>
      <w:lang w:eastAsia="en-US"/>
    </w:rPr>
  </w:style>
  <w:style w:type="paragraph" w:customStyle="1" w:styleId="70">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1"/>
    <w:autoRedefine/>
    <w:qFormat/>
    <w:uiPriority w:val="0"/>
    <w:pPr>
      <w:widowControl w:val="0"/>
      <w:jc w:val="both"/>
    </w:pPr>
    <w:rPr>
      <w:rFonts w:ascii="Calibri" w:hAnsi="Calibri" w:eastAsia="宋体" w:cs="Times New Roman"/>
      <w:lang w:val="en-US" w:eastAsia="zh-CN" w:bidi="ar-SA"/>
    </w:rPr>
  </w:style>
  <w:style w:type="paragraph" w:customStyle="1" w:styleId="72">
    <w:name w:val="列出段落1"/>
    <w:basedOn w:val="1"/>
    <w:autoRedefine/>
    <w:qFormat/>
    <w:uiPriority w:val="0"/>
    <w:pPr>
      <w:ind w:firstLine="420" w:firstLineChars="200"/>
    </w:pPr>
    <w:rPr>
      <w:szCs w:val="21"/>
    </w:rPr>
  </w:style>
  <w:style w:type="paragraph" w:customStyle="1" w:styleId="7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74">
    <w:name w:val="正文2"/>
    <w:basedOn w:val="1"/>
    <w:qFormat/>
    <w:uiPriority w:val="0"/>
    <w:pPr>
      <w:spacing w:before="156" w:line="360" w:lineRule="auto"/>
      <w:ind w:firstLine="510" w:firstLineChars="200"/>
    </w:pPr>
    <w:rPr>
      <w:sz w:val="24"/>
      <w:szCs w:val="20"/>
    </w:rPr>
  </w:style>
  <w:style w:type="paragraph" w:customStyle="1" w:styleId="75">
    <w:name w:val="Char Char Char Char Char Char Char1 Char"/>
    <w:basedOn w:val="1"/>
    <w:autoRedefine/>
    <w:qFormat/>
    <w:uiPriority w:val="0"/>
    <w:rPr>
      <w:rFonts w:ascii="Arial" w:hAnsi="Arial" w:eastAsia="宋体" w:cs="Arial"/>
      <w:sz w:val="24"/>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character" w:customStyle="1" w:styleId="77">
    <w:name w:val="font01"/>
    <w:basedOn w:val="3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5115</Words>
  <Characters>5774</Characters>
  <Lines>328</Lines>
  <Paragraphs>92</Paragraphs>
  <TotalTime>55</TotalTime>
  <ScaleCrop>false</ScaleCrop>
  <LinksUpToDate>false</LinksUpToDate>
  <CharactersWithSpaces>6157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admin</dc:creator>
  <cp:lastModifiedBy>无感</cp:lastModifiedBy>
  <cp:lastPrinted>2024-12-28T09:34:00Z</cp:lastPrinted>
  <dcterms:modified xsi:type="dcterms:W3CDTF">2025-07-17T11:42:13Z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9A71DEF8BF634A51B95DB6A270F2E886_13</vt:lpwstr>
  </property>
  <property fmtid="{D5CDD505-2E9C-101B-9397-08002B2CF9AE}" pid="4" name="KSOTemplateDocerSaveRecord">
    <vt:lpwstr>eyJoZGlkIjoiZjU2MGFmODBiNDQ0YjJjYmQ4MTRkNDViMmEyMGQ0YWQiLCJ1c2VySWQiOiI0OTA5MzExNzUifQ==</vt:lpwstr>
  </property>
</Properties>
</file>